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5070E4">
      <w:pPr>
        <w:spacing w:line="600" w:lineRule="exact"/>
        <w:jc w:val="center"/>
        <w:rPr>
          <w:rFonts w:hint="default" w:ascii="Times New Roman" w:hAnsi="Times New Roman" w:eastAsia="方正小标宋简体" w:cs="Times New Roman"/>
          <w:sz w:val="44"/>
          <w:szCs w:val="44"/>
        </w:rPr>
      </w:pPr>
    </w:p>
    <w:p w14:paraId="0D590289">
      <w:pPr>
        <w:spacing w:line="600" w:lineRule="exact"/>
        <w:jc w:val="center"/>
        <w:rPr>
          <w:rFonts w:hint="default" w:ascii="Times New Roman" w:hAnsi="Times New Roman" w:eastAsia="方正小标宋简体" w:cs="Times New Roman"/>
          <w:sz w:val="44"/>
          <w:szCs w:val="44"/>
        </w:rPr>
      </w:pPr>
    </w:p>
    <w:p w14:paraId="061B04CA">
      <w:pPr>
        <w:spacing w:line="600" w:lineRule="exact"/>
        <w:jc w:val="center"/>
        <w:rPr>
          <w:rFonts w:hint="default" w:ascii="Times New Roman" w:hAnsi="Times New Roman" w:eastAsia="方正小标宋简体" w:cs="Times New Roman"/>
          <w:sz w:val="44"/>
          <w:szCs w:val="44"/>
        </w:rPr>
      </w:pPr>
    </w:p>
    <w:p w14:paraId="27DBBA7B">
      <w:pPr>
        <w:spacing w:line="600" w:lineRule="exact"/>
        <w:jc w:val="center"/>
        <w:rPr>
          <w:rFonts w:hint="default" w:ascii="Times New Roman" w:hAnsi="Times New Roman" w:eastAsia="方正小标宋简体" w:cs="Times New Roman"/>
          <w:sz w:val="44"/>
          <w:szCs w:val="44"/>
        </w:rPr>
      </w:pPr>
    </w:p>
    <w:p w14:paraId="3E99FA11">
      <w:pPr>
        <w:spacing w:line="600" w:lineRule="exact"/>
        <w:jc w:val="center"/>
        <w:rPr>
          <w:rFonts w:hint="default" w:ascii="Times New Roman" w:hAnsi="Times New Roman" w:eastAsia="方正小标宋简体" w:cs="Times New Roman"/>
          <w:sz w:val="44"/>
          <w:szCs w:val="44"/>
        </w:rPr>
      </w:pPr>
    </w:p>
    <w:p w14:paraId="3FF168B3">
      <w:pPr>
        <w:spacing w:line="600" w:lineRule="exact"/>
        <w:jc w:val="center"/>
        <w:rPr>
          <w:rFonts w:hint="default" w:ascii="Times New Roman" w:hAnsi="Times New Roman" w:eastAsia="方正小标宋简体" w:cs="Times New Roman"/>
          <w:sz w:val="44"/>
          <w:szCs w:val="44"/>
        </w:rPr>
      </w:pPr>
    </w:p>
    <w:p w14:paraId="6D0B5FB9">
      <w:pPr>
        <w:spacing w:line="600" w:lineRule="exact"/>
        <w:jc w:val="center"/>
        <w:rPr>
          <w:rFonts w:hint="default" w:ascii="Times New Roman" w:hAnsi="Times New Roman" w:eastAsia="方正小标宋简体" w:cs="Times New Roman"/>
          <w:sz w:val="44"/>
          <w:szCs w:val="44"/>
        </w:rPr>
      </w:pPr>
    </w:p>
    <w:p w14:paraId="2892F184">
      <w:pPr>
        <w:spacing w:line="600" w:lineRule="exact"/>
        <w:jc w:val="center"/>
        <w:rPr>
          <w:rFonts w:hint="default" w:ascii="Times New Roman" w:hAnsi="Times New Roman" w:eastAsia="方正小标宋简体" w:cs="Times New Roman"/>
          <w:sz w:val="44"/>
          <w:szCs w:val="44"/>
        </w:rPr>
      </w:pPr>
    </w:p>
    <w:p w14:paraId="6AA75726">
      <w:pPr>
        <w:spacing w:line="600" w:lineRule="exact"/>
        <w:jc w:val="center"/>
        <w:rPr>
          <w:rFonts w:hint="default" w:ascii="Times New Roman" w:hAnsi="Times New Roman" w:eastAsia="方正小标宋简体" w:cs="Times New Roman"/>
          <w:sz w:val="44"/>
          <w:szCs w:val="44"/>
        </w:rPr>
      </w:pPr>
      <w:r>
        <w:rPr>
          <w:rFonts w:eastAsia="方正小标宋简体"/>
          <w:sz w:val="44"/>
          <w:szCs w:val="44"/>
        </w:rPr>
        <w:t>攀枝花市西区人民法院</w:t>
      </w:r>
      <w:r>
        <w:rPr>
          <w:rFonts w:hint="eastAsia" w:ascii="Times New Roman" w:hAnsi="Times New Roman" w:eastAsia="方正小标宋简体" w:cs="Times New Roman"/>
          <w:sz w:val="44"/>
          <w:szCs w:val="44"/>
          <w:lang w:eastAsia="zh-CN"/>
        </w:rPr>
        <w:t>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w:t>
      </w:r>
    </w:p>
    <w:p w14:paraId="243D4ADB">
      <w:pPr>
        <w:spacing w:line="600" w:lineRule="exact"/>
        <w:jc w:val="center"/>
        <w:rPr>
          <w:rFonts w:hint="eastAsia" w:ascii="Times New Roman" w:hAnsi="Times New Roman" w:eastAsia="方正小标宋简体" w:cs="Times New Roman"/>
          <w:sz w:val="44"/>
          <w:szCs w:val="44"/>
          <w:u w:val="single"/>
          <w:lang w:eastAsia="zh-CN"/>
        </w:rPr>
      </w:pPr>
      <w:r>
        <w:rPr>
          <w:rFonts w:hint="eastAsia" w:ascii="Times New Roman" w:hAnsi="Times New Roman" w:eastAsia="方正小标宋简体" w:cs="Times New Roman"/>
          <w:sz w:val="44"/>
          <w:szCs w:val="44"/>
          <w:lang w:eastAsia="zh-CN"/>
        </w:rPr>
        <w:t>单位</w:t>
      </w:r>
      <w:r>
        <w:rPr>
          <w:rFonts w:hint="default" w:ascii="Times New Roman" w:hAnsi="Times New Roman" w:eastAsia="方正小标宋简体" w:cs="Times New Roman"/>
          <w:sz w:val="44"/>
          <w:szCs w:val="44"/>
        </w:rPr>
        <w:t>预算编制说明</w:t>
      </w:r>
    </w:p>
    <w:p w14:paraId="00001BEA">
      <w:pPr>
        <w:spacing w:line="600" w:lineRule="exact"/>
        <w:jc w:val="center"/>
        <w:rPr>
          <w:rFonts w:hint="eastAsia" w:ascii="Times New Roman" w:hAnsi="Times New Roman" w:eastAsia="方正小标宋简体" w:cs="Times New Roman"/>
          <w:sz w:val="44"/>
          <w:szCs w:val="44"/>
          <w:u w:val="single"/>
          <w:lang w:eastAsia="zh-CN"/>
        </w:rPr>
      </w:pPr>
    </w:p>
    <w:p w14:paraId="3B3265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lang w:eastAsia="zh-CN"/>
        </w:rPr>
        <w:sectPr>
          <w:footerReference r:id="rId3" w:type="even"/>
          <w:pgSz w:w="11906" w:h="16838"/>
          <w:pgMar w:top="1247" w:right="1542" w:bottom="1247" w:left="2098" w:header="851" w:footer="992" w:gutter="0"/>
          <w:pgNumType w:fmt="numberInDash" w:start="1"/>
          <w:cols w:space="720" w:num="1"/>
          <w:docGrid w:type="lines" w:linePitch="435" w:charSpace="0"/>
        </w:sectPr>
      </w:pPr>
    </w:p>
    <w:p w14:paraId="7AF18E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lang w:eastAsia="zh-CN"/>
        </w:rPr>
      </w:pPr>
      <w:r>
        <w:rPr>
          <w:rFonts w:hint="eastAsia" w:ascii="Times New Roman" w:hAnsi="Times New Roman" w:eastAsia="黑体" w:cs="Times New Roman"/>
          <w:lang w:eastAsia="zh-CN"/>
        </w:rPr>
        <w:t>目录</w:t>
      </w:r>
    </w:p>
    <w:p w14:paraId="40D68F0E">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center"/>
        <w:textAlignment w:val="auto"/>
        <w:rPr>
          <w:rFonts w:hint="eastAsia" w:ascii="Times New Roman" w:hAnsi="Times New Roman" w:eastAsia="黑体" w:cs="Times New Roman"/>
          <w:lang w:eastAsia="zh-CN"/>
        </w:rPr>
      </w:pPr>
    </w:p>
    <w:p w14:paraId="30E3FB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一、基本职能及主要工作</w:t>
      </w:r>
      <w:r>
        <w:rPr>
          <w:rFonts w:hint="eastAsia" w:ascii="Times New Roman" w:hAnsi="Times New Roman" w:eastAsia="楷体_GB2312" w:cs="Times New Roman"/>
          <w:lang w:val="en-US" w:eastAsia="zh-CN"/>
        </w:rPr>
        <w:t>.......................................................1</w:t>
      </w:r>
    </w:p>
    <w:p w14:paraId="0A1C8C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w:t>
      </w:r>
      <w:r>
        <w:rPr>
          <w:rFonts w:hint="eastAsia" w:cs="Times New Roman"/>
          <w:b w:val="0"/>
          <w:bCs w:val="0"/>
          <w:lang w:val="en-US" w:eastAsia="zh-CN"/>
        </w:rPr>
        <w:t>攀枝花市西区人民法院</w:t>
      </w:r>
      <w:r>
        <w:rPr>
          <w:rFonts w:hint="default" w:ascii="Times New Roman" w:hAnsi="Times New Roman" w:cs="Times New Roman"/>
          <w:b w:val="0"/>
          <w:bCs w:val="0"/>
          <w:lang w:val="en-US" w:eastAsia="zh-CN"/>
        </w:rPr>
        <w:t>职能简介</w:t>
      </w:r>
      <w:r>
        <w:rPr>
          <w:rFonts w:hint="eastAsia" w:ascii="Times New Roman" w:hAnsi="Times New Roman" w:eastAsia="楷体_GB2312" w:cs="Times New Roman"/>
          <w:lang w:val="en-US" w:eastAsia="zh-CN"/>
        </w:rPr>
        <w:t>........................</w:t>
      </w:r>
      <w:r>
        <w:rPr>
          <w:rFonts w:hint="eastAsia" w:eastAsia="楷体_GB2312" w:cs="Times New Roman"/>
          <w:lang w:val="en-US" w:eastAsia="zh-CN"/>
        </w:rPr>
        <w:t>1</w:t>
      </w:r>
    </w:p>
    <w:p w14:paraId="7FF26D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w:t>
      </w:r>
      <w:r>
        <w:rPr>
          <w:rFonts w:hint="eastAsia" w:cs="Times New Roman"/>
          <w:b w:val="0"/>
          <w:bCs w:val="0"/>
          <w:lang w:val="en-US" w:eastAsia="zh-CN"/>
        </w:rPr>
        <w:t>攀枝花市西区人民法院</w:t>
      </w:r>
      <w:r>
        <w:rPr>
          <w:rFonts w:hint="eastAsia" w:ascii="Times New Roman" w:hAnsi="Times New Roman" w:cs="Times New Roman"/>
          <w:b w:val="0"/>
          <w:bCs w:val="0"/>
          <w:lang w:val="en-US" w:eastAsia="zh-CN"/>
        </w:rPr>
        <w:t>2026</w:t>
      </w:r>
      <w:r>
        <w:rPr>
          <w:rFonts w:hint="default" w:ascii="Times New Roman" w:hAnsi="Times New Roman" w:cs="Times New Roman"/>
          <w:b w:val="0"/>
          <w:bCs w:val="0"/>
          <w:lang w:val="en-US" w:eastAsia="zh-CN"/>
        </w:rPr>
        <w:t>年重点工作</w:t>
      </w:r>
      <w:r>
        <w:rPr>
          <w:rFonts w:hint="eastAsia" w:ascii="Times New Roman" w:hAnsi="Times New Roman" w:eastAsia="楷体_GB2312" w:cs="Times New Roman"/>
          <w:lang w:val="en-US" w:eastAsia="zh-CN"/>
        </w:rPr>
        <w:t>..........</w:t>
      </w:r>
      <w:r>
        <w:rPr>
          <w:rFonts w:hint="eastAsia" w:eastAsia="楷体_GB2312" w:cs="Times New Roman"/>
          <w:lang w:val="en-US" w:eastAsia="zh-CN"/>
        </w:rPr>
        <w:t>1</w:t>
      </w:r>
    </w:p>
    <w:p w14:paraId="65F726C4">
      <w:pPr>
        <w:keepNext w:val="0"/>
        <w:keepLines w:val="0"/>
        <w:pageBreakBefore w:val="0"/>
        <w:widowControl w:val="0"/>
        <w:tabs>
          <w:tab w:val="left" w:pos="8000"/>
        </w:tabs>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二、机构设置情况</w:t>
      </w:r>
      <w:r>
        <w:rPr>
          <w:rFonts w:hint="eastAsia" w:ascii="Times New Roman" w:hAnsi="Times New Roman" w:eastAsia="楷体_GB2312" w:cs="Times New Roman"/>
          <w:lang w:val="en-US" w:eastAsia="zh-CN"/>
        </w:rPr>
        <w:t>...................................................................</w:t>
      </w:r>
      <w:r>
        <w:rPr>
          <w:rFonts w:hint="eastAsia" w:eastAsia="楷体_GB2312" w:cs="Times New Roman"/>
          <w:lang w:val="en-US" w:eastAsia="zh-CN"/>
        </w:rPr>
        <w:t>12</w:t>
      </w:r>
    </w:p>
    <w:p w14:paraId="544BEF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三、收支预算情况说明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12</w:t>
      </w:r>
    </w:p>
    <w:p w14:paraId="27A448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（一）收入预算情况</w:t>
      </w:r>
      <w:r>
        <w:rPr>
          <w:rFonts w:hint="eastAsia" w:ascii="Times New Roman" w:hAnsi="Times New Roman" w:eastAsia="楷体_GB2312" w:cs="Times New Roman"/>
          <w:lang w:val="en-US" w:eastAsia="zh-CN"/>
        </w:rPr>
        <w:t>........................................................</w:t>
      </w:r>
      <w:r>
        <w:rPr>
          <w:rFonts w:hint="eastAsia" w:cs="Times New Roman"/>
          <w:b w:val="0"/>
          <w:bCs w:val="0"/>
          <w:lang w:val="en-US" w:eastAsia="zh-CN"/>
        </w:rPr>
        <w:t>13</w:t>
      </w:r>
    </w:p>
    <w:p w14:paraId="35F341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bCs/>
          <w:lang w:val="en-US" w:eastAsia="zh-CN"/>
        </w:rPr>
      </w:pPr>
      <w:r>
        <w:rPr>
          <w:rFonts w:hint="default" w:ascii="Times New Roman" w:hAnsi="Times New Roman" w:cs="Times New Roman"/>
          <w:b w:val="0"/>
          <w:bCs w:val="0"/>
          <w:lang w:val="en-US" w:eastAsia="zh-CN"/>
        </w:rPr>
        <w:t>（二）支出预算情况</w:t>
      </w:r>
      <w:r>
        <w:rPr>
          <w:rFonts w:hint="eastAsia" w:ascii="Times New Roman" w:hAnsi="Times New Roman" w:eastAsia="楷体_GB2312" w:cs="Times New Roman"/>
          <w:lang w:val="en-US" w:eastAsia="zh-CN"/>
        </w:rPr>
        <w:t>........................................................</w:t>
      </w:r>
      <w:r>
        <w:rPr>
          <w:rFonts w:hint="eastAsia" w:cs="Times New Roman"/>
          <w:b w:val="0"/>
          <w:bCs w:val="0"/>
          <w:lang w:val="en-US" w:eastAsia="zh-CN"/>
        </w:rPr>
        <w:t>13</w:t>
      </w:r>
    </w:p>
    <w:p w14:paraId="45C337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四、财政拨款收支预算情况说明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13</w:t>
      </w:r>
    </w:p>
    <w:p w14:paraId="56EA1F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五、一般公共预算当年拨款情况说明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.13</w:t>
      </w:r>
    </w:p>
    <w:p w14:paraId="487564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（一）一般公共预算当年拨款规模变化况</w:t>
      </w:r>
      <w:r>
        <w:rPr>
          <w:rFonts w:hint="eastAsia" w:ascii="Times New Roman" w:hAnsi="Times New Roman" w:eastAsia="楷体_GB2312" w:cs="Times New Roman"/>
          <w:lang w:val="en-US" w:eastAsia="zh-CN"/>
        </w:rPr>
        <w:t>..........</w:t>
      </w:r>
      <w:r>
        <w:rPr>
          <w:rFonts w:hint="eastAsia" w:eastAsia="楷体_GB2312" w:cs="Times New Roman"/>
          <w:lang w:val="en-US" w:eastAsia="zh-CN"/>
        </w:rPr>
        <w:t>.</w:t>
      </w:r>
      <w:r>
        <w:rPr>
          <w:rFonts w:hint="eastAsia" w:ascii="Times New Roman" w:hAnsi="Times New Roman" w:eastAsia="楷体_GB2312" w:cs="Times New Roman"/>
          <w:lang w:val="en-US" w:eastAsia="zh-CN"/>
        </w:rPr>
        <w:t>.......</w:t>
      </w:r>
      <w:r>
        <w:rPr>
          <w:rFonts w:hint="eastAsia" w:eastAsia="楷体_GB2312" w:cs="Times New Roman"/>
          <w:lang w:val="en-US" w:eastAsia="zh-CN"/>
        </w:rPr>
        <w:t>.</w:t>
      </w:r>
      <w:r>
        <w:rPr>
          <w:rFonts w:hint="eastAsia" w:ascii="Times New Roman" w:hAnsi="Times New Roman" w:eastAsia="楷体_GB2312" w:cs="Times New Roman"/>
          <w:lang w:val="en-US" w:eastAsia="zh-CN"/>
        </w:rPr>
        <w:t>.</w:t>
      </w:r>
      <w:r>
        <w:rPr>
          <w:rFonts w:hint="eastAsia" w:cs="Times New Roman"/>
          <w:b w:val="0"/>
          <w:bCs w:val="0"/>
          <w:lang w:val="en-US" w:eastAsia="zh-CN"/>
        </w:rPr>
        <w:t>13</w:t>
      </w:r>
    </w:p>
    <w:p w14:paraId="231A90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（二）一般公共预算当年拨款结构情况</w:t>
      </w:r>
      <w:r>
        <w:rPr>
          <w:rFonts w:hint="eastAsia" w:ascii="Times New Roman" w:hAnsi="Times New Roman" w:eastAsia="楷体_GB2312" w:cs="Times New Roman"/>
          <w:lang w:val="en-US" w:eastAsia="zh-CN"/>
        </w:rPr>
        <w:t>.........................</w:t>
      </w:r>
      <w:r>
        <w:rPr>
          <w:rFonts w:hint="eastAsia" w:cs="Times New Roman"/>
          <w:b w:val="0"/>
          <w:bCs w:val="0"/>
          <w:lang w:val="en-US" w:eastAsia="zh-CN"/>
        </w:rPr>
        <w:t>13</w:t>
      </w:r>
    </w:p>
    <w:p w14:paraId="0458A7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（三）一般公共预算当年拨款具体使用情况</w:t>
      </w:r>
      <w:r>
        <w:rPr>
          <w:rFonts w:hint="eastAsia" w:ascii="Times New Roman" w:hAnsi="Times New Roman" w:eastAsia="楷体_GB2312" w:cs="Times New Roman"/>
          <w:lang w:val="en-US" w:eastAsia="zh-CN"/>
        </w:rPr>
        <w:t>.................</w:t>
      </w:r>
      <w:r>
        <w:rPr>
          <w:rFonts w:hint="eastAsia" w:cs="Times New Roman"/>
          <w:b w:val="0"/>
          <w:bCs w:val="0"/>
          <w:lang w:val="en-US" w:eastAsia="zh-CN"/>
        </w:rPr>
        <w:t>14</w:t>
      </w:r>
    </w:p>
    <w:p w14:paraId="69F00C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六、一般公共预算基本支出情况说明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15</w:t>
      </w:r>
    </w:p>
    <w:p w14:paraId="2803C9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七、“三公”经费财政拨款预算安排情况说明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15</w:t>
      </w:r>
    </w:p>
    <w:p w14:paraId="043F4C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eastAsia" w:ascii="Times New Roman" w:hAnsi="Times New Roman" w:eastAsia="楷体_GB2312" w:cs="Times New Roman"/>
          <w:lang w:val="en-US" w:eastAsia="zh-CN"/>
        </w:rPr>
        <w:t>八</w:t>
      </w:r>
      <w:r>
        <w:rPr>
          <w:rFonts w:hint="default" w:ascii="Times New Roman" w:hAnsi="Times New Roman" w:eastAsia="楷体_GB2312" w:cs="Times New Roman"/>
          <w:lang w:val="en-US" w:eastAsia="zh-CN"/>
        </w:rPr>
        <w:t>、“三公”经费</w:t>
      </w:r>
      <w:r>
        <w:rPr>
          <w:rFonts w:hint="eastAsia" w:ascii="Times New Roman" w:hAnsi="Times New Roman" w:eastAsia="楷体_GB2312" w:cs="Times New Roman"/>
          <w:lang w:val="en-US" w:eastAsia="zh-CN"/>
        </w:rPr>
        <w:t>非</w:t>
      </w:r>
      <w:r>
        <w:rPr>
          <w:rFonts w:hint="default" w:ascii="Times New Roman" w:hAnsi="Times New Roman" w:eastAsia="楷体_GB2312" w:cs="Times New Roman"/>
          <w:lang w:val="en-US" w:eastAsia="zh-CN"/>
        </w:rPr>
        <w:t>财政拨款预算安排情况明</w:t>
      </w:r>
      <w:r>
        <w:rPr>
          <w:rFonts w:hint="eastAsia" w:ascii="Times New Roman" w:hAnsi="Times New Roman" w:eastAsia="楷体_GB2312" w:cs="Times New Roman"/>
          <w:lang w:val="en-US" w:eastAsia="zh-CN"/>
        </w:rPr>
        <w:t>.....................</w:t>
      </w:r>
      <w:r>
        <w:rPr>
          <w:rFonts w:hint="eastAsia" w:eastAsia="楷体_GB2312" w:cs="Times New Roman"/>
          <w:lang w:val="en-US" w:eastAsia="zh-CN"/>
        </w:rPr>
        <w:t>..</w:t>
      </w:r>
      <w:r>
        <w:rPr>
          <w:rFonts w:hint="eastAsia" w:ascii="Times New Roman" w:hAnsi="Times New Roman" w:eastAsia="楷体_GB2312" w:cs="Times New Roman"/>
          <w:lang w:val="en-US" w:eastAsia="zh-CN"/>
        </w:rPr>
        <w:t>.</w:t>
      </w:r>
      <w:r>
        <w:rPr>
          <w:rFonts w:hint="eastAsia" w:eastAsia="楷体_GB2312" w:cs="Times New Roman"/>
          <w:lang w:val="en-US" w:eastAsia="zh-CN"/>
        </w:rPr>
        <w:t>16</w:t>
      </w:r>
    </w:p>
    <w:p w14:paraId="64A25C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九、政府性基金预算支出情况说明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17</w:t>
      </w:r>
    </w:p>
    <w:p w14:paraId="0FCEC0C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十、国有资本经营预算情况说明</w:t>
      </w:r>
      <w:r>
        <w:rPr>
          <w:rFonts w:hint="eastAsia" w:ascii="Times New Roman" w:hAnsi="Times New Roman" w:eastAsia="楷体_GB2312" w:cs="Times New Roman"/>
          <w:lang w:val="en-US" w:eastAsia="zh-CN"/>
        </w:rPr>
        <w:t>.............................................</w:t>
      </w:r>
      <w:r>
        <w:rPr>
          <w:rFonts w:hint="eastAsia" w:eastAsia="楷体_GB2312" w:cs="Times New Roman"/>
          <w:lang w:val="en-US" w:eastAsia="zh-CN"/>
        </w:rPr>
        <w:t>17</w:t>
      </w:r>
    </w:p>
    <w:p w14:paraId="770A02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十</w:t>
      </w:r>
      <w:r>
        <w:rPr>
          <w:rFonts w:hint="eastAsia" w:ascii="Times New Roman" w:hAnsi="Times New Roman" w:eastAsia="楷体_GB2312" w:cs="Times New Roman"/>
          <w:lang w:val="en-US" w:eastAsia="zh-CN"/>
        </w:rPr>
        <w:t>一</w:t>
      </w:r>
      <w:r>
        <w:rPr>
          <w:rFonts w:hint="default" w:ascii="Times New Roman" w:hAnsi="Times New Roman" w:eastAsia="楷体_GB2312" w:cs="Times New Roman"/>
          <w:lang w:val="en-US" w:eastAsia="zh-CN"/>
        </w:rPr>
        <w:t>、其他重要事项的情况明</w:t>
      </w:r>
      <w:r>
        <w:rPr>
          <w:rFonts w:hint="eastAsia" w:ascii="Times New Roman" w:hAnsi="Times New Roman" w:eastAsia="楷体_GB2312" w:cs="Times New Roman"/>
          <w:lang w:val="en-US" w:eastAsia="zh-CN"/>
        </w:rPr>
        <w:t>..............................................</w:t>
      </w:r>
      <w:r>
        <w:rPr>
          <w:rFonts w:hint="eastAsia" w:eastAsia="楷体_GB2312" w:cs="Times New Roman"/>
          <w:lang w:val="en-US" w:eastAsia="zh-CN"/>
        </w:rPr>
        <w:t>..17</w:t>
      </w:r>
    </w:p>
    <w:p w14:paraId="0C770D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（一）机关运行经费</w:t>
      </w:r>
      <w:r>
        <w:rPr>
          <w:rFonts w:hint="eastAsia" w:ascii="Times New Roman" w:hAnsi="Times New Roman" w:eastAsia="楷体_GB2312" w:cs="Times New Roman"/>
          <w:lang w:val="en-US" w:eastAsia="zh-CN"/>
        </w:rPr>
        <w:t>.........................................................</w:t>
      </w:r>
      <w:r>
        <w:rPr>
          <w:rFonts w:hint="eastAsia" w:cs="Times New Roman"/>
          <w:b w:val="0"/>
          <w:bCs w:val="0"/>
          <w:lang w:val="en-US" w:eastAsia="zh-CN"/>
        </w:rPr>
        <w:t>17</w:t>
      </w:r>
    </w:p>
    <w:p w14:paraId="64B993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（二）政府采购情况</w:t>
      </w:r>
      <w:r>
        <w:rPr>
          <w:rFonts w:hint="eastAsia" w:ascii="Times New Roman" w:hAnsi="Times New Roman" w:eastAsia="楷体_GB2312" w:cs="Times New Roman"/>
          <w:lang w:val="en-US" w:eastAsia="zh-CN"/>
        </w:rPr>
        <w:t>........................................................</w:t>
      </w:r>
      <w:r>
        <w:rPr>
          <w:rFonts w:hint="eastAsia" w:eastAsia="楷体_GB2312" w:cs="Times New Roman"/>
          <w:lang w:val="en-US" w:eastAsia="zh-CN"/>
        </w:rPr>
        <w:t>17</w:t>
      </w:r>
    </w:p>
    <w:p w14:paraId="1C0C87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（三）国有资产占有使用情况</w:t>
      </w:r>
      <w:r>
        <w:rPr>
          <w:rFonts w:hint="eastAsia" w:ascii="Times New Roman" w:hAnsi="Times New Roman" w:eastAsia="楷体_GB2312" w:cs="Times New Roman"/>
          <w:lang w:val="en-US" w:eastAsia="zh-CN"/>
        </w:rPr>
        <w:t>.........................................</w:t>
      </w:r>
      <w:r>
        <w:rPr>
          <w:rFonts w:hint="eastAsia" w:cs="Times New Roman"/>
          <w:b w:val="0"/>
          <w:bCs w:val="0"/>
          <w:lang w:val="en-US" w:eastAsia="zh-CN"/>
        </w:rPr>
        <w:t>18</w:t>
      </w:r>
    </w:p>
    <w:p w14:paraId="7B6EA3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（四）绩效目标设置情况</w:t>
      </w:r>
      <w:r>
        <w:rPr>
          <w:rFonts w:hint="eastAsia" w:ascii="Times New Roman" w:hAnsi="Times New Roman" w:eastAsia="楷体_GB2312" w:cs="Times New Roman"/>
          <w:lang w:val="en-US" w:eastAsia="zh-CN"/>
        </w:rPr>
        <w:t>.................................................</w:t>
      </w:r>
      <w:r>
        <w:rPr>
          <w:rFonts w:hint="eastAsia" w:cs="Times New Roman"/>
          <w:b w:val="0"/>
          <w:bCs w:val="0"/>
          <w:lang w:val="en-US" w:eastAsia="zh-CN"/>
        </w:rPr>
        <w:t>18</w:t>
      </w:r>
    </w:p>
    <w:p w14:paraId="1CAB40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lang w:val="en-US"/>
        </w:rPr>
      </w:pPr>
      <w:r>
        <w:rPr>
          <w:rFonts w:hint="default" w:ascii="Times New Roman" w:hAnsi="Times New Roman" w:eastAsia="楷体_GB2312" w:cs="Times New Roman"/>
          <w:lang w:val="en-US" w:eastAsia="zh-CN"/>
        </w:rPr>
        <w:t>十</w:t>
      </w:r>
      <w:r>
        <w:rPr>
          <w:rFonts w:hint="eastAsia" w:ascii="Times New Roman" w:hAnsi="Times New Roman" w:eastAsia="楷体_GB2312" w:cs="Times New Roman"/>
          <w:lang w:val="en-US" w:eastAsia="zh-CN"/>
        </w:rPr>
        <w:t>二</w:t>
      </w:r>
      <w:r>
        <w:rPr>
          <w:rFonts w:hint="default" w:ascii="Times New Roman" w:hAnsi="Times New Roman" w:eastAsia="楷体_GB2312" w:cs="Times New Roman"/>
          <w:lang w:val="en-US" w:eastAsia="zh-CN"/>
        </w:rPr>
        <w:t>、名词解释</w:t>
      </w:r>
      <w:r>
        <w:rPr>
          <w:rFonts w:hint="eastAsia" w:ascii="Times New Roman" w:hAnsi="Times New Roman" w:eastAsia="楷体_GB2312" w:cs="Times New Roman"/>
          <w:lang w:val="en-US" w:eastAsia="zh-CN"/>
        </w:rPr>
        <w:t>.........................................................................</w:t>
      </w:r>
      <w:r>
        <w:rPr>
          <w:rFonts w:hint="eastAsia" w:eastAsia="楷体_GB2312" w:cs="Times New Roman"/>
          <w:lang w:val="en-US" w:eastAsia="zh-CN"/>
        </w:rPr>
        <w:t>18</w:t>
      </w:r>
    </w:p>
    <w:p w14:paraId="7B5473A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lang w:val="en-US"/>
        </w:rPr>
        <w:sectPr>
          <w:footerReference r:id="rId4" w:type="default"/>
          <w:pgSz w:w="11906" w:h="16838"/>
          <w:pgMar w:top="1247" w:right="1542" w:bottom="1247" w:left="2098" w:header="851" w:footer="992" w:gutter="0"/>
          <w:pgNumType w:fmt="numberInDash" w:start="1"/>
          <w:cols w:space="720" w:num="1"/>
          <w:docGrid w:type="lines" w:linePitch="435" w:charSpace="0"/>
        </w:sectPr>
      </w:pPr>
      <w:r>
        <w:rPr>
          <w:rFonts w:hint="eastAsia" w:ascii="Times New Roman" w:hAnsi="Times New Roman" w:eastAsia="楷体_GB2312" w:cs="Times New Roman"/>
          <w:lang w:val="en-US" w:eastAsia="zh-CN"/>
        </w:rPr>
        <w:t>附件...........................................................................................</w:t>
      </w:r>
      <w:r>
        <w:rPr>
          <w:rFonts w:hint="eastAsia" w:eastAsia="楷体_GB2312" w:cs="Times New Roman"/>
          <w:lang w:val="en-US" w:eastAsia="zh-CN"/>
        </w:rPr>
        <w:t>19</w:t>
      </w:r>
    </w:p>
    <w:p w14:paraId="6D2FCA56">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一、基本职能及主要工作</w:t>
      </w:r>
    </w:p>
    <w:p w14:paraId="67E3EAFF">
      <w:pPr>
        <w:pStyle w:val="2"/>
        <w:adjustRightInd w:val="0"/>
        <w:spacing w:before="0" w:beforeLines="0" w:line="560" w:lineRule="exact"/>
        <w:ind w:firstLine="696" w:firstLineChars="210"/>
        <w:rPr>
          <w:rFonts w:ascii="Times New Roman"/>
          <w:bCs/>
          <w:sz w:val="33"/>
          <w:szCs w:val="33"/>
          <w:u w:val="single"/>
        </w:rPr>
      </w:pPr>
      <w:r>
        <w:rPr>
          <w:rFonts w:ascii="Times New Roman" w:eastAsia="楷体_GB2312"/>
          <w:b/>
          <w:sz w:val="33"/>
          <w:szCs w:val="33"/>
        </w:rPr>
        <w:t>（一）西区法院职能简介。</w:t>
      </w:r>
    </w:p>
    <w:p w14:paraId="7AEEF137">
      <w:pPr>
        <w:spacing w:line="560" w:lineRule="exact"/>
        <w:ind w:firstLine="650" w:firstLineChars="197"/>
        <w:contextualSpacing/>
        <w:rPr>
          <w:color w:val="000000"/>
          <w:sz w:val="33"/>
          <w:szCs w:val="33"/>
        </w:rPr>
      </w:pPr>
      <w:r>
        <w:rPr>
          <w:color w:val="000000"/>
          <w:sz w:val="33"/>
          <w:szCs w:val="33"/>
        </w:rPr>
        <w:t xml:space="preserve">法院是司法审判机关，是负责审理案件，解决基本民事、行政、刑事案件纠纷的国家机构。法院主要职责有： </w:t>
      </w:r>
    </w:p>
    <w:p w14:paraId="6150B094">
      <w:pPr>
        <w:spacing w:line="560" w:lineRule="exact"/>
        <w:ind w:firstLine="650" w:firstLineChars="197"/>
        <w:contextualSpacing/>
        <w:rPr>
          <w:color w:val="000000"/>
          <w:sz w:val="33"/>
          <w:szCs w:val="33"/>
        </w:rPr>
      </w:pPr>
      <w:r>
        <w:rPr>
          <w:color w:val="000000"/>
          <w:sz w:val="33"/>
          <w:szCs w:val="33"/>
        </w:rPr>
        <w:t>1.依法审判法律规定由本级人民法院管辖的第一审刑事、民事、行政案件；</w:t>
      </w:r>
    </w:p>
    <w:p w14:paraId="3E9AA6CE">
      <w:pPr>
        <w:spacing w:line="560" w:lineRule="exact"/>
        <w:ind w:firstLine="650" w:firstLineChars="197"/>
        <w:contextualSpacing/>
        <w:rPr>
          <w:color w:val="000000"/>
          <w:sz w:val="33"/>
          <w:szCs w:val="33"/>
        </w:rPr>
      </w:pPr>
      <w:r>
        <w:rPr>
          <w:color w:val="000000"/>
          <w:sz w:val="33"/>
          <w:szCs w:val="33"/>
        </w:rPr>
        <w:t>2.受理不服本院已经发生法律效率的判决、裁定的申诉和申请再审案件；</w:t>
      </w:r>
    </w:p>
    <w:p w14:paraId="7227B5B7">
      <w:pPr>
        <w:spacing w:line="560" w:lineRule="exact"/>
        <w:ind w:firstLine="650" w:firstLineChars="197"/>
        <w:contextualSpacing/>
        <w:rPr>
          <w:color w:val="000000"/>
          <w:sz w:val="33"/>
          <w:szCs w:val="33"/>
        </w:rPr>
      </w:pPr>
      <w:r>
        <w:rPr>
          <w:color w:val="000000"/>
          <w:sz w:val="33"/>
          <w:szCs w:val="33"/>
        </w:rPr>
        <w:t>3.接受上级法院指令再审和交办的案件；</w:t>
      </w:r>
    </w:p>
    <w:p w14:paraId="07CCFD3A">
      <w:pPr>
        <w:spacing w:line="560" w:lineRule="exact"/>
        <w:ind w:firstLine="650" w:firstLineChars="197"/>
        <w:contextualSpacing/>
        <w:rPr>
          <w:color w:val="000000"/>
          <w:sz w:val="33"/>
          <w:szCs w:val="33"/>
        </w:rPr>
      </w:pPr>
      <w:r>
        <w:rPr>
          <w:color w:val="000000"/>
          <w:sz w:val="33"/>
          <w:szCs w:val="33"/>
        </w:rPr>
        <w:t>4.依法行使司法执行权和司法决定权；</w:t>
      </w:r>
    </w:p>
    <w:p w14:paraId="0D4AA66D">
      <w:pPr>
        <w:spacing w:line="560" w:lineRule="exact"/>
        <w:ind w:firstLine="650" w:firstLineChars="197"/>
        <w:contextualSpacing/>
        <w:rPr>
          <w:color w:val="000000"/>
          <w:sz w:val="33"/>
          <w:szCs w:val="33"/>
        </w:rPr>
      </w:pPr>
      <w:r>
        <w:rPr>
          <w:color w:val="000000"/>
          <w:sz w:val="33"/>
          <w:szCs w:val="33"/>
        </w:rPr>
        <w:t>5.对案件审理中发现的问题提出司法建议；</w:t>
      </w:r>
    </w:p>
    <w:p w14:paraId="0D754615">
      <w:pPr>
        <w:spacing w:line="560" w:lineRule="exact"/>
        <w:ind w:firstLine="650" w:firstLineChars="197"/>
        <w:contextualSpacing/>
        <w:rPr>
          <w:color w:val="000000"/>
          <w:sz w:val="33"/>
          <w:szCs w:val="33"/>
        </w:rPr>
      </w:pPr>
      <w:r>
        <w:rPr>
          <w:color w:val="000000"/>
          <w:sz w:val="33"/>
          <w:szCs w:val="33"/>
        </w:rPr>
        <w:t>6.组织本院法官和其他法院间的司法交流活动；</w:t>
      </w:r>
    </w:p>
    <w:p w14:paraId="12F7313C">
      <w:pPr>
        <w:spacing w:line="560" w:lineRule="exact"/>
        <w:ind w:firstLine="650" w:firstLineChars="197"/>
        <w:contextualSpacing/>
        <w:rPr>
          <w:color w:val="000000"/>
          <w:sz w:val="33"/>
          <w:szCs w:val="33"/>
        </w:rPr>
      </w:pPr>
      <w:r>
        <w:rPr>
          <w:color w:val="000000"/>
          <w:sz w:val="33"/>
          <w:szCs w:val="33"/>
        </w:rPr>
        <w:t>7.抓好本院的思想政治、教育培训工作，按照权限管理本院法官和其他工作人员；</w:t>
      </w:r>
    </w:p>
    <w:p w14:paraId="26DF3107">
      <w:pPr>
        <w:spacing w:line="560" w:lineRule="exact"/>
        <w:ind w:firstLine="650" w:firstLineChars="197"/>
        <w:contextualSpacing/>
        <w:rPr>
          <w:color w:val="000000"/>
          <w:sz w:val="33"/>
          <w:szCs w:val="33"/>
        </w:rPr>
      </w:pPr>
      <w:r>
        <w:rPr>
          <w:color w:val="000000"/>
          <w:sz w:val="33"/>
          <w:szCs w:val="33"/>
        </w:rPr>
        <w:t>8.管理本院的经费、物质装备；</w:t>
      </w:r>
    </w:p>
    <w:p w14:paraId="2D7F3F9C">
      <w:pPr>
        <w:spacing w:line="560" w:lineRule="exact"/>
        <w:ind w:firstLine="650" w:firstLineChars="197"/>
        <w:contextualSpacing/>
        <w:rPr>
          <w:color w:val="000000"/>
          <w:sz w:val="33"/>
          <w:szCs w:val="33"/>
        </w:rPr>
      </w:pPr>
      <w:r>
        <w:rPr>
          <w:color w:val="000000"/>
          <w:sz w:val="33"/>
          <w:szCs w:val="33"/>
        </w:rPr>
        <w:t>9.结合审判业务，开展法制宣传、教育公民自觉遵守宪法、法律；</w:t>
      </w:r>
    </w:p>
    <w:p w14:paraId="7F0A0D39">
      <w:pPr>
        <w:spacing w:line="560" w:lineRule="exact"/>
        <w:ind w:firstLine="650" w:firstLineChars="197"/>
        <w:contextualSpacing/>
        <w:rPr>
          <w:color w:val="000000"/>
          <w:sz w:val="33"/>
          <w:szCs w:val="33"/>
        </w:rPr>
      </w:pPr>
      <w:r>
        <w:rPr>
          <w:color w:val="000000"/>
          <w:sz w:val="33"/>
          <w:szCs w:val="33"/>
        </w:rPr>
        <w:t>10.对人民调解组织和镇、街道等司法助理员进行业务指导；</w:t>
      </w:r>
    </w:p>
    <w:p w14:paraId="44A41D48">
      <w:pPr>
        <w:pStyle w:val="2"/>
        <w:adjustRightInd w:val="0"/>
        <w:spacing w:before="130" w:beforeLines="0" w:line="600" w:lineRule="exact"/>
        <w:ind w:firstLine="693" w:firstLineChars="210"/>
        <w:rPr>
          <w:color w:val="000000"/>
          <w:sz w:val="33"/>
          <w:szCs w:val="33"/>
        </w:rPr>
      </w:pPr>
      <w:r>
        <w:rPr>
          <w:color w:val="000000"/>
          <w:sz w:val="33"/>
          <w:szCs w:val="33"/>
        </w:rPr>
        <w:t>11.承办其他应由本院负责的工作。</w:t>
      </w:r>
    </w:p>
    <w:p w14:paraId="6414E73C">
      <w:pPr>
        <w:pStyle w:val="2"/>
        <w:adjustRightInd w:val="0"/>
        <w:spacing w:before="0" w:beforeLines="0" w:line="560" w:lineRule="exact"/>
        <w:ind w:firstLine="696" w:firstLineChars="210"/>
        <w:rPr>
          <w:rFonts w:ascii="Times New Roman" w:eastAsia="楷体_GB2312"/>
          <w:b/>
          <w:sz w:val="33"/>
          <w:szCs w:val="33"/>
        </w:rPr>
      </w:pPr>
      <w:r>
        <w:rPr>
          <w:rFonts w:ascii="Times New Roman" w:eastAsia="楷体_GB2312"/>
          <w:b/>
          <w:sz w:val="33"/>
          <w:szCs w:val="33"/>
        </w:rPr>
        <w:t>（二）西区法院202</w:t>
      </w:r>
      <w:r>
        <w:rPr>
          <w:rFonts w:hint="eastAsia" w:ascii="Times New Roman" w:eastAsia="楷体_GB2312"/>
          <w:b/>
          <w:sz w:val="33"/>
          <w:szCs w:val="33"/>
          <w:lang w:val="en-US" w:eastAsia="zh-CN"/>
        </w:rPr>
        <w:t>6</w:t>
      </w:r>
      <w:r>
        <w:rPr>
          <w:rFonts w:ascii="Times New Roman" w:eastAsia="楷体_GB2312"/>
          <w:b/>
          <w:sz w:val="33"/>
          <w:szCs w:val="33"/>
        </w:rPr>
        <w:t>年重点工作。</w:t>
      </w:r>
    </w:p>
    <w:p w14:paraId="4420CFD4">
      <w:pPr>
        <w:spacing w:line="560" w:lineRule="exact"/>
        <w:ind w:firstLine="650" w:firstLineChars="197"/>
        <w:contextualSpacing/>
        <w:rPr>
          <w:rFonts w:hint="default"/>
          <w:color w:val="000000"/>
          <w:sz w:val="33"/>
          <w:szCs w:val="33"/>
          <w:lang w:val="en-US" w:eastAsia="zh-CN"/>
        </w:rPr>
      </w:pPr>
      <w:r>
        <w:rPr>
          <w:rFonts w:hint="default"/>
          <w:color w:val="000000"/>
          <w:sz w:val="33"/>
          <w:szCs w:val="33"/>
        </w:rPr>
        <w:t>202</w:t>
      </w:r>
      <w:r>
        <w:rPr>
          <w:rFonts w:hint="eastAsia"/>
          <w:color w:val="000000"/>
          <w:sz w:val="33"/>
          <w:szCs w:val="33"/>
          <w:lang w:val="en-US" w:eastAsia="zh-CN"/>
        </w:rPr>
        <w:t>6</w:t>
      </w:r>
      <w:r>
        <w:rPr>
          <w:rFonts w:hint="default"/>
          <w:color w:val="000000"/>
          <w:sz w:val="33"/>
          <w:szCs w:val="33"/>
        </w:rPr>
        <w:t>年，区法院坚持以习近平新时代中国特色社会主义思想为指导</w:t>
      </w:r>
      <w:r>
        <w:rPr>
          <w:rFonts w:hint="default"/>
          <w:color w:val="000000"/>
          <w:sz w:val="33"/>
          <w:szCs w:val="33"/>
          <w:lang w:eastAsia="zh-CN"/>
        </w:rPr>
        <w:t>，</w:t>
      </w:r>
      <w:r>
        <w:rPr>
          <w:rFonts w:hint="default"/>
          <w:color w:val="000000"/>
          <w:sz w:val="33"/>
          <w:szCs w:val="33"/>
          <w:lang w:val="en-US" w:eastAsia="zh-CN"/>
        </w:rPr>
        <w:t>全面</w:t>
      </w:r>
      <w:r>
        <w:rPr>
          <w:rFonts w:hint="default"/>
          <w:color w:val="000000"/>
          <w:sz w:val="33"/>
          <w:szCs w:val="33"/>
        </w:rPr>
        <w:t>贯彻党的二十大</w:t>
      </w:r>
      <w:r>
        <w:rPr>
          <w:rFonts w:hint="default"/>
          <w:color w:val="000000"/>
          <w:sz w:val="33"/>
          <w:szCs w:val="33"/>
          <w:lang w:eastAsia="zh-CN"/>
        </w:rPr>
        <w:t>、</w:t>
      </w:r>
      <w:r>
        <w:rPr>
          <w:rFonts w:hint="default"/>
          <w:color w:val="000000"/>
          <w:sz w:val="33"/>
          <w:szCs w:val="33"/>
        </w:rPr>
        <w:t>二十届</w:t>
      </w:r>
      <w:r>
        <w:rPr>
          <w:rFonts w:hint="default"/>
          <w:color w:val="000000"/>
          <w:sz w:val="33"/>
          <w:szCs w:val="33"/>
          <w:lang w:eastAsia="zh-CN"/>
        </w:rPr>
        <w:t>历次全会</w:t>
      </w:r>
      <w:r>
        <w:rPr>
          <w:rFonts w:hint="default"/>
          <w:color w:val="000000"/>
          <w:sz w:val="33"/>
          <w:szCs w:val="33"/>
        </w:rPr>
        <w:t>精神，认真践行习近平法治思想，</w:t>
      </w:r>
      <w:r>
        <w:rPr>
          <w:rFonts w:hint="default"/>
          <w:color w:val="000000"/>
          <w:sz w:val="33"/>
          <w:szCs w:val="33"/>
          <w:lang w:val="en-US" w:eastAsia="zh-CN"/>
        </w:rPr>
        <w:t>深入贯彻《中共中央关于加强新时代审判工作的意见》，围绕“努力让人民群众在每一个司法案件中感受到公平正义”根本目标，</w:t>
      </w:r>
      <w:r>
        <w:rPr>
          <w:rFonts w:hint="eastAsia"/>
          <w:color w:val="000000"/>
          <w:sz w:val="33"/>
          <w:szCs w:val="33"/>
          <w:lang w:val="en-US" w:eastAsia="zh-CN"/>
        </w:rPr>
        <w:t>坚持守正创新、拓优增信、忠诚履职、锐意进取</w:t>
      </w:r>
      <w:r>
        <w:rPr>
          <w:rFonts w:hint="default"/>
          <w:color w:val="000000"/>
          <w:sz w:val="33"/>
          <w:szCs w:val="33"/>
          <w:lang w:val="en-US" w:eastAsia="zh-CN"/>
        </w:rPr>
        <w:t>，</w:t>
      </w:r>
      <w:r>
        <w:rPr>
          <w:rFonts w:hint="eastAsia"/>
          <w:color w:val="000000"/>
          <w:sz w:val="33"/>
          <w:szCs w:val="33"/>
          <w:lang w:val="en-US" w:eastAsia="zh-CN"/>
        </w:rPr>
        <w:t>各项工作取得新进展。</w:t>
      </w:r>
      <w:r>
        <w:rPr>
          <w:rFonts w:hint="default"/>
          <w:color w:val="000000"/>
          <w:sz w:val="33"/>
          <w:szCs w:val="33"/>
        </w:rPr>
        <w:t>一年来，受理案件</w:t>
      </w:r>
      <w:r>
        <w:rPr>
          <w:rFonts w:hint="default"/>
          <w:color w:val="000000"/>
          <w:sz w:val="33"/>
          <w:szCs w:val="33"/>
          <w:lang w:val="en-US" w:eastAsia="zh-CN"/>
        </w:rPr>
        <w:t>3972</w:t>
      </w:r>
      <w:r>
        <w:rPr>
          <w:rFonts w:hint="default"/>
          <w:color w:val="000000"/>
          <w:sz w:val="33"/>
          <w:szCs w:val="33"/>
        </w:rPr>
        <w:t>件，结案</w:t>
      </w:r>
      <w:r>
        <w:rPr>
          <w:rFonts w:hint="default"/>
          <w:color w:val="000000"/>
          <w:sz w:val="33"/>
          <w:szCs w:val="33"/>
          <w:lang w:val="en-US" w:eastAsia="zh-CN"/>
        </w:rPr>
        <w:t>3704</w:t>
      </w:r>
      <w:r>
        <w:rPr>
          <w:rFonts w:hint="default"/>
          <w:color w:val="000000"/>
          <w:sz w:val="33"/>
          <w:szCs w:val="33"/>
        </w:rPr>
        <w:t>件，</w:t>
      </w:r>
      <w:r>
        <w:rPr>
          <w:rFonts w:hint="eastAsia"/>
          <w:color w:val="000000"/>
          <w:sz w:val="33"/>
          <w:szCs w:val="33"/>
          <w:lang w:eastAsia="zh-CN"/>
        </w:rPr>
        <w:t>分别同比上升</w:t>
      </w:r>
      <w:r>
        <w:rPr>
          <w:rFonts w:hint="eastAsia"/>
          <w:color w:val="000000"/>
          <w:sz w:val="33"/>
          <w:szCs w:val="33"/>
          <w:lang w:val="en-US" w:eastAsia="zh-CN"/>
        </w:rPr>
        <w:t>8.08%、6.93%，</w:t>
      </w:r>
      <w:r>
        <w:rPr>
          <w:rFonts w:hint="default"/>
          <w:color w:val="000000"/>
          <w:sz w:val="33"/>
          <w:szCs w:val="33"/>
        </w:rPr>
        <w:t>审判质量管理指标达标率</w:t>
      </w:r>
      <w:r>
        <w:rPr>
          <w:rFonts w:hint="default"/>
          <w:color w:val="000000"/>
          <w:sz w:val="33"/>
          <w:szCs w:val="33"/>
          <w:lang w:val="en-US" w:eastAsia="zh-CN"/>
        </w:rPr>
        <w:t>100%</w:t>
      </w:r>
      <w:r>
        <w:rPr>
          <w:rFonts w:hint="default"/>
          <w:color w:val="000000"/>
          <w:sz w:val="33"/>
          <w:szCs w:val="33"/>
        </w:rPr>
        <w:t>，</w:t>
      </w:r>
      <w:r>
        <w:rPr>
          <w:rFonts w:hint="default"/>
          <w:color w:val="000000"/>
          <w:sz w:val="33"/>
          <w:szCs w:val="33"/>
          <w:lang w:val="en-US" w:eastAsia="zh-CN"/>
        </w:rPr>
        <w:t>5</w:t>
      </w:r>
      <w:r>
        <w:rPr>
          <w:rFonts w:hint="eastAsia"/>
          <w:color w:val="000000"/>
          <w:sz w:val="33"/>
          <w:szCs w:val="33"/>
          <w:lang w:val="en-US" w:eastAsia="zh-CN"/>
        </w:rPr>
        <w:t>5</w:t>
      </w:r>
      <w:r>
        <w:rPr>
          <w:rFonts w:hint="default"/>
          <w:color w:val="000000"/>
          <w:sz w:val="33"/>
          <w:szCs w:val="33"/>
        </w:rPr>
        <w:t>个集体</w:t>
      </w:r>
      <w:r>
        <w:rPr>
          <w:rFonts w:hint="eastAsia"/>
          <w:color w:val="000000"/>
          <w:sz w:val="33"/>
          <w:szCs w:val="33"/>
          <w:lang w:eastAsia="zh-CN"/>
        </w:rPr>
        <w:t>和</w:t>
      </w:r>
      <w:r>
        <w:rPr>
          <w:rFonts w:hint="default"/>
          <w:color w:val="000000"/>
          <w:sz w:val="33"/>
          <w:szCs w:val="33"/>
        </w:rPr>
        <w:t>个人荣获市级以上表彰表扬。</w:t>
      </w:r>
    </w:p>
    <w:p w14:paraId="4F85AF11">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1.</w:t>
      </w:r>
      <w:r>
        <w:rPr>
          <w:rFonts w:hint="default"/>
          <w:color w:val="000000"/>
          <w:sz w:val="33"/>
          <w:szCs w:val="33"/>
          <w:lang w:val="en-US" w:eastAsia="zh-CN"/>
        </w:rPr>
        <w:t>锚定大局守底线，以“法治之力”稳秩序护发展</w:t>
      </w:r>
    </w:p>
    <w:p w14:paraId="178E2614">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全力维护社会安全稳定大局</w:t>
      </w:r>
      <w:r>
        <w:rPr>
          <w:rFonts w:hint="default"/>
          <w:color w:val="000000"/>
          <w:sz w:val="33"/>
          <w:szCs w:val="33"/>
          <w:lang w:val="en-US" w:eastAsia="zh-CN"/>
        </w:rPr>
        <w:t>。坚决贯彻总体国家安全观，</w:t>
      </w:r>
      <w:bookmarkStart w:id="0" w:name="OLE_LINK1"/>
      <w:r>
        <w:rPr>
          <w:rFonts w:hint="default"/>
          <w:color w:val="000000"/>
          <w:sz w:val="33"/>
          <w:szCs w:val="33"/>
          <w:lang w:val="en-US" w:eastAsia="zh-CN"/>
        </w:rPr>
        <w:t>首次发布2020-2025年刑事审判白皮书</w:t>
      </w:r>
      <w:r>
        <w:rPr>
          <w:rFonts w:hint="eastAsia"/>
          <w:color w:val="000000"/>
          <w:sz w:val="33"/>
          <w:szCs w:val="33"/>
          <w:lang w:val="en-US" w:eastAsia="zh-CN"/>
        </w:rPr>
        <w:t>，</w:t>
      </w:r>
      <w:r>
        <w:rPr>
          <w:rFonts w:hint="default"/>
          <w:color w:val="000000"/>
          <w:sz w:val="33"/>
          <w:szCs w:val="33"/>
        </w:rPr>
        <w:t>审</w:t>
      </w:r>
      <w:r>
        <w:rPr>
          <w:rFonts w:hint="default"/>
          <w:color w:val="000000"/>
          <w:sz w:val="33"/>
          <w:szCs w:val="33"/>
          <w:lang w:eastAsia="zh-CN"/>
        </w:rPr>
        <w:t>结</w:t>
      </w:r>
      <w:r>
        <w:rPr>
          <w:rFonts w:hint="default"/>
          <w:color w:val="000000"/>
          <w:sz w:val="33"/>
          <w:szCs w:val="33"/>
        </w:rPr>
        <w:t>刑事案件</w:t>
      </w:r>
      <w:r>
        <w:rPr>
          <w:rFonts w:hint="default"/>
          <w:color w:val="000000"/>
          <w:sz w:val="33"/>
          <w:szCs w:val="33"/>
          <w:lang w:val="en-US" w:eastAsia="zh-CN"/>
        </w:rPr>
        <w:t>87</w:t>
      </w:r>
      <w:r>
        <w:rPr>
          <w:rFonts w:hint="default"/>
          <w:color w:val="000000"/>
          <w:sz w:val="33"/>
          <w:szCs w:val="33"/>
        </w:rPr>
        <w:t>件，依法判处罪犯</w:t>
      </w:r>
      <w:r>
        <w:rPr>
          <w:rFonts w:hint="default"/>
          <w:color w:val="000000"/>
          <w:sz w:val="33"/>
          <w:szCs w:val="33"/>
          <w:lang w:val="en-US" w:eastAsia="zh-CN"/>
        </w:rPr>
        <w:t>173</w:t>
      </w:r>
      <w:r>
        <w:rPr>
          <w:rFonts w:hint="default"/>
          <w:color w:val="000000"/>
          <w:sz w:val="33"/>
          <w:szCs w:val="33"/>
        </w:rPr>
        <w:t>人</w:t>
      </w:r>
      <w:r>
        <w:rPr>
          <w:rFonts w:hint="default"/>
          <w:color w:val="000000"/>
          <w:sz w:val="33"/>
          <w:szCs w:val="33"/>
          <w:lang w:val="en-US" w:eastAsia="zh-CN"/>
        </w:rPr>
        <w:t>，</w:t>
      </w:r>
      <w:r>
        <w:rPr>
          <w:rFonts w:hint="eastAsia"/>
          <w:color w:val="000000"/>
          <w:sz w:val="33"/>
          <w:szCs w:val="33"/>
          <w:lang w:val="en-US" w:eastAsia="zh-CN"/>
        </w:rPr>
        <w:t>案件数</w:t>
      </w:r>
      <w:r>
        <w:rPr>
          <w:rFonts w:hint="default"/>
          <w:color w:val="000000"/>
          <w:sz w:val="33"/>
          <w:szCs w:val="33"/>
          <w:lang w:eastAsia="zh-CN"/>
        </w:rPr>
        <w:t>同比下降</w:t>
      </w:r>
      <w:r>
        <w:rPr>
          <w:rFonts w:hint="default"/>
          <w:color w:val="000000"/>
          <w:sz w:val="33"/>
          <w:szCs w:val="33"/>
          <w:lang w:val="en-US" w:eastAsia="zh-CN"/>
        </w:rPr>
        <w:t>36.03%，社会秩序持续稳定向好</w:t>
      </w:r>
      <w:r>
        <w:rPr>
          <w:rFonts w:hint="default"/>
          <w:color w:val="000000"/>
          <w:sz w:val="33"/>
          <w:szCs w:val="33"/>
          <w:lang w:eastAsia="zh-CN"/>
        </w:rPr>
        <w:t>。重拳惩治危害社会治安犯罪，审结敲诈勒索、寻衅滋事、</w:t>
      </w:r>
      <w:r>
        <w:rPr>
          <w:rFonts w:hint="default"/>
          <w:color w:val="000000"/>
          <w:sz w:val="33"/>
          <w:szCs w:val="33"/>
          <w:lang w:val="en-US" w:eastAsia="zh-CN"/>
        </w:rPr>
        <w:t>危险驾驶</w:t>
      </w:r>
      <w:r>
        <w:rPr>
          <w:rFonts w:hint="default"/>
          <w:color w:val="000000"/>
          <w:sz w:val="33"/>
          <w:szCs w:val="33"/>
          <w:lang w:eastAsia="zh-CN"/>
        </w:rPr>
        <w:t>等案件</w:t>
      </w:r>
      <w:r>
        <w:rPr>
          <w:rFonts w:hint="default"/>
          <w:color w:val="000000"/>
          <w:sz w:val="33"/>
          <w:szCs w:val="33"/>
          <w:lang w:val="en-US" w:eastAsia="zh-CN"/>
        </w:rPr>
        <w:t>23件23人，守护公共秩序安全，增强人民群众安全感，以寻衅滋事罪判处在网络造谣饲养工作人员虐待大熊猫的唐某某</w:t>
      </w:r>
      <w:r>
        <w:rPr>
          <w:rFonts w:hint="eastAsia"/>
          <w:color w:val="000000"/>
          <w:sz w:val="33"/>
          <w:szCs w:val="33"/>
          <w:lang w:val="en-US" w:eastAsia="zh-CN"/>
        </w:rPr>
        <w:t>刑罚</w:t>
      </w:r>
      <w:r>
        <w:rPr>
          <w:rFonts w:hint="default"/>
          <w:color w:val="000000"/>
          <w:sz w:val="33"/>
          <w:szCs w:val="33"/>
          <w:lang w:val="en-US" w:eastAsia="zh-CN"/>
        </w:rPr>
        <w:t>，有力维护网络公共秩序。严厉打击破坏危害税收征管犯罪，审结虚开增值税发票罪等案件2件15人，挽回税款损失116.23万元，依法判处罚金96.33万元，守护地方财税“钱袋子”。强力打击</w:t>
      </w:r>
      <w:r>
        <w:rPr>
          <w:rFonts w:hint="default"/>
          <w:color w:val="000000"/>
          <w:sz w:val="33"/>
          <w:szCs w:val="33"/>
          <w:lang w:eastAsia="zh-CN"/>
        </w:rPr>
        <w:t>电信网络诈骗犯罪，依法审结电信诈骗及关联犯罪案件</w:t>
      </w:r>
      <w:r>
        <w:rPr>
          <w:rFonts w:hint="default"/>
          <w:color w:val="000000"/>
          <w:sz w:val="33"/>
          <w:szCs w:val="33"/>
          <w:lang w:val="en-US" w:eastAsia="zh-CN"/>
        </w:rPr>
        <w:t>15件63人，守牢反诈“安全线”。</w:t>
      </w:r>
      <w:r>
        <w:rPr>
          <w:rFonts w:hint="eastAsia"/>
          <w:color w:val="000000"/>
          <w:sz w:val="33"/>
          <w:szCs w:val="33"/>
          <w:lang w:val="en-US" w:eastAsia="zh-CN"/>
        </w:rPr>
        <w:t>深入开展</w:t>
      </w:r>
      <w:r>
        <w:rPr>
          <w:rFonts w:hint="default"/>
          <w:color w:val="000000"/>
          <w:sz w:val="33"/>
          <w:szCs w:val="33"/>
          <w:lang w:val="en-US" w:eastAsia="zh-CN"/>
        </w:rPr>
        <w:t>反腐败</w:t>
      </w:r>
      <w:r>
        <w:rPr>
          <w:rFonts w:hint="eastAsia"/>
          <w:color w:val="000000"/>
          <w:sz w:val="33"/>
          <w:szCs w:val="33"/>
          <w:lang w:val="en-US" w:eastAsia="zh-CN"/>
        </w:rPr>
        <w:t>斗争</w:t>
      </w:r>
      <w:r>
        <w:rPr>
          <w:rFonts w:hint="default"/>
          <w:color w:val="000000"/>
          <w:sz w:val="33"/>
          <w:szCs w:val="33"/>
          <w:lang w:val="en-US" w:eastAsia="zh-CN"/>
        </w:rPr>
        <w:t>，审结职务犯罪案件12件12人，追赃挽损1400余万元，斩断权钱交易“利益链”</w:t>
      </w:r>
      <w:r>
        <w:rPr>
          <w:rFonts w:hint="default"/>
          <w:color w:val="000000"/>
          <w:sz w:val="33"/>
          <w:szCs w:val="33"/>
          <w:lang w:eastAsia="zh-CN"/>
        </w:rPr>
        <w:t>。</w:t>
      </w:r>
      <w:r>
        <w:rPr>
          <w:rFonts w:hint="default"/>
          <w:color w:val="000000"/>
          <w:sz w:val="33"/>
          <w:szCs w:val="33"/>
          <w:lang w:val="en-US" w:eastAsia="zh-CN"/>
        </w:rPr>
        <w:t>严格贯彻宽严相济刑事政策，</w:t>
      </w:r>
      <w:r>
        <w:rPr>
          <w:rFonts w:hint="default"/>
          <w:color w:val="000000"/>
          <w:sz w:val="33"/>
          <w:szCs w:val="33"/>
        </w:rPr>
        <w:t>适用</w:t>
      </w:r>
      <w:r>
        <w:rPr>
          <w:rFonts w:hint="default"/>
          <w:color w:val="000000"/>
          <w:sz w:val="33"/>
          <w:szCs w:val="33"/>
          <w:lang w:val="en-US" w:eastAsia="zh-CN"/>
        </w:rPr>
        <w:t>认罪认罚等</w:t>
      </w:r>
      <w:r>
        <w:rPr>
          <w:rFonts w:hint="default"/>
          <w:color w:val="000000"/>
          <w:sz w:val="33"/>
          <w:szCs w:val="33"/>
        </w:rPr>
        <w:t>从宽制度审理刑事案件</w:t>
      </w:r>
      <w:r>
        <w:rPr>
          <w:rFonts w:hint="eastAsia"/>
          <w:color w:val="000000"/>
          <w:sz w:val="33"/>
          <w:szCs w:val="33"/>
          <w:lang w:val="en-US" w:eastAsia="zh-CN"/>
        </w:rPr>
        <w:t>72</w:t>
      </w:r>
      <w:r>
        <w:rPr>
          <w:rFonts w:hint="default"/>
          <w:color w:val="000000"/>
          <w:sz w:val="33"/>
          <w:szCs w:val="33"/>
        </w:rPr>
        <w:t>件</w:t>
      </w:r>
      <w:r>
        <w:rPr>
          <w:rFonts w:hint="default"/>
          <w:color w:val="000000"/>
          <w:sz w:val="33"/>
          <w:szCs w:val="33"/>
          <w:lang w:val="en-US" w:eastAsia="zh-CN"/>
        </w:rPr>
        <w:t>1</w:t>
      </w:r>
      <w:r>
        <w:rPr>
          <w:rFonts w:hint="eastAsia"/>
          <w:color w:val="000000"/>
          <w:sz w:val="33"/>
          <w:szCs w:val="33"/>
          <w:lang w:val="en-US" w:eastAsia="zh-CN"/>
        </w:rPr>
        <w:t>29</w:t>
      </w:r>
      <w:r>
        <w:rPr>
          <w:rFonts w:hint="default"/>
          <w:color w:val="000000"/>
          <w:sz w:val="33"/>
          <w:szCs w:val="33"/>
        </w:rPr>
        <w:t>人</w:t>
      </w:r>
      <w:r>
        <w:rPr>
          <w:rFonts w:hint="default"/>
          <w:color w:val="000000"/>
          <w:sz w:val="33"/>
          <w:szCs w:val="33"/>
          <w:lang w:eastAsia="zh-CN"/>
        </w:rPr>
        <w:t>，</w:t>
      </w:r>
      <w:r>
        <w:rPr>
          <w:rFonts w:hint="default"/>
          <w:color w:val="000000"/>
          <w:sz w:val="33"/>
          <w:szCs w:val="33"/>
          <w:lang w:val="en-US" w:eastAsia="zh-CN"/>
        </w:rPr>
        <w:t>判处</w:t>
      </w:r>
      <w:r>
        <w:rPr>
          <w:rFonts w:hint="eastAsia"/>
          <w:color w:val="000000"/>
          <w:sz w:val="33"/>
          <w:szCs w:val="33"/>
          <w:lang w:val="en-US" w:eastAsia="zh-CN"/>
        </w:rPr>
        <w:t>五</w:t>
      </w:r>
      <w:r>
        <w:rPr>
          <w:rFonts w:hint="default"/>
          <w:color w:val="000000"/>
          <w:sz w:val="33"/>
          <w:szCs w:val="33"/>
          <w:lang w:val="en-US" w:eastAsia="zh-CN"/>
        </w:rPr>
        <w:t>年以下</w:t>
      </w:r>
      <w:r>
        <w:rPr>
          <w:rFonts w:hint="eastAsia"/>
          <w:color w:val="000000"/>
          <w:sz w:val="33"/>
          <w:szCs w:val="33"/>
          <w:lang w:val="en-US" w:eastAsia="zh-CN"/>
        </w:rPr>
        <w:t>轻</w:t>
      </w:r>
      <w:r>
        <w:rPr>
          <w:rFonts w:hint="default"/>
          <w:color w:val="000000"/>
          <w:sz w:val="33"/>
          <w:szCs w:val="33"/>
          <w:lang w:val="en-US" w:eastAsia="zh-CN"/>
        </w:rPr>
        <w:t>刑占比达</w:t>
      </w:r>
      <w:r>
        <w:rPr>
          <w:rFonts w:hint="eastAsia"/>
          <w:color w:val="000000"/>
          <w:sz w:val="33"/>
          <w:szCs w:val="33"/>
          <w:lang w:val="en-US" w:eastAsia="zh-CN"/>
        </w:rPr>
        <w:t>93.02%</w:t>
      </w:r>
      <w:r>
        <w:rPr>
          <w:rFonts w:hint="default"/>
          <w:color w:val="000000"/>
          <w:sz w:val="33"/>
          <w:szCs w:val="33"/>
          <w:lang w:val="en-US" w:eastAsia="zh-CN"/>
        </w:rPr>
        <w:t>，彰显刚柔并济司法理念。</w:t>
      </w:r>
    </w:p>
    <w:bookmarkEnd w:id="0"/>
    <w:p w14:paraId="39F57837">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倾力护航共同富裕试验区建设</w:t>
      </w:r>
      <w:r>
        <w:rPr>
          <w:rFonts w:hint="default"/>
          <w:color w:val="000000"/>
          <w:sz w:val="33"/>
          <w:szCs w:val="33"/>
          <w:lang w:val="en-US" w:eastAsia="zh-CN"/>
        </w:rPr>
        <w:t>。坚决</w:t>
      </w:r>
      <w:r>
        <w:rPr>
          <w:rFonts w:hint="default"/>
          <w:color w:val="000000"/>
          <w:sz w:val="33"/>
          <w:szCs w:val="33"/>
        </w:rPr>
        <w:t>把共同富裕试验区建设作为</w:t>
      </w:r>
      <w:r>
        <w:rPr>
          <w:rFonts w:hint="default"/>
          <w:color w:val="000000"/>
          <w:sz w:val="33"/>
          <w:szCs w:val="33"/>
          <w:lang w:eastAsia="zh-CN"/>
        </w:rPr>
        <w:t>头等大事、</w:t>
      </w:r>
      <w:r>
        <w:rPr>
          <w:rFonts w:hint="default"/>
          <w:color w:val="000000"/>
          <w:sz w:val="33"/>
          <w:szCs w:val="33"/>
        </w:rPr>
        <w:t>一号工程，制定</w:t>
      </w:r>
      <w:r>
        <w:rPr>
          <w:rFonts w:hint="default"/>
          <w:color w:val="000000"/>
          <w:sz w:val="33"/>
          <w:szCs w:val="33"/>
          <w:lang w:eastAsia="zh-CN"/>
        </w:rPr>
        <w:t>“</w:t>
      </w:r>
      <w:r>
        <w:rPr>
          <w:rFonts w:hint="default"/>
          <w:color w:val="000000"/>
          <w:sz w:val="33"/>
          <w:szCs w:val="33"/>
        </w:rPr>
        <w:t>法润营商·聚力共富</w:t>
      </w:r>
      <w:r>
        <w:rPr>
          <w:rFonts w:hint="default"/>
          <w:color w:val="000000"/>
          <w:sz w:val="33"/>
          <w:szCs w:val="33"/>
          <w:lang w:eastAsia="zh-CN"/>
        </w:rPr>
        <w:t>”</w:t>
      </w:r>
      <w:r>
        <w:rPr>
          <w:rFonts w:hint="default"/>
          <w:color w:val="000000"/>
          <w:sz w:val="33"/>
          <w:szCs w:val="33"/>
        </w:rPr>
        <w:t>十条举措</w:t>
      </w:r>
      <w:r>
        <w:rPr>
          <w:rFonts w:hint="default"/>
          <w:color w:val="000000"/>
          <w:sz w:val="33"/>
          <w:szCs w:val="33"/>
          <w:lang w:eastAsia="zh-CN"/>
        </w:rPr>
        <w:t>、</w:t>
      </w:r>
      <w:r>
        <w:rPr>
          <w:rFonts w:hint="default"/>
          <w:color w:val="000000"/>
          <w:sz w:val="33"/>
          <w:szCs w:val="33"/>
        </w:rPr>
        <w:t>“送法进企·法助共富”专项方案，</w:t>
      </w:r>
      <w:r>
        <w:rPr>
          <w:rFonts w:hint="default"/>
          <w:color w:val="000000"/>
          <w:sz w:val="33"/>
          <w:szCs w:val="33"/>
          <w:lang w:val="en-US" w:eastAsia="zh-CN"/>
        </w:rPr>
        <w:t>精准</w:t>
      </w:r>
      <w:r>
        <w:rPr>
          <w:rFonts w:hint="default"/>
          <w:color w:val="000000"/>
          <w:sz w:val="33"/>
          <w:szCs w:val="33"/>
          <w:lang w:eastAsia="zh-CN"/>
        </w:rPr>
        <w:t>服务保障重大战略实施。</w:t>
      </w:r>
      <w:r>
        <w:rPr>
          <w:rFonts w:hint="default"/>
          <w:color w:val="000000"/>
          <w:sz w:val="33"/>
          <w:szCs w:val="33"/>
          <w:lang w:val="en-US" w:eastAsia="zh-CN"/>
        </w:rPr>
        <w:t>赋能营商环境优化，依法审执结涉企案件1238件，帮助企业回笼资金3451.84万元，审慎运用强制措施，灵活变更保全方式，</w:t>
      </w:r>
      <w:r>
        <w:rPr>
          <w:rFonts w:hint="eastAsia"/>
          <w:color w:val="000000"/>
          <w:sz w:val="33"/>
          <w:szCs w:val="33"/>
          <w:lang w:val="en-US" w:eastAsia="zh-CN"/>
        </w:rPr>
        <w:t>帮助</w:t>
      </w:r>
      <w:r>
        <w:rPr>
          <w:rFonts w:hint="default"/>
          <w:color w:val="000000"/>
          <w:sz w:val="33"/>
          <w:szCs w:val="33"/>
          <w:lang w:val="en-US" w:eastAsia="zh-CN"/>
        </w:rPr>
        <w:t>企业续贷资金，持续为市场主体降本增效。</w:t>
      </w:r>
      <w:r>
        <w:rPr>
          <w:rFonts w:hint="default"/>
          <w:color w:val="000000"/>
          <w:sz w:val="33"/>
          <w:szCs w:val="33"/>
          <w:lang w:eastAsia="zh-CN"/>
        </w:rPr>
        <w:t>助力</w:t>
      </w:r>
      <w:r>
        <w:rPr>
          <w:rFonts w:hint="default"/>
          <w:color w:val="000000"/>
          <w:sz w:val="33"/>
          <w:szCs w:val="33"/>
          <w:lang w:val="en-US" w:eastAsia="zh-CN"/>
        </w:rPr>
        <w:t>乡村全面振兴，依法审结农村土地承包、农村集体经济组织成员权益、农资买卖等涉“三农”案件47件，无害化处置13吨含百草枯剧毒的假冒伪劣农药，保障农村土地权益和生产经营秩序。依托联社法官、人民法庭对乡村与企业“一对一”服务，成功化解一起村委会与农业公司合作纠纷，助力村集体经济增收8%，实现村企“共富双赢”。</w:t>
      </w:r>
      <w:r>
        <w:rPr>
          <w:rFonts w:hint="eastAsia"/>
          <w:color w:val="000000"/>
          <w:sz w:val="33"/>
          <w:szCs w:val="33"/>
          <w:lang w:val="en-US" w:eastAsia="zh-CN"/>
        </w:rPr>
        <w:t>护航</w:t>
      </w:r>
      <w:r>
        <w:rPr>
          <w:rFonts w:hint="default"/>
          <w:color w:val="000000"/>
          <w:sz w:val="33"/>
          <w:szCs w:val="33"/>
          <w:lang w:val="en-US" w:eastAsia="zh-CN"/>
        </w:rPr>
        <w:t>生态文旅融合，</w:t>
      </w:r>
      <w:r>
        <w:rPr>
          <w:rFonts w:hint="eastAsia"/>
          <w:color w:val="000000"/>
          <w:sz w:val="33"/>
          <w:szCs w:val="33"/>
          <w:lang w:eastAsia="zh-CN"/>
        </w:rPr>
        <w:t>与华坪法院</w:t>
      </w:r>
      <w:r>
        <w:rPr>
          <w:rFonts w:hint="default"/>
          <w:color w:val="000000"/>
          <w:sz w:val="33"/>
          <w:szCs w:val="33"/>
          <w:lang w:eastAsia="zh-CN"/>
        </w:rPr>
        <w:t>签署《跨域司法协作备忘录》</w:t>
      </w:r>
      <w:r>
        <w:rPr>
          <w:rFonts w:hint="eastAsia"/>
          <w:color w:val="000000"/>
          <w:sz w:val="33"/>
          <w:szCs w:val="33"/>
          <w:lang w:eastAsia="zh-CN"/>
        </w:rPr>
        <w:t>，</w:t>
      </w:r>
      <w:r>
        <w:rPr>
          <w:rFonts w:hint="default"/>
          <w:color w:val="000000"/>
          <w:sz w:val="33"/>
          <w:szCs w:val="33"/>
          <w:lang w:eastAsia="zh-CN"/>
        </w:rPr>
        <w:t>携手共建</w:t>
      </w:r>
      <w:r>
        <w:rPr>
          <w:rFonts w:hint="eastAsia"/>
          <w:color w:val="000000"/>
          <w:sz w:val="33"/>
          <w:szCs w:val="33"/>
          <w:lang w:eastAsia="zh-CN"/>
        </w:rPr>
        <w:t>长江流域生态保护</w:t>
      </w:r>
      <w:r>
        <w:rPr>
          <w:rFonts w:hint="default"/>
          <w:color w:val="000000"/>
          <w:sz w:val="33"/>
          <w:szCs w:val="33"/>
          <w:lang w:eastAsia="zh-CN"/>
        </w:rPr>
        <w:t>司法协作机制</w:t>
      </w:r>
      <w:r>
        <w:rPr>
          <w:rFonts w:hint="eastAsia"/>
          <w:color w:val="000000"/>
          <w:sz w:val="33"/>
          <w:szCs w:val="33"/>
          <w:lang w:eastAsia="zh-CN"/>
        </w:rPr>
        <w:t>，合力促进区域</w:t>
      </w:r>
      <w:r>
        <w:rPr>
          <w:rFonts w:hint="default"/>
          <w:color w:val="000000"/>
          <w:sz w:val="33"/>
          <w:szCs w:val="33"/>
          <w:lang w:eastAsia="zh-CN"/>
        </w:rPr>
        <w:t>协同发展</w:t>
      </w:r>
      <w:r>
        <w:rPr>
          <w:rFonts w:hint="eastAsia"/>
          <w:color w:val="000000"/>
          <w:sz w:val="33"/>
          <w:szCs w:val="33"/>
          <w:lang w:eastAsia="zh-CN"/>
        </w:rPr>
        <w:t>。</w:t>
      </w:r>
      <w:r>
        <w:rPr>
          <w:rFonts w:hint="default"/>
          <w:color w:val="000000"/>
          <w:sz w:val="33"/>
          <w:szCs w:val="33"/>
          <w:lang w:val="en-US" w:eastAsia="zh-CN"/>
        </w:rPr>
        <w:t>联合多部门在</w:t>
      </w:r>
      <w:r>
        <w:rPr>
          <w:rFonts w:hint="eastAsia"/>
          <w:color w:val="000000"/>
          <w:sz w:val="33"/>
          <w:szCs w:val="33"/>
          <w:lang w:val="en-US" w:eastAsia="zh-CN"/>
        </w:rPr>
        <w:t>格里坪镇</w:t>
      </w:r>
      <w:r>
        <w:rPr>
          <w:rFonts w:hint="default"/>
          <w:color w:val="000000"/>
          <w:sz w:val="33"/>
          <w:szCs w:val="33"/>
          <w:lang w:val="en-US" w:eastAsia="zh-CN"/>
        </w:rPr>
        <w:t>成立“生态环境司法保护基地”，构建行刑衔接、公益诉讼、生态修复一体化责任闭环。加大长江流域禁捕案件审理力度，胡某非法捕捞水产品案入选</w:t>
      </w:r>
      <w:r>
        <w:rPr>
          <w:rFonts w:hint="eastAsia"/>
          <w:color w:val="000000"/>
          <w:sz w:val="33"/>
          <w:szCs w:val="33"/>
          <w:lang w:val="en-US" w:eastAsia="zh-CN"/>
        </w:rPr>
        <w:t>最高院</w:t>
      </w:r>
      <w:r>
        <w:rPr>
          <w:rFonts w:hint="default"/>
          <w:color w:val="000000"/>
          <w:sz w:val="33"/>
          <w:szCs w:val="33"/>
          <w:lang w:val="en-US" w:eastAsia="zh-CN"/>
        </w:rPr>
        <w:t>《中国环境资源》典型案例，以司法利剑守护绿水青山。深入</w:t>
      </w:r>
      <w:r>
        <w:rPr>
          <w:rFonts w:hint="eastAsia"/>
          <w:color w:val="000000"/>
          <w:sz w:val="33"/>
          <w:szCs w:val="33"/>
          <w:lang w:val="en-US" w:eastAsia="zh-CN"/>
        </w:rPr>
        <w:t>开展“冬游花城·司法同行”</w:t>
      </w:r>
      <w:r>
        <w:rPr>
          <w:rFonts w:hint="default"/>
          <w:color w:val="000000"/>
          <w:sz w:val="33"/>
          <w:szCs w:val="33"/>
          <w:lang w:val="en-US" w:eastAsia="zh-CN"/>
        </w:rPr>
        <w:t>普法宣传，助力打造“</w:t>
      </w:r>
      <w:r>
        <w:rPr>
          <w:rFonts w:hint="eastAsia"/>
          <w:color w:val="000000"/>
          <w:sz w:val="33"/>
          <w:szCs w:val="33"/>
          <w:lang w:val="en-US" w:eastAsia="zh-CN"/>
        </w:rPr>
        <w:t>阳光花果城·康养攀枝花</w:t>
      </w:r>
      <w:r>
        <w:rPr>
          <w:rFonts w:hint="default"/>
          <w:color w:val="000000"/>
          <w:sz w:val="33"/>
          <w:szCs w:val="33"/>
          <w:lang w:val="en-US" w:eastAsia="zh-CN"/>
        </w:rPr>
        <w:t>”文旅品牌。创新共富保障</w:t>
      </w:r>
      <w:r>
        <w:rPr>
          <w:rFonts w:hint="default"/>
          <w:color w:val="000000"/>
          <w:sz w:val="33"/>
          <w:szCs w:val="33"/>
          <w:lang w:eastAsia="zh-CN"/>
        </w:rPr>
        <w:t>机制</w:t>
      </w:r>
      <w:r>
        <w:rPr>
          <w:rFonts w:hint="default"/>
          <w:color w:val="000000"/>
          <w:sz w:val="33"/>
          <w:szCs w:val="33"/>
          <w:lang w:val="en-US" w:eastAsia="zh-CN"/>
        </w:rPr>
        <w:t>，</w:t>
      </w:r>
      <w:r>
        <w:rPr>
          <w:rFonts w:hint="eastAsia"/>
          <w:color w:val="000000"/>
          <w:sz w:val="33"/>
          <w:szCs w:val="33"/>
          <w:lang w:val="en-US" w:eastAsia="zh-CN"/>
        </w:rPr>
        <w:t>依托</w:t>
      </w:r>
      <w:r>
        <w:rPr>
          <w:rFonts w:hint="default"/>
          <w:color w:val="000000"/>
          <w:sz w:val="33"/>
          <w:szCs w:val="33"/>
          <w:lang w:val="en-US" w:eastAsia="zh-CN"/>
        </w:rPr>
        <w:t>格里坪产业园区</w:t>
      </w:r>
      <w:r>
        <w:rPr>
          <w:rFonts w:hint="eastAsia"/>
          <w:color w:val="000000"/>
          <w:sz w:val="33"/>
          <w:szCs w:val="33"/>
          <w:lang w:val="en-US" w:eastAsia="zh-CN"/>
        </w:rPr>
        <w:t>法官工作室，建立</w:t>
      </w:r>
      <w:r>
        <w:rPr>
          <w:rFonts w:hint="default"/>
          <w:color w:val="000000"/>
          <w:sz w:val="33"/>
          <w:szCs w:val="33"/>
          <w:lang w:val="en-US" w:eastAsia="zh-CN"/>
        </w:rPr>
        <w:t>重点企业“一企一档”</w:t>
      </w:r>
      <w:r>
        <w:rPr>
          <w:rFonts w:hint="eastAsia"/>
          <w:color w:val="000000"/>
          <w:sz w:val="33"/>
          <w:szCs w:val="33"/>
          <w:lang w:val="en-US" w:eastAsia="zh-CN"/>
        </w:rPr>
        <w:t>服务</w:t>
      </w:r>
      <w:r>
        <w:rPr>
          <w:rFonts w:hint="default"/>
          <w:color w:val="000000"/>
          <w:sz w:val="33"/>
          <w:szCs w:val="33"/>
          <w:lang w:val="en-US" w:eastAsia="zh-CN"/>
        </w:rPr>
        <w:t>机制，推动司法服务从“单次问诊”向“健康管理”升级，共开展法治体检、风险提示等服务100余次，不断增强企业抗风险能力。</w:t>
      </w:r>
      <w:r>
        <w:rPr>
          <w:rFonts w:hint="eastAsia"/>
          <w:color w:val="000000"/>
          <w:sz w:val="33"/>
          <w:szCs w:val="33"/>
          <w:lang w:val="en-US" w:eastAsia="zh-CN"/>
        </w:rPr>
        <w:t>创新试点</w:t>
      </w:r>
      <w:r>
        <w:rPr>
          <w:rFonts w:hint="default"/>
          <w:color w:val="000000"/>
          <w:sz w:val="33"/>
          <w:szCs w:val="33"/>
          <w:lang w:val="en-US" w:eastAsia="zh-CN"/>
        </w:rPr>
        <w:t>“失信与失能精准甄别与分类处置”工作，召开全省首例“失能”听证会，全年甄别</w:t>
      </w:r>
      <w:r>
        <w:rPr>
          <w:rFonts w:hint="default"/>
          <w:color w:val="000000"/>
          <w:sz w:val="33"/>
          <w:szCs w:val="33"/>
          <w:lang w:eastAsia="zh-CN"/>
        </w:rPr>
        <w:t>失信、失能情形</w:t>
      </w:r>
      <w:r>
        <w:rPr>
          <w:rFonts w:hint="default"/>
          <w:color w:val="000000"/>
          <w:sz w:val="33"/>
          <w:szCs w:val="33"/>
          <w:lang w:val="en-US" w:eastAsia="zh-CN"/>
        </w:rPr>
        <w:t>69</w:t>
      </w:r>
      <w:r>
        <w:rPr>
          <w:rFonts w:hint="default"/>
          <w:color w:val="000000"/>
          <w:sz w:val="33"/>
          <w:szCs w:val="33"/>
          <w:lang w:eastAsia="zh-CN"/>
        </w:rPr>
        <w:t>件，累计</w:t>
      </w:r>
      <w:r>
        <w:rPr>
          <w:rFonts w:hint="eastAsia"/>
          <w:color w:val="000000"/>
          <w:sz w:val="33"/>
          <w:szCs w:val="33"/>
          <w:lang w:eastAsia="zh-CN"/>
        </w:rPr>
        <w:t>完成</w:t>
      </w:r>
      <w:r>
        <w:rPr>
          <w:rFonts w:hint="default"/>
          <w:color w:val="000000"/>
          <w:sz w:val="33"/>
          <w:szCs w:val="33"/>
          <w:lang w:val="en-US" w:eastAsia="zh-CN"/>
        </w:rPr>
        <w:t>23名被执行人信用</w:t>
      </w:r>
      <w:r>
        <w:rPr>
          <w:rFonts w:hint="eastAsia"/>
          <w:color w:val="000000"/>
          <w:sz w:val="33"/>
          <w:szCs w:val="33"/>
          <w:lang w:val="en-US" w:eastAsia="zh-CN"/>
        </w:rPr>
        <w:t>修复</w:t>
      </w:r>
      <w:r>
        <w:rPr>
          <w:rFonts w:hint="default"/>
          <w:color w:val="000000"/>
          <w:sz w:val="33"/>
          <w:szCs w:val="33"/>
          <w:lang w:val="en-US" w:eastAsia="zh-CN"/>
        </w:rPr>
        <w:t>，为6名失能被执行人提供救助，帮助2家诚信困难企业恢复生产“造血”功能，</w:t>
      </w:r>
      <w:r>
        <w:rPr>
          <w:rFonts w:hint="default"/>
          <w:color w:val="000000"/>
          <w:sz w:val="33"/>
          <w:szCs w:val="33"/>
          <w:lang w:eastAsia="zh-CN"/>
        </w:rPr>
        <w:t>该</w:t>
      </w:r>
      <w:r>
        <w:rPr>
          <w:rFonts w:hint="eastAsia"/>
          <w:color w:val="000000"/>
          <w:sz w:val="33"/>
          <w:szCs w:val="33"/>
          <w:lang w:eastAsia="zh-CN"/>
        </w:rPr>
        <w:t>项做法</w:t>
      </w:r>
      <w:r>
        <w:rPr>
          <w:rFonts w:hint="default"/>
          <w:color w:val="000000"/>
          <w:sz w:val="33"/>
          <w:szCs w:val="33"/>
          <w:lang w:eastAsia="zh-CN"/>
        </w:rPr>
        <w:t>被</w:t>
      </w:r>
      <w:r>
        <w:rPr>
          <w:rFonts w:hint="default"/>
          <w:color w:val="000000"/>
          <w:sz w:val="33"/>
          <w:szCs w:val="33"/>
          <w:lang w:val="en-US" w:eastAsia="zh-CN"/>
        </w:rPr>
        <w:t>市委纳入“共富试验区改革项目”，并全市推广。</w:t>
      </w:r>
    </w:p>
    <w:p w14:paraId="4EF27E3C">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助力更高水平法治政府建设。</w:t>
      </w:r>
      <w:r>
        <w:rPr>
          <w:rFonts w:hint="default"/>
          <w:color w:val="000000"/>
          <w:sz w:val="33"/>
          <w:szCs w:val="33"/>
          <w:lang w:val="en-US" w:eastAsia="zh-CN"/>
        </w:rPr>
        <w:t>坚持监督与支持并重，审结行政诉讼案件10件，审查行政非诉执行案件11件，行政机关负责人出庭率达100%。坚持“双赢多赢共赢”理念，</w:t>
      </w:r>
      <w:r>
        <w:rPr>
          <w:rFonts w:hint="eastAsia"/>
          <w:color w:val="000000"/>
          <w:sz w:val="33"/>
          <w:szCs w:val="33"/>
          <w:lang w:val="en-US" w:eastAsia="zh-CN"/>
        </w:rPr>
        <w:t>联</w:t>
      </w:r>
      <w:r>
        <w:rPr>
          <w:rFonts w:hint="default"/>
          <w:color w:val="000000"/>
          <w:sz w:val="33"/>
          <w:szCs w:val="33"/>
          <w:lang w:val="en-US" w:eastAsia="zh-CN"/>
        </w:rPr>
        <w:t>合税务、商务、市场监管等部门，开展专题讲座、同堂培训、观摩庭审21场次，覆盖120</w:t>
      </w:r>
      <w:r>
        <w:rPr>
          <w:rFonts w:hint="eastAsia"/>
          <w:color w:val="000000"/>
          <w:sz w:val="33"/>
          <w:szCs w:val="33"/>
          <w:lang w:val="en-US" w:eastAsia="zh-CN"/>
        </w:rPr>
        <w:t>0</w:t>
      </w:r>
      <w:r>
        <w:rPr>
          <w:rFonts w:hint="default"/>
          <w:color w:val="000000"/>
          <w:sz w:val="33"/>
          <w:szCs w:val="33"/>
          <w:lang w:val="en-US" w:eastAsia="zh-CN"/>
        </w:rPr>
        <w:t>余人次，</w:t>
      </w:r>
      <w:r>
        <w:rPr>
          <w:rFonts w:hint="eastAsia"/>
          <w:color w:val="000000"/>
          <w:sz w:val="33"/>
          <w:szCs w:val="33"/>
          <w:lang w:val="en-US" w:eastAsia="zh-CN"/>
        </w:rPr>
        <w:t>为区委党校2025年西区乡科级副职干部任职进修班暨职级公务员进修班作政府信息公开专题授课，</w:t>
      </w:r>
      <w:r>
        <w:rPr>
          <w:rFonts w:hint="default"/>
          <w:color w:val="000000"/>
          <w:sz w:val="33"/>
          <w:szCs w:val="33"/>
          <w:lang w:val="en-US" w:eastAsia="zh-CN"/>
        </w:rPr>
        <w:t>凝聚依法行政共识。</w:t>
      </w:r>
      <w:r>
        <w:rPr>
          <w:rFonts w:hint="default"/>
          <w:color w:val="000000"/>
          <w:sz w:val="33"/>
          <w:szCs w:val="33"/>
        </w:rPr>
        <w:t>深化破产审判府院联动，推进“执破融合”，</w:t>
      </w:r>
      <w:r>
        <w:rPr>
          <w:rFonts w:hint="default"/>
          <w:color w:val="000000"/>
          <w:sz w:val="33"/>
          <w:szCs w:val="33"/>
          <w:lang w:eastAsia="zh-CN"/>
        </w:rPr>
        <w:t>审</w:t>
      </w:r>
      <w:r>
        <w:rPr>
          <w:rFonts w:hint="eastAsia"/>
          <w:color w:val="000000"/>
          <w:sz w:val="33"/>
          <w:szCs w:val="33"/>
          <w:lang w:eastAsia="zh-CN"/>
        </w:rPr>
        <w:t>结</w:t>
      </w:r>
      <w:r>
        <w:rPr>
          <w:rFonts w:hint="default"/>
          <w:color w:val="000000"/>
          <w:sz w:val="33"/>
          <w:szCs w:val="33"/>
          <w:lang w:eastAsia="zh-CN"/>
        </w:rPr>
        <w:t>破产案件</w:t>
      </w:r>
      <w:r>
        <w:rPr>
          <w:rFonts w:hint="default"/>
          <w:color w:val="000000"/>
          <w:sz w:val="33"/>
          <w:szCs w:val="33"/>
          <w:lang w:val="en-US" w:eastAsia="zh-CN"/>
        </w:rPr>
        <w:t>2件，</w:t>
      </w:r>
      <w:r>
        <w:rPr>
          <w:rFonts w:hint="eastAsia"/>
          <w:color w:val="000000"/>
          <w:sz w:val="33"/>
          <w:szCs w:val="33"/>
          <w:lang w:val="en-US" w:eastAsia="zh-CN"/>
        </w:rPr>
        <w:t>助力“僵尸企业”出清</w:t>
      </w:r>
      <w:r>
        <w:rPr>
          <w:rFonts w:hint="default"/>
          <w:color w:val="000000"/>
          <w:sz w:val="33"/>
          <w:szCs w:val="33"/>
        </w:rPr>
        <w:t>。</w:t>
      </w:r>
      <w:r>
        <w:rPr>
          <w:rFonts w:hint="default"/>
          <w:color w:val="000000"/>
          <w:sz w:val="33"/>
          <w:szCs w:val="33"/>
          <w:lang w:eastAsia="zh-CN"/>
        </w:rPr>
        <w:t>实质化解行政争议，认真落实行政争议预防与实质化解“</w:t>
      </w:r>
      <w:r>
        <w:rPr>
          <w:rFonts w:hint="default"/>
          <w:color w:val="000000"/>
          <w:sz w:val="33"/>
          <w:szCs w:val="33"/>
          <w:lang w:val="en-US" w:eastAsia="zh-CN"/>
        </w:rPr>
        <w:t>3+N</w:t>
      </w:r>
      <w:r>
        <w:rPr>
          <w:rFonts w:hint="default"/>
          <w:color w:val="000000"/>
          <w:sz w:val="33"/>
          <w:szCs w:val="33"/>
          <w:lang w:eastAsia="zh-CN"/>
        </w:rPr>
        <w:t>”工作机制，</w:t>
      </w:r>
      <w:r>
        <w:rPr>
          <w:rFonts w:hint="eastAsia"/>
          <w:color w:val="000000"/>
          <w:sz w:val="33"/>
          <w:szCs w:val="33"/>
          <w:lang w:eastAsia="zh-CN"/>
        </w:rPr>
        <w:t>联合区检察院、区司法局成立</w:t>
      </w:r>
      <w:r>
        <w:rPr>
          <w:rFonts w:hint="default"/>
          <w:color w:val="000000"/>
          <w:sz w:val="33"/>
          <w:szCs w:val="33"/>
          <w:lang w:eastAsia="zh-CN"/>
        </w:rPr>
        <w:t>行政争议化解中心</w:t>
      </w:r>
      <w:r>
        <w:rPr>
          <w:rFonts w:hint="default"/>
          <w:color w:val="000000"/>
          <w:sz w:val="33"/>
          <w:szCs w:val="33"/>
          <w:lang w:val="en-US" w:eastAsia="zh-CN"/>
        </w:rPr>
        <w:t>，诉前化解行政争议23件，真正实现“案结事了、政通人和”。</w:t>
      </w:r>
    </w:p>
    <w:p w14:paraId="10FC1628">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2.</w:t>
      </w:r>
      <w:r>
        <w:rPr>
          <w:rFonts w:hint="default"/>
          <w:color w:val="000000"/>
          <w:sz w:val="33"/>
          <w:szCs w:val="33"/>
          <w:lang w:val="en-US" w:eastAsia="zh-CN"/>
        </w:rPr>
        <w:t>聚焦民生办实事，以“司法温度”保权益惠民生</w:t>
      </w:r>
    </w:p>
    <w:p w14:paraId="37408128">
      <w:pPr>
        <w:spacing w:line="560" w:lineRule="exact"/>
        <w:ind w:firstLine="650" w:firstLineChars="197"/>
        <w:contextualSpacing/>
        <w:rPr>
          <w:rFonts w:hint="default"/>
          <w:color w:val="000000"/>
          <w:sz w:val="33"/>
          <w:szCs w:val="33"/>
        </w:rPr>
      </w:pPr>
      <w:r>
        <w:rPr>
          <w:rFonts w:hint="eastAsia"/>
          <w:color w:val="000000"/>
          <w:sz w:val="33"/>
          <w:szCs w:val="33"/>
          <w:lang w:val="en-US" w:eastAsia="zh-CN"/>
        </w:rPr>
        <w:t>用心用情</w:t>
      </w:r>
      <w:r>
        <w:rPr>
          <w:rFonts w:hint="default"/>
          <w:color w:val="000000"/>
          <w:sz w:val="33"/>
          <w:szCs w:val="33"/>
          <w:lang w:val="en-US" w:eastAsia="zh-CN"/>
        </w:rPr>
        <w:t>办好民生案。站稳司法为民立场，全面准确贯彻实施民法典，</w:t>
      </w:r>
      <w:r>
        <w:rPr>
          <w:rFonts w:hint="default"/>
          <w:color w:val="000000"/>
          <w:sz w:val="33"/>
          <w:szCs w:val="33"/>
        </w:rPr>
        <w:t>受理民商事案件</w:t>
      </w:r>
      <w:r>
        <w:rPr>
          <w:rFonts w:hint="default"/>
          <w:color w:val="000000"/>
          <w:sz w:val="33"/>
          <w:szCs w:val="33"/>
          <w:lang w:val="en-US" w:eastAsia="zh-CN"/>
        </w:rPr>
        <w:t>2390</w:t>
      </w:r>
      <w:r>
        <w:rPr>
          <w:rFonts w:hint="default"/>
          <w:color w:val="000000"/>
          <w:sz w:val="33"/>
          <w:szCs w:val="33"/>
        </w:rPr>
        <w:t>件，结案</w:t>
      </w:r>
      <w:r>
        <w:rPr>
          <w:rFonts w:hint="default"/>
          <w:color w:val="000000"/>
          <w:sz w:val="33"/>
          <w:szCs w:val="33"/>
          <w:lang w:val="en-US" w:eastAsia="zh-CN"/>
        </w:rPr>
        <w:t>2263件，</w:t>
      </w:r>
      <w:r>
        <w:rPr>
          <w:rFonts w:hint="eastAsia"/>
          <w:color w:val="000000"/>
          <w:sz w:val="33"/>
          <w:szCs w:val="33"/>
          <w:lang w:val="en-US" w:eastAsia="zh-CN"/>
        </w:rPr>
        <w:t>分别</w:t>
      </w:r>
      <w:r>
        <w:rPr>
          <w:rFonts w:hint="default"/>
          <w:color w:val="000000"/>
          <w:sz w:val="33"/>
          <w:szCs w:val="33"/>
          <w:lang w:eastAsia="zh-CN"/>
        </w:rPr>
        <w:t>同比上升</w:t>
      </w:r>
      <w:r>
        <w:rPr>
          <w:rFonts w:hint="default"/>
          <w:color w:val="000000"/>
          <w:sz w:val="33"/>
          <w:szCs w:val="33"/>
          <w:lang w:val="en-US" w:eastAsia="zh-CN"/>
        </w:rPr>
        <w:t>8.78%，6.80%，结</w:t>
      </w:r>
      <w:r>
        <w:rPr>
          <w:rFonts w:hint="default"/>
          <w:color w:val="000000"/>
          <w:sz w:val="33"/>
          <w:szCs w:val="33"/>
        </w:rPr>
        <w:t>案率</w:t>
      </w:r>
      <w:r>
        <w:rPr>
          <w:rFonts w:hint="default"/>
          <w:color w:val="000000"/>
          <w:sz w:val="33"/>
          <w:szCs w:val="33"/>
          <w:lang w:val="en-US" w:eastAsia="zh-CN"/>
        </w:rPr>
        <w:t>94.69%</w:t>
      </w:r>
      <w:r>
        <w:rPr>
          <w:rFonts w:hint="default"/>
          <w:color w:val="000000"/>
          <w:sz w:val="33"/>
          <w:szCs w:val="33"/>
          <w:lang w:eastAsia="zh-CN"/>
        </w:rPr>
        <w:t>，服判息诉率</w:t>
      </w:r>
      <w:r>
        <w:rPr>
          <w:rFonts w:hint="default"/>
          <w:color w:val="000000"/>
          <w:sz w:val="33"/>
          <w:szCs w:val="33"/>
          <w:lang w:val="en-US" w:eastAsia="zh-CN"/>
        </w:rPr>
        <w:t>92.68%</w:t>
      </w:r>
      <w:r>
        <w:rPr>
          <w:rFonts w:hint="default"/>
          <w:color w:val="000000"/>
          <w:sz w:val="33"/>
          <w:szCs w:val="33"/>
          <w:lang w:eastAsia="zh-CN"/>
        </w:rPr>
        <w:t>，民生司法保障</w:t>
      </w:r>
      <w:r>
        <w:rPr>
          <w:rFonts w:hint="default"/>
          <w:color w:val="000000"/>
          <w:sz w:val="33"/>
          <w:szCs w:val="33"/>
          <w:lang w:val="en-US" w:eastAsia="zh-CN"/>
        </w:rPr>
        <w:t>实现</w:t>
      </w:r>
      <w:r>
        <w:rPr>
          <w:rFonts w:hint="default"/>
          <w:color w:val="000000"/>
          <w:sz w:val="33"/>
          <w:szCs w:val="33"/>
          <w:lang w:eastAsia="zh-CN"/>
        </w:rPr>
        <w:t>质效双</w:t>
      </w:r>
      <w:r>
        <w:rPr>
          <w:rFonts w:hint="default"/>
          <w:color w:val="000000"/>
          <w:sz w:val="33"/>
          <w:szCs w:val="33"/>
          <w:lang w:val="en-US" w:eastAsia="zh-CN"/>
        </w:rPr>
        <w:t>优</w:t>
      </w:r>
      <w:r>
        <w:rPr>
          <w:rFonts w:hint="default"/>
          <w:color w:val="000000"/>
          <w:sz w:val="33"/>
          <w:szCs w:val="33"/>
          <w:lang w:eastAsia="zh-CN"/>
        </w:rPr>
        <w:t>。聚焦“家有所安”，</w:t>
      </w:r>
      <w:r>
        <w:rPr>
          <w:rFonts w:hint="default"/>
          <w:color w:val="000000"/>
          <w:sz w:val="33"/>
          <w:szCs w:val="33"/>
        </w:rPr>
        <w:t>审结抚养、赡养、</w:t>
      </w:r>
      <w:r>
        <w:rPr>
          <w:rFonts w:hint="eastAsia"/>
          <w:color w:val="000000"/>
          <w:sz w:val="33"/>
          <w:szCs w:val="33"/>
          <w:lang w:eastAsia="zh-CN"/>
        </w:rPr>
        <w:t>离婚</w:t>
      </w:r>
      <w:r>
        <w:rPr>
          <w:rFonts w:hint="default"/>
          <w:color w:val="000000"/>
          <w:sz w:val="33"/>
          <w:szCs w:val="33"/>
          <w:lang w:eastAsia="zh-CN"/>
        </w:rPr>
        <w:t>等案件</w:t>
      </w:r>
      <w:r>
        <w:rPr>
          <w:rFonts w:hint="default"/>
          <w:color w:val="000000"/>
          <w:sz w:val="33"/>
          <w:szCs w:val="33"/>
          <w:lang w:val="en-US" w:eastAsia="zh-CN"/>
        </w:rPr>
        <w:t>202件，</w:t>
      </w:r>
      <w:r>
        <w:rPr>
          <w:rFonts w:hint="default"/>
          <w:color w:val="000000"/>
          <w:sz w:val="33"/>
          <w:szCs w:val="33"/>
          <w:lang w:eastAsia="zh-CN"/>
        </w:rPr>
        <w:t>首次适用《攀枝花市文明行为促进条例》判决涉高价彩礼返还离婚案</w:t>
      </w:r>
      <w:r>
        <w:rPr>
          <w:rFonts w:hint="default"/>
          <w:color w:val="000000"/>
          <w:sz w:val="33"/>
          <w:szCs w:val="33"/>
          <w:lang w:val="en-US" w:eastAsia="zh-CN"/>
        </w:rPr>
        <w:t>，获《法治日报》《四川法治报》等多家主流媒体报道。</w:t>
      </w:r>
      <w:r>
        <w:rPr>
          <w:rFonts w:hint="eastAsia"/>
          <w:color w:val="000000"/>
          <w:sz w:val="33"/>
          <w:szCs w:val="33"/>
          <w:lang w:eastAsia="zh-CN"/>
        </w:rPr>
        <w:t>判令与被继承人共同生活且尽了抚养义务的王某多分遗产，</w:t>
      </w:r>
      <w:r>
        <w:rPr>
          <w:rFonts w:hint="eastAsia"/>
          <w:color w:val="000000"/>
          <w:sz w:val="33"/>
          <w:szCs w:val="33"/>
        </w:rPr>
        <w:t>引导公众正确处理“黄昏恋”导致的财产继承问题</w:t>
      </w:r>
      <w:r>
        <w:rPr>
          <w:rFonts w:hint="eastAsia"/>
          <w:color w:val="000000"/>
          <w:sz w:val="33"/>
          <w:szCs w:val="33"/>
          <w:lang w:eastAsia="zh-CN"/>
        </w:rPr>
        <w:t>，让“老有所养”真正“养”。</w:t>
      </w:r>
      <w:r>
        <w:rPr>
          <w:rFonts w:hint="default"/>
          <w:color w:val="000000"/>
          <w:sz w:val="33"/>
          <w:szCs w:val="33"/>
          <w:lang w:eastAsia="zh-CN"/>
        </w:rPr>
        <w:t>聚焦“住有所居”，</w:t>
      </w:r>
      <w:r>
        <w:rPr>
          <w:rFonts w:hint="default"/>
          <w:color w:val="000000"/>
          <w:sz w:val="33"/>
          <w:szCs w:val="33"/>
        </w:rPr>
        <w:t>审结房屋买卖、物业服务</w:t>
      </w:r>
      <w:r>
        <w:rPr>
          <w:rFonts w:hint="default"/>
          <w:color w:val="000000"/>
          <w:sz w:val="33"/>
          <w:szCs w:val="33"/>
          <w:lang w:eastAsia="zh-CN"/>
        </w:rPr>
        <w:t>纠纷</w:t>
      </w:r>
      <w:r>
        <w:rPr>
          <w:rFonts w:hint="default"/>
          <w:color w:val="000000"/>
          <w:sz w:val="33"/>
          <w:szCs w:val="33"/>
        </w:rPr>
        <w:t>等案件</w:t>
      </w:r>
      <w:r>
        <w:rPr>
          <w:rFonts w:hint="default"/>
          <w:color w:val="000000"/>
          <w:sz w:val="33"/>
          <w:szCs w:val="33"/>
          <w:lang w:val="en-US" w:eastAsia="zh-CN"/>
        </w:rPr>
        <w:t>314</w:t>
      </w:r>
      <w:r>
        <w:rPr>
          <w:rFonts w:hint="default"/>
          <w:color w:val="000000"/>
          <w:sz w:val="33"/>
          <w:szCs w:val="33"/>
        </w:rPr>
        <w:t>件</w:t>
      </w:r>
      <w:r>
        <w:rPr>
          <w:rFonts w:hint="default"/>
          <w:color w:val="000000"/>
          <w:sz w:val="33"/>
          <w:szCs w:val="33"/>
          <w:lang w:eastAsia="zh-CN"/>
        </w:rPr>
        <w:t>，以要素</w:t>
      </w:r>
      <w:r>
        <w:rPr>
          <w:rFonts w:hint="default"/>
          <w:color w:val="000000"/>
          <w:sz w:val="33"/>
          <w:szCs w:val="33"/>
          <w:lang w:val="en-US" w:eastAsia="zh-CN"/>
        </w:rPr>
        <w:t>式</w:t>
      </w:r>
      <w:r>
        <w:rPr>
          <w:rFonts w:hint="default"/>
          <w:color w:val="000000"/>
          <w:sz w:val="33"/>
          <w:szCs w:val="33"/>
          <w:lang w:eastAsia="zh-CN"/>
        </w:rPr>
        <w:t>审理、表格</w:t>
      </w:r>
      <w:r>
        <w:rPr>
          <w:rFonts w:hint="default"/>
          <w:color w:val="000000"/>
          <w:sz w:val="33"/>
          <w:szCs w:val="33"/>
          <w:lang w:val="en-US" w:eastAsia="zh-CN"/>
        </w:rPr>
        <w:t>式</w:t>
      </w:r>
      <w:r>
        <w:rPr>
          <w:rFonts w:hint="default"/>
          <w:color w:val="000000"/>
          <w:sz w:val="33"/>
          <w:szCs w:val="33"/>
          <w:lang w:eastAsia="zh-CN"/>
        </w:rPr>
        <w:t>判决、示范</w:t>
      </w:r>
      <w:r>
        <w:rPr>
          <w:rFonts w:hint="default"/>
          <w:color w:val="000000"/>
          <w:sz w:val="33"/>
          <w:szCs w:val="33"/>
          <w:lang w:val="en-US" w:eastAsia="zh-CN"/>
        </w:rPr>
        <w:t>性</w:t>
      </w:r>
      <w:r>
        <w:rPr>
          <w:rFonts w:hint="default"/>
          <w:color w:val="000000"/>
          <w:sz w:val="33"/>
          <w:szCs w:val="33"/>
          <w:lang w:eastAsia="zh-CN"/>
        </w:rPr>
        <w:t>诉讼一揽子举措守护辖区群众“安居梦”。聚</w:t>
      </w:r>
      <w:r>
        <w:rPr>
          <w:rFonts w:hint="default"/>
          <w:color w:val="000000"/>
          <w:sz w:val="33"/>
          <w:szCs w:val="33"/>
          <w:lang w:val="en-US" w:eastAsia="zh-CN"/>
        </w:rPr>
        <w:t>焦“劳有所得”</w:t>
      </w:r>
      <w:r>
        <w:rPr>
          <w:rFonts w:hint="eastAsia"/>
          <w:color w:val="000000"/>
          <w:sz w:val="33"/>
          <w:szCs w:val="33"/>
          <w:lang w:val="en-US" w:eastAsia="zh-CN"/>
        </w:rPr>
        <w:t>，</w:t>
      </w:r>
      <w:r>
        <w:rPr>
          <w:rFonts w:hint="default"/>
          <w:color w:val="000000"/>
          <w:sz w:val="33"/>
          <w:szCs w:val="33"/>
        </w:rPr>
        <w:t>审</w:t>
      </w:r>
      <w:r>
        <w:rPr>
          <w:rFonts w:hint="eastAsia"/>
          <w:color w:val="000000"/>
          <w:sz w:val="33"/>
          <w:szCs w:val="33"/>
          <w:lang w:eastAsia="zh-CN"/>
        </w:rPr>
        <w:t>结</w:t>
      </w:r>
      <w:r>
        <w:rPr>
          <w:rFonts w:hint="default"/>
          <w:color w:val="000000"/>
          <w:sz w:val="33"/>
          <w:szCs w:val="33"/>
          <w:lang w:eastAsia="zh-CN"/>
        </w:rPr>
        <w:t>劳动争议</w:t>
      </w:r>
      <w:r>
        <w:rPr>
          <w:rFonts w:hint="default"/>
          <w:color w:val="000000"/>
          <w:sz w:val="33"/>
          <w:szCs w:val="33"/>
        </w:rPr>
        <w:t>、工伤补偿、追索</w:t>
      </w:r>
      <w:r>
        <w:rPr>
          <w:rFonts w:hint="default"/>
          <w:color w:val="000000"/>
          <w:sz w:val="33"/>
          <w:szCs w:val="33"/>
          <w:lang w:eastAsia="zh-CN"/>
        </w:rPr>
        <w:t>劳动报酬</w:t>
      </w:r>
      <w:r>
        <w:rPr>
          <w:rFonts w:hint="default"/>
          <w:color w:val="000000"/>
          <w:sz w:val="33"/>
          <w:szCs w:val="33"/>
        </w:rPr>
        <w:t>等案件</w:t>
      </w:r>
      <w:r>
        <w:rPr>
          <w:rFonts w:hint="default"/>
          <w:color w:val="000000"/>
          <w:sz w:val="33"/>
          <w:szCs w:val="33"/>
          <w:lang w:val="en-US" w:eastAsia="zh-CN"/>
        </w:rPr>
        <w:t>80</w:t>
      </w:r>
      <w:r>
        <w:rPr>
          <w:rFonts w:hint="default"/>
          <w:color w:val="000000"/>
          <w:sz w:val="33"/>
          <w:szCs w:val="33"/>
        </w:rPr>
        <w:t>件，帮助农民工追回“血汗钱”</w:t>
      </w:r>
      <w:r>
        <w:rPr>
          <w:rFonts w:hint="default"/>
          <w:color w:val="000000"/>
          <w:sz w:val="33"/>
          <w:szCs w:val="33"/>
          <w:lang w:val="en-US" w:eastAsia="zh-CN"/>
        </w:rPr>
        <w:t>560.8</w:t>
      </w:r>
      <w:r>
        <w:rPr>
          <w:rFonts w:hint="default"/>
          <w:color w:val="000000"/>
          <w:sz w:val="33"/>
          <w:szCs w:val="33"/>
          <w:lang w:eastAsia="zh-CN"/>
        </w:rPr>
        <w:t>万</w:t>
      </w:r>
      <w:r>
        <w:rPr>
          <w:rFonts w:hint="default"/>
          <w:color w:val="000000"/>
          <w:sz w:val="33"/>
          <w:szCs w:val="33"/>
        </w:rPr>
        <w:t>元</w:t>
      </w:r>
      <w:r>
        <w:rPr>
          <w:rFonts w:hint="default"/>
          <w:color w:val="000000"/>
          <w:sz w:val="33"/>
          <w:szCs w:val="33"/>
          <w:lang w:eastAsia="zh-CN"/>
        </w:rPr>
        <w:t>，让劳动所得“</w:t>
      </w:r>
      <w:r>
        <w:rPr>
          <w:rFonts w:hint="default"/>
          <w:color w:val="000000"/>
          <w:sz w:val="33"/>
          <w:szCs w:val="33"/>
          <w:lang w:val="en-US" w:eastAsia="zh-CN"/>
        </w:rPr>
        <w:t>稳稳落袋</w:t>
      </w:r>
      <w:r>
        <w:rPr>
          <w:rFonts w:hint="default"/>
          <w:color w:val="000000"/>
          <w:sz w:val="33"/>
          <w:szCs w:val="33"/>
          <w:lang w:eastAsia="zh-CN"/>
        </w:rPr>
        <w:t>”</w:t>
      </w:r>
      <w:r>
        <w:rPr>
          <w:rFonts w:hint="default"/>
          <w:color w:val="000000"/>
          <w:sz w:val="33"/>
          <w:szCs w:val="33"/>
        </w:rPr>
        <w:t>。</w:t>
      </w:r>
      <w:r>
        <w:rPr>
          <w:rFonts w:hint="default"/>
          <w:color w:val="000000"/>
          <w:sz w:val="33"/>
          <w:szCs w:val="33"/>
          <w:lang w:eastAsia="zh-CN"/>
        </w:rPr>
        <w:t>聚焦“安有所保”，</w:t>
      </w:r>
      <w:r>
        <w:rPr>
          <w:rFonts w:hint="default"/>
          <w:color w:val="000000"/>
          <w:sz w:val="33"/>
          <w:szCs w:val="33"/>
        </w:rPr>
        <w:t>审结人身</w:t>
      </w:r>
      <w:r>
        <w:rPr>
          <w:rFonts w:hint="default"/>
          <w:color w:val="000000"/>
          <w:sz w:val="33"/>
          <w:szCs w:val="33"/>
          <w:lang w:eastAsia="zh-CN"/>
        </w:rPr>
        <w:t>、财产</w:t>
      </w:r>
      <w:r>
        <w:rPr>
          <w:rFonts w:hint="default"/>
          <w:color w:val="000000"/>
          <w:sz w:val="33"/>
          <w:szCs w:val="33"/>
        </w:rPr>
        <w:t>损害</w:t>
      </w:r>
      <w:r>
        <w:rPr>
          <w:rFonts w:hint="default"/>
          <w:color w:val="000000"/>
          <w:sz w:val="33"/>
          <w:szCs w:val="33"/>
          <w:lang w:eastAsia="zh-CN"/>
        </w:rPr>
        <w:t>等案件</w:t>
      </w:r>
      <w:r>
        <w:rPr>
          <w:rFonts w:hint="default"/>
          <w:color w:val="000000"/>
          <w:sz w:val="33"/>
          <w:szCs w:val="33"/>
          <w:lang w:val="en-US" w:eastAsia="zh-CN"/>
        </w:rPr>
        <w:t>47件，依法判决利用网络平台造谣诽谤</w:t>
      </w:r>
      <w:r>
        <w:rPr>
          <w:rFonts w:hint="eastAsia"/>
          <w:color w:val="000000"/>
          <w:sz w:val="33"/>
          <w:szCs w:val="33"/>
          <w:lang w:val="en-US" w:eastAsia="zh-CN"/>
        </w:rPr>
        <w:t>他人</w:t>
      </w:r>
      <w:r>
        <w:rPr>
          <w:rFonts w:hint="default"/>
          <w:color w:val="000000"/>
          <w:sz w:val="33"/>
          <w:szCs w:val="33"/>
          <w:lang w:val="en-US" w:eastAsia="zh-CN"/>
        </w:rPr>
        <w:t>的某网络游戏知名主播孙某某公开赔礼道歉，赔偿</w:t>
      </w:r>
      <w:r>
        <w:rPr>
          <w:rFonts w:hint="eastAsia"/>
          <w:color w:val="000000"/>
          <w:sz w:val="33"/>
          <w:szCs w:val="33"/>
          <w:lang w:val="en-US" w:eastAsia="zh-CN"/>
        </w:rPr>
        <w:t>名誉</w:t>
      </w:r>
      <w:r>
        <w:rPr>
          <w:rFonts w:hint="default"/>
          <w:color w:val="000000"/>
          <w:sz w:val="33"/>
          <w:szCs w:val="33"/>
          <w:lang w:val="en-US" w:eastAsia="zh-CN"/>
        </w:rPr>
        <w:t>损失</w:t>
      </w:r>
      <w:r>
        <w:rPr>
          <w:rFonts w:hint="eastAsia"/>
          <w:color w:val="000000"/>
          <w:sz w:val="33"/>
          <w:szCs w:val="33"/>
          <w:lang w:val="en-US" w:eastAsia="zh-CN"/>
        </w:rPr>
        <w:t>，</w:t>
      </w:r>
      <w:r>
        <w:rPr>
          <w:rFonts w:hint="default"/>
          <w:color w:val="000000"/>
          <w:sz w:val="33"/>
          <w:szCs w:val="33"/>
          <w:lang w:val="en-US" w:eastAsia="zh-CN"/>
        </w:rPr>
        <w:t>明确虚拟人格保护边界，延伸人</w:t>
      </w:r>
      <w:r>
        <w:rPr>
          <w:rFonts w:hint="eastAsia"/>
          <w:color w:val="000000"/>
          <w:sz w:val="33"/>
          <w:szCs w:val="33"/>
          <w:lang w:val="en-US" w:eastAsia="zh-CN"/>
        </w:rPr>
        <w:t>格</w:t>
      </w:r>
      <w:r>
        <w:rPr>
          <w:rFonts w:hint="default"/>
          <w:color w:val="000000"/>
          <w:sz w:val="33"/>
          <w:szCs w:val="33"/>
          <w:lang w:val="en-US" w:eastAsia="zh-CN"/>
        </w:rPr>
        <w:t>权司法保护链条</w:t>
      </w:r>
      <w:r>
        <w:rPr>
          <w:rFonts w:hint="default"/>
          <w:color w:val="000000"/>
          <w:sz w:val="33"/>
          <w:szCs w:val="33"/>
          <w:lang w:eastAsia="zh-CN"/>
        </w:rPr>
        <w:t>。聚焦“业有所护”，</w:t>
      </w:r>
      <w:r>
        <w:rPr>
          <w:rFonts w:hint="default"/>
          <w:color w:val="000000"/>
          <w:sz w:val="33"/>
          <w:szCs w:val="33"/>
        </w:rPr>
        <w:t>审结借贷、买卖</w:t>
      </w:r>
      <w:r>
        <w:rPr>
          <w:rFonts w:hint="default"/>
          <w:color w:val="000000"/>
          <w:sz w:val="33"/>
          <w:szCs w:val="33"/>
          <w:lang w:eastAsia="zh-CN"/>
        </w:rPr>
        <w:t>、租赁等合同</w:t>
      </w:r>
      <w:r>
        <w:rPr>
          <w:rFonts w:hint="default"/>
          <w:color w:val="000000"/>
          <w:sz w:val="33"/>
          <w:szCs w:val="33"/>
        </w:rPr>
        <w:t>案件</w:t>
      </w:r>
      <w:r>
        <w:rPr>
          <w:rFonts w:hint="default"/>
          <w:color w:val="000000"/>
          <w:sz w:val="33"/>
          <w:szCs w:val="33"/>
          <w:lang w:val="en-US" w:eastAsia="zh-CN"/>
        </w:rPr>
        <w:t>845</w:t>
      </w:r>
      <w:r>
        <w:rPr>
          <w:rFonts w:hint="default"/>
          <w:color w:val="000000"/>
          <w:sz w:val="33"/>
          <w:szCs w:val="33"/>
        </w:rPr>
        <w:t>件，</w:t>
      </w:r>
      <w:r>
        <w:rPr>
          <w:rFonts w:hint="default"/>
          <w:color w:val="000000"/>
          <w:sz w:val="33"/>
          <w:szCs w:val="33"/>
          <w:lang w:val="en-US" w:eastAsia="zh-CN"/>
        </w:rPr>
        <w:t>对</w:t>
      </w:r>
      <w:r>
        <w:rPr>
          <w:rFonts w:hint="default"/>
          <w:color w:val="000000"/>
          <w:sz w:val="33"/>
          <w:szCs w:val="33"/>
          <w:lang w:eastAsia="zh-CN"/>
        </w:rPr>
        <w:t>直播</w:t>
      </w:r>
      <w:r>
        <w:rPr>
          <w:rFonts w:hint="eastAsia"/>
          <w:color w:val="000000"/>
          <w:sz w:val="33"/>
          <w:szCs w:val="33"/>
          <w:lang w:eastAsia="zh-CN"/>
        </w:rPr>
        <w:t>销售</w:t>
      </w:r>
      <w:r>
        <w:rPr>
          <w:rFonts w:hint="default"/>
          <w:color w:val="000000"/>
          <w:sz w:val="33"/>
          <w:szCs w:val="33"/>
          <w:lang w:eastAsia="zh-CN"/>
        </w:rPr>
        <w:t>重大事故二手车</w:t>
      </w:r>
      <w:r>
        <w:rPr>
          <w:rFonts w:hint="default"/>
          <w:color w:val="000000"/>
          <w:sz w:val="33"/>
          <w:szCs w:val="33"/>
          <w:lang w:val="en-US" w:eastAsia="zh-CN"/>
        </w:rPr>
        <w:t>行为依法判决</w:t>
      </w:r>
      <w:r>
        <w:rPr>
          <w:rFonts w:hint="default"/>
          <w:color w:val="000000"/>
          <w:sz w:val="33"/>
          <w:szCs w:val="33"/>
          <w:lang w:eastAsia="zh-CN"/>
        </w:rPr>
        <w:t>“退一赔三”，</w:t>
      </w:r>
      <w:r>
        <w:rPr>
          <w:rFonts w:hint="default"/>
          <w:color w:val="000000"/>
          <w:sz w:val="33"/>
          <w:szCs w:val="33"/>
          <w:lang w:val="en-US" w:eastAsia="zh-CN"/>
        </w:rPr>
        <w:t>让</w:t>
      </w:r>
      <w:r>
        <w:rPr>
          <w:rFonts w:hint="default"/>
          <w:color w:val="000000"/>
          <w:sz w:val="33"/>
          <w:szCs w:val="33"/>
          <w:lang w:eastAsia="zh-CN"/>
        </w:rPr>
        <w:t>契约精神</w:t>
      </w:r>
      <w:r>
        <w:rPr>
          <w:rFonts w:hint="default"/>
          <w:color w:val="000000"/>
          <w:sz w:val="33"/>
          <w:szCs w:val="33"/>
          <w:lang w:val="en-US" w:eastAsia="zh-CN"/>
        </w:rPr>
        <w:t>落地生根</w:t>
      </w:r>
      <w:r>
        <w:rPr>
          <w:rFonts w:hint="default"/>
          <w:color w:val="000000"/>
          <w:sz w:val="33"/>
          <w:szCs w:val="33"/>
          <w:lang w:eastAsia="zh-CN"/>
        </w:rPr>
        <w:t>。</w:t>
      </w:r>
      <w:r>
        <w:rPr>
          <w:rFonts w:hint="default"/>
          <w:color w:val="000000"/>
          <w:sz w:val="33"/>
          <w:szCs w:val="33"/>
          <w:lang w:val="en-US" w:eastAsia="zh-CN"/>
        </w:rPr>
        <w:t>我</w:t>
      </w:r>
      <w:r>
        <w:rPr>
          <w:rFonts w:hint="default"/>
          <w:color w:val="000000"/>
          <w:sz w:val="33"/>
          <w:szCs w:val="33"/>
          <w:lang w:eastAsia="zh-CN"/>
        </w:rPr>
        <w:t>院获评</w:t>
      </w:r>
      <w:r>
        <w:rPr>
          <w:rFonts w:hint="default"/>
          <w:color w:val="000000"/>
          <w:sz w:val="33"/>
          <w:szCs w:val="33"/>
          <w:lang w:val="en-US" w:eastAsia="zh-CN"/>
        </w:rPr>
        <w:t>全市法院服判息诉工作成绩突出集体</w:t>
      </w:r>
      <w:r>
        <w:rPr>
          <w:rFonts w:hint="default"/>
          <w:color w:val="000000"/>
          <w:sz w:val="33"/>
          <w:szCs w:val="33"/>
          <w:lang w:eastAsia="zh-CN"/>
        </w:rPr>
        <w:t>。</w:t>
      </w:r>
    </w:p>
    <w:p w14:paraId="2C440197">
      <w:pPr>
        <w:spacing w:line="560" w:lineRule="exact"/>
        <w:ind w:firstLine="650" w:firstLineChars="197"/>
        <w:contextualSpacing/>
        <w:rPr>
          <w:rFonts w:hint="default"/>
          <w:color w:val="000000"/>
          <w:sz w:val="33"/>
          <w:szCs w:val="33"/>
        </w:rPr>
      </w:pPr>
      <w:r>
        <w:rPr>
          <w:rFonts w:hint="eastAsia"/>
          <w:color w:val="000000"/>
          <w:sz w:val="33"/>
          <w:szCs w:val="33"/>
          <w:lang w:val="en-US" w:eastAsia="zh-CN"/>
        </w:rPr>
        <w:t>依法依理</w:t>
      </w:r>
      <w:r>
        <w:rPr>
          <w:rFonts w:hint="default"/>
          <w:color w:val="000000"/>
          <w:sz w:val="33"/>
          <w:szCs w:val="33"/>
          <w:lang w:val="en-US" w:eastAsia="zh-CN"/>
        </w:rPr>
        <w:t>攻坚执行难。秉持“如我在执”理念，</w:t>
      </w:r>
      <w:r>
        <w:rPr>
          <w:rFonts w:hint="default"/>
          <w:color w:val="000000"/>
          <w:sz w:val="33"/>
          <w:szCs w:val="33"/>
        </w:rPr>
        <w:t>执结执行案件</w:t>
      </w:r>
      <w:r>
        <w:rPr>
          <w:rFonts w:hint="default"/>
          <w:color w:val="000000"/>
          <w:sz w:val="33"/>
          <w:szCs w:val="33"/>
          <w:lang w:val="en-US" w:eastAsia="zh-CN"/>
        </w:rPr>
        <w:t>1236</w:t>
      </w:r>
      <w:r>
        <w:rPr>
          <w:rFonts w:hint="default"/>
          <w:color w:val="000000"/>
          <w:sz w:val="33"/>
          <w:szCs w:val="33"/>
        </w:rPr>
        <w:t>件，执行到位</w:t>
      </w:r>
      <w:r>
        <w:rPr>
          <w:rFonts w:hint="default"/>
          <w:color w:val="000000"/>
          <w:sz w:val="33"/>
          <w:szCs w:val="33"/>
          <w:lang w:val="en-US" w:eastAsia="zh-CN"/>
        </w:rPr>
        <w:t>2.17</w:t>
      </w:r>
      <w:r>
        <w:rPr>
          <w:rFonts w:hint="default"/>
          <w:color w:val="000000"/>
          <w:sz w:val="33"/>
          <w:szCs w:val="33"/>
        </w:rPr>
        <w:t>亿元，</w:t>
      </w:r>
      <w:r>
        <w:rPr>
          <w:rFonts w:hint="default"/>
          <w:color w:val="000000"/>
          <w:sz w:val="33"/>
          <w:szCs w:val="33"/>
          <w:lang w:val="en-US" w:eastAsia="zh-CN"/>
        </w:rPr>
        <w:t>同比增加0.97亿元，</w:t>
      </w:r>
      <w:r>
        <w:rPr>
          <w:rFonts w:hint="default"/>
          <w:color w:val="000000"/>
          <w:sz w:val="33"/>
          <w:szCs w:val="33"/>
        </w:rPr>
        <w:t>执行到位率</w:t>
      </w:r>
      <w:r>
        <w:rPr>
          <w:rFonts w:hint="default"/>
          <w:color w:val="000000"/>
          <w:sz w:val="33"/>
          <w:szCs w:val="33"/>
          <w:lang w:val="en-US" w:eastAsia="zh-CN"/>
        </w:rPr>
        <w:t>57.02%</w:t>
      </w:r>
      <w:r>
        <w:rPr>
          <w:rFonts w:hint="default"/>
          <w:color w:val="000000"/>
          <w:sz w:val="33"/>
          <w:szCs w:val="33"/>
          <w:lang w:eastAsia="zh-CN"/>
        </w:rPr>
        <w:t>，位</w:t>
      </w:r>
      <w:r>
        <w:rPr>
          <w:rFonts w:hint="default"/>
          <w:color w:val="000000"/>
          <w:sz w:val="33"/>
          <w:szCs w:val="33"/>
          <w:lang w:val="en-US" w:eastAsia="zh-CN"/>
        </w:rPr>
        <w:t>居</w:t>
      </w:r>
      <w:r>
        <w:rPr>
          <w:rFonts w:hint="default"/>
          <w:color w:val="000000"/>
          <w:sz w:val="33"/>
          <w:szCs w:val="33"/>
          <w:lang w:eastAsia="zh-CN"/>
        </w:rPr>
        <w:t>全市法院第一</w:t>
      </w:r>
      <w:r>
        <w:rPr>
          <w:rFonts w:hint="default"/>
          <w:color w:val="000000"/>
          <w:sz w:val="33"/>
          <w:szCs w:val="33"/>
        </w:rPr>
        <w:t>。</w:t>
      </w:r>
      <w:r>
        <w:rPr>
          <w:rFonts w:hint="default"/>
          <w:color w:val="000000"/>
          <w:sz w:val="33"/>
          <w:szCs w:val="33"/>
          <w:lang w:eastAsia="zh-CN"/>
        </w:rPr>
        <w:t>前端源头治理</w:t>
      </w:r>
      <w:r>
        <w:rPr>
          <w:rFonts w:hint="default"/>
          <w:color w:val="000000"/>
          <w:sz w:val="33"/>
          <w:szCs w:val="33"/>
          <w:lang w:val="en-US" w:eastAsia="zh-CN"/>
        </w:rPr>
        <w:t>提质效</w:t>
      </w:r>
      <w:r>
        <w:rPr>
          <w:rFonts w:hint="default"/>
          <w:color w:val="000000"/>
          <w:sz w:val="33"/>
          <w:szCs w:val="33"/>
          <w:lang w:eastAsia="zh-CN"/>
        </w:rPr>
        <w:t>，</w:t>
      </w:r>
      <w:r>
        <w:rPr>
          <w:rFonts w:hint="default"/>
          <w:color w:val="000000"/>
          <w:sz w:val="33"/>
          <w:szCs w:val="33"/>
        </w:rPr>
        <w:t>完善执前督促和解</w:t>
      </w:r>
      <w:r>
        <w:rPr>
          <w:rFonts w:hint="default"/>
          <w:color w:val="000000"/>
          <w:sz w:val="33"/>
          <w:szCs w:val="33"/>
          <w:lang w:eastAsia="zh-CN"/>
        </w:rPr>
        <w:t>与</w:t>
      </w:r>
      <w:r>
        <w:rPr>
          <w:rFonts w:hint="default"/>
          <w:color w:val="000000"/>
          <w:sz w:val="33"/>
          <w:szCs w:val="33"/>
        </w:rPr>
        <w:t>自动履行双向激励机制，推广使用</w:t>
      </w:r>
      <w:r>
        <w:rPr>
          <w:rFonts w:hint="default"/>
          <w:color w:val="000000"/>
          <w:sz w:val="33"/>
          <w:szCs w:val="33"/>
          <w:lang w:eastAsia="zh-CN"/>
        </w:rPr>
        <w:t>“</w:t>
      </w:r>
      <w:r>
        <w:rPr>
          <w:rFonts w:hint="default"/>
          <w:color w:val="000000"/>
          <w:sz w:val="33"/>
          <w:szCs w:val="33"/>
        </w:rPr>
        <w:t>预罚款</w:t>
      </w:r>
      <w:r>
        <w:rPr>
          <w:rFonts w:hint="default"/>
          <w:color w:val="000000"/>
          <w:sz w:val="33"/>
          <w:szCs w:val="33"/>
          <w:lang w:eastAsia="zh-CN"/>
        </w:rPr>
        <w:t>”</w:t>
      </w:r>
      <w:r>
        <w:rPr>
          <w:rFonts w:hint="default"/>
          <w:color w:val="000000"/>
          <w:sz w:val="33"/>
          <w:szCs w:val="33"/>
        </w:rPr>
        <w:t>“预拘留” 等惩戒预警措施，</w:t>
      </w:r>
      <w:r>
        <w:rPr>
          <w:rFonts w:hint="default"/>
          <w:color w:val="000000"/>
          <w:sz w:val="33"/>
          <w:szCs w:val="33"/>
          <w:lang w:eastAsia="zh-CN"/>
        </w:rPr>
        <w:t>促成</w:t>
      </w:r>
      <w:r>
        <w:rPr>
          <w:rFonts w:hint="default"/>
          <w:color w:val="000000"/>
          <w:sz w:val="33"/>
          <w:szCs w:val="33"/>
          <w:lang w:val="en-US" w:eastAsia="zh-CN"/>
        </w:rPr>
        <w:t>205</w:t>
      </w:r>
      <w:r>
        <w:rPr>
          <w:rFonts w:hint="default"/>
          <w:color w:val="000000"/>
          <w:sz w:val="33"/>
          <w:szCs w:val="33"/>
          <w:lang w:eastAsia="zh-CN"/>
        </w:rPr>
        <w:t>件案件主动履行，标的额超</w:t>
      </w:r>
      <w:r>
        <w:rPr>
          <w:rFonts w:hint="eastAsia"/>
          <w:color w:val="000000"/>
          <w:sz w:val="33"/>
          <w:szCs w:val="33"/>
          <w:lang w:val="en-US" w:eastAsia="zh-CN"/>
        </w:rPr>
        <w:t>800</w:t>
      </w:r>
      <w:r>
        <w:rPr>
          <w:rFonts w:hint="default"/>
          <w:color w:val="000000"/>
          <w:sz w:val="33"/>
          <w:szCs w:val="33"/>
          <w:lang w:eastAsia="zh-CN"/>
        </w:rPr>
        <w:t>万元。中端强制威慑</w:t>
      </w:r>
      <w:r>
        <w:rPr>
          <w:rFonts w:hint="default"/>
          <w:color w:val="000000"/>
          <w:sz w:val="33"/>
          <w:szCs w:val="33"/>
          <w:lang w:val="en-US" w:eastAsia="zh-CN"/>
        </w:rPr>
        <w:t>显威力</w:t>
      </w:r>
      <w:r>
        <w:rPr>
          <w:rFonts w:hint="default"/>
          <w:color w:val="000000"/>
          <w:sz w:val="33"/>
          <w:szCs w:val="33"/>
          <w:lang w:eastAsia="zh-CN"/>
        </w:rPr>
        <w:t>，</w:t>
      </w:r>
      <w:r>
        <w:rPr>
          <w:rFonts w:hint="default"/>
          <w:color w:val="000000"/>
          <w:sz w:val="33"/>
          <w:szCs w:val="33"/>
          <w:lang w:val="en-US" w:eastAsia="zh-CN"/>
        </w:rPr>
        <w:t>推行“执行110+24小时警务”办案模式，出警200余人次，对216人实施拘留、罚款，限制高消费720人次，纳入失信名单8人，查封扣押财产3797件次</w:t>
      </w:r>
      <w:r>
        <w:rPr>
          <w:rFonts w:hint="eastAsia"/>
          <w:color w:val="000000"/>
          <w:sz w:val="33"/>
          <w:szCs w:val="33"/>
          <w:lang w:val="en-US" w:eastAsia="zh-CN"/>
        </w:rPr>
        <w:t>。</w:t>
      </w:r>
      <w:r>
        <w:rPr>
          <w:rFonts w:hint="default"/>
          <w:color w:val="000000"/>
          <w:sz w:val="33"/>
          <w:szCs w:val="33"/>
          <w:lang w:val="en-US" w:eastAsia="zh-CN"/>
        </w:rPr>
        <w:t>在全市法院率先</w:t>
      </w:r>
      <w:r>
        <w:rPr>
          <w:rFonts w:hint="eastAsia"/>
          <w:color w:val="000000"/>
          <w:sz w:val="33"/>
          <w:szCs w:val="33"/>
          <w:lang w:val="en-US" w:eastAsia="zh-CN"/>
        </w:rPr>
        <w:t>以拒不执行判决、裁定罪判处隐匿房产拒不执行的被告人李某某有期徒刑十个月，</w:t>
      </w:r>
      <w:r>
        <w:rPr>
          <w:rFonts w:hint="default"/>
          <w:color w:val="000000"/>
          <w:sz w:val="33"/>
          <w:szCs w:val="33"/>
          <w:lang w:val="en-US" w:eastAsia="zh-CN"/>
        </w:rPr>
        <w:t>形成强大震慑。末端民生攻坚暖民心，</w:t>
      </w:r>
      <w:r>
        <w:rPr>
          <w:rFonts w:hint="default"/>
          <w:color w:val="000000"/>
          <w:sz w:val="33"/>
          <w:szCs w:val="33"/>
          <w:lang w:eastAsia="zh-CN"/>
        </w:rPr>
        <w:t>开展“终本清仓”</w:t>
      </w:r>
      <w:r>
        <w:rPr>
          <w:rFonts w:hint="default"/>
          <w:color w:val="000000"/>
          <w:sz w:val="33"/>
          <w:szCs w:val="33"/>
          <w:lang w:val="en-US" w:eastAsia="zh-CN"/>
        </w:rPr>
        <w:t xml:space="preserve"> 百日攻坚专项行动</w:t>
      </w:r>
      <w:r>
        <w:rPr>
          <w:rFonts w:hint="default"/>
          <w:color w:val="000000"/>
          <w:sz w:val="33"/>
          <w:szCs w:val="33"/>
          <w:lang w:eastAsia="zh-CN"/>
        </w:rPr>
        <w:t>，</w:t>
      </w:r>
      <w:r>
        <w:rPr>
          <w:rFonts w:hint="default"/>
          <w:color w:val="000000"/>
          <w:sz w:val="33"/>
          <w:szCs w:val="33"/>
        </w:rPr>
        <w:t>清理核查历史积案</w:t>
      </w:r>
      <w:r>
        <w:rPr>
          <w:rFonts w:hint="default"/>
          <w:color w:val="000000"/>
          <w:sz w:val="33"/>
          <w:szCs w:val="33"/>
          <w:lang w:val="en-US" w:eastAsia="zh-CN"/>
        </w:rPr>
        <w:t>1024</w:t>
      </w:r>
      <w:r>
        <w:rPr>
          <w:rFonts w:hint="default"/>
          <w:color w:val="000000"/>
          <w:sz w:val="33"/>
          <w:szCs w:val="33"/>
        </w:rPr>
        <w:t>件，执行到位</w:t>
      </w:r>
      <w:r>
        <w:rPr>
          <w:rFonts w:hint="default"/>
          <w:color w:val="000000"/>
          <w:sz w:val="33"/>
          <w:szCs w:val="33"/>
          <w:lang w:val="en-US" w:eastAsia="zh-CN"/>
        </w:rPr>
        <w:t>1265.7</w:t>
      </w:r>
      <w:r>
        <w:rPr>
          <w:rFonts w:hint="default"/>
          <w:color w:val="000000"/>
          <w:sz w:val="33"/>
          <w:szCs w:val="33"/>
        </w:rPr>
        <w:t>万元</w:t>
      </w:r>
      <w:r>
        <w:rPr>
          <w:rFonts w:hint="default"/>
          <w:color w:val="000000"/>
          <w:sz w:val="33"/>
          <w:szCs w:val="33"/>
          <w:lang w:eastAsia="zh-CN"/>
        </w:rPr>
        <w:t>。突出“小案快执”，</w:t>
      </w:r>
      <w:r>
        <w:rPr>
          <w:rFonts w:hint="default"/>
          <w:color w:val="000000"/>
          <w:sz w:val="33"/>
          <w:szCs w:val="33"/>
          <w:lang w:val="en-US" w:eastAsia="zh-CN"/>
        </w:rPr>
        <w:t>成功执结涉民生案件377件，集中兑付21名农民</w:t>
      </w:r>
      <w:r>
        <w:rPr>
          <w:rFonts w:hint="default"/>
          <w:color w:val="000000"/>
          <w:sz w:val="33"/>
          <w:szCs w:val="33"/>
          <w:lang w:eastAsia="zh-CN"/>
        </w:rPr>
        <w:t>工</w:t>
      </w:r>
      <w:r>
        <w:rPr>
          <w:rFonts w:hint="default"/>
          <w:color w:val="000000"/>
          <w:sz w:val="33"/>
          <w:szCs w:val="33"/>
          <w:lang w:val="en-US" w:eastAsia="zh-CN"/>
        </w:rPr>
        <w:t>工资236.94万元，</w:t>
      </w:r>
      <w:r>
        <w:rPr>
          <w:rFonts w:hint="default"/>
          <w:color w:val="000000"/>
          <w:sz w:val="33"/>
          <w:szCs w:val="33"/>
          <w:lang w:eastAsia="zh-CN"/>
        </w:rPr>
        <w:t>向</w:t>
      </w:r>
      <w:r>
        <w:rPr>
          <w:rFonts w:hint="default"/>
          <w:color w:val="000000"/>
          <w:sz w:val="33"/>
          <w:szCs w:val="33"/>
          <w:lang w:val="en-US" w:eastAsia="zh-CN"/>
        </w:rPr>
        <w:t>6名困难当事人</w:t>
      </w:r>
      <w:r>
        <w:rPr>
          <w:rFonts w:hint="default"/>
          <w:color w:val="000000"/>
          <w:sz w:val="33"/>
          <w:szCs w:val="33"/>
          <w:lang w:eastAsia="zh-CN"/>
        </w:rPr>
        <w:t>发放</w:t>
      </w:r>
      <w:r>
        <w:rPr>
          <w:rFonts w:hint="default"/>
          <w:color w:val="000000"/>
          <w:sz w:val="33"/>
          <w:szCs w:val="33"/>
          <w:lang w:val="en-US" w:eastAsia="zh-CN"/>
        </w:rPr>
        <w:t>执行救助</w:t>
      </w:r>
      <w:r>
        <w:rPr>
          <w:rFonts w:hint="default"/>
          <w:color w:val="000000"/>
          <w:sz w:val="33"/>
          <w:szCs w:val="33"/>
          <w:lang w:eastAsia="zh-CN"/>
        </w:rPr>
        <w:t>金</w:t>
      </w:r>
      <w:r>
        <w:rPr>
          <w:rFonts w:hint="default"/>
          <w:color w:val="000000"/>
          <w:sz w:val="33"/>
          <w:szCs w:val="33"/>
          <w:lang w:val="en-US" w:eastAsia="zh-CN"/>
        </w:rPr>
        <w:t>13.5万元，传递司法温情</w:t>
      </w:r>
      <w:r>
        <w:rPr>
          <w:rFonts w:hint="default"/>
          <w:color w:val="000000"/>
          <w:sz w:val="33"/>
          <w:szCs w:val="33"/>
          <w:lang w:eastAsia="zh-CN"/>
        </w:rPr>
        <w:t>；优化财产处置机制，</w:t>
      </w:r>
      <w:r>
        <w:rPr>
          <w:rFonts w:hint="default"/>
          <w:color w:val="000000"/>
          <w:sz w:val="33"/>
          <w:szCs w:val="33"/>
        </w:rPr>
        <w:t>网络司法拍卖成交</w:t>
      </w:r>
      <w:r>
        <w:rPr>
          <w:rFonts w:hint="default"/>
          <w:color w:val="000000"/>
          <w:sz w:val="33"/>
          <w:szCs w:val="33"/>
          <w:lang w:val="en-US" w:eastAsia="zh-CN"/>
        </w:rPr>
        <w:t>43</w:t>
      </w:r>
      <w:r>
        <w:rPr>
          <w:rFonts w:hint="default"/>
          <w:color w:val="000000"/>
          <w:sz w:val="33"/>
          <w:szCs w:val="33"/>
        </w:rPr>
        <w:t>件，成交金额</w:t>
      </w:r>
      <w:r>
        <w:rPr>
          <w:rFonts w:hint="default"/>
          <w:color w:val="000000"/>
          <w:sz w:val="33"/>
          <w:szCs w:val="33"/>
          <w:lang w:val="en-US" w:eastAsia="zh-CN"/>
        </w:rPr>
        <w:t>1479.8</w:t>
      </w:r>
      <w:r>
        <w:rPr>
          <w:rFonts w:hint="default"/>
          <w:color w:val="000000"/>
          <w:sz w:val="33"/>
          <w:szCs w:val="33"/>
        </w:rPr>
        <w:t>万元。</w:t>
      </w:r>
      <w:r>
        <w:rPr>
          <w:rFonts w:hint="eastAsia"/>
          <w:color w:val="000000"/>
          <w:sz w:val="33"/>
          <w:szCs w:val="33"/>
          <w:lang w:eastAsia="zh-CN"/>
        </w:rPr>
        <w:t>我院</w:t>
      </w:r>
      <w:r>
        <w:rPr>
          <w:rFonts w:hint="default"/>
          <w:color w:val="000000"/>
          <w:sz w:val="33"/>
          <w:szCs w:val="33"/>
          <w:lang w:eastAsia="zh-CN"/>
        </w:rPr>
        <w:t>执行质效连续</w:t>
      </w:r>
      <w:r>
        <w:rPr>
          <w:rFonts w:hint="default"/>
          <w:color w:val="000000"/>
          <w:sz w:val="33"/>
          <w:szCs w:val="33"/>
          <w:lang w:val="en-US" w:eastAsia="zh-CN"/>
        </w:rPr>
        <w:t>6</w:t>
      </w:r>
      <w:r>
        <w:rPr>
          <w:rFonts w:hint="default"/>
          <w:color w:val="000000"/>
          <w:sz w:val="33"/>
          <w:szCs w:val="33"/>
          <w:lang w:eastAsia="zh-CN"/>
        </w:rPr>
        <w:t>年位居全市法院第一。</w:t>
      </w:r>
    </w:p>
    <w:p w14:paraId="717BA871">
      <w:pPr>
        <w:spacing w:line="560" w:lineRule="exact"/>
        <w:ind w:firstLine="650" w:firstLineChars="197"/>
        <w:contextualSpacing/>
        <w:rPr>
          <w:rFonts w:hint="eastAsia"/>
          <w:color w:val="000000"/>
          <w:sz w:val="33"/>
          <w:szCs w:val="33"/>
          <w:lang w:val="en-US" w:eastAsia="zh-CN"/>
        </w:rPr>
      </w:pPr>
      <w:r>
        <w:rPr>
          <w:rFonts w:hint="eastAsia"/>
          <w:color w:val="000000"/>
          <w:sz w:val="33"/>
          <w:szCs w:val="33"/>
          <w:lang w:val="en-US" w:eastAsia="zh-CN"/>
        </w:rPr>
        <w:t>关心关爱未成年人成长</w:t>
      </w:r>
      <w:r>
        <w:rPr>
          <w:rFonts w:hint="default"/>
          <w:color w:val="000000"/>
          <w:sz w:val="33"/>
          <w:szCs w:val="33"/>
          <w:lang w:val="en-US" w:eastAsia="zh-CN"/>
        </w:rPr>
        <w:t>。</w:t>
      </w:r>
      <w:r>
        <w:rPr>
          <w:rFonts w:hint="eastAsia"/>
          <w:color w:val="000000"/>
          <w:sz w:val="33"/>
          <w:szCs w:val="33"/>
          <w:lang w:val="en-US" w:eastAsia="zh-CN"/>
        </w:rPr>
        <w:t>构建全链条未成年人保护体系，以司法温情守护未成年健康成长。厚植法治信仰，精心打造</w:t>
      </w:r>
      <w:r>
        <w:rPr>
          <w:rFonts w:hint="eastAsia"/>
          <w:color w:val="000000"/>
          <w:sz w:val="33"/>
          <w:szCs w:val="33"/>
          <w:lang w:eastAsia="zh-CN"/>
        </w:rPr>
        <w:t>“青青西法”普法教育基地</w:t>
      </w:r>
      <w:r>
        <w:rPr>
          <w:rFonts w:hint="default"/>
          <w:color w:val="000000"/>
          <w:sz w:val="33"/>
          <w:szCs w:val="33"/>
          <w:lang w:eastAsia="zh-CN"/>
        </w:rPr>
        <w:t>，</w:t>
      </w:r>
      <w:r>
        <w:rPr>
          <w:rFonts w:hint="eastAsia"/>
          <w:color w:val="000000"/>
          <w:sz w:val="33"/>
          <w:szCs w:val="33"/>
          <w:lang w:val="en-US" w:eastAsia="zh-CN"/>
        </w:rPr>
        <w:t>整合</w:t>
      </w:r>
      <w:r>
        <w:rPr>
          <w:rFonts w:hint="eastAsia"/>
          <w:color w:val="000000"/>
          <w:sz w:val="33"/>
          <w:szCs w:val="33"/>
          <w:lang w:eastAsia="zh-CN"/>
        </w:rPr>
        <w:t>文化长廊、特色模拟法庭、多功能普法展示厅等功能模块，</w:t>
      </w:r>
      <w:r>
        <w:rPr>
          <w:rFonts w:hint="eastAsia"/>
          <w:color w:val="000000"/>
          <w:sz w:val="33"/>
          <w:szCs w:val="33"/>
          <w:lang w:val="en-US" w:eastAsia="zh-CN"/>
        </w:rPr>
        <w:t>推出</w:t>
      </w:r>
      <w:r>
        <w:rPr>
          <w:rFonts w:hint="default"/>
          <w:color w:val="000000"/>
          <w:sz w:val="33"/>
          <w:szCs w:val="33"/>
          <w:lang w:eastAsia="zh-CN"/>
        </w:rPr>
        <w:t>“模拟法庭”“旁听庭审”</w:t>
      </w:r>
      <w:r>
        <w:rPr>
          <w:rFonts w:hint="eastAsia"/>
          <w:color w:val="000000"/>
          <w:sz w:val="33"/>
          <w:szCs w:val="33"/>
          <w:lang w:eastAsia="zh-CN"/>
        </w:rPr>
        <w:t>“尊法宣誓”</w:t>
      </w:r>
      <w:r>
        <w:rPr>
          <w:rFonts w:hint="default"/>
          <w:color w:val="000000"/>
          <w:sz w:val="33"/>
          <w:szCs w:val="33"/>
          <w:lang w:eastAsia="zh-CN"/>
        </w:rPr>
        <w:t>等</w:t>
      </w:r>
      <w:r>
        <w:rPr>
          <w:rFonts w:hint="eastAsia"/>
          <w:color w:val="000000"/>
          <w:sz w:val="33"/>
          <w:szCs w:val="33"/>
          <w:lang w:eastAsia="zh-CN"/>
        </w:rPr>
        <w:t>沉浸式活动，</w:t>
      </w:r>
      <w:r>
        <w:rPr>
          <w:rFonts w:hint="default"/>
          <w:color w:val="000000"/>
          <w:sz w:val="33"/>
          <w:szCs w:val="33"/>
          <w:lang w:eastAsia="zh-CN"/>
        </w:rPr>
        <w:t>成为青少年学法用法的“打卡地”和“研学点”</w:t>
      </w:r>
      <w:r>
        <w:rPr>
          <w:rFonts w:hint="eastAsia"/>
          <w:color w:val="000000"/>
          <w:sz w:val="33"/>
          <w:szCs w:val="33"/>
          <w:lang w:eastAsia="zh-CN"/>
        </w:rPr>
        <w:t>。做靓“青青西法”护“未”品牌，</w:t>
      </w:r>
      <w:r>
        <w:rPr>
          <w:rFonts w:hint="default"/>
          <w:color w:val="000000"/>
          <w:sz w:val="33"/>
          <w:szCs w:val="33"/>
          <w:lang w:eastAsia="zh-CN"/>
        </w:rPr>
        <w:t>创设“西小槌普法”“青青西法小课堂”</w:t>
      </w:r>
      <w:r>
        <w:rPr>
          <w:rFonts w:hint="eastAsia"/>
          <w:color w:val="000000"/>
          <w:sz w:val="33"/>
          <w:szCs w:val="33"/>
          <w:lang w:eastAsia="zh-CN"/>
        </w:rPr>
        <w:t>等特色子品牌</w:t>
      </w:r>
      <w:r>
        <w:rPr>
          <w:rFonts w:hint="default"/>
          <w:color w:val="000000"/>
          <w:sz w:val="33"/>
          <w:szCs w:val="33"/>
        </w:rPr>
        <w:t>，</w:t>
      </w:r>
      <w:r>
        <w:rPr>
          <w:rFonts w:hint="eastAsia"/>
          <w:color w:val="000000"/>
          <w:sz w:val="33"/>
          <w:szCs w:val="33"/>
          <w:lang w:eastAsia="zh-CN"/>
        </w:rPr>
        <w:t>线上新媒体平台</w:t>
      </w:r>
      <w:r>
        <w:rPr>
          <w:rFonts w:hint="eastAsia"/>
          <w:color w:val="000000"/>
          <w:sz w:val="33"/>
          <w:szCs w:val="33"/>
          <w:lang w:val="en-US" w:eastAsia="zh-CN"/>
        </w:rPr>
        <w:t>推送</w:t>
      </w:r>
      <w:r>
        <w:rPr>
          <w:rFonts w:hint="eastAsia"/>
          <w:color w:val="000000"/>
          <w:sz w:val="33"/>
          <w:szCs w:val="33"/>
          <w:lang w:eastAsia="zh-CN"/>
        </w:rPr>
        <w:t>普法案例，线下</w:t>
      </w:r>
      <w:r>
        <w:rPr>
          <w:rFonts w:hint="eastAsia"/>
          <w:color w:val="000000"/>
          <w:sz w:val="33"/>
          <w:szCs w:val="33"/>
          <w:lang w:val="en-US" w:eastAsia="zh-CN"/>
        </w:rPr>
        <w:t>常态化开展法治宣传进校园</w:t>
      </w:r>
      <w:r>
        <w:rPr>
          <w:rFonts w:hint="default"/>
          <w:color w:val="000000"/>
          <w:sz w:val="33"/>
          <w:szCs w:val="33"/>
        </w:rPr>
        <w:t>，</w:t>
      </w:r>
      <w:r>
        <w:rPr>
          <w:rFonts w:hint="eastAsia"/>
          <w:color w:val="000000"/>
          <w:sz w:val="33"/>
          <w:szCs w:val="33"/>
          <w:lang w:eastAsia="zh-CN"/>
        </w:rPr>
        <w:t>构建立体化</w:t>
      </w:r>
      <w:r>
        <w:rPr>
          <w:rFonts w:hint="default"/>
          <w:color w:val="000000"/>
          <w:sz w:val="33"/>
          <w:szCs w:val="33"/>
        </w:rPr>
        <w:t>普法</w:t>
      </w:r>
      <w:r>
        <w:rPr>
          <w:rFonts w:hint="eastAsia"/>
          <w:color w:val="000000"/>
          <w:sz w:val="33"/>
          <w:szCs w:val="33"/>
          <w:lang w:eastAsia="zh-CN"/>
        </w:rPr>
        <w:t>宣传</w:t>
      </w:r>
      <w:r>
        <w:rPr>
          <w:rFonts w:hint="default"/>
          <w:color w:val="000000"/>
          <w:sz w:val="33"/>
          <w:szCs w:val="33"/>
        </w:rPr>
        <w:t>矩阵</w:t>
      </w:r>
      <w:r>
        <w:rPr>
          <w:rFonts w:hint="eastAsia"/>
          <w:color w:val="000000"/>
          <w:sz w:val="33"/>
          <w:szCs w:val="33"/>
          <w:lang w:eastAsia="zh-CN"/>
        </w:rPr>
        <w:t>。全力维护权益，</w:t>
      </w:r>
      <w:r>
        <w:rPr>
          <w:rFonts w:hint="default"/>
          <w:color w:val="000000"/>
          <w:sz w:val="33"/>
          <w:szCs w:val="33"/>
          <w:lang w:val="en-US" w:eastAsia="zh-CN"/>
        </w:rPr>
        <w:t>深化少审机制改革，</w:t>
      </w:r>
      <w:r>
        <w:rPr>
          <w:rFonts w:hint="eastAsia"/>
          <w:color w:val="000000"/>
          <w:sz w:val="33"/>
          <w:szCs w:val="33"/>
          <w:lang w:eastAsia="zh-CN"/>
        </w:rPr>
        <w:t>专设</w:t>
      </w:r>
      <w:r>
        <w:rPr>
          <w:rFonts w:hint="default"/>
          <w:color w:val="000000"/>
          <w:sz w:val="33"/>
          <w:szCs w:val="33"/>
          <w:lang w:val="en-US" w:eastAsia="zh-CN"/>
        </w:rPr>
        <w:t>集刑事、民事、行政审判职能“三合一”</w:t>
      </w:r>
      <w:r>
        <w:rPr>
          <w:rFonts w:hint="eastAsia"/>
          <w:color w:val="000000"/>
          <w:sz w:val="33"/>
          <w:szCs w:val="33"/>
          <w:lang w:val="en-US" w:eastAsia="zh-CN"/>
        </w:rPr>
        <w:t>的</w:t>
      </w:r>
      <w:r>
        <w:rPr>
          <w:rFonts w:hint="eastAsia"/>
          <w:color w:val="000000"/>
          <w:sz w:val="33"/>
          <w:szCs w:val="33"/>
          <w:lang w:eastAsia="zh-CN"/>
        </w:rPr>
        <w:t>少年审判法庭</w:t>
      </w:r>
      <w:r>
        <w:rPr>
          <w:rFonts w:hint="default"/>
          <w:color w:val="000000"/>
          <w:sz w:val="33"/>
          <w:szCs w:val="33"/>
          <w:lang w:val="en-US" w:eastAsia="zh-CN"/>
        </w:rPr>
        <w:t>，</w:t>
      </w:r>
      <w:r>
        <w:rPr>
          <w:rFonts w:hint="eastAsia"/>
          <w:color w:val="000000"/>
          <w:sz w:val="33"/>
          <w:szCs w:val="33"/>
          <w:lang w:val="en-US" w:eastAsia="zh-CN"/>
        </w:rPr>
        <w:t>推行</w:t>
      </w:r>
      <w:r>
        <w:rPr>
          <w:rFonts w:hint="default"/>
          <w:color w:val="000000"/>
          <w:sz w:val="33"/>
          <w:szCs w:val="33"/>
          <w:lang w:val="en-US" w:eastAsia="zh-CN"/>
        </w:rPr>
        <w:t>温</w:t>
      </w:r>
      <w:r>
        <w:rPr>
          <w:rFonts w:hint="eastAsia"/>
          <w:color w:val="000000"/>
          <w:sz w:val="33"/>
          <w:szCs w:val="33"/>
          <w:lang w:val="en-US" w:eastAsia="zh-CN"/>
        </w:rPr>
        <w:t>情“圆桌式”审判</w:t>
      </w:r>
      <w:r>
        <w:rPr>
          <w:rFonts w:hint="default"/>
          <w:color w:val="000000"/>
          <w:sz w:val="33"/>
          <w:szCs w:val="33"/>
          <w:lang w:val="en-US" w:eastAsia="zh-CN"/>
        </w:rPr>
        <w:t>，审结涉未成年人案件41件</w:t>
      </w:r>
      <w:r>
        <w:rPr>
          <w:rFonts w:hint="eastAsia"/>
          <w:color w:val="000000"/>
          <w:sz w:val="33"/>
          <w:szCs w:val="33"/>
          <w:lang w:val="en-US" w:eastAsia="zh-CN"/>
        </w:rPr>
        <w:t>，其中</w:t>
      </w:r>
      <w:r>
        <w:rPr>
          <w:rFonts w:hint="default"/>
          <w:color w:val="000000"/>
          <w:sz w:val="33"/>
          <w:szCs w:val="33"/>
          <w:lang w:val="en-US" w:eastAsia="zh-CN"/>
        </w:rPr>
        <w:t>依法审结</w:t>
      </w:r>
      <w:r>
        <w:rPr>
          <w:rFonts w:hint="eastAsia"/>
          <w:color w:val="000000"/>
          <w:sz w:val="33"/>
          <w:szCs w:val="33"/>
          <w:lang w:val="en-US" w:eastAsia="zh-CN"/>
        </w:rPr>
        <w:t>2起</w:t>
      </w:r>
      <w:r>
        <w:rPr>
          <w:rFonts w:hint="default"/>
          <w:color w:val="000000"/>
          <w:sz w:val="33"/>
          <w:szCs w:val="33"/>
          <w:lang w:val="en-US" w:eastAsia="zh-CN"/>
        </w:rPr>
        <w:t>拐卖</w:t>
      </w:r>
      <w:r>
        <w:rPr>
          <w:rFonts w:hint="eastAsia"/>
          <w:color w:val="000000"/>
          <w:sz w:val="33"/>
          <w:szCs w:val="33"/>
          <w:lang w:val="en-US" w:eastAsia="zh-CN"/>
        </w:rPr>
        <w:t>、</w:t>
      </w:r>
      <w:r>
        <w:rPr>
          <w:rFonts w:hint="default"/>
          <w:color w:val="000000"/>
          <w:sz w:val="33"/>
          <w:szCs w:val="33"/>
          <w:lang w:val="en-US" w:eastAsia="zh-CN"/>
        </w:rPr>
        <w:t>猥亵儿童</w:t>
      </w:r>
      <w:r>
        <w:rPr>
          <w:rFonts w:hint="eastAsia"/>
          <w:color w:val="000000"/>
          <w:sz w:val="33"/>
          <w:szCs w:val="33"/>
          <w:lang w:val="en-US" w:eastAsia="zh-CN"/>
        </w:rPr>
        <w:t>案件</w:t>
      </w:r>
      <w:r>
        <w:rPr>
          <w:rFonts w:hint="default"/>
          <w:color w:val="000000"/>
          <w:sz w:val="33"/>
          <w:szCs w:val="33"/>
          <w:lang w:val="en-US" w:eastAsia="zh-CN"/>
        </w:rPr>
        <w:t>，对</w:t>
      </w:r>
      <w:r>
        <w:rPr>
          <w:rFonts w:hint="eastAsia"/>
          <w:color w:val="000000"/>
          <w:sz w:val="33"/>
          <w:szCs w:val="33"/>
          <w:lang w:val="en-US" w:eastAsia="zh-CN"/>
        </w:rPr>
        <w:t>2名罪犯</w:t>
      </w:r>
      <w:r>
        <w:rPr>
          <w:rFonts w:hint="default"/>
          <w:color w:val="000000"/>
          <w:sz w:val="33"/>
          <w:szCs w:val="33"/>
          <w:lang w:val="en-US" w:eastAsia="zh-CN"/>
        </w:rPr>
        <w:t>从严惩处</w:t>
      </w:r>
      <w:r>
        <w:rPr>
          <w:rFonts w:hint="eastAsia"/>
          <w:color w:val="000000"/>
          <w:sz w:val="33"/>
          <w:szCs w:val="33"/>
          <w:lang w:val="en-US" w:eastAsia="zh-CN"/>
        </w:rPr>
        <w:t>，判决撤销一名出卖子女获取钱财罪犯监护人资格，依法支持一名被侵害未成年人精神损害赔偿请求，切实维护未成年人合法权益</w:t>
      </w:r>
      <w:r>
        <w:rPr>
          <w:rFonts w:hint="default"/>
          <w:color w:val="000000"/>
          <w:sz w:val="33"/>
          <w:szCs w:val="33"/>
          <w:lang w:val="en-US" w:eastAsia="zh-CN"/>
        </w:rPr>
        <w:t>。</w:t>
      </w:r>
      <w:r>
        <w:rPr>
          <w:rFonts w:hint="eastAsia"/>
          <w:color w:val="000000"/>
          <w:sz w:val="33"/>
          <w:szCs w:val="33"/>
          <w:lang w:val="en-US" w:eastAsia="zh-CN"/>
        </w:rPr>
        <w:t>做实判后帮扶。</w:t>
      </w:r>
      <w:r>
        <w:rPr>
          <w:rFonts w:hint="default"/>
          <w:color w:val="000000"/>
          <w:sz w:val="33"/>
          <w:szCs w:val="33"/>
          <w:lang w:val="en-US" w:eastAsia="zh-CN"/>
        </w:rPr>
        <w:t>创新建立</w:t>
      </w:r>
      <w:r>
        <w:rPr>
          <w:rFonts w:hint="default"/>
          <w:color w:val="000000"/>
          <w:sz w:val="33"/>
          <w:szCs w:val="33"/>
          <w:lang w:eastAsia="zh-CN"/>
        </w:rPr>
        <w:t>关爱未成年人“四卡”机制，</w:t>
      </w:r>
      <w:r>
        <w:rPr>
          <w:rFonts w:hint="eastAsia"/>
          <w:color w:val="000000"/>
          <w:sz w:val="33"/>
          <w:szCs w:val="33"/>
          <w:lang w:eastAsia="zh-CN"/>
        </w:rPr>
        <w:t>累计</w:t>
      </w:r>
      <w:r>
        <w:rPr>
          <w:rFonts w:hint="eastAsia"/>
          <w:color w:val="000000"/>
          <w:sz w:val="33"/>
          <w:szCs w:val="33"/>
          <w:lang w:val="en-US" w:eastAsia="zh-CN"/>
        </w:rPr>
        <w:t>发出“四卡”97份，其中</w:t>
      </w:r>
      <w:r>
        <w:rPr>
          <w:rFonts w:hint="default"/>
          <w:color w:val="000000"/>
          <w:sz w:val="33"/>
          <w:szCs w:val="33"/>
          <w:lang w:val="en-US" w:eastAsia="zh-CN"/>
        </w:rPr>
        <w:t>为5</w:t>
      </w:r>
      <w:r>
        <w:rPr>
          <w:rFonts w:hint="eastAsia"/>
          <w:color w:val="000000"/>
          <w:sz w:val="33"/>
          <w:szCs w:val="33"/>
          <w:lang w:val="en-US" w:eastAsia="zh-CN"/>
        </w:rPr>
        <w:t>5</w:t>
      </w:r>
      <w:r>
        <w:rPr>
          <w:rFonts w:hint="default"/>
          <w:color w:val="000000"/>
          <w:sz w:val="33"/>
          <w:szCs w:val="33"/>
          <w:lang w:val="en-US" w:eastAsia="zh-CN"/>
        </w:rPr>
        <w:t>名</w:t>
      </w:r>
      <w:r>
        <w:rPr>
          <w:rFonts w:hint="default"/>
          <w:color w:val="000000"/>
          <w:sz w:val="33"/>
          <w:szCs w:val="33"/>
        </w:rPr>
        <w:t>涉案</w:t>
      </w:r>
      <w:r>
        <w:rPr>
          <w:rFonts w:hint="default"/>
          <w:color w:val="000000"/>
          <w:sz w:val="33"/>
          <w:szCs w:val="33"/>
          <w:lang w:val="en-US" w:eastAsia="zh-CN"/>
        </w:rPr>
        <w:t>未成年人建立</w:t>
      </w:r>
      <w:r>
        <w:rPr>
          <w:rFonts w:hint="eastAsia"/>
          <w:color w:val="000000"/>
          <w:sz w:val="33"/>
          <w:szCs w:val="33"/>
          <w:lang w:val="en-US" w:eastAsia="zh-CN"/>
        </w:rPr>
        <w:t>回访记录档案卡，</w:t>
      </w:r>
      <w:r>
        <w:rPr>
          <w:rFonts w:hint="default"/>
          <w:color w:val="000000"/>
          <w:sz w:val="33"/>
          <w:szCs w:val="33"/>
        </w:rPr>
        <w:t>定期</w:t>
      </w:r>
      <w:r>
        <w:rPr>
          <w:rFonts w:hint="eastAsia"/>
          <w:color w:val="000000"/>
          <w:sz w:val="33"/>
          <w:szCs w:val="33"/>
          <w:lang w:val="en-US" w:eastAsia="zh-CN"/>
        </w:rPr>
        <w:t>开展</w:t>
      </w:r>
      <w:r>
        <w:rPr>
          <w:rFonts w:hint="default"/>
          <w:color w:val="000000"/>
          <w:sz w:val="33"/>
          <w:szCs w:val="33"/>
        </w:rPr>
        <w:t>教育、医疗、</w:t>
      </w:r>
      <w:r>
        <w:rPr>
          <w:rFonts w:hint="eastAsia"/>
          <w:color w:val="000000"/>
          <w:sz w:val="33"/>
          <w:szCs w:val="33"/>
          <w:lang w:eastAsia="zh-CN"/>
        </w:rPr>
        <w:t>家庭</w:t>
      </w:r>
      <w:r>
        <w:rPr>
          <w:rFonts w:hint="default"/>
          <w:color w:val="000000"/>
          <w:sz w:val="33"/>
          <w:szCs w:val="33"/>
        </w:rPr>
        <w:t>生活</w:t>
      </w:r>
      <w:r>
        <w:rPr>
          <w:rFonts w:hint="eastAsia"/>
          <w:color w:val="000000"/>
          <w:sz w:val="33"/>
          <w:szCs w:val="33"/>
          <w:lang w:val="en-US" w:eastAsia="zh-CN"/>
        </w:rPr>
        <w:t>等专项回访</w:t>
      </w:r>
      <w:r>
        <w:rPr>
          <w:rFonts w:hint="eastAsia"/>
          <w:color w:val="000000"/>
          <w:sz w:val="33"/>
          <w:szCs w:val="33"/>
          <w:lang w:eastAsia="zh-CN"/>
        </w:rPr>
        <w:t>，</w:t>
      </w:r>
      <w:r>
        <w:rPr>
          <w:rFonts w:hint="default"/>
          <w:color w:val="000000"/>
          <w:sz w:val="33"/>
          <w:szCs w:val="33"/>
        </w:rPr>
        <w:t>帮助</w:t>
      </w:r>
      <w:r>
        <w:rPr>
          <w:rFonts w:hint="eastAsia"/>
          <w:color w:val="000000"/>
          <w:sz w:val="33"/>
          <w:szCs w:val="33"/>
          <w:lang w:val="en-US" w:eastAsia="zh-CN"/>
        </w:rPr>
        <w:t>困境儿童杨某等</w:t>
      </w:r>
      <w:r>
        <w:rPr>
          <w:rFonts w:hint="default"/>
          <w:color w:val="000000"/>
          <w:sz w:val="33"/>
          <w:szCs w:val="33"/>
        </w:rPr>
        <w:t>解决户籍、学籍</w:t>
      </w:r>
      <w:r>
        <w:rPr>
          <w:rFonts w:hint="eastAsia"/>
          <w:color w:val="000000"/>
          <w:sz w:val="33"/>
          <w:szCs w:val="33"/>
          <w:lang w:eastAsia="zh-CN"/>
        </w:rPr>
        <w:t>、</w:t>
      </w:r>
      <w:r>
        <w:rPr>
          <w:rFonts w:hint="default"/>
          <w:color w:val="000000"/>
          <w:sz w:val="33"/>
          <w:szCs w:val="33"/>
        </w:rPr>
        <w:t>心理健康等问题</w:t>
      </w:r>
      <w:r>
        <w:rPr>
          <w:rFonts w:hint="eastAsia"/>
          <w:color w:val="000000"/>
          <w:sz w:val="33"/>
          <w:szCs w:val="33"/>
          <w:lang w:val="en-US" w:eastAsia="zh-CN"/>
        </w:rPr>
        <w:t>5个。为立某等6名诈骗案受害未成年人建立帮扶帮教跟踪卡</w:t>
      </w:r>
      <w:r>
        <w:rPr>
          <w:rFonts w:hint="default"/>
          <w:color w:val="000000"/>
          <w:sz w:val="33"/>
          <w:szCs w:val="33"/>
          <w:lang w:eastAsia="zh-CN"/>
        </w:rPr>
        <w:t>，</w:t>
      </w:r>
      <w:r>
        <w:rPr>
          <w:rFonts w:hint="eastAsia"/>
          <w:color w:val="000000"/>
          <w:sz w:val="33"/>
          <w:szCs w:val="33"/>
          <w:lang w:eastAsia="zh-CN"/>
        </w:rPr>
        <w:t>并向其中</w:t>
      </w:r>
      <w:r>
        <w:rPr>
          <w:rFonts w:hint="eastAsia"/>
          <w:color w:val="000000"/>
          <w:sz w:val="33"/>
          <w:szCs w:val="33"/>
          <w:lang w:val="en-US" w:eastAsia="zh-CN"/>
        </w:rPr>
        <w:t>5名生活困难未成年</w:t>
      </w:r>
      <w:r>
        <w:rPr>
          <w:rFonts w:hint="eastAsia"/>
          <w:color w:val="000000"/>
          <w:sz w:val="33"/>
          <w:szCs w:val="33"/>
          <w:lang w:eastAsia="zh-CN"/>
        </w:rPr>
        <w:t>提供司法救助</w:t>
      </w:r>
      <w:r>
        <w:rPr>
          <w:rFonts w:hint="eastAsia"/>
          <w:color w:val="000000"/>
          <w:sz w:val="33"/>
          <w:szCs w:val="33"/>
          <w:lang w:val="en-US" w:eastAsia="zh-CN"/>
        </w:rPr>
        <w:t>5</w:t>
      </w:r>
      <w:r>
        <w:rPr>
          <w:rFonts w:hint="eastAsia"/>
          <w:color w:val="000000"/>
          <w:sz w:val="33"/>
          <w:szCs w:val="33"/>
          <w:lang w:eastAsia="zh-CN"/>
        </w:rPr>
        <w:t>万元。</w:t>
      </w:r>
      <w:r>
        <w:rPr>
          <w:rFonts w:hint="eastAsia"/>
          <w:color w:val="000000"/>
          <w:sz w:val="33"/>
          <w:szCs w:val="33"/>
        </w:rPr>
        <w:t>发出《</w:t>
      </w:r>
      <w:r>
        <w:rPr>
          <w:rFonts w:hint="eastAsia"/>
          <w:color w:val="000000"/>
          <w:sz w:val="33"/>
          <w:szCs w:val="33"/>
          <w:lang w:eastAsia="zh-CN"/>
        </w:rPr>
        <w:t>家庭</w:t>
      </w:r>
      <w:r>
        <w:rPr>
          <w:rFonts w:hint="eastAsia"/>
          <w:color w:val="000000"/>
          <w:sz w:val="33"/>
          <w:szCs w:val="33"/>
        </w:rPr>
        <w:t>婚恋纠纷提示函》</w:t>
      </w:r>
      <w:r>
        <w:rPr>
          <w:rFonts w:hint="eastAsia"/>
          <w:color w:val="000000"/>
          <w:sz w:val="33"/>
          <w:szCs w:val="33"/>
          <w:lang w:val="en-US" w:eastAsia="zh-CN"/>
        </w:rPr>
        <w:t>16</w:t>
      </w:r>
      <w:r>
        <w:rPr>
          <w:rFonts w:hint="eastAsia"/>
          <w:color w:val="000000"/>
          <w:sz w:val="33"/>
          <w:szCs w:val="33"/>
        </w:rPr>
        <w:t>份，及时向社区、派出所等基层组织提示风险，</w:t>
      </w:r>
      <w:r>
        <w:rPr>
          <w:rFonts w:hint="eastAsia"/>
          <w:color w:val="000000"/>
          <w:sz w:val="33"/>
          <w:szCs w:val="33"/>
          <w:lang w:eastAsia="zh-CN"/>
        </w:rPr>
        <w:t>关注未成年人成长环境，让司法关爱从法庭走进家庭。健全长效机制，</w:t>
      </w:r>
      <w:r>
        <w:rPr>
          <w:rFonts w:hint="eastAsia"/>
          <w:color w:val="000000"/>
          <w:sz w:val="33"/>
          <w:szCs w:val="33"/>
          <w:lang w:val="en-US" w:eastAsia="zh-CN"/>
        </w:rPr>
        <w:t>依托</w:t>
      </w:r>
      <w:r>
        <w:rPr>
          <w:rFonts w:hint="eastAsia"/>
          <w:color w:val="000000"/>
          <w:sz w:val="33"/>
          <w:szCs w:val="33"/>
          <w:lang w:eastAsia="zh-CN"/>
        </w:rPr>
        <w:t>“青青西法未成年人保护”法官工作室，诉前化解涉未纠纷</w:t>
      </w:r>
      <w:r>
        <w:rPr>
          <w:rFonts w:hint="eastAsia"/>
          <w:color w:val="000000"/>
          <w:sz w:val="33"/>
          <w:szCs w:val="33"/>
          <w:lang w:val="en-US" w:eastAsia="zh-CN"/>
        </w:rPr>
        <w:t>31件，</w:t>
      </w:r>
      <w:r>
        <w:rPr>
          <w:rFonts w:hint="default"/>
          <w:color w:val="000000"/>
          <w:sz w:val="33"/>
          <w:szCs w:val="33"/>
          <w:lang w:eastAsia="zh-CN"/>
        </w:rPr>
        <w:t>向</w:t>
      </w:r>
      <w:r>
        <w:rPr>
          <w:rFonts w:hint="default"/>
          <w:color w:val="000000"/>
          <w:sz w:val="33"/>
          <w:szCs w:val="33"/>
          <w:lang w:val="en-US" w:eastAsia="zh-CN"/>
        </w:rPr>
        <w:t>相</w:t>
      </w:r>
      <w:r>
        <w:rPr>
          <w:rFonts w:hint="default"/>
          <w:color w:val="000000"/>
          <w:sz w:val="33"/>
          <w:szCs w:val="33"/>
          <w:lang w:eastAsia="zh-CN"/>
        </w:rPr>
        <w:t>关</w:t>
      </w:r>
      <w:r>
        <w:rPr>
          <w:rFonts w:hint="eastAsia"/>
          <w:color w:val="000000"/>
          <w:sz w:val="33"/>
          <w:szCs w:val="33"/>
          <w:lang w:eastAsia="zh-CN"/>
        </w:rPr>
        <w:t>职能</w:t>
      </w:r>
      <w:r>
        <w:rPr>
          <w:rFonts w:hint="default"/>
          <w:color w:val="000000"/>
          <w:sz w:val="33"/>
          <w:szCs w:val="33"/>
          <w:lang w:eastAsia="zh-CN"/>
        </w:rPr>
        <w:t>部门发出</w:t>
      </w:r>
      <w:r>
        <w:rPr>
          <w:rFonts w:hint="eastAsia"/>
          <w:color w:val="000000"/>
          <w:sz w:val="33"/>
          <w:szCs w:val="33"/>
          <w:lang w:val="en-US" w:eastAsia="zh-CN"/>
        </w:rPr>
        <w:t>涉未成年人</w:t>
      </w:r>
      <w:r>
        <w:rPr>
          <w:rFonts w:hint="default"/>
          <w:color w:val="000000"/>
          <w:sz w:val="33"/>
          <w:szCs w:val="33"/>
          <w:lang w:eastAsia="zh-CN"/>
        </w:rPr>
        <w:t>司法建议</w:t>
      </w:r>
      <w:r>
        <w:rPr>
          <w:rFonts w:hint="default"/>
          <w:color w:val="000000"/>
          <w:sz w:val="33"/>
          <w:szCs w:val="33"/>
          <w:lang w:val="en-US" w:eastAsia="zh-CN"/>
        </w:rPr>
        <w:t>25</w:t>
      </w:r>
      <w:r>
        <w:rPr>
          <w:rFonts w:hint="default"/>
          <w:color w:val="000000"/>
          <w:sz w:val="33"/>
          <w:szCs w:val="33"/>
          <w:lang w:eastAsia="zh-CN"/>
        </w:rPr>
        <w:t>份，</w:t>
      </w:r>
      <w:r>
        <w:rPr>
          <w:rFonts w:hint="default"/>
          <w:color w:val="000000"/>
          <w:sz w:val="33"/>
          <w:szCs w:val="33"/>
          <w:lang w:val="en-US" w:eastAsia="zh-CN"/>
        </w:rPr>
        <w:t>推动</w:t>
      </w:r>
      <w:r>
        <w:rPr>
          <w:rFonts w:hint="default"/>
          <w:color w:val="000000"/>
          <w:sz w:val="33"/>
          <w:szCs w:val="33"/>
          <w:lang w:eastAsia="zh-CN"/>
        </w:rPr>
        <w:t>整改问题</w:t>
      </w:r>
      <w:r>
        <w:rPr>
          <w:rFonts w:hint="default"/>
          <w:color w:val="000000"/>
          <w:sz w:val="33"/>
          <w:szCs w:val="33"/>
          <w:lang w:val="en-US" w:eastAsia="zh-CN"/>
        </w:rPr>
        <w:t>30余</w:t>
      </w:r>
      <w:r>
        <w:rPr>
          <w:rFonts w:hint="default"/>
          <w:color w:val="000000"/>
          <w:sz w:val="33"/>
          <w:szCs w:val="33"/>
          <w:lang w:eastAsia="zh-CN"/>
        </w:rPr>
        <w:t>个，回函率100%。与区教体局、区民政局、区妇联签订</w:t>
      </w:r>
      <w:r>
        <w:rPr>
          <w:rFonts w:hint="eastAsia"/>
          <w:color w:val="000000"/>
          <w:sz w:val="33"/>
          <w:szCs w:val="33"/>
          <w:lang w:eastAsia="zh-CN"/>
        </w:rPr>
        <w:t>“</w:t>
      </w:r>
      <w:r>
        <w:rPr>
          <w:rFonts w:hint="default"/>
          <w:color w:val="000000"/>
          <w:sz w:val="33"/>
          <w:szCs w:val="33"/>
          <w:lang w:eastAsia="zh-CN"/>
        </w:rPr>
        <w:t>未成年人法治保护协调联动协议</w:t>
      </w:r>
      <w:r>
        <w:rPr>
          <w:rFonts w:hint="eastAsia"/>
          <w:color w:val="000000"/>
          <w:sz w:val="33"/>
          <w:szCs w:val="33"/>
          <w:lang w:eastAsia="zh-CN"/>
        </w:rPr>
        <w:t>”</w:t>
      </w:r>
      <w:r>
        <w:rPr>
          <w:rFonts w:hint="default"/>
          <w:color w:val="000000"/>
          <w:sz w:val="33"/>
          <w:szCs w:val="33"/>
          <w:lang w:eastAsia="zh-CN"/>
        </w:rPr>
        <w:t>，</w:t>
      </w:r>
      <w:r>
        <w:rPr>
          <w:rFonts w:hint="eastAsia"/>
          <w:color w:val="000000"/>
          <w:sz w:val="33"/>
          <w:szCs w:val="33"/>
          <w:lang w:val="en-US" w:eastAsia="zh-CN"/>
        </w:rPr>
        <w:t>形成多方</w:t>
      </w:r>
      <w:r>
        <w:rPr>
          <w:rFonts w:hint="default"/>
          <w:color w:val="000000"/>
          <w:sz w:val="33"/>
          <w:szCs w:val="33"/>
          <w:lang w:eastAsia="zh-CN"/>
        </w:rPr>
        <w:t>保护联动格局。</w:t>
      </w:r>
      <w:r>
        <w:rPr>
          <w:rFonts w:hint="eastAsia"/>
          <w:color w:val="000000"/>
          <w:sz w:val="33"/>
          <w:szCs w:val="33"/>
          <w:lang w:val="en-US" w:eastAsia="zh-CN"/>
        </w:rPr>
        <w:t>我院</w:t>
      </w:r>
      <w:r>
        <w:rPr>
          <w:rFonts w:hint="default"/>
          <w:color w:val="000000"/>
          <w:sz w:val="33"/>
          <w:szCs w:val="33"/>
          <w:lang w:eastAsia="zh-CN"/>
        </w:rPr>
        <w:t>未成年人保护工作在省高院作经验交流，“青青西法”护“未”机制入选2025年度全省法院“拓优”项目</w:t>
      </w:r>
      <w:r>
        <w:rPr>
          <w:rFonts w:hint="eastAsia"/>
          <w:color w:val="000000"/>
          <w:sz w:val="33"/>
          <w:szCs w:val="33"/>
          <w:lang w:eastAsia="zh-CN"/>
        </w:rPr>
        <w:t>。</w:t>
      </w:r>
    </w:p>
    <w:p w14:paraId="405D3510">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3.</w:t>
      </w:r>
      <w:r>
        <w:rPr>
          <w:rFonts w:hint="default"/>
          <w:color w:val="000000"/>
          <w:sz w:val="33"/>
          <w:szCs w:val="33"/>
          <w:lang w:val="en-US" w:eastAsia="zh-CN"/>
        </w:rPr>
        <w:t>深耕基层筑和谐，以“多元共治”促平安强根基</w:t>
      </w:r>
    </w:p>
    <w:p w14:paraId="165B8B78">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解纷</w:t>
      </w:r>
      <w:r>
        <w:rPr>
          <w:rFonts w:hint="eastAsia"/>
          <w:color w:val="000000"/>
          <w:sz w:val="33"/>
          <w:szCs w:val="33"/>
          <w:lang w:val="en-US" w:eastAsia="zh-CN"/>
        </w:rPr>
        <w:t>阵地</w:t>
      </w:r>
      <w:r>
        <w:rPr>
          <w:rFonts w:hint="default"/>
          <w:color w:val="000000"/>
          <w:sz w:val="33"/>
          <w:szCs w:val="33"/>
          <w:lang w:val="en-US" w:eastAsia="zh-CN"/>
        </w:rPr>
        <w:t>“向前”延伸。</w:t>
      </w:r>
      <w:bookmarkStart w:id="1" w:name="OLE_LINK16"/>
      <w:r>
        <w:rPr>
          <w:rFonts w:hint="default"/>
          <w:color w:val="000000"/>
          <w:sz w:val="33"/>
          <w:szCs w:val="33"/>
          <w:lang w:val="en-US" w:eastAsia="zh-CN"/>
        </w:rPr>
        <w:t>坚持和发展新时代“枫桥经验”，做优做精“三说会堂”多元解纷机制，</w:t>
      </w:r>
      <w:r>
        <w:rPr>
          <w:rFonts w:hint="eastAsia"/>
          <w:color w:val="000000"/>
          <w:sz w:val="33"/>
          <w:szCs w:val="33"/>
          <w:lang w:val="en-US" w:eastAsia="zh-CN"/>
        </w:rPr>
        <w:t>建强调解阵地，选派18名联社法官常驻各级“三说会堂”中心</w:t>
      </w:r>
      <w:r>
        <w:rPr>
          <w:rFonts w:hint="default"/>
          <w:color w:val="000000"/>
          <w:sz w:val="33"/>
          <w:szCs w:val="33"/>
          <w:lang w:val="en-US" w:eastAsia="zh-CN"/>
        </w:rPr>
        <w:t>，向群众提供</w:t>
      </w:r>
      <w:r>
        <w:rPr>
          <w:rFonts w:hint="eastAsia"/>
          <w:color w:val="000000"/>
          <w:sz w:val="33"/>
          <w:szCs w:val="33"/>
          <w:lang w:val="en-US" w:eastAsia="zh-CN"/>
        </w:rPr>
        <w:t>法律咨询300余次，培训人民调解员6次，提供诉前</w:t>
      </w:r>
      <w:r>
        <w:rPr>
          <w:rFonts w:hint="default"/>
          <w:color w:val="000000"/>
          <w:sz w:val="33"/>
          <w:szCs w:val="33"/>
          <w:lang w:val="en-US" w:eastAsia="zh-CN"/>
        </w:rPr>
        <w:t>调解、司法确认</w:t>
      </w:r>
      <w:r>
        <w:rPr>
          <w:rFonts w:hint="eastAsia"/>
          <w:color w:val="000000"/>
          <w:sz w:val="33"/>
          <w:szCs w:val="33"/>
          <w:lang w:val="en-US" w:eastAsia="zh-CN"/>
        </w:rPr>
        <w:t>、法律援助等专项</w:t>
      </w:r>
      <w:r>
        <w:rPr>
          <w:rFonts w:hint="default"/>
          <w:color w:val="000000"/>
          <w:sz w:val="33"/>
          <w:szCs w:val="33"/>
          <w:lang w:val="en-US" w:eastAsia="zh-CN"/>
        </w:rPr>
        <w:t>服务</w:t>
      </w:r>
      <w:r>
        <w:rPr>
          <w:rFonts w:hint="eastAsia"/>
          <w:color w:val="000000"/>
          <w:sz w:val="33"/>
          <w:szCs w:val="33"/>
          <w:lang w:val="en-US" w:eastAsia="zh-CN"/>
        </w:rPr>
        <w:t>48次</w:t>
      </w:r>
      <w:r>
        <w:rPr>
          <w:rFonts w:hint="default"/>
          <w:color w:val="000000"/>
          <w:sz w:val="33"/>
          <w:szCs w:val="33"/>
          <w:lang w:val="en-US" w:eastAsia="zh-CN"/>
        </w:rPr>
        <w:t>，</w:t>
      </w:r>
      <w:r>
        <w:rPr>
          <w:rFonts w:hint="eastAsia"/>
          <w:color w:val="000000"/>
          <w:sz w:val="33"/>
          <w:szCs w:val="33"/>
          <w:lang w:val="en-US" w:eastAsia="zh-CN"/>
        </w:rPr>
        <w:t>实现群众“家门口解纷”</w:t>
      </w:r>
      <w:r>
        <w:rPr>
          <w:rFonts w:hint="default"/>
          <w:color w:val="000000"/>
          <w:sz w:val="33"/>
          <w:szCs w:val="33"/>
          <w:lang w:val="en-US" w:eastAsia="zh-CN"/>
        </w:rPr>
        <w:t>。</w:t>
      </w:r>
      <w:r>
        <w:rPr>
          <w:rFonts w:hint="eastAsia"/>
          <w:color w:val="000000"/>
          <w:sz w:val="33"/>
          <w:szCs w:val="33"/>
          <w:lang w:val="en-US" w:eastAsia="zh-CN"/>
        </w:rPr>
        <w:t>重构解纷流程，</w:t>
      </w:r>
      <w:r>
        <w:rPr>
          <w:rFonts w:hint="default"/>
          <w:color w:val="000000"/>
          <w:sz w:val="33"/>
          <w:szCs w:val="33"/>
          <w:lang w:val="en-US" w:eastAsia="zh-CN"/>
        </w:rPr>
        <w:t>打破</w:t>
      </w:r>
      <w:r>
        <w:rPr>
          <w:rFonts w:hint="eastAsia"/>
          <w:color w:val="000000"/>
          <w:sz w:val="33"/>
          <w:szCs w:val="33"/>
          <w:lang w:val="en-US" w:eastAsia="zh-CN"/>
        </w:rPr>
        <w:t>“基层调解—部门（组织）调解—法院判决”</w:t>
      </w:r>
      <w:r>
        <w:rPr>
          <w:rFonts w:hint="default"/>
          <w:color w:val="000000"/>
          <w:sz w:val="33"/>
          <w:szCs w:val="33"/>
          <w:lang w:val="en-US" w:eastAsia="zh-CN"/>
        </w:rPr>
        <w:t>的线性解纷流程，组织</w:t>
      </w:r>
      <w:r>
        <w:rPr>
          <w:rFonts w:hint="eastAsia"/>
          <w:color w:val="000000"/>
          <w:sz w:val="33"/>
          <w:szCs w:val="33"/>
          <w:lang w:val="en-US" w:eastAsia="zh-CN"/>
        </w:rPr>
        <w:t>联社法官提前介入</w:t>
      </w:r>
      <w:r>
        <w:rPr>
          <w:rFonts w:hint="default"/>
          <w:color w:val="000000"/>
          <w:sz w:val="33"/>
          <w:szCs w:val="33"/>
          <w:lang w:val="en-US" w:eastAsia="zh-CN"/>
        </w:rPr>
        <w:t>纠纷初始阶段，增强调解的权威性</w:t>
      </w:r>
      <w:r>
        <w:rPr>
          <w:rFonts w:hint="eastAsia"/>
          <w:color w:val="000000"/>
          <w:sz w:val="33"/>
          <w:szCs w:val="33"/>
          <w:lang w:val="en-US" w:eastAsia="zh-CN"/>
        </w:rPr>
        <w:t>。在劳动争议案件中，完善“法院+工会”诉调对接模式，法官提前介入调解环节，促进劳动争议前端化解。强化法治赋能，</w:t>
      </w:r>
      <w:r>
        <w:rPr>
          <w:rFonts w:hint="default"/>
          <w:color w:val="000000"/>
          <w:sz w:val="33"/>
          <w:szCs w:val="33"/>
          <w:lang w:val="en-US" w:eastAsia="zh-CN"/>
        </w:rPr>
        <w:t>充分发挥</w:t>
      </w:r>
      <w:r>
        <w:rPr>
          <w:rFonts w:hint="eastAsia"/>
          <w:color w:val="000000"/>
          <w:sz w:val="33"/>
          <w:szCs w:val="33"/>
          <w:lang w:val="en-US" w:eastAsia="zh-CN"/>
        </w:rPr>
        <w:t>联社法官</w:t>
      </w:r>
      <w:r>
        <w:rPr>
          <w:rFonts w:hint="default"/>
          <w:color w:val="000000"/>
          <w:sz w:val="33"/>
          <w:szCs w:val="33"/>
          <w:lang w:val="en-US" w:eastAsia="zh-CN"/>
        </w:rPr>
        <w:t>案子见得多、案件办得多的优势，用身边鲜活案例“以案说法”，引导群众提合理诉求，促成纠纷依法和解。法官靠前指导调解协议拟定</w:t>
      </w:r>
      <w:r>
        <w:rPr>
          <w:rFonts w:hint="eastAsia"/>
          <w:color w:val="000000"/>
          <w:sz w:val="33"/>
          <w:szCs w:val="33"/>
          <w:lang w:val="en-US" w:eastAsia="zh-CN"/>
        </w:rPr>
        <w:t>与</w:t>
      </w:r>
      <w:r>
        <w:rPr>
          <w:rFonts w:hint="default"/>
          <w:color w:val="000000"/>
          <w:sz w:val="33"/>
          <w:szCs w:val="33"/>
          <w:lang w:val="en-US" w:eastAsia="zh-CN"/>
        </w:rPr>
        <w:t>合法性审查，</w:t>
      </w:r>
      <w:r>
        <w:rPr>
          <w:rFonts w:hint="eastAsia"/>
          <w:color w:val="000000"/>
          <w:sz w:val="33"/>
          <w:szCs w:val="33"/>
          <w:lang w:val="en-US" w:eastAsia="zh-CN"/>
        </w:rPr>
        <w:t>通过</w:t>
      </w:r>
      <w:r>
        <w:rPr>
          <w:rFonts w:hint="default"/>
          <w:color w:val="000000"/>
          <w:sz w:val="33"/>
          <w:szCs w:val="33"/>
          <w:lang w:val="en-US" w:eastAsia="zh-CN"/>
        </w:rPr>
        <w:t>司法确认服务固化调解结果</w:t>
      </w:r>
      <w:r>
        <w:rPr>
          <w:rFonts w:hint="eastAsia"/>
          <w:color w:val="000000"/>
          <w:sz w:val="33"/>
          <w:szCs w:val="33"/>
          <w:lang w:val="en-US" w:eastAsia="zh-CN"/>
        </w:rPr>
        <w:t>，</w:t>
      </w:r>
      <w:r>
        <w:rPr>
          <w:rFonts w:hint="default"/>
          <w:color w:val="000000"/>
          <w:sz w:val="33"/>
          <w:szCs w:val="33"/>
          <w:lang w:val="en-US" w:eastAsia="zh-CN"/>
        </w:rPr>
        <w:t>成功化解涉婚姻家庭、土地纷争、涉企矛盾等纠纷11件，</w:t>
      </w:r>
      <w:r>
        <w:rPr>
          <w:rFonts w:hint="eastAsia"/>
          <w:color w:val="000000"/>
          <w:sz w:val="33"/>
          <w:szCs w:val="33"/>
          <w:lang w:val="en-US" w:eastAsia="zh-CN"/>
        </w:rPr>
        <w:t>真正</w:t>
      </w:r>
      <w:r>
        <w:rPr>
          <w:rFonts w:hint="default"/>
          <w:color w:val="000000"/>
          <w:sz w:val="33"/>
          <w:szCs w:val="33"/>
          <w:lang w:val="en-US" w:eastAsia="zh-CN"/>
        </w:rPr>
        <w:t>让群众</w:t>
      </w:r>
      <w:r>
        <w:rPr>
          <w:rFonts w:hint="eastAsia"/>
          <w:color w:val="000000"/>
          <w:sz w:val="33"/>
          <w:szCs w:val="33"/>
          <w:lang w:val="en-US" w:eastAsia="zh-CN"/>
        </w:rPr>
        <w:t>“</w:t>
      </w:r>
      <w:r>
        <w:rPr>
          <w:rFonts w:hint="default"/>
          <w:color w:val="000000"/>
          <w:sz w:val="33"/>
          <w:szCs w:val="33"/>
          <w:lang w:val="en-US" w:eastAsia="zh-CN"/>
        </w:rPr>
        <w:t>只进一扇门</w:t>
      </w:r>
      <w:r>
        <w:rPr>
          <w:rFonts w:hint="eastAsia"/>
          <w:color w:val="000000"/>
          <w:sz w:val="33"/>
          <w:szCs w:val="33"/>
          <w:lang w:val="en-US" w:eastAsia="zh-CN"/>
        </w:rPr>
        <w:t>、纠纷一次解”</w:t>
      </w:r>
      <w:r>
        <w:rPr>
          <w:rFonts w:hint="default"/>
          <w:color w:val="000000"/>
          <w:sz w:val="33"/>
          <w:szCs w:val="33"/>
          <w:lang w:val="en-US" w:eastAsia="zh-CN"/>
        </w:rPr>
        <w:t>。“三说会堂”多元解纷模式</w:t>
      </w:r>
      <w:r>
        <w:rPr>
          <w:rFonts w:hint="eastAsia"/>
          <w:color w:val="000000"/>
          <w:sz w:val="33"/>
          <w:szCs w:val="33"/>
          <w:lang w:val="en-US" w:eastAsia="zh-CN"/>
        </w:rPr>
        <w:t>入选攀枝花市建设共同富裕试验区首批典型经验、</w:t>
      </w:r>
      <w:r>
        <w:rPr>
          <w:rFonts w:hint="default"/>
          <w:color w:val="000000"/>
          <w:sz w:val="33"/>
          <w:szCs w:val="33"/>
          <w:lang w:val="en-US" w:eastAsia="zh-CN"/>
        </w:rPr>
        <w:t>攀枝花市“八五”普法期间普法依法治理十大典型案例</w:t>
      </w:r>
      <w:r>
        <w:rPr>
          <w:rFonts w:hint="eastAsia"/>
          <w:color w:val="000000"/>
          <w:sz w:val="33"/>
          <w:szCs w:val="33"/>
          <w:lang w:val="en-US" w:eastAsia="zh-CN"/>
        </w:rPr>
        <w:t>，并作为“高效能社会治理”市域样本参展建市60周年专题陈列。创新司法靠前服务机制，</w:t>
      </w:r>
      <w:r>
        <w:rPr>
          <w:rFonts w:hint="default"/>
          <w:color w:val="000000"/>
          <w:sz w:val="33"/>
          <w:szCs w:val="33"/>
          <w:lang w:val="en-US" w:eastAsia="zh-CN"/>
        </w:rPr>
        <w:t>率先在全省组织</w:t>
      </w:r>
      <w:r>
        <w:rPr>
          <w:rFonts w:hint="eastAsia"/>
          <w:color w:val="000000"/>
          <w:sz w:val="33"/>
          <w:szCs w:val="33"/>
          <w:lang w:val="en-US" w:eastAsia="zh-CN"/>
        </w:rPr>
        <w:t>速裁</w:t>
      </w:r>
      <w:r>
        <w:rPr>
          <w:rFonts w:hint="default"/>
          <w:color w:val="000000"/>
          <w:sz w:val="33"/>
          <w:szCs w:val="33"/>
          <w:lang w:val="en-US" w:eastAsia="zh-CN"/>
        </w:rPr>
        <w:t>团队入驻综治中心实质化运行，</w:t>
      </w:r>
      <w:r>
        <w:rPr>
          <w:rFonts w:hint="default"/>
          <w:color w:val="000000"/>
          <w:sz w:val="33"/>
          <w:szCs w:val="33"/>
          <w:lang w:eastAsia="zh-CN"/>
        </w:rPr>
        <w:t>办理案件</w:t>
      </w:r>
      <w:r>
        <w:rPr>
          <w:rFonts w:hint="default"/>
          <w:color w:val="000000"/>
          <w:sz w:val="33"/>
          <w:szCs w:val="33"/>
          <w:lang w:val="en-US" w:eastAsia="zh-CN"/>
        </w:rPr>
        <w:t>419</w:t>
      </w:r>
      <w:r>
        <w:rPr>
          <w:rFonts w:hint="default"/>
          <w:color w:val="000000"/>
          <w:sz w:val="33"/>
          <w:szCs w:val="33"/>
          <w:lang w:eastAsia="zh-CN"/>
        </w:rPr>
        <w:t>件，调解撤诉</w:t>
      </w:r>
      <w:r>
        <w:rPr>
          <w:rFonts w:hint="default"/>
          <w:color w:val="000000"/>
          <w:sz w:val="33"/>
          <w:szCs w:val="33"/>
          <w:lang w:val="en-US" w:eastAsia="zh-CN"/>
        </w:rPr>
        <w:t>219</w:t>
      </w:r>
      <w:r>
        <w:rPr>
          <w:rFonts w:hint="default"/>
          <w:color w:val="000000"/>
          <w:sz w:val="33"/>
          <w:szCs w:val="33"/>
          <w:lang w:eastAsia="zh-CN"/>
        </w:rPr>
        <w:t>件，调撤率</w:t>
      </w:r>
      <w:r>
        <w:rPr>
          <w:rFonts w:hint="default"/>
          <w:color w:val="000000"/>
          <w:sz w:val="33"/>
          <w:szCs w:val="33"/>
          <w:lang w:val="en-US" w:eastAsia="zh-CN"/>
        </w:rPr>
        <w:t>52.23%</w:t>
      </w:r>
      <w:r>
        <w:rPr>
          <w:rFonts w:hint="default"/>
          <w:color w:val="000000"/>
          <w:sz w:val="33"/>
          <w:szCs w:val="33"/>
          <w:lang w:eastAsia="zh-CN"/>
        </w:rPr>
        <w:t>，多元治理</w:t>
      </w:r>
      <w:r>
        <w:rPr>
          <w:rFonts w:hint="default"/>
          <w:color w:val="000000"/>
          <w:sz w:val="33"/>
          <w:szCs w:val="33"/>
          <w:lang w:val="en-US" w:eastAsia="zh-CN"/>
        </w:rPr>
        <w:t>效能显著，“</w:t>
      </w:r>
      <w:r>
        <w:rPr>
          <w:rFonts w:hint="eastAsia"/>
          <w:color w:val="000000"/>
          <w:sz w:val="33"/>
          <w:szCs w:val="33"/>
          <w:lang w:val="en-US" w:eastAsia="zh-CN"/>
        </w:rPr>
        <w:t>专业审判</w:t>
      </w:r>
      <w:r>
        <w:rPr>
          <w:rFonts w:hint="default"/>
          <w:color w:val="000000"/>
          <w:sz w:val="33"/>
          <w:szCs w:val="33"/>
          <w:lang w:val="en-US" w:eastAsia="zh-CN"/>
        </w:rPr>
        <w:t>团队入驻综治中心模式”受到省高院肯定，并全省推广</w:t>
      </w:r>
      <w:r>
        <w:rPr>
          <w:rFonts w:hint="default"/>
          <w:color w:val="000000"/>
          <w:sz w:val="33"/>
          <w:szCs w:val="33"/>
          <w:lang w:eastAsia="zh-CN"/>
        </w:rPr>
        <w:t>。</w:t>
      </w:r>
      <w:bookmarkEnd w:id="1"/>
      <w:r>
        <w:rPr>
          <w:rFonts w:hint="default"/>
          <w:color w:val="000000"/>
          <w:sz w:val="33"/>
          <w:szCs w:val="33"/>
          <w:lang w:eastAsia="zh-CN"/>
        </w:rPr>
        <w:t>深入推进信访工作法治化，严格落实“有信必复、有访必接”，院领导定期接访、带案下访</w:t>
      </w:r>
      <w:r>
        <w:rPr>
          <w:rFonts w:hint="default"/>
          <w:color w:val="000000"/>
          <w:sz w:val="33"/>
          <w:szCs w:val="33"/>
          <w:lang w:val="en-US" w:eastAsia="zh-CN"/>
        </w:rPr>
        <w:t>37</w:t>
      </w:r>
      <w:r>
        <w:rPr>
          <w:rFonts w:hint="default"/>
          <w:color w:val="000000"/>
          <w:sz w:val="33"/>
          <w:szCs w:val="33"/>
          <w:lang w:eastAsia="zh-CN"/>
        </w:rPr>
        <w:t>次，妥善化解</w:t>
      </w:r>
      <w:r>
        <w:rPr>
          <w:rFonts w:hint="default"/>
          <w:color w:val="000000"/>
          <w:sz w:val="33"/>
          <w:szCs w:val="33"/>
        </w:rPr>
        <w:t>涉诉信访案件</w:t>
      </w:r>
      <w:r>
        <w:rPr>
          <w:rFonts w:hint="default"/>
          <w:color w:val="000000"/>
          <w:sz w:val="33"/>
          <w:szCs w:val="33"/>
          <w:lang w:val="en-US" w:eastAsia="zh-CN"/>
        </w:rPr>
        <w:t>93</w:t>
      </w:r>
      <w:r>
        <w:rPr>
          <w:rFonts w:hint="default"/>
          <w:color w:val="000000"/>
          <w:sz w:val="33"/>
          <w:szCs w:val="33"/>
        </w:rPr>
        <w:t>件</w:t>
      </w:r>
      <w:r>
        <w:rPr>
          <w:rFonts w:hint="default"/>
          <w:color w:val="000000"/>
          <w:sz w:val="33"/>
          <w:szCs w:val="33"/>
          <w:lang w:eastAsia="zh-CN"/>
        </w:rPr>
        <w:t>，推动全市首件积压</w:t>
      </w:r>
      <w:r>
        <w:rPr>
          <w:rFonts w:hint="default"/>
          <w:color w:val="000000"/>
          <w:sz w:val="33"/>
          <w:szCs w:val="33"/>
          <w:lang w:val="en-US" w:eastAsia="zh-CN"/>
        </w:rPr>
        <w:t>10余年的涉诉信访案件</w:t>
      </w:r>
      <w:r>
        <w:rPr>
          <w:rFonts w:hint="eastAsia"/>
          <w:color w:val="000000"/>
          <w:sz w:val="33"/>
          <w:szCs w:val="33"/>
          <w:lang w:val="en-US" w:eastAsia="zh-CN"/>
        </w:rPr>
        <w:t>成功</w:t>
      </w:r>
      <w:r>
        <w:rPr>
          <w:rFonts w:hint="default"/>
          <w:color w:val="000000"/>
          <w:sz w:val="33"/>
          <w:szCs w:val="33"/>
          <w:lang w:val="en-US" w:eastAsia="zh-CN"/>
        </w:rPr>
        <w:t>终结</w:t>
      </w:r>
      <w:r>
        <w:rPr>
          <w:rFonts w:hint="default"/>
          <w:color w:val="000000"/>
          <w:sz w:val="33"/>
          <w:szCs w:val="33"/>
          <w:lang w:eastAsia="zh-CN"/>
        </w:rPr>
        <w:t>，</w:t>
      </w:r>
      <w:r>
        <w:rPr>
          <w:rFonts w:hint="default"/>
          <w:color w:val="000000"/>
          <w:sz w:val="33"/>
          <w:szCs w:val="33"/>
          <w:lang w:val="en-US" w:eastAsia="zh-CN"/>
        </w:rPr>
        <w:t>为平安西区建设夯实民生根基</w:t>
      </w:r>
      <w:r>
        <w:rPr>
          <w:rFonts w:hint="default"/>
          <w:color w:val="000000"/>
          <w:sz w:val="33"/>
          <w:szCs w:val="33"/>
          <w:lang w:eastAsia="zh-CN"/>
        </w:rPr>
        <w:t>。</w:t>
      </w:r>
    </w:p>
    <w:p w14:paraId="7F60B64F">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诉讼服务“向优”拓展。倾力打造</w:t>
      </w:r>
      <w:r>
        <w:rPr>
          <w:rFonts w:hint="default"/>
          <w:color w:val="000000"/>
          <w:sz w:val="33"/>
          <w:szCs w:val="33"/>
          <w:lang w:eastAsia="zh-CN"/>
        </w:rPr>
        <w:t>“新速度·心诉服”诉讼服务品牌，专设导诉员、</w:t>
      </w:r>
      <w:r>
        <w:rPr>
          <w:rFonts w:hint="default"/>
          <w:color w:val="000000"/>
          <w:sz w:val="33"/>
          <w:szCs w:val="33"/>
          <w:lang w:val="en-US" w:eastAsia="zh-CN"/>
        </w:rPr>
        <w:t>增设诉讼服务</w:t>
      </w:r>
      <w:r>
        <w:rPr>
          <w:rFonts w:hint="default"/>
          <w:color w:val="000000"/>
          <w:sz w:val="33"/>
          <w:szCs w:val="33"/>
        </w:rPr>
        <w:t>“便民自助区”，</w:t>
      </w:r>
      <w:r>
        <w:rPr>
          <w:rFonts w:hint="default"/>
          <w:color w:val="000000"/>
          <w:sz w:val="33"/>
          <w:szCs w:val="33"/>
          <w:lang w:eastAsia="zh-CN"/>
        </w:rPr>
        <w:t>实现群众诉求“一站式接收、一揽子调处、全链条服务”，缓减免诉讼费用</w:t>
      </w:r>
      <w:r>
        <w:rPr>
          <w:rFonts w:hint="default"/>
          <w:color w:val="000000"/>
          <w:sz w:val="33"/>
          <w:szCs w:val="33"/>
          <w:lang w:val="en-US" w:eastAsia="zh-CN"/>
        </w:rPr>
        <w:t>2.91</w:t>
      </w:r>
      <w:r>
        <w:rPr>
          <w:rFonts w:hint="default"/>
          <w:color w:val="000000"/>
          <w:sz w:val="33"/>
          <w:szCs w:val="33"/>
          <w:lang w:eastAsia="zh-CN"/>
        </w:rPr>
        <w:t>万元，</w:t>
      </w:r>
      <w:r>
        <w:rPr>
          <w:rFonts w:hint="eastAsia"/>
          <w:color w:val="000000"/>
          <w:sz w:val="33"/>
          <w:szCs w:val="33"/>
          <w:lang w:eastAsia="zh-CN"/>
        </w:rPr>
        <w:t>诉讼成本</w:t>
      </w:r>
      <w:r>
        <w:rPr>
          <w:rFonts w:hint="default"/>
          <w:color w:val="000000"/>
          <w:sz w:val="33"/>
          <w:szCs w:val="33"/>
          <w:lang w:val="en-US" w:eastAsia="zh-CN"/>
        </w:rPr>
        <w:t>持续降低</w:t>
      </w:r>
      <w:r>
        <w:rPr>
          <w:rFonts w:hint="default"/>
          <w:color w:val="000000"/>
          <w:sz w:val="33"/>
          <w:szCs w:val="33"/>
          <w:lang w:eastAsia="zh-CN"/>
        </w:rPr>
        <w:t>。深化数字法院建设</w:t>
      </w:r>
      <w:r>
        <w:rPr>
          <w:rFonts w:hint="default"/>
          <w:color w:val="000000"/>
          <w:sz w:val="33"/>
          <w:szCs w:val="33"/>
          <w:lang w:val="en-US" w:eastAsia="zh-CN"/>
        </w:rPr>
        <w:t>成果</w:t>
      </w:r>
      <w:r>
        <w:rPr>
          <w:rFonts w:hint="default"/>
          <w:color w:val="000000"/>
          <w:sz w:val="33"/>
          <w:szCs w:val="33"/>
          <w:lang w:eastAsia="zh-CN"/>
        </w:rPr>
        <w:t>应用，深挖“互联网</w:t>
      </w:r>
      <w:r>
        <w:rPr>
          <w:rFonts w:hint="default"/>
          <w:color w:val="000000"/>
          <w:sz w:val="33"/>
          <w:szCs w:val="33"/>
          <w:lang w:val="en-US" w:eastAsia="zh-CN"/>
        </w:rPr>
        <w:t>+服务</w:t>
      </w:r>
      <w:r>
        <w:rPr>
          <w:rFonts w:hint="default"/>
          <w:color w:val="000000"/>
          <w:sz w:val="33"/>
          <w:szCs w:val="33"/>
          <w:lang w:eastAsia="zh-CN"/>
        </w:rPr>
        <w:t>”潜力，完成线上立案</w:t>
      </w:r>
      <w:r>
        <w:rPr>
          <w:rFonts w:hint="default"/>
          <w:color w:val="000000"/>
          <w:sz w:val="33"/>
          <w:szCs w:val="33"/>
          <w:lang w:val="en-US" w:eastAsia="zh-CN"/>
        </w:rPr>
        <w:t>819</w:t>
      </w:r>
      <w:r>
        <w:rPr>
          <w:rFonts w:hint="default"/>
          <w:color w:val="000000"/>
          <w:sz w:val="33"/>
          <w:szCs w:val="33"/>
          <w:lang w:eastAsia="zh-CN"/>
        </w:rPr>
        <w:t>件次，线上开庭调解</w:t>
      </w:r>
      <w:r>
        <w:rPr>
          <w:rFonts w:hint="default"/>
          <w:color w:val="000000"/>
          <w:sz w:val="33"/>
          <w:szCs w:val="33"/>
          <w:lang w:val="en-US" w:eastAsia="zh-CN"/>
        </w:rPr>
        <w:t>489</w:t>
      </w:r>
      <w:r>
        <w:rPr>
          <w:rFonts w:hint="default"/>
          <w:color w:val="000000"/>
          <w:sz w:val="33"/>
          <w:szCs w:val="33"/>
          <w:lang w:eastAsia="zh-CN"/>
        </w:rPr>
        <w:t>件次，电子送达实现全覆盖，全面推广“两状”示范文本，助力当事人清晰表诉求、法官</w:t>
      </w:r>
      <w:r>
        <w:rPr>
          <w:rFonts w:hint="eastAsia"/>
          <w:color w:val="000000"/>
          <w:sz w:val="33"/>
          <w:szCs w:val="33"/>
          <w:lang w:val="en-US" w:eastAsia="zh-CN"/>
        </w:rPr>
        <w:t>快速</w:t>
      </w:r>
      <w:r>
        <w:rPr>
          <w:rFonts w:hint="default"/>
          <w:color w:val="000000"/>
          <w:sz w:val="33"/>
          <w:szCs w:val="33"/>
          <w:lang w:eastAsia="zh-CN"/>
        </w:rPr>
        <w:t>定争议</w:t>
      </w:r>
      <w:r>
        <w:rPr>
          <w:rFonts w:hint="eastAsia"/>
          <w:color w:val="000000"/>
          <w:sz w:val="33"/>
          <w:szCs w:val="33"/>
          <w:lang w:eastAsia="zh-CN"/>
        </w:rPr>
        <w:t>，</w:t>
      </w:r>
      <w:r>
        <w:rPr>
          <w:rFonts w:hint="eastAsia"/>
          <w:color w:val="000000"/>
          <w:sz w:val="33"/>
          <w:szCs w:val="33"/>
          <w:lang w:val="en-US" w:eastAsia="zh-CN"/>
        </w:rPr>
        <w:t>让</w:t>
      </w:r>
      <w:r>
        <w:rPr>
          <w:rFonts w:hint="default"/>
          <w:color w:val="000000"/>
          <w:sz w:val="33"/>
          <w:szCs w:val="33"/>
          <w:lang w:eastAsia="zh-CN"/>
        </w:rPr>
        <w:t>数字赋能跑出司法服务“加速度”。关注“一老一小”，畅通涉老残绿色通道，推动立案服务下沉敬老院，</w:t>
      </w:r>
      <w:r>
        <w:rPr>
          <w:rFonts w:hint="default"/>
          <w:color w:val="000000"/>
          <w:sz w:val="33"/>
          <w:szCs w:val="33"/>
          <w:lang w:val="en-US" w:eastAsia="zh-CN"/>
        </w:rPr>
        <w:t>司法调解走进百姓家</w:t>
      </w:r>
      <w:r>
        <w:rPr>
          <w:rFonts w:hint="default"/>
          <w:color w:val="000000"/>
          <w:sz w:val="33"/>
          <w:szCs w:val="33"/>
          <w:lang w:eastAsia="zh-CN"/>
        </w:rPr>
        <w:t>，办结继承、赡养等涉老案件</w:t>
      </w:r>
      <w:r>
        <w:rPr>
          <w:rFonts w:hint="default"/>
          <w:color w:val="000000"/>
          <w:sz w:val="33"/>
          <w:szCs w:val="33"/>
          <w:lang w:val="en-US" w:eastAsia="zh-CN"/>
        </w:rPr>
        <w:t>1285</w:t>
      </w:r>
      <w:r>
        <w:rPr>
          <w:rFonts w:hint="default"/>
          <w:color w:val="000000"/>
          <w:sz w:val="33"/>
          <w:szCs w:val="33"/>
          <w:lang w:eastAsia="zh-CN"/>
        </w:rPr>
        <w:t>件，实现涉诉群众“既解法结，更解心结”。</w:t>
      </w:r>
      <w:r>
        <w:rPr>
          <w:rFonts w:hint="default"/>
          <w:color w:val="000000"/>
          <w:sz w:val="33"/>
          <w:szCs w:val="33"/>
          <w:lang w:val="en-US" w:eastAsia="zh-CN"/>
        </w:rPr>
        <w:t>我</w:t>
      </w:r>
      <w:r>
        <w:rPr>
          <w:rFonts w:hint="default"/>
          <w:color w:val="000000"/>
          <w:sz w:val="33"/>
          <w:szCs w:val="33"/>
          <w:lang w:eastAsia="zh-CN"/>
        </w:rPr>
        <w:t>院获评</w:t>
      </w:r>
      <w:r>
        <w:rPr>
          <w:rFonts w:hint="default"/>
          <w:color w:val="000000"/>
          <w:sz w:val="33"/>
          <w:szCs w:val="33"/>
          <w:lang w:val="en-US" w:eastAsia="zh-CN"/>
        </w:rPr>
        <w:t>全省法院一站式建设成绩突出集体</w:t>
      </w:r>
      <w:r>
        <w:rPr>
          <w:rFonts w:hint="default"/>
          <w:color w:val="000000"/>
          <w:sz w:val="33"/>
          <w:szCs w:val="33"/>
          <w:lang w:eastAsia="zh-CN"/>
        </w:rPr>
        <w:t>。</w:t>
      </w:r>
    </w:p>
    <w:p w14:paraId="3CB00338">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法治宣传“向高”攀升。立足司法职能，</w:t>
      </w:r>
      <w:r>
        <w:rPr>
          <w:rFonts w:hint="eastAsia"/>
          <w:color w:val="000000"/>
          <w:sz w:val="33"/>
          <w:szCs w:val="33"/>
          <w:lang w:val="en-US" w:eastAsia="zh-CN"/>
        </w:rPr>
        <w:t>创新</w:t>
      </w:r>
      <w:r>
        <w:rPr>
          <w:rFonts w:hint="default"/>
          <w:color w:val="000000"/>
          <w:sz w:val="33"/>
          <w:szCs w:val="33"/>
          <w:lang w:val="en-US" w:eastAsia="zh-CN"/>
        </w:rPr>
        <w:t>开</w:t>
      </w:r>
      <w:r>
        <w:rPr>
          <w:rFonts w:hint="default"/>
          <w:color w:val="000000"/>
          <w:sz w:val="33"/>
          <w:szCs w:val="33"/>
          <w:lang w:eastAsia="zh-CN"/>
        </w:rPr>
        <w:t>展</w:t>
      </w:r>
      <w:r>
        <w:rPr>
          <w:rFonts w:hint="default"/>
          <w:color w:val="000000"/>
          <w:sz w:val="33"/>
          <w:szCs w:val="33"/>
        </w:rPr>
        <w:t>综合性、系统性的法治宣传教育</w:t>
      </w:r>
      <w:r>
        <w:rPr>
          <w:rFonts w:hint="default"/>
          <w:color w:val="000000"/>
          <w:sz w:val="33"/>
          <w:szCs w:val="33"/>
          <w:lang w:eastAsia="zh-CN"/>
        </w:rPr>
        <w:t>活动</w:t>
      </w:r>
      <w:r>
        <w:rPr>
          <w:rFonts w:hint="eastAsia"/>
          <w:color w:val="000000"/>
          <w:sz w:val="33"/>
          <w:szCs w:val="33"/>
          <w:lang w:eastAsia="zh-CN"/>
        </w:rPr>
        <w:t>。</w:t>
      </w:r>
      <w:r>
        <w:rPr>
          <w:rFonts w:hint="eastAsia"/>
          <w:color w:val="000000"/>
          <w:sz w:val="33"/>
          <w:szCs w:val="33"/>
          <w:lang w:val="en-US" w:eastAsia="zh-CN"/>
        </w:rPr>
        <w:t>以“审判+普法”模式增强普法时效性，紧扣审判实践提炼鲜活案例，以典型案例解读、普法剧改编、人偶剧展演等形式，扩大宣传覆盖面与影响力。由真实案件改编的普法剧《教官的谎言》获推第12届“金法槌奖”，实现司法实践与法治传播良性互动。</w:t>
      </w:r>
      <w:r>
        <w:rPr>
          <w:rFonts w:hint="default"/>
          <w:color w:val="000000"/>
          <w:sz w:val="33"/>
          <w:szCs w:val="33"/>
          <w:lang w:val="en-US" w:eastAsia="zh-CN"/>
        </w:rPr>
        <w:t>创新采用“现场旁听+定向直播”形式，组织攀枝花市建筑工程学校300余名学生线上观摩危险驾驶罪案件庭审</w:t>
      </w:r>
      <w:r>
        <w:rPr>
          <w:rFonts w:hint="eastAsia"/>
          <w:color w:val="000000"/>
          <w:sz w:val="33"/>
          <w:szCs w:val="33"/>
          <w:lang w:val="en-US" w:eastAsia="zh-CN"/>
        </w:rPr>
        <w:t>，推动即时普法转化为自觉守法行动</w:t>
      </w:r>
      <w:r>
        <w:rPr>
          <w:rFonts w:hint="default"/>
          <w:color w:val="000000"/>
          <w:sz w:val="33"/>
          <w:szCs w:val="33"/>
          <w:lang w:val="en-US" w:eastAsia="zh-CN"/>
        </w:rPr>
        <w:t>。</w:t>
      </w:r>
      <w:r>
        <w:rPr>
          <w:rFonts w:hint="eastAsia"/>
          <w:color w:val="000000"/>
          <w:sz w:val="33"/>
          <w:szCs w:val="33"/>
          <w:lang w:val="en-US" w:eastAsia="zh-CN"/>
        </w:rPr>
        <w:t>以“订单+菜单”模式增强普法精准度，靶向对接群众法治需求，</w:t>
      </w:r>
      <w:r>
        <w:rPr>
          <w:rFonts w:hint="default"/>
          <w:color w:val="000000"/>
          <w:sz w:val="33"/>
          <w:szCs w:val="33"/>
          <w:lang w:val="en-US" w:eastAsia="zh-CN"/>
        </w:rPr>
        <w:t>围绕防电信诈骗、反校园霸凌、网络安全等</w:t>
      </w:r>
      <w:r>
        <w:rPr>
          <w:rFonts w:hint="eastAsia"/>
          <w:color w:val="000000"/>
          <w:sz w:val="33"/>
          <w:szCs w:val="33"/>
          <w:lang w:val="en-US" w:eastAsia="zh-CN"/>
        </w:rPr>
        <w:t>热点难点</w:t>
      </w:r>
      <w:r>
        <w:rPr>
          <w:rFonts w:hint="default"/>
          <w:color w:val="000000"/>
          <w:sz w:val="33"/>
          <w:szCs w:val="33"/>
          <w:lang w:val="en-US" w:eastAsia="zh-CN"/>
        </w:rPr>
        <w:t>，</w:t>
      </w:r>
      <w:r>
        <w:rPr>
          <w:rFonts w:hint="default"/>
          <w:color w:val="000000"/>
          <w:sz w:val="33"/>
          <w:szCs w:val="33"/>
          <w:lang w:eastAsia="zh-CN"/>
        </w:rPr>
        <w:t>在</w:t>
      </w:r>
      <w:r>
        <w:rPr>
          <w:rFonts w:hint="eastAsia"/>
          <w:color w:val="000000"/>
          <w:sz w:val="33"/>
          <w:szCs w:val="33"/>
          <w:lang w:val="en-US" w:eastAsia="zh-CN"/>
        </w:rPr>
        <w:t>微信公众号“西小槌普法”</w:t>
      </w:r>
      <w:r>
        <w:rPr>
          <w:rFonts w:hint="default"/>
          <w:color w:val="000000"/>
          <w:sz w:val="33"/>
          <w:szCs w:val="33"/>
          <w:lang w:eastAsia="zh-CN"/>
        </w:rPr>
        <w:t>发布普法典型案例</w:t>
      </w:r>
      <w:r>
        <w:rPr>
          <w:rFonts w:hint="default"/>
          <w:color w:val="000000"/>
          <w:sz w:val="33"/>
          <w:szCs w:val="33"/>
          <w:lang w:val="en-US" w:eastAsia="zh-CN"/>
        </w:rPr>
        <w:t>37</w:t>
      </w:r>
      <w:r>
        <w:rPr>
          <w:rFonts w:hint="default"/>
          <w:color w:val="000000"/>
          <w:sz w:val="33"/>
          <w:szCs w:val="33"/>
          <w:lang w:eastAsia="zh-CN"/>
        </w:rPr>
        <w:t>个、</w:t>
      </w:r>
      <w:r>
        <w:rPr>
          <w:rFonts w:hint="eastAsia"/>
          <w:color w:val="000000"/>
          <w:sz w:val="33"/>
          <w:szCs w:val="33"/>
          <w:lang w:val="en-US" w:eastAsia="zh-CN"/>
        </w:rPr>
        <w:t>普法宣传信息318条，</w:t>
      </w:r>
      <w:r>
        <w:rPr>
          <w:rFonts w:hint="default"/>
          <w:color w:val="000000"/>
          <w:sz w:val="33"/>
          <w:szCs w:val="33"/>
          <w:lang w:val="en-US" w:eastAsia="zh-CN"/>
        </w:rPr>
        <w:t>浏览量突破60万</w:t>
      </w:r>
      <w:r>
        <w:rPr>
          <w:rFonts w:hint="eastAsia"/>
          <w:color w:val="000000"/>
          <w:sz w:val="33"/>
          <w:szCs w:val="33"/>
          <w:lang w:val="en-US" w:eastAsia="zh-CN"/>
        </w:rPr>
        <w:t>；</w:t>
      </w:r>
      <w:r>
        <w:rPr>
          <w:rFonts w:hint="default"/>
          <w:color w:val="000000"/>
          <w:sz w:val="33"/>
          <w:szCs w:val="33"/>
        </w:rPr>
        <w:t>联社法官</w:t>
      </w:r>
      <w:r>
        <w:rPr>
          <w:rFonts w:hint="default"/>
          <w:color w:val="000000"/>
          <w:sz w:val="33"/>
          <w:szCs w:val="33"/>
          <w:lang w:eastAsia="zh-CN"/>
        </w:rPr>
        <w:t>、</w:t>
      </w:r>
      <w:r>
        <w:rPr>
          <w:rFonts w:hint="default"/>
          <w:color w:val="000000"/>
          <w:sz w:val="33"/>
          <w:szCs w:val="33"/>
        </w:rPr>
        <w:t>“西法快车”宣讲团开展线下普法</w:t>
      </w:r>
      <w:r>
        <w:rPr>
          <w:rFonts w:hint="default"/>
          <w:color w:val="000000"/>
          <w:sz w:val="33"/>
          <w:szCs w:val="33"/>
          <w:lang w:val="en-US" w:eastAsia="zh-CN"/>
        </w:rPr>
        <w:t>24</w:t>
      </w:r>
      <w:r>
        <w:rPr>
          <w:rFonts w:hint="eastAsia"/>
          <w:color w:val="000000"/>
          <w:sz w:val="33"/>
          <w:szCs w:val="33"/>
          <w:lang w:val="en-US" w:eastAsia="zh-CN"/>
        </w:rPr>
        <w:t>场</w:t>
      </w:r>
      <w:r>
        <w:rPr>
          <w:rFonts w:hint="default"/>
          <w:color w:val="000000"/>
          <w:sz w:val="33"/>
          <w:szCs w:val="33"/>
        </w:rPr>
        <w:t>次</w:t>
      </w:r>
      <w:r>
        <w:rPr>
          <w:rFonts w:hint="eastAsia"/>
          <w:color w:val="000000"/>
          <w:sz w:val="33"/>
          <w:szCs w:val="33"/>
          <w:lang w:eastAsia="zh-CN"/>
        </w:rPr>
        <w:t>，</w:t>
      </w:r>
      <w:r>
        <w:rPr>
          <w:rFonts w:hint="default"/>
          <w:color w:val="000000"/>
          <w:sz w:val="33"/>
          <w:szCs w:val="33"/>
        </w:rPr>
        <w:t>惠及人民群众</w:t>
      </w:r>
      <w:r>
        <w:rPr>
          <w:rFonts w:hint="default"/>
          <w:color w:val="000000"/>
          <w:sz w:val="33"/>
          <w:szCs w:val="33"/>
          <w:lang w:val="en-US" w:eastAsia="zh-CN"/>
        </w:rPr>
        <w:t>3000</w:t>
      </w:r>
      <w:r>
        <w:rPr>
          <w:rFonts w:hint="default"/>
          <w:color w:val="000000"/>
          <w:sz w:val="33"/>
          <w:szCs w:val="33"/>
        </w:rPr>
        <w:t>余人，</w:t>
      </w:r>
      <w:r>
        <w:rPr>
          <w:rFonts w:hint="default"/>
          <w:color w:val="000000"/>
          <w:sz w:val="33"/>
          <w:szCs w:val="33"/>
          <w:lang w:eastAsia="zh-CN"/>
        </w:rPr>
        <w:t>以</w:t>
      </w:r>
      <w:r>
        <w:rPr>
          <w:rFonts w:hint="eastAsia"/>
          <w:color w:val="000000"/>
          <w:sz w:val="33"/>
          <w:szCs w:val="33"/>
          <w:lang w:eastAsia="zh-CN"/>
        </w:rPr>
        <w:t>“</w:t>
      </w:r>
      <w:r>
        <w:rPr>
          <w:rFonts w:hint="default"/>
          <w:color w:val="000000"/>
          <w:sz w:val="33"/>
          <w:szCs w:val="33"/>
          <w:lang w:eastAsia="zh-CN"/>
        </w:rPr>
        <w:t>零距离</w:t>
      </w:r>
      <w:r>
        <w:rPr>
          <w:rFonts w:hint="eastAsia"/>
          <w:color w:val="000000"/>
          <w:sz w:val="33"/>
          <w:szCs w:val="33"/>
          <w:lang w:eastAsia="zh-CN"/>
        </w:rPr>
        <w:t>”</w:t>
      </w:r>
      <w:r>
        <w:rPr>
          <w:rFonts w:hint="eastAsia"/>
          <w:color w:val="000000"/>
          <w:sz w:val="33"/>
          <w:szCs w:val="33"/>
          <w:lang w:val="en-US" w:eastAsia="zh-CN"/>
        </w:rPr>
        <w:t>答疑</w:t>
      </w:r>
      <w:r>
        <w:rPr>
          <w:rFonts w:hint="default"/>
          <w:color w:val="000000"/>
          <w:sz w:val="33"/>
          <w:szCs w:val="33"/>
          <w:lang w:eastAsia="zh-CN"/>
        </w:rPr>
        <w:t>释法</w:t>
      </w:r>
      <w:r>
        <w:rPr>
          <w:rFonts w:hint="eastAsia"/>
          <w:color w:val="000000"/>
          <w:sz w:val="33"/>
          <w:szCs w:val="33"/>
          <w:lang w:val="en-US" w:eastAsia="zh-CN"/>
        </w:rPr>
        <w:t>破解群众守法用法梗阻</w:t>
      </w:r>
      <w:r>
        <w:rPr>
          <w:rFonts w:hint="default"/>
          <w:color w:val="000000"/>
          <w:sz w:val="33"/>
          <w:szCs w:val="33"/>
        </w:rPr>
        <w:t>。</w:t>
      </w:r>
      <w:r>
        <w:rPr>
          <w:rFonts w:hint="eastAsia"/>
          <w:color w:val="000000"/>
          <w:sz w:val="33"/>
          <w:szCs w:val="33"/>
          <w:lang w:val="en-US" w:eastAsia="zh-CN"/>
        </w:rPr>
        <w:t>以“请进来+走出去”模式强化普法穿透力，常态化开展</w:t>
      </w:r>
      <w:r>
        <w:rPr>
          <w:rFonts w:hint="default"/>
          <w:color w:val="000000"/>
          <w:sz w:val="33"/>
          <w:szCs w:val="33"/>
          <w:lang w:val="en-US" w:eastAsia="zh-CN"/>
        </w:rPr>
        <w:t>法院</w:t>
      </w:r>
      <w:r>
        <w:rPr>
          <w:rFonts w:hint="eastAsia"/>
          <w:color w:val="000000"/>
          <w:sz w:val="33"/>
          <w:szCs w:val="33"/>
          <w:lang w:val="en-US" w:eastAsia="zh-CN"/>
        </w:rPr>
        <w:t>开放日活动</w:t>
      </w:r>
      <w:r>
        <w:rPr>
          <w:rFonts w:hint="default"/>
          <w:color w:val="000000"/>
          <w:sz w:val="33"/>
          <w:szCs w:val="33"/>
          <w:lang w:val="en-US" w:eastAsia="zh-CN"/>
        </w:rPr>
        <w:t>40次，</w:t>
      </w:r>
      <w:r>
        <w:rPr>
          <w:rFonts w:hint="eastAsia"/>
          <w:color w:val="000000"/>
          <w:sz w:val="33"/>
          <w:szCs w:val="33"/>
          <w:lang w:val="en-US" w:eastAsia="zh-CN"/>
        </w:rPr>
        <w:t>接待来访</w:t>
      </w:r>
      <w:r>
        <w:rPr>
          <w:rFonts w:hint="default"/>
          <w:color w:val="000000"/>
          <w:sz w:val="33"/>
          <w:szCs w:val="33"/>
          <w:lang w:val="en-US" w:eastAsia="zh-CN"/>
        </w:rPr>
        <w:t>4500余人</w:t>
      </w:r>
      <w:r>
        <w:rPr>
          <w:rFonts w:hint="eastAsia"/>
          <w:color w:val="000000"/>
          <w:sz w:val="33"/>
          <w:szCs w:val="33"/>
          <w:lang w:val="en-US" w:eastAsia="zh-CN"/>
        </w:rPr>
        <w:t>次。</w:t>
      </w:r>
      <w:r>
        <w:rPr>
          <w:rFonts w:hint="default"/>
          <w:color w:val="000000"/>
          <w:sz w:val="33"/>
          <w:szCs w:val="33"/>
          <w:lang w:val="en-US" w:eastAsia="zh-CN"/>
        </w:rPr>
        <w:t>打造“沉浸式”</w:t>
      </w:r>
      <w:r>
        <w:rPr>
          <w:rFonts w:hint="default"/>
          <w:color w:val="000000"/>
          <w:sz w:val="33"/>
          <w:szCs w:val="33"/>
          <w:lang w:eastAsia="zh-CN"/>
        </w:rPr>
        <w:t>法治</w:t>
      </w:r>
      <w:r>
        <w:rPr>
          <w:rFonts w:hint="default"/>
          <w:color w:val="000000"/>
          <w:sz w:val="33"/>
          <w:szCs w:val="33"/>
          <w:lang w:val="en-US" w:eastAsia="zh-CN"/>
        </w:rPr>
        <w:t>教育课堂</w:t>
      </w:r>
      <w:r>
        <w:rPr>
          <w:rFonts w:hint="default"/>
          <w:color w:val="000000"/>
          <w:sz w:val="33"/>
          <w:szCs w:val="33"/>
          <w:lang w:eastAsia="zh-CN"/>
        </w:rPr>
        <w:t>，选派</w:t>
      </w:r>
      <w:r>
        <w:rPr>
          <w:rFonts w:hint="default"/>
          <w:color w:val="000000"/>
          <w:sz w:val="33"/>
          <w:szCs w:val="33"/>
          <w:lang w:val="en-US" w:eastAsia="zh-CN"/>
        </w:rPr>
        <w:t>11</w:t>
      </w:r>
      <w:r>
        <w:rPr>
          <w:rFonts w:hint="default"/>
          <w:color w:val="000000"/>
          <w:sz w:val="33"/>
          <w:szCs w:val="33"/>
          <w:lang w:eastAsia="zh-CN"/>
        </w:rPr>
        <w:t>名资深法官担任中小学校“法治副校长”，</w:t>
      </w:r>
      <w:r>
        <w:rPr>
          <w:rFonts w:hint="eastAsia"/>
          <w:color w:val="000000"/>
          <w:sz w:val="33"/>
          <w:szCs w:val="33"/>
        </w:rPr>
        <w:t>在</w:t>
      </w:r>
      <w:r>
        <w:rPr>
          <w:color w:val="000000"/>
          <w:sz w:val="33"/>
          <w:szCs w:val="33"/>
        </w:rPr>
        <w:t>开学季、国际禁毒日、宪法宣传周等重要节点，开展</w:t>
      </w:r>
      <w:r>
        <w:rPr>
          <w:rFonts w:hint="eastAsia"/>
          <w:color w:val="000000"/>
          <w:sz w:val="33"/>
          <w:szCs w:val="33"/>
          <w:lang w:val="en-US" w:eastAsia="zh-CN"/>
        </w:rPr>
        <w:t>宪法晨读、法治符号绘画课、拍摄禁毒宣传片等活动</w:t>
      </w:r>
      <w:r>
        <w:rPr>
          <w:rFonts w:hint="eastAsia"/>
          <w:color w:val="000000"/>
          <w:sz w:val="33"/>
          <w:szCs w:val="33"/>
        </w:rPr>
        <w:t>30余</w:t>
      </w:r>
      <w:r>
        <w:rPr>
          <w:color w:val="000000"/>
          <w:sz w:val="33"/>
          <w:szCs w:val="33"/>
        </w:rPr>
        <w:t>次，</w:t>
      </w:r>
      <w:r>
        <w:rPr>
          <w:rFonts w:hint="eastAsia"/>
          <w:color w:val="000000"/>
          <w:sz w:val="33"/>
          <w:szCs w:val="33"/>
        </w:rPr>
        <w:t>覆盖师生家长</w:t>
      </w:r>
      <w:r>
        <w:rPr>
          <w:rFonts w:hint="eastAsia"/>
          <w:color w:val="000000"/>
          <w:sz w:val="33"/>
          <w:szCs w:val="33"/>
          <w:lang w:val="en-US" w:eastAsia="zh-CN"/>
        </w:rPr>
        <w:t>1.6万</w:t>
      </w:r>
      <w:r>
        <w:rPr>
          <w:rFonts w:hint="eastAsia"/>
          <w:color w:val="000000"/>
          <w:sz w:val="33"/>
          <w:szCs w:val="33"/>
        </w:rPr>
        <w:t>余人，让“小课堂”</w:t>
      </w:r>
      <w:r>
        <w:rPr>
          <w:rFonts w:hint="eastAsia"/>
          <w:color w:val="000000"/>
          <w:sz w:val="33"/>
          <w:szCs w:val="33"/>
          <w:lang w:val="en-US" w:eastAsia="zh-CN"/>
        </w:rPr>
        <w:t>成为法治传播</w:t>
      </w:r>
      <w:r>
        <w:rPr>
          <w:rFonts w:hint="eastAsia"/>
          <w:color w:val="000000"/>
          <w:sz w:val="33"/>
          <w:szCs w:val="33"/>
        </w:rPr>
        <w:t>“大舞台”</w:t>
      </w:r>
      <w:r>
        <w:rPr>
          <w:rFonts w:hint="eastAsia"/>
          <w:color w:val="000000"/>
          <w:sz w:val="33"/>
          <w:szCs w:val="33"/>
          <w:lang w:val="en-US" w:eastAsia="zh-CN"/>
        </w:rPr>
        <w:t>。</w:t>
      </w:r>
      <w:r>
        <w:rPr>
          <w:rFonts w:hint="default"/>
          <w:color w:val="000000"/>
          <w:sz w:val="33"/>
          <w:szCs w:val="33"/>
          <w:lang w:eastAsia="zh-CN"/>
        </w:rPr>
        <w:t>“</w:t>
      </w:r>
      <w:r>
        <w:rPr>
          <w:rFonts w:hint="default"/>
          <w:color w:val="000000"/>
          <w:sz w:val="33"/>
          <w:szCs w:val="33"/>
          <w:lang w:val="en-US" w:eastAsia="zh-CN"/>
        </w:rPr>
        <w:t>青青西法”普法教育基地被命名为</w:t>
      </w:r>
      <w:r>
        <w:rPr>
          <w:rFonts w:hint="default"/>
          <w:color w:val="000000"/>
          <w:sz w:val="33"/>
          <w:szCs w:val="33"/>
          <w:lang w:eastAsia="zh-CN"/>
        </w:rPr>
        <w:t>西区首批新时代文明实践点。</w:t>
      </w:r>
    </w:p>
    <w:p w14:paraId="6C151514">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4.</w:t>
      </w:r>
      <w:r>
        <w:rPr>
          <w:rFonts w:hint="default"/>
          <w:color w:val="000000"/>
          <w:sz w:val="33"/>
          <w:szCs w:val="33"/>
          <w:lang w:val="en-US" w:eastAsia="zh-CN"/>
        </w:rPr>
        <w:t>聚力改革补短板，以“创新之策”提效能明权责</w:t>
      </w:r>
    </w:p>
    <w:p w14:paraId="2CAE9FE5">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激活质效管理“总开关”。纵深推进“全院、全员、全程”审判管理体系改革，健全从案件分配、流程管控到质量评估的全链条制度体系。深化民事诉讼繁简分流改革，加大小额诉讼程序适用力度，适用率</w:t>
      </w:r>
      <w:r>
        <w:rPr>
          <w:rFonts w:hint="eastAsia"/>
          <w:color w:val="000000"/>
          <w:sz w:val="33"/>
          <w:szCs w:val="33"/>
          <w:lang w:val="en-US" w:eastAsia="zh-CN"/>
        </w:rPr>
        <w:t>同比提升20.85个百分点</w:t>
      </w:r>
      <w:r>
        <w:rPr>
          <w:rFonts w:hint="default"/>
          <w:color w:val="000000"/>
          <w:sz w:val="33"/>
          <w:szCs w:val="33"/>
          <w:lang w:val="en-US" w:eastAsia="zh-CN"/>
        </w:rPr>
        <w:t>。全年共有</w:t>
      </w:r>
      <w:r>
        <w:rPr>
          <w:rFonts w:hint="eastAsia"/>
          <w:color w:val="000000"/>
          <w:sz w:val="33"/>
          <w:szCs w:val="33"/>
          <w:lang w:val="en-US" w:eastAsia="zh-CN"/>
        </w:rPr>
        <w:t>7</w:t>
      </w:r>
      <w:r>
        <w:rPr>
          <w:rFonts w:hint="default"/>
          <w:color w:val="000000"/>
          <w:sz w:val="33"/>
          <w:szCs w:val="33"/>
          <w:lang w:val="en-US" w:eastAsia="zh-CN"/>
        </w:rPr>
        <w:t>个庭审获评省、市“优秀庭审”，5份文书获评全市法院“优秀裁判文书”，</w:t>
      </w:r>
      <w:r>
        <w:rPr>
          <w:rFonts w:hint="default"/>
          <w:color w:val="000000"/>
          <w:sz w:val="33"/>
          <w:szCs w:val="33"/>
          <w:lang w:eastAsia="zh-CN"/>
        </w:rPr>
        <w:t>对标</w:t>
      </w:r>
      <w:r>
        <w:rPr>
          <w:rFonts w:hint="default"/>
          <w:color w:val="000000"/>
          <w:sz w:val="33"/>
          <w:szCs w:val="33"/>
        </w:rPr>
        <w:t>最高院审判</w:t>
      </w:r>
      <w:r>
        <w:rPr>
          <w:rFonts w:hint="default"/>
          <w:color w:val="000000"/>
          <w:sz w:val="33"/>
          <w:szCs w:val="33"/>
          <w:lang w:eastAsia="zh-CN"/>
        </w:rPr>
        <w:t>质量</w:t>
      </w:r>
      <w:r>
        <w:rPr>
          <w:rFonts w:hint="default"/>
          <w:color w:val="000000"/>
          <w:sz w:val="33"/>
          <w:szCs w:val="33"/>
        </w:rPr>
        <w:t>管理指标</w:t>
      </w:r>
      <w:r>
        <w:rPr>
          <w:rFonts w:hint="default"/>
          <w:color w:val="000000"/>
          <w:sz w:val="33"/>
          <w:szCs w:val="33"/>
          <w:lang w:eastAsia="zh-CN"/>
        </w:rPr>
        <w:t>，</w:t>
      </w:r>
      <w:r>
        <w:rPr>
          <w:rFonts w:hint="default"/>
          <w:color w:val="000000"/>
          <w:sz w:val="33"/>
          <w:szCs w:val="33"/>
          <w:lang w:val="en-US" w:eastAsia="zh-CN"/>
        </w:rPr>
        <w:t>12项</w:t>
      </w:r>
      <w:r>
        <w:rPr>
          <w:rFonts w:hint="default"/>
          <w:color w:val="000000"/>
          <w:sz w:val="33"/>
          <w:szCs w:val="33"/>
        </w:rPr>
        <w:t>审判质效数据全部达标，</w:t>
      </w:r>
      <w:r>
        <w:rPr>
          <w:rFonts w:hint="default"/>
          <w:color w:val="000000"/>
          <w:sz w:val="33"/>
          <w:szCs w:val="33"/>
          <w:lang w:val="en-US" w:eastAsia="zh-CN"/>
        </w:rPr>
        <w:t>10</w:t>
      </w:r>
      <w:r>
        <w:rPr>
          <w:rFonts w:hint="default"/>
          <w:color w:val="000000"/>
          <w:sz w:val="33"/>
          <w:szCs w:val="33"/>
          <w:lang w:eastAsia="zh-CN"/>
        </w:rPr>
        <w:t>项</w:t>
      </w:r>
      <w:r>
        <w:rPr>
          <w:rFonts w:hint="default"/>
          <w:color w:val="000000"/>
          <w:sz w:val="33"/>
          <w:szCs w:val="33"/>
        </w:rPr>
        <w:t>审判质效数据</w:t>
      </w:r>
      <w:r>
        <w:rPr>
          <w:rFonts w:hint="default"/>
          <w:color w:val="000000"/>
          <w:sz w:val="33"/>
          <w:szCs w:val="33"/>
          <w:lang w:eastAsia="zh-CN"/>
        </w:rPr>
        <w:t>达到满分，</w:t>
      </w:r>
      <w:r>
        <w:rPr>
          <w:rFonts w:hint="default"/>
          <w:color w:val="000000"/>
          <w:sz w:val="33"/>
          <w:szCs w:val="33"/>
          <w:lang w:val="en-US" w:eastAsia="zh-CN"/>
        </w:rPr>
        <w:t>司法质量持续创优提质。</w:t>
      </w:r>
    </w:p>
    <w:p w14:paraId="50F9F1C2">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开启数字赋能“快车道”。以智慧法院建设为牵引，</w:t>
      </w:r>
      <w:r>
        <w:rPr>
          <w:rFonts w:hint="default"/>
          <w:color w:val="000000"/>
          <w:sz w:val="33"/>
          <w:szCs w:val="33"/>
          <w:lang w:eastAsia="zh-CN"/>
        </w:rPr>
        <w:t>全面推行</w:t>
      </w:r>
      <w:r>
        <w:rPr>
          <w:rFonts w:hint="default"/>
          <w:color w:val="000000"/>
          <w:sz w:val="33"/>
          <w:szCs w:val="33"/>
        </w:rPr>
        <w:t>“电子档案为主、纸质档案为辅”</w:t>
      </w:r>
      <w:r>
        <w:rPr>
          <w:rFonts w:hint="default"/>
          <w:color w:val="000000"/>
          <w:sz w:val="33"/>
          <w:szCs w:val="33"/>
          <w:lang w:eastAsia="zh-CN"/>
        </w:rPr>
        <w:t>的单套制归档</w:t>
      </w:r>
      <w:r>
        <w:rPr>
          <w:rFonts w:hint="default"/>
          <w:color w:val="000000"/>
          <w:sz w:val="33"/>
          <w:szCs w:val="33"/>
        </w:rPr>
        <w:t>改革</w:t>
      </w:r>
      <w:r>
        <w:rPr>
          <w:rFonts w:hint="default"/>
          <w:color w:val="000000"/>
          <w:sz w:val="33"/>
          <w:szCs w:val="33"/>
          <w:lang w:eastAsia="zh-CN"/>
        </w:rPr>
        <w:t>，</w:t>
      </w:r>
      <w:r>
        <w:rPr>
          <w:rFonts w:hint="default"/>
          <w:color w:val="000000"/>
          <w:sz w:val="33"/>
          <w:szCs w:val="33"/>
        </w:rPr>
        <w:t>归档纸质材料</w:t>
      </w:r>
      <w:r>
        <w:rPr>
          <w:rFonts w:hint="default"/>
          <w:color w:val="000000"/>
          <w:sz w:val="33"/>
          <w:szCs w:val="33"/>
          <w:lang w:val="en-US" w:eastAsia="zh-CN"/>
        </w:rPr>
        <w:t>占比降至30</w:t>
      </w:r>
      <w:r>
        <w:rPr>
          <w:rFonts w:hint="default"/>
          <w:color w:val="000000"/>
          <w:sz w:val="33"/>
          <w:szCs w:val="33"/>
        </w:rPr>
        <w:t>%以下</w:t>
      </w:r>
      <w:r>
        <w:rPr>
          <w:rFonts w:hint="default"/>
          <w:color w:val="000000"/>
          <w:sz w:val="33"/>
          <w:szCs w:val="33"/>
          <w:lang w:eastAsia="zh-CN"/>
        </w:rPr>
        <w:t>，民商事、行政案件“无纸化审理”全覆盖</w:t>
      </w:r>
      <w:r>
        <w:rPr>
          <w:rFonts w:hint="default"/>
          <w:color w:val="000000"/>
          <w:sz w:val="33"/>
          <w:szCs w:val="33"/>
        </w:rPr>
        <w:t>。</w:t>
      </w:r>
      <w:r>
        <w:rPr>
          <w:rFonts w:hint="default"/>
          <w:color w:val="000000"/>
          <w:sz w:val="33"/>
          <w:szCs w:val="33"/>
          <w:lang w:eastAsia="zh-CN"/>
        </w:rPr>
        <w:t>深度融合“一张网”办案平台与本院数据中台，整合</w:t>
      </w:r>
      <w:r>
        <w:rPr>
          <w:rFonts w:hint="default"/>
          <w:color w:val="000000"/>
          <w:sz w:val="33"/>
          <w:szCs w:val="33"/>
          <w:lang w:val="en-US" w:eastAsia="zh-CN"/>
        </w:rPr>
        <w:t>多个</w:t>
      </w:r>
      <w:r>
        <w:rPr>
          <w:rFonts w:hint="default"/>
          <w:color w:val="000000"/>
          <w:sz w:val="33"/>
          <w:szCs w:val="33"/>
          <w:lang w:eastAsia="zh-CN"/>
        </w:rPr>
        <w:t>智能应用模块，构建起“数据互通、业务协同、功能集成”的智慧办案体系。做实“一案一纠纷”治理，强化“案件码”管理平台监管效能，实时监测、自动预警案件流转及办理动态，有效识别衍生风险、防范程序空转</w:t>
      </w:r>
      <w:r>
        <w:rPr>
          <w:rFonts w:hint="eastAsia"/>
          <w:color w:val="000000"/>
          <w:sz w:val="33"/>
          <w:szCs w:val="33"/>
          <w:lang w:eastAsia="zh-CN"/>
        </w:rPr>
        <w:t>，</w:t>
      </w:r>
      <w:r>
        <w:rPr>
          <w:rFonts w:hint="default"/>
          <w:color w:val="000000"/>
          <w:sz w:val="33"/>
          <w:szCs w:val="33"/>
        </w:rPr>
        <w:t>案件比大幅下降</w:t>
      </w:r>
      <w:r>
        <w:rPr>
          <w:rFonts w:hint="default"/>
          <w:color w:val="000000"/>
          <w:sz w:val="33"/>
          <w:szCs w:val="33"/>
          <w:lang w:eastAsia="zh-CN"/>
        </w:rPr>
        <w:t>，</w:t>
      </w:r>
      <w:r>
        <w:rPr>
          <w:rFonts w:hint="default"/>
          <w:color w:val="000000"/>
          <w:sz w:val="33"/>
          <w:szCs w:val="33"/>
        </w:rPr>
        <w:t>纠纷在院时间</w:t>
      </w:r>
      <w:r>
        <w:rPr>
          <w:rFonts w:hint="eastAsia"/>
          <w:color w:val="000000"/>
          <w:sz w:val="33"/>
          <w:szCs w:val="33"/>
          <w:lang w:eastAsia="zh-CN"/>
        </w:rPr>
        <w:t>大幅缩短</w:t>
      </w:r>
      <w:r>
        <w:rPr>
          <w:rFonts w:hint="default"/>
          <w:color w:val="000000"/>
          <w:sz w:val="33"/>
          <w:szCs w:val="33"/>
          <w:lang w:eastAsia="zh-CN"/>
        </w:rPr>
        <w:t>。依托智慧庭审等</w:t>
      </w:r>
      <w:r>
        <w:rPr>
          <w:rFonts w:hint="default"/>
          <w:color w:val="000000"/>
          <w:sz w:val="33"/>
          <w:szCs w:val="33"/>
          <w:lang w:val="en-US" w:eastAsia="zh-CN"/>
        </w:rPr>
        <w:t>审判辅助</w:t>
      </w:r>
      <w:r>
        <w:rPr>
          <w:rFonts w:hint="default"/>
          <w:color w:val="000000"/>
          <w:sz w:val="33"/>
          <w:szCs w:val="33"/>
          <w:lang w:eastAsia="zh-CN"/>
        </w:rPr>
        <w:t>技术应用，实现跨域立案、远程开庭、在线调解等诉讼服务“一网通办”，司法效率大幅跃升。</w:t>
      </w:r>
    </w:p>
    <w:p w14:paraId="66793621">
      <w:pPr>
        <w:spacing w:line="560" w:lineRule="exact"/>
        <w:ind w:firstLine="650" w:firstLineChars="197"/>
        <w:contextualSpacing/>
        <w:rPr>
          <w:rFonts w:hint="default"/>
          <w:color w:val="000000"/>
          <w:sz w:val="33"/>
          <w:szCs w:val="33"/>
          <w:lang w:eastAsia="zh-CN"/>
        </w:rPr>
      </w:pPr>
      <w:r>
        <w:rPr>
          <w:rFonts w:hint="default"/>
          <w:color w:val="000000"/>
          <w:sz w:val="33"/>
          <w:szCs w:val="33"/>
          <w:lang w:val="en-US" w:eastAsia="zh-CN"/>
        </w:rPr>
        <w:t>筑牢监督制约“防火墙”。严格落实司法责任制，强化</w:t>
      </w:r>
      <w:r>
        <w:rPr>
          <w:rFonts w:hint="default"/>
          <w:color w:val="000000"/>
          <w:sz w:val="33"/>
          <w:szCs w:val="33"/>
        </w:rPr>
        <w:t>院庭长对审执</w:t>
      </w:r>
      <w:r>
        <w:rPr>
          <w:rFonts w:hint="default"/>
          <w:color w:val="000000"/>
          <w:sz w:val="33"/>
          <w:szCs w:val="33"/>
          <w:lang w:eastAsia="zh-CN"/>
        </w:rPr>
        <w:t>工作的</w:t>
      </w:r>
      <w:r>
        <w:rPr>
          <w:rFonts w:hint="default"/>
          <w:color w:val="000000"/>
          <w:sz w:val="33"/>
          <w:szCs w:val="33"/>
        </w:rPr>
        <w:t>宏观</w:t>
      </w:r>
      <w:r>
        <w:rPr>
          <w:rFonts w:hint="default"/>
          <w:color w:val="000000"/>
          <w:sz w:val="33"/>
          <w:szCs w:val="33"/>
          <w:lang w:eastAsia="zh-CN"/>
        </w:rPr>
        <w:t>监督</w:t>
      </w:r>
      <w:r>
        <w:rPr>
          <w:rFonts w:hint="default"/>
          <w:color w:val="000000"/>
          <w:sz w:val="33"/>
          <w:szCs w:val="33"/>
        </w:rPr>
        <w:t>和“四类案件”</w:t>
      </w:r>
      <w:r>
        <w:rPr>
          <w:rFonts w:hint="default"/>
          <w:color w:val="000000"/>
          <w:sz w:val="33"/>
          <w:szCs w:val="33"/>
          <w:lang w:val="en-US" w:eastAsia="zh-CN"/>
        </w:rPr>
        <w:t>的</w:t>
      </w:r>
      <w:r>
        <w:rPr>
          <w:rFonts w:hint="default"/>
          <w:color w:val="000000"/>
          <w:sz w:val="33"/>
          <w:szCs w:val="33"/>
        </w:rPr>
        <w:t>个案监管，</w:t>
      </w:r>
      <w:r>
        <w:rPr>
          <w:rFonts w:hint="default"/>
          <w:color w:val="000000"/>
          <w:sz w:val="33"/>
          <w:szCs w:val="33"/>
          <w:lang w:eastAsia="zh-CN"/>
        </w:rPr>
        <w:t>院庭长线上阅核案件</w:t>
      </w:r>
      <w:r>
        <w:rPr>
          <w:rFonts w:hint="default"/>
          <w:color w:val="000000"/>
          <w:sz w:val="33"/>
          <w:szCs w:val="33"/>
          <w:lang w:val="en-US" w:eastAsia="zh-CN"/>
        </w:rPr>
        <w:t>1113件</w:t>
      </w:r>
      <w:r>
        <w:rPr>
          <w:rFonts w:hint="default"/>
          <w:color w:val="000000"/>
          <w:sz w:val="33"/>
          <w:szCs w:val="33"/>
          <w:lang w:eastAsia="zh-CN"/>
        </w:rPr>
        <w:t>，</w:t>
      </w:r>
      <w:r>
        <w:rPr>
          <w:rFonts w:hint="default"/>
          <w:color w:val="000000"/>
          <w:sz w:val="33"/>
          <w:szCs w:val="33"/>
        </w:rPr>
        <w:t>监管重点案件</w:t>
      </w:r>
      <w:r>
        <w:rPr>
          <w:rFonts w:hint="default"/>
          <w:color w:val="000000"/>
          <w:sz w:val="33"/>
          <w:szCs w:val="33"/>
          <w:lang w:val="en-US" w:eastAsia="zh-CN"/>
        </w:rPr>
        <w:t>113</w:t>
      </w:r>
      <w:r>
        <w:rPr>
          <w:rFonts w:hint="default"/>
          <w:color w:val="000000"/>
          <w:sz w:val="33"/>
          <w:szCs w:val="33"/>
        </w:rPr>
        <w:t>件，确保“放权不放任”</w:t>
      </w:r>
      <w:r>
        <w:rPr>
          <w:rFonts w:hint="default"/>
          <w:color w:val="000000"/>
          <w:sz w:val="33"/>
          <w:szCs w:val="33"/>
          <w:lang w:eastAsia="zh-CN"/>
        </w:rPr>
        <w:t>。坚持问题导向，</w:t>
      </w:r>
      <w:r>
        <w:rPr>
          <w:rFonts w:hint="default"/>
          <w:color w:val="000000"/>
          <w:sz w:val="33"/>
          <w:szCs w:val="33"/>
          <w:lang w:val="en-US" w:eastAsia="zh-CN"/>
        </w:rPr>
        <w:t>深化“日督促、周推进、月会商”数据分析机制，</w:t>
      </w:r>
      <w:r>
        <w:rPr>
          <w:rFonts w:hint="default"/>
          <w:color w:val="000000"/>
          <w:sz w:val="33"/>
          <w:szCs w:val="33"/>
          <w:lang w:eastAsia="zh-CN"/>
        </w:rPr>
        <w:t>常态化</w:t>
      </w:r>
      <w:r>
        <w:rPr>
          <w:rFonts w:hint="default"/>
          <w:color w:val="000000"/>
          <w:sz w:val="33"/>
          <w:szCs w:val="33"/>
        </w:rPr>
        <w:t>召开专业法官会议</w:t>
      </w:r>
      <w:r>
        <w:rPr>
          <w:rFonts w:hint="default"/>
          <w:color w:val="000000"/>
          <w:sz w:val="33"/>
          <w:szCs w:val="33"/>
          <w:lang w:val="en-US" w:eastAsia="zh-CN"/>
        </w:rPr>
        <w:t>32</w:t>
      </w:r>
      <w:r>
        <w:rPr>
          <w:rFonts w:hint="default"/>
          <w:color w:val="000000"/>
          <w:sz w:val="33"/>
          <w:szCs w:val="33"/>
        </w:rPr>
        <w:t>次</w:t>
      </w:r>
      <w:r>
        <w:rPr>
          <w:rFonts w:hint="default"/>
          <w:color w:val="000000"/>
          <w:sz w:val="33"/>
          <w:szCs w:val="33"/>
          <w:lang w:eastAsia="zh-CN"/>
        </w:rPr>
        <w:t>、</w:t>
      </w:r>
      <w:r>
        <w:rPr>
          <w:rFonts w:hint="default"/>
          <w:color w:val="000000"/>
          <w:sz w:val="33"/>
          <w:szCs w:val="33"/>
        </w:rPr>
        <w:t>审判委员会</w:t>
      </w:r>
      <w:r>
        <w:rPr>
          <w:rFonts w:hint="default"/>
          <w:color w:val="000000"/>
          <w:sz w:val="33"/>
          <w:szCs w:val="33"/>
          <w:lang w:val="en-US" w:eastAsia="zh-CN"/>
        </w:rPr>
        <w:t>12</w:t>
      </w:r>
      <w:r>
        <w:rPr>
          <w:rFonts w:hint="default"/>
          <w:color w:val="000000"/>
          <w:sz w:val="33"/>
          <w:szCs w:val="33"/>
        </w:rPr>
        <w:t>次，研究重大疑难复杂案件</w:t>
      </w:r>
      <w:r>
        <w:rPr>
          <w:rFonts w:hint="default"/>
          <w:color w:val="000000"/>
          <w:sz w:val="33"/>
          <w:szCs w:val="33"/>
          <w:lang w:val="en-US" w:eastAsia="zh-CN"/>
        </w:rPr>
        <w:t>41</w:t>
      </w:r>
      <w:r>
        <w:rPr>
          <w:rFonts w:hint="default"/>
          <w:color w:val="000000"/>
          <w:sz w:val="33"/>
          <w:szCs w:val="33"/>
        </w:rPr>
        <w:t>件</w:t>
      </w:r>
      <w:r>
        <w:rPr>
          <w:rFonts w:hint="default"/>
          <w:color w:val="000000"/>
          <w:sz w:val="33"/>
          <w:szCs w:val="33"/>
          <w:lang w:eastAsia="zh-CN"/>
        </w:rPr>
        <w:t>，发布质效分析报告</w:t>
      </w:r>
      <w:r>
        <w:rPr>
          <w:rFonts w:hint="default"/>
          <w:color w:val="000000"/>
          <w:sz w:val="33"/>
          <w:szCs w:val="33"/>
          <w:lang w:val="en-US" w:eastAsia="zh-CN"/>
        </w:rPr>
        <w:t>12期，</w:t>
      </w:r>
      <w:r>
        <w:rPr>
          <w:rFonts w:hint="default"/>
          <w:color w:val="000000"/>
          <w:sz w:val="33"/>
          <w:szCs w:val="33"/>
          <w:lang w:eastAsia="zh-CN"/>
        </w:rPr>
        <w:t>为统一裁判尺度提供精准指引。</w:t>
      </w:r>
      <w:r>
        <w:rPr>
          <w:rFonts w:hint="default"/>
          <w:color w:val="000000"/>
          <w:sz w:val="33"/>
          <w:szCs w:val="33"/>
          <w:lang w:val="en-US" w:eastAsia="zh-CN"/>
        </w:rPr>
        <w:t>构建“</w:t>
      </w:r>
      <w:r>
        <w:rPr>
          <w:rFonts w:hint="default"/>
          <w:color w:val="000000"/>
          <w:sz w:val="33"/>
          <w:szCs w:val="33"/>
          <w:lang w:eastAsia="zh-CN"/>
        </w:rPr>
        <w:t>日常评查</w:t>
      </w:r>
      <w:r>
        <w:rPr>
          <w:rFonts w:hint="default"/>
          <w:color w:val="000000"/>
          <w:sz w:val="33"/>
          <w:szCs w:val="33"/>
          <w:lang w:val="en-US" w:eastAsia="zh-CN"/>
        </w:rPr>
        <w:t>+专项</w:t>
      </w:r>
      <w:r>
        <w:rPr>
          <w:rFonts w:hint="default"/>
          <w:color w:val="000000"/>
          <w:sz w:val="33"/>
          <w:szCs w:val="33"/>
          <w:lang w:eastAsia="zh-CN"/>
        </w:rPr>
        <w:t>评查</w:t>
      </w:r>
      <w:r>
        <w:rPr>
          <w:rFonts w:hint="default"/>
          <w:color w:val="000000"/>
          <w:sz w:val="33"/>
          <w:szCs w:val="33"/>
          <w:lang w:val="en-US" w:eastAsia="zh-CN"/>
        </w:rPr>
        <w:t>+重点</w:t>
      </w:r>
      <w:r>
        <w:rPr>
          <w:rFonts w:hint="default"/>
          <w:color w:val="000000"/>
          <w:sz w:val="33"/>
          <w:szCs w:val="33"/>
          <w:lang w:eastAsia="zh-CN"/>
        </w:rPr>
        <w:t>评查”闭环机制，全年开展案件质量、裁判文书、庭审评查</w:t>
      </w:r>
      <w:r>
        <w:rPr>
          <w:rFonts w:hint="default"/>
          <w:color w:val="000000"/>
          <w:sz w:val="33"/>
          <w:szCs w:val="33"/>
          <w:lang w:val="en-US" w:eastAsia="zh-CN"/>
        </w:rPr>
        <w:t>128件次</w:t>
      </w:r>
      <w:r>
        <w:rPr>
          <w:rFonts w:hint="default"/>
          <w:color w:val="000000"/>
          <w:sz w:val="33"/>
          <w:szCs w:val="33"/>
          <w:lang w:eastAsia="zh-CN"/>
        </w:rPr>
        <w:t>，</w:t>
      </w:r>
      <w:r>
        <w:rPr>
          <w:rFonts w:hint="default"/>
          <w:color w:val="000000"/>
          <w:sz w:val="33"/>
          <w:szCs w:val="33"/>
          <w:lang w:val="en-US" w:eastAsia="zh-CN"/>
        </w:rPr>
        <w:t>发布评查通报12期，</w:t>
      </w:r>
      <w:r>
        <w:rPr>
          <w:rFonts w:hint="default"/>
          <w:color w:val="000000"/>
          <w:sz w:val="33"/>
          <w:szCs w:val="33"/>
          <w:lang w:eastAsia="zh-CN"/>
        </w:rPr>
        <w:t>以强有力的自我监督保障司法公正。</w:t>
      </w:r>
    </w:p>
    <w:p w14:paraId="3BBD8A1F">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5.</w:t>
      </w:r>
      <w:r>
        <w:rPr>
          <w:rFonts w:hint="default"/>
          <w:color w:val="000000"/>
          <w:sz w:val="33"/>
          <w:szCs w:val="33"/>
          <w:lang w:val="en-US" w:eastAsia="zh-CN"/>
        </w:rPr>
        <w:t>淬炼铁军强本领，以“忠诚担当”守公正树公信</w:t>
      </w:r>
    </w:p>
    <w:p w14:paraId="79B18747">
      <w:pPr>
        <w:spacing w:line="560" w:lineRule="exact"/>
        <w:ind w:firstLine="650" w:firstLineChars="197"/>
        <w:contextualSpacing/>
        <w:rPr>
          <w:rFonts w:hint="default"/>
          <w:color w:val="000000"/>
          <w:sz w:val="33"/>
          <w:szCs w:val="33"/>
          <w:lang w:eastAsia="zh-CN"/>
        </w:rPr>
      </w:pPr>
      <w:r>
        <w:rPr>
          <w:rFonts w:hint="default"/>
          <w:color w:val="000000"/>
          <w:sz w:val="33"/>
          <w:szCs w:val="33"/>
          <w:lang w:val="en-US" w:eastAsia="zh-CN"/>
        </w:rPr>
        <w:t>凝心聚力激扬“忠诚之志”。坚持党对法院工作的绝对领导，</w:t>
      </w:r>
      <w:r>
        <w:rPr>
          <w:rFonts w:hint="default"/>
          <w:color w:val="000000"/>
          <w:sz w:val="33"/>
          <w:szCs w:val="33"/>
        </w:rPr>
        <w:t>向</w:t>
      </w:r>
      <w:r>
        <w:rPr>
          <w:rFonts w:hint="default"/>
          <w:color w:val="000000"/>
          <w:sz w:val="33"/>
          <w:szCs w:val="33"/>
          <w:lang w:eastAsia="zh-CN"/>
        </w:rPr>
        <w:t>区</w:t>
      </w:r>
      <w:r>
        <w:rPr>
          <w:rFonts w:hint="default"/>
          <w:color w:val="000000"/>
          <w:sz w:val="33"/>
          <w:szCs w:val="33"/>
        </w:rPr>
        <w:t>委、</w:t>
      </w:r>
      <w:r>
        <w:rPr>
          <w:rFonts w:hint="default"/>
          <w:color w:val="000000"/>
          <w:sz w:val="33"/>
          <w:szCs w:val="33"/>
          <w:lang w:eastAsia="zh-CN"/>
        </w:rPr>
        <w:t>区</w:t>
      </w:r>
      <w:r>
        <w:rPr>
          <w:rFonts w:hint="default"/>
          <w:color w:val="000000"/>
          <w:sz w:val="33"/>
          <w:szCs w:val="33"/>
        </w:rPr>
        <w:t>委政法委和</w:t>
      </w:r>
      <w:r>
        <w:rPr>
          <w:rFonts w:hint="default"/>
          <w:color w:val="000000"/>
          <w:sz w:val="33"/>
          <w:szCs w:val="33"/>
          <w:lang w:eastAsia="zh-CN"/>
        </w:rPr>
        <w:t>市</w:t>
      </w:r>
      <w:r>
        <w:rPr>
          <w:rFonts w:hint="default"/>
          <w:color w:val="000000"/>
          <w:sz w:val="33"/>
          <w:szCs w:val="33"/>
          <w:lang w:val="en-US" w:eastAsia="zh-CN"/>
        </w:rPr>
        <w:t>中</w:t>
      </w:r>
      <w:r>
        <w:rPr>
          <w:rFonts w:hint="default"/>
          <w:color w:val="000000"/>
          <w:sz w:val="33"/>
          <w:szCs w:val="33"/>
        </w:rPr>
        <w:t>院报告工作</w:t>
      </w:r>
      <w:r>
        <w:rPr>
          <w:rFonts w:hint="default"/>
          <w:color w:val="000000"/>
          <w:sz w:val="33"/>
          <w:szCs w:val="33"/>
          <w:lang w:val="en-US" w:eastAsia="zh-CN"/>
        </w:rPr>
        <w:t>19</w:t>
      </w:r>
      <w:r>
        <w:rPr>
          <w:rFonts w:hint="default"/>
          <w:color w:val="000000"/>
          <w:sz w:val="33"/>
          <w:szCs w:val="33"/>
        </w:rPr>
        <w:t>次</w:t>
      </w:r>
      <w:r>
        <w:rPr>
          <w:rFonts w:hint="default"/>
          <w:color w:val="000000"/>
          <w:sz w:val="33"/>
          <w:szCs w:val="33"/>
          <w:lang w:eastAsia="zh-CN"/>
        </w:rPr>
        <w:t>，</w:t>
      </w:r>
      <w:r>
        <w:rPr>
          <w:rFonts w:hint="default"/>
          <w:color w:val="000000"/>
          <w:sz w:val="33"/>
          <w:szCs w:val="33"/>
          <w:lang w:val="en-US" w:eastAsia="zh-CN"/>
        </w:rPr>
        <w:t>坚定法院工作正确</w:t>
      </w:r>
      <w:r>
        <w:rPr>
          <w:rFonts w:hint="default"/>
          <w:color w:val="000000"/>
          <w:sz w:val="33"/>
          <w:szCs w:val="33"/>
        </w:rPr>
        <w:t>政治方向</w:t>
      </w:r>
      <w:r>
        <w:rPr>
          <w:rFonts w:hint="default"/>
          <w:color w:val="000000"/>
          <w:sz w:val="33"/>
          <w:szCs w:val="33"/>
          <w:lang w:eastAsia="zh-CN"/>
        </w:rPr>
        <w:t>。</w:t>
      </w:r>
      <w:r>
        <w:rPr>
          <w:rFonts w:hint="eastAsia"/>
          <w:color w:val="000000"/>
          <w:sz w:val="33"/>
          <w:szCs w:val="33"/>
          <w:lang w:eastAsia="zh-CN"/>
        </w:rPr>
        <w:t>全面</w:t>
      </w:r>
      <w:r>
        <w:rPr>
          <w:rFonts w:hint="default"/>
          <w:color w:val="000000"/>
          <w:sz w:val="33"/>
          <w:szCs w:val="33"/>
          <w:lang w:eastAsia="zh-CN"/>
        </w:rPr>
        <w:t>接受“政治体检”，全力配合区委联动巡察，聚力实现以巡促治。</w:t>
      </w:r>
      <w:r>
        <w:rPr>
          <w:rFonts w:hint="default"/>
          <w:color w:val="000000"/>
          <w:sz w:val="33"/>
          <w:szCs w:val="33"/>
          <w:lang w:val="en-US" w:eastAsia="zh-CN"/>
        </w:rPr>
        <w:t>严格落实意识形态工作责任制，抓实重大、敏感案件“三同步”，守牢意识形态安全阵地。</w:t>
      </w:r>
      <w:r>
        <w:rPr>
          <w:rFonts w:hint="default"/>
          <w:color w:val="000000"/>
          <w:sz w:val="33"/>
          <w:szCs w:val="33"/>
        </w:rPr>
        <w:t>持续推进以党建带队建促审</w:t>
      </w:r>
      <w:r>
        <w:rPr>
          <w:rFonts w:hint="default"/>
          <w:color w:val="000000"/>
          <w:sz w:val="33"/>
          <w:szCs w:val="33"/>
          <w:lang w:eastAsia="zh-CN"/>
        </w:rPr>
        <w:t>判</w:t>
      </w:r>
      <w:r>
        <w:rPr>
          <w:rFonts w:hint="default"/>
          <w:color w:val="000000"/>
          <w:sz w:val="33"/>
          <w:szCs w:val="33"/>
        </w:rPr>
        <w:t>，</w:t>
      </w:r>
      <w:r>
        <w:rPr>
          <w:rFonts w:hint="default"/>
          <w:color w:val="000000"/>
          <w:sz w:val="33"/>
          <w:szCs w:val="33"/>
          <w:lang w:eastAsia="zh-CN"/>
        </w:rPr>
        <w:t>以</w:t>
      </w:r>
      <w:r>
        <w:rPr>
          <w:rFonts w:hint="default"/>
          <w:color w:val="000000"/>
          <w:sz w:val="33"/>
          <w:szCs w:val="33"/>
        </w:rPr>
        <w:t>“一</w:t>
      </w:r>
      <w:r>
        <w:rPr>
          <w:rFonts w:hint="default"/>
          <w:color w:val="000000"/>
          <w:sz w:val="33"/>
          <w:szCs w:val="33"/>
          <w:lang w:eastAsia="zh-CN"/>
        </w:rPr>
        <w:t>庭室</w:t>
      </w:r>
      <w:r>
        <w:rPr>
          <w:rFonts w:hint="default"/>
          <w:color w:val="000000"/>
          <w:sz w:val="33"/>
          <w:szCs w:val="33"/>
        </w:rPr>
        <w:t>一品牌”建设</w:t>
      </w:r>
      <w:r>
        <w:rPr>
          <w:rFonts w:hint="default"/>
          <w:color w:val="000000"/>
          <w:sz w:val="33"/>
          <w:szCs w:val="33"/>
          <w:lang w:eastAsia="zh-CN"/>
        </w:rPr>
        <w:t>为抓手</w:t>
      </w:r>
      <w:r>
        <w:rPr>
          <w:rFonts w:hint="default"/>
          <w:color w:val="000000"/>
          <w:sz w:val="33"/>
          <w:szCs w:val="33"/>
        </w:rPr>
        <w:t>，</w:t>
      </w:r>
      <w:r>
        <w:rPr>
          <w:rFonts w:hint="default"/>
          <w:color w:val="000000"/>
          <w:sz w:val="33"/>
          <w:szCs w:val="33"/>
          <w:lang w:eastAsia="zh-CN"/>
        </w:rPr>
        <w:t>丰富</w:t>
      </w:r>
      <w:r>
        <w:rPr>
          <w:rFonts w:hint="default"/>
          <w:color w:val="000000"/>
          <w:sz w:val="33"/>
          <w:szCs w:val="33"/>
        </w:rPr>
        <w:t>“山水金沙·先锋西法”党建品牌</w:t>
      </w:r>
      <w:r>
        <w:rPr>
          <w:rFonts w:hint="default"/>
          <w:color w:val="000000"/>
          <w:sz w:val="33"/>
          <w:szCs w:val="33"/>
          <w:lang w:eastAsia="zh-CN"/>
        </w:rPr>
        <w:t>，</w:t>
      </w:r>
      <w:r>
        <w:rPr>
          <w:rFonts w:hint="default"/>
          <w:color w:val="000000"/>
          <w:sz w:val="33"/>
          <w:szCs w:val="33"/>
          <w:lang w:val="en-US" w:eastAsia="zh-CN"/>
        </w:rPr>
        <w:t>在</w:t>
      </w:r>
      <w:r>
        <w:rPr>
          <w:rFonts w:hint="default"/>
          <w:color w:val="000000"/>
          <w:sz w:val="33"/>
          <w:szCs w:val="33"/>
          <w:lang w:eastAsia="zh-CN"/>
        </w:rPr>
        <w:t>诉讼、执行领域</w:t>
      </w:r>
      <w:r>
        <w:rPr>
          <w:rFonts w:hint="default"/>
          <w:color w:val="000000"/>
          <w:sz w:val="33"/>
          <w:szCs w:val="33"/>
          <w:lang w:val="en-US" w:eastAsia="zh-CN"/>
        </w:rPr>
        <w:t>全</w:t>
      </w:r>
      <w:r>
        <w:rPr>
          <w:rFonts w:hint="default"/>
          <w:color w:val="000000"/>
          <w:sz w:val="33"/>
          <w:szCs w:val="33"/>
          <w:lang w:eastAsia="zh-CN"/>
        </w:rPr>
        <w:t>新</w:t>
      </w:r>
      <w:r>
        <w:rPr>
          <w:rFonts w:hint="default"/>
          <w:color w:val="000000"/>
          <w:sz w:val="33"/>
          <w:szCs w:val="33"/>
          <w:lang w:val="en-US" w:eastAsia="zh-CN"/>
        </w:rPr>
        <w:t>打造</w:t>
      </w:r>
      <w:r>
        <w:rPr>
          <w:rFonts w:hint="default"/>
          <w:color w:val="000000"/>
          <w:sz w:val="33"/>
          <w:szCs w:val="33"/>
          <w:lang w:eastAsia="zh-CN"/>
        </w:rPr>
        <w:t>“新速度·心诉服”“西望执剑”</w:t>
      </w:r>
      <w:r>
        <w:rPr>
          <w:rFonts w:hint="default"/>
          <w:color w:val="000000"/>
          <w:sz w:val="33"/>
          <w:szCs w:val="33"/>
          <w:lang w:val="en-US" w:eastAsia="zh-CN"/>
        </w:rPr>
        <w:t>2个党建子品牌，1篇党课获评全市精品党课遴选优秀奖，以高质量党建</w:t>
      </w:r>
      <w:r>
        <w:rPr>
          <w:rFonts w:hint="eastAsia"/>
          <w:color w:val="000000"/>
          <w:sz w:val="33"/>
          <w:szCs w:val="33"/>
          <w:lang w:val="en-US" w:eastAsia="zh-CN"/>
        </w:rPr>
        <w:t>锻造</w:t>
      </w:r>
      <w:r>
        <w:rPr>
          <w:rFonts w:hint="default"/>
          <w:color w:val="000000"/>
          <w:sz w:val="33"/>
          <w:szCs w:val="33"/>
          <w:lang w:val="en-US" w:eastAsia="zh-CN"/>
        </w:rPr>
        <w:t>队伍忠诚品格</w:t>
      </w:r>
      <w:r>
        <w:rPr>
          <w:rFonts w:hint="default"/>
          <w:color w:val="000000"/>
          <w:sz w:val="33"/>
          <w:szCs w:val="33"/>
          <w:lang w:eastAsia="zh-CN"/>
        </w:rPr>
        <w:t>。</w:t>
      </w:r>
    </w:p>
    <w:p w14:paraId="59660CC4">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淬炼本领提升“司法之能”。完善人才选拔与培养，推进“1521淬锋计划”人才拓优工程，推荐11名业务骨干入选全市法院人才库，创新建立“先锋传薪火”师徒结对培养机制，首批18对师徒结对共进。推进“学习型法院”建设，开展“西法沙龙”业务培训、“半亩方塘”读书分享活动9次，组织250余人次干警外出“取经”30余场。深化调研赋能，形成调研成果20篇，9篇学术论文获得市级表扬，我院获评全市法院学术论文组织工作先进集体。</w:t>
      </w:r>
    </w:p>
    <w:p w14:paraId="3F7920FC">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严明纪律铸牢“廉政之堤”。扎实开展</w:t>
      </w:r>
      <w:r>
        <w:rPr>
          <w:rFonts w:hint="eastAsia"/>
          <w:color w:val="000000"/>
          <w:sz w:val="33"/>
          <w:szCs w:val="33"/>
          <w:lang w:val="en-US" w:eastAsia="zh-CN"/>
        </w:rPr>
        <w:t>深入贯彻</w:t>
      </w:r>
      <w:bookmarkStart w:id="2" w:name="_GoBack"/>
      <w:bookmarkEnd w:id="2"/>
      <w:r>
        <w:rPr>
          <w:rFonts w:hint="default"/>
          <w:color w:val="000000"/>
          <w:sz w:val="33"/>
          <w:szCs w:val="33"/>
          <w:lang w:val="en-US" w:eastAsia="zh-CN"/>
        </w:rPr>
        <w:t>中央八项规定精神学习教育，集中开展警示教育活动8场次，示范引领干警知敬畏、存戒惧、守底线。启动“一张网”司法廉洁风险防控系统，并网“三个规定”记录报告平台，增设法院离职人员代理风险预警功能，实现审判执行权力运行全程留痕、可溯可督，全年“三个规定”有情况记录660条。常态化开展司法顽瘴痼疾排查，整治群众反映强烈的司法作风等问题8</w:t>
      </w:r>
      <w:r>
        <w:rPr>
          <w:rFonts w:hint="default"/>
          <w:color w:val="000000"/>
          <w:sz w:val="33"/>
          <w:szCs w:val="33"/>
        </w:rPr>
        <w:t>个，</w:t>
      </w:r>
      <w:r>
        <w:rPr>
          <w:rFonts w:hint="default"/>
          <w:color w:val="000000"/>
          <w:sz w:val="33"/>
          <w:szCs w:val="33"/>
          <w:lang w:eastAsia="zh-CN"/>
        </w:rPr>
        <w:t>把抓早抓小落在实处</w:t>
      </w:r>
      <w:r>
        <w:rPr>
          <w:rFonts w:hint="default"/>
          <w:color w:val="000000"/>
          <w:sz w:val="33"/>
          <w:szCs w:val="33"/>
        </w:rPr>
        <w:t>。</w:t>
      </w:r>
      <w:r>
        <w:rPr>
          <w:rFonts w:hint="default"/>
          <w:color w:val="000000"/>
          <w:sz w:val="33"/>
          <w:szCs w:val="33"/>
          <w:lang w:val="en-US" w:eastAsia="zh-CN"/>
        </w:rPr>
        <w:t>坚持刀刃向内，从严追究4件“瑕疵”案件审判责任，以严的基调涵养风清气正司法生态。</w:t>
      </w:r>
    </w:p>
    <w:p w14:paraId="0319B881">
      <w:pPr>
        <w:spacing w:line="560" w:lineRule="exact"/>
        <w:ind w:firstLine="650" w:firstLineChars="197"/>
        <w:contextualSpacing/>
        <w:rPr>
          <w:rFonts w:hint="default" w:ascii="Times New Roman" w:hAnsi="Times New Roman" w:eastAsia="黑体" w:cs="Times New Roman"/>
        </w:rPr>
      </w:pPr>
      <w:r>
        <w:rPr>
          <w:rFonts w:hint="default"/>
          <w:color w:val="000000"/>
          <w:sz w:val="33"/>
          <w:szCs w:val="33"/>
          <w:lang w:val="en-US" w:eastAsia="zh-CN"/>
        </w:rPr>
        <w:t>过去一年，我们始终坚持以监督强履职，以规范促公正。</w:t>
      </w:r>
      <w:r>
        <w:rPr>
          <w:rFonts w:hint="default"/>
          <w:color w:val="000000"/>
          <w:sz w:val="33"/>
          <w:szCs w:val="33"/>
        </w:rPr>
        <w:t>先后接受区人大常委会、区政协对法院工作的专题调研</w:t>
      </w:r>
      <w:r>
        <w:rPr>
          <w:rFonts w:hint="default"/>
          <w:color w:val="000000"/>
          <w:sz w:val="33"/>
          <w:szCs w:val="33"/>
          <w:lang w:val="en-US" w:eastAsia="zh-CN"/>
        </w:rPr>
        <w:t>3</w:t>
      </w:r>
      <w:r>
        <w:rPr>
          <w:rFonts w:hint="default"/>
          <w:color w:val="000000"/>
          <w:sz w:val="33"/>
          <w:szCs w:val="33"/>
        </w:rPr>
        <w:t>次，累计邀请</w:t>
      </w:r>
      <w:r>
        <w:rPr>
          <w:rFonts w:hint="default"/>
          <w:color w:val="000000"/>
          <w:sz w:val="33"/>
          <w:szCs w:val="33"/>
          <w:lang w:val="en-US" w:eastAsia="zh-CN"/>
        </w:rPr>
        <w:t>54</w:t>
      </w:r>
      <w:r>
        <w:rPr>
          <w:rFonts w:hint="default"/>
          <w:color w:val="000000"/>
          <w:sz w:val="33"/>
          <w:szCs w:val="33"/>
        </w:rPr>
        <w:t>名人大代表、政协委员视察法院工作、旁听庭审、见证执行</w:t>
      </w:r>
      <w:r>
        <w:rPr>
          <w:rFonts w:hint="default"/>
          <w:color w:val="000000"/>
          <w:sz w:val="33"/>
          <w:szCs w:val="33"/>
          <w:lang w:eastAsia="zh-CN"/>
        </w:rPr>
        <w:t>。邀请检察长列席审委会</w:t>
      </w:r>
      <w:r>
        <w:rPr>
          <w:rFonts w:hint="default"/>
          <w:color w:val="000000"/>
          <w:sz w:val="33"/>
          <w:szCs w:val="33"/>
          <w:lang w:val="en-US" w:eastAsia="zh-CN"/>
        </w:rPr>
        <w:t>5</w:t>
      </w:r>
      <w:r>
        <w:rPr>
          <w:rFonts w:hint="default"/>
          <w:color w:val="000000"/>
          <w:sz w:val="33"/>
          <w:szCs w:val="33"/>
          <w:lang w:eastAsia="zh-CN"/>
        </w:rPr>
        <w:t>件次，办理检察建议</w:t>
      </w:r>
      <w:r>
        <w:rPr>
          <w:rFonts w:hint="default"/>
          <w:color w:val="000000"/>
          <w:sz w:val="33"/>
          <w:szCs w:val="33"/>
          <w:lang w:val="en-US" w:eastAsia="zh-CN"/>
        </w:rPr>
        <w:t>17</w:t>
      </w:r>
      <w:r>
        <w:rPr>
          <w:rFonts w:hint="default"/>
          <w:color w:val="000000"/>
          <w:sz w:val="33"/>
          <w:szCs w:val="33"/>
          <w:lang w:eastAsia="zh-CN"/>
        </w:rPr>
        <w:t>件，根据检察建议启动再审</w:t>
      </w:r>
      <w:r>
        <w:rPr>
          <w:rFonts w:hint="default"/>
          <w:color w:val="000000"/>
          <w:sz w:val="33"/>
          <w:szCs w:val="33"/>
          <w:lang w:val="en-US" w:eastAsia="zh-CN"/>
        </w:rPr>
        <w:t>3件，改判3件。</w:t>
      </w:r>
    </w:p>
    <w:p w14:paraId="3449CCF0">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二、</w:t>
      </w:r>
      <w:r>
        <w:rPr>
          <w:rFonts w:hint="default" w:ascii="Times New Roman" w:hAnsi="Times New Roman" w:eastAsia="黑体" w:cs="Times New Roman"/>
          <w:lang w:eastAsia="zh-CN"/>
        </w:rPr>
        <w:t>机构设置</w:t>
      </w:r>
      <w:r>
        <w:rPr>
          <w:rFonts w:hint="default" w:ascii="Times New Roman" w:hAnsi="Times New Roman" w:eastAsia="黑体" w:cs="Times New Roman"/>
        </w:rPr>
        <w:t>情况</w:t>
      </w:r>
    </w:p>
    <w:p w14:paraId="116951A7">
      <w:pPr>
        <w:widowControl/>
        <w:spacing w:line="560" w:lineRule="exact"/>
        <w:ind w:firstLine="660" w:firstLineChars="200"/>
        <w:rPr>
          <w:color w:val="000000"/>
          <w:spacing w:val="20"/>
          <w:sz w:val="33"/>
          <w:szCs w:val="33"/>
        </w:rPr>
      </w:pPr>
      <w:r>
        <w:rPr>
          <w:color w:val="000000"/>
          <w:sz w:val="33"/>
          <w:szCs w:val="33"/>
        </w:rPr>
        <w:t>西区法院无下属二级预算单位，单位内设机构或科室9个。即：综合办公室、政治部（督察室）、立案庭（诉讼服务中心）、刑事审判庭、民事审判庭（未成年人与家事案件审判庭）、行政审判庭（综合审判庭）、执行局、审判管理办公室（研究室）、司法警察大队和派出机构格里坪人民法</w:t>
      </w:r>
      <w:r>
        <w:rPr>
          <w:color w:val="000000"/>
          <w:spacing w:val="20"/>
          <w:sz w:val="33"/>
          <w:szCs w:val="33"/>
        </w:rPr>
        <w:t>庭，其中司法警察大队和格里坪人民法庭未纳入内设机构改革。</w:t>
      </w:r>
    </w:p>
    <w:p w14:paraId="1A43952F">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三、收支预算情况说明</w:t>
      </w:r>
    </w:p>
    <w:p w14:paraId="16B88999">
      <w:pPr>
        <w:spacing w:line="560" w:lineRule="exact"/>
        <w:ind w:firstLine="630" w:firstLineChars="197"/>
        <w:contextualSpacing/>
        <w:rPr>
          <w:sz w:val="33"/>
          <w:szCs w:val="33"/>
        </w:rPr>
      </w:pPr>
      <w:r>
        <w:rPr>
          <w:rFonts w:hint="default" w:ascii="Times New Roman" w:hAnsi="Times New Roman" w:cs="Times New Roman"/>
        </w:rPr>
        <w:t>按照综合预算的原则，</w:t>
      </w:r>
      <w:r>
        <w:rPr>
          <w:rFonts w:hint="eastAsia" w:cs="Times New Roman"/>
          <w:lang w:val="en-US" w:eastAsia="zh-CN"/>
        </w:rPr>
        <w:t>西区法院</w:t>
      </w:r>
      <w:r>
        <w:rPr>
          <w:rFonts w:hint="default" w:ascii="Times New Roman" w:hAnsi="Times New Roman" w:cs="Times New Roman"/>
        </w:rPr>
        <w:t>所有收入和支出均纳入</w:t>
      </w:r>
      <w:r>
        <w:rPr>
          <w:rFonts w:hint="eastAsia" w:ascii="Times New Roman" w:hAnsi="Times New Roman" w:cs="Times New Roman"/>
          <w:lang w:eastAsia="zh-CN"/>
        </w:rPr>
        <w:t>单位</w:t>
      </w:r>
      <w:r>
        <w:rPr>
          <w:rFonts w:hint="default" w:ascii="Times New Roman" w:hAnsi="Times New Roman" w:cs="Times New Roman"/>
        </w:rPr>
        <w:t>预算管理。收入包括：</w:t>
      </w:r>
      <w:r>
        <w:rPr>
          <w:sz w:val="33"/>
          <w:szCs w:val="33"/>
        </w:rPr>
        <w:t>一般公共预算拨款收入</w:t>
      </w:r>
      <w:r>
        <w:rPr>
          <w:rFonts w:hint="eastAsia"/>
          <w:sz w:val="33"/>
          <w:szCs w:val="33"/>
          <w:lang w:val="en-US" w:eastAsia="zh-CN"/>
        </w:rPr>
        <w:t>1186.07</w:t>
      </w:r>
      <w:r>
        <w:rPr>
          <w:sz w:val="33"/>
          <w:szCs w:val="33"/>
        </w:rPr>
        <w:t>万。支出包括：公共安全支出</w:t>
      </w:r>
      <w:r>
        <w:rPr>
          <w:rFonts w:hint="eastAsia"/>
          <w:sz w:val="33"/>
          <w:szCs w:val="33"/>
          <w:lang w:val="en-US" w:eastAsia="zh-CN"/>
        </w:rPr>
        <w:t>890.93</w:t>
      </w:r>
      <w:r>
        <w:rPr>
          <w:sz w:val="33"/>
          <w:szCs w:val="33"/>
        </w:rPr>
        <w:t>万元、社会保障和就业支出</w:t>
      </w:r>
      <w:r>
        <w:rPr>
          <w:rFonts w:hint="eastAsia"/>
          <w:sz w:val="33"/>
          <w:szCs w:val="33"/>
          <w:lang w:val="en-US" w:eastAsia="zh-CN"/>
        </w:rPr>
        <w:t>121.28</w:t>
      </w:r>
      <w:r>
        <w:rPr>
          <w:sz w:val="33"/>
          <w:szCs w:val="33"/>
        </w:rPr>
        <w:t>万元、卫生健康支出</w:t>
      </w:r>
      <w:r>
        <w:rPr>
          <w:rFonts w:hint="eastAsia"/>
          <w:sz w:val="33"/>
          <w:szCs w:val="33"/>
          <w:lang w:val="en-US" w:eastAsia="zh-CN"/>
        </w:rPr>
        <w:t>76.83</w:t>
      </w:r>
      <w:r>
        <w:rPr>
          <w:sz w:val="33"/>
          <w:szCs w:val="33"/>
        </w:rPr>
        <w:t>万元、住房保障支出</w:t>
      </w:r>
      <w:r>
        <w:rPr>
          <w:rFonts w:hint="eastAsia"/>
          <w:sz w:val="33"/>
          <w:szCs w:val="33"/>
          <w:lang w:val="en-US" w:eastAsia="zh-CN"/>
        </w:rPr>
        <w:t>97.03</w:t>
      </w:r>
      <w:r>
        <w:rPr>
          <w:sz w:val="33"/>
          <w:szCs w:val="33"/>
        </w:rPr>
        <w:t>万元。西区法院202</w:t>
      </w:r>
      <w:r>
        <w:rPr>
          <w:rFonts w:hint="eastAsia"/>
          <w:sz w:val="33"/>
          <w:szCs w:val="33"/>
          <w:lang w:val="en-US" w:eastAsia="zh-CN"/>
        </w:rPr>
        <w:t>6</w:t>
      </w:r>
      <w:r>
        <w:rPr>
          <w:sz w:val="33"/>
          <w:szCs w:val="33"/>
        </w:rPr>
        <w:t>年收支总预算</w:t>
      </w:r>
      <w:r>
        <w:rPr>
          <w:rFonts w:hint="eastAsia"/>
          <w:sz w:val="33"/>
          <w:szCs w:val="33"/>
          <w:lang w:val="en-US" w:eastAsia="zh-CN"/>
        </w:rPr>
        <w:t>1186.07</w:t>
      </w:r>
      <w:r>
        <w:rPr>
          <w:sz w:val="33"/>
          <w:szCs w:val="33"/>
        </w:rPr>
        <w:t>万元。比202</w:t>
      </w:r>
      <w:r>
        <w:rPr>
          <w:rFonts w:hint="eastAsia"/>
          <w:sz w:val="33"/>
          <w:szCs w:val="33"/>
          <w:lang w:val="en-US" w:eastAsia="zh-CN"/>
        </w:rPr>
        <w:t>5</w:t>
      </w:r>
      <w:r>
        <w:rPr>
          <w:sz w:val="33"/>
          <w:szCs w:val="33"/>
        </w:rPr>
        <w:t>年预算数</w:t>
      </w:r>
      <w:r>
        <w:rPr>
          <w:rFonts w:hint="eastAsia"/>
          <w:sz w:val="33"/>
          <w:szCs w:val="33"/>
          <w:lang w:val="en-US" w:eastAsia="zh-CN"/>
        </w:rPr>
        <w:t>988.79增加197.28</w:t>
      </w:r>
      <w:r>
        <w:rPr>
          <w:sz w:val="33"/>
          <w:szCs w:val="33"/>
        </w:rPr>
        <w:t>万元，主要是</w:t>
      </w:r>
      <w:r>
        <w:rPr>
          <w:rFonts w:hint="eastAsia"/>
          <w:sz w:val="33"/>
          <w:szCs w:val="33"/>
          <w:lang w:val="en-US" w:eastAsia="zh-CN"/>
        </w:rPr>
        <w:t>2025年年初未将聘用制书记员经费95万元纳入年初预算</w:t>
      </w:r>
      <w:r>
        <w:rPr>
          <w:sz w:val="33"/>
          <w:szCs w:val="33"/>
        </w:rPr>
        <w:t>，二是</w:t>
      </w:r>
      <w:r>
        <w:rPr>
          <w:rFonts w:hint="eastAsia"/>
          <w:sz w:val="33"/>
          <w:szCs w:val="33"/>
          <w:lang w:val="en-US" w:eastAsia="zh-CN"/>
        </w:rPr>
        <w:t>2026年人员有所增加</w:t>
      </w:r>
      <w:r>
        <w:rPr>
          <w:sz w:val="33"/>
          <w:szCs w:val="33"/>
        </w:rPr>
        <w:t>，各项经费相应</w:t>
      </w:r>
      <w:r>
        <w:rPr>
          <w:rFonts w:hint="eastAsia"/>
          <w:sz w:val="33"/>
          <w:szCs w:val="33"/>
          <w:lang w:val="en-US" w:eastAsia="zh-CN"/>
        </w:rPr>
        <w:t>增加</w:t>
      </w:r>
      <w:r>
        <w:rPr>
          <w:sz w:val="33"/>
          <w:szCs w:val="33"/>
        </w:rPr>
        <w:t>。</w:t>
      </w:r>
    </w:p>
    <w:p w14:paraId="286DBE3A">
      <w:pPr>
        <w:spacing w:line="600" w:lineRule="exact"/>
        <w:ind w:firstLine="321" w:firstLineChars="100"/>
        <w:rPr>
          <w:rFonts w:hint="default" w:ascii="Times New Roman" w:hAnsi="Times New Roman" w:eastAsia="楷体_GB2312" w:cs="Times New Roman"/>
          <w:b/>
          <w:lang w:eastAsia="zh-CN"/>
        </w:rPr>
      </w:pPr>
      <w:r>
        <w:rPr>
          <w:rFonts w:hint="default" w:ascii="Times New Roman" w:hAnsi="Times New Roman" w:eastAsia="楷体_GB2312" w:cs="Times New Roman"/>
          <w:b/>
        </w:rPr>
        <w:t>（一）收入预算情况</w:t>
      </w:r>
      <w:r>
        <w:rPr>
          <w:rFonts w:hint="default" w:ascii="Times New Roman" w:hAnsi="Times New Roman" w:eastAsia="楷体_GB2312" w:cs="Times New Roman"/>
          <w:b/>
          <w:lang w:eastAsia="zh-CN"/>
        </w:rPr>
        <w:t>。</w:t>
      </w:r>
    </w:p>
    <w:p w14:paraId="363CDAAA">
      <w:pPr>
        <w:spacing w:line="600" w:lineRule="exact"/>
        <w:ind w:firstLine="640" w:firstLineChars="200"/>
        <w:rPr>
          <w:rFonts w:hint="eastAsia" w:ascii="Times New Roman" w:hAnsi="Times New Roman" w:eastAsia="仿宋_GB2312" w:cs="Times New Roman"/>
          <w:lang w:val="en-US" w:eastAsia="zh-C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年收入预算</w:t>
      </w:r>
      <w:r>
        <w:rPr>
          <w:rFonts w:hint="eastAsia" w:cs="Times New Roman"/>
          <w:lang w:val="en-US" w:eastAsia="zh-CN"/>
        </w:rPr>
        <w:t>1186.07</w:t>
      </w:r>
      <w:r>
        <w:rPr>
          <w:rFonts w:hint="default" w:ascii="Times New Roman" w:hAnsi="Times New Roman" w:cs="Times New Roman"/>
        </w:rPr>
        <w:t>万元，其中：上年结转</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%；一般公共预算拨款收入</w:t>
      </w:r>
      <w:r>
        <w:rPr>
          <w:rFonts w:hint="eastAsia" w:cs="Times New Roman"/>
          <w:lang w:val="en-US" w:eastAsia="zh-CN"/>
        </w:rPr>
        <w:t>1186.07</w:t>
      </w:r>
      <w:r>
        <w:rPr>
          <w:rFonts w:hint="default" w:ascii="Times New Roman" w:hAnsi="Times New Roman" w:cs="Times New Roman"/>
        </w:rPr>
        <w:t>万元，占</w:t>
      </w:r>
      <w:r>
        <w:rPr>
          <w:rFonts w:hint="eastAsia" w:cs="Times New Roman"/>
          <w:lang w:val="en-US" w:eastAsia="zh-CN"/>
        </w:rPr>
        <w:t>100</w:t>
      </w:r>
      <w:r>
        <w:rPr>
          <w:rFonts w:hint="default" w:ascii="Times New Roman" w:hAnsi="Times New Roman" w:cs="Times New Roman"/>
        </w:rPr>
        <w:t>%；政府性基金预算拨款收入</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%；事业收入</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w:t>
      </w:r>
      <w:r>
        <w:rPr>
          <w:rFonts w:hint="eastAsia" w:cs="Times New Roman"/>
          <w:lang w:eastAsia="zh-CN"/>
        </w:rPr>
        <w:t>。</w:t>
      </w:r>
    </w:p>
    <w:p w14:paraId="43CA7D93">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（二）支出预算情况</w:t>
      </w:r>
      <w:r>
        <w:rPr>
          <w:rFonts w:hint="default" w:ascii="Times New Roman" w:hAnsi="Times New Roman" w:eastAsia="楷体_GB2312" w:cs="Times New Roman"/>
          <w:b/>
          <w:lang w:eastAsia="zh-CN"/>
        </w:rPr>
        <w:t>。</w:t>
      </w:r>
    </w:p>
    <w:p w14:paraId="1F8D49D9">
      <w:pPr>
        <w:spacing w:line="600" w:lineRule="exact"/>
        <w:ind w:firstLine="640" w:firstLineChars="200"/>
        <w:rPr>
          <w:rFonts w:hint="eastAsia" w:eastAsia="仿宋_GB2312" w:cs="Times New Roman"/>
          <w:lang w:val="en-US" w:eastAsia="zh-C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年支出预算</w:t>
      </w:r>
      <w:r>
        <w:rPr>
          <w:rFonts w:hint="eastAsia" w:cs="Times New Roman"/>
          <w:lang w:val="en-US" w:eastAsia="zh-CN"/>
        </w:rPr>
        <w:t>0</w:t>
      </w:r>
      <w:r>
        <w:rPr>
          <w:rFonts w:hint="default" w:ascii="Times New Roman" w:hAnsi="Times New Roman" w:cs="Times New Roman"/>
        </w:rPr>
        <w:t>万元，其中：基本支出</w:t>
      </w:r>
      <w:r>
        <w:rPr>
          <w:rFonts w:hint="eastAsia" w:cs="Times New Roman"/>
          <w:lang w:val="en-US" w:eastAsia="zh-CN"/>
        </w:rPr>
        <w:t>1161.07</w:t>
      </w:r>
      <w:r>
        <w:rPr>
          <w:rFonts w:hint="default" w:ascii="Times New Roman" w:hAnsi="Times New Roman" w:cs="Times New Roman"/>
        </w:rPr>
        <w:t>万元，占</w:t>
      </w:r>
      <w:r>
        <w:rPr>
          <w:rFonts w:hint="eastAsia" w:cs="Times New Roman"/>
          <w:lang w:val="en-US" w:eastAsia="zh-CN"/>
        </w:rPr>
        <w:t>97.89</w:t>
      </w:r>
      <w:r>
        <w:rPr>
          <w:rFonts w:hint="default" w:ascii="Times New Roman" w:hAnsi="Times New Roman" w:cs="Times New Roman"/>
        </w:rPr>
        <w:t>%；项目支出</w:t>
      </w:r>
      <w:r>
        <w:rPr>
          <w:rFonts w:hint="eastAsia" w:cs="Times New Roman"/>
          <w:lang w:val="en-US" w:eastAsia="zh-CN"/>
        </w:rPr>
        <w:t>25</w:t>
      </w:r>
      <w:r>
        <w:rPr>
          <w:rFonts w:hint="default" w:ascii="Times New Roman" w:hAnsi="Times New Roman" w:cs="Times New Roman"/>
        </w:rPr>
        <w:t>万元，占</w:t>
      </w:r>
      <w:r>
        <w:rPr>
          <w:rFonts w:hint="eastAsia" w:cs="Times New Roman"/>
          <w:lang w:val="en-US" w:eastAsia="zh-CN"/>
        </w:rPr>
        <w:t>2.11</w:t>
      </w:r>
      <w:r>
        <w:rPr>
          <w:rFonts w:hint="default" w:ascii="Times New Roman" w:hAnsi="Times New Roman" w:cs="Times New Roman"/>
        </w:rPr>
        <w:t>%</w:t>
      </w:r>
      <w:r>
        <w:rPr>
          <w:rFonts w:hint="eastAsia" w:cs="Times New Roman"/>
          <w:lang w:eastAsia="zh-CN"/>
        </w:rPr>
        <w:t>。</w:t>
      </w:r>
    </w:p>
    <w:p w14:paraId="15E11E5B">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四、财政拨款收支预算情况说明</w:t>
      </w:r>
    </w:p>
    <w:p w14:paraId="6D0D3B05">
      <w:pPr>
        <w:spacing w:line="560" w:lineRule="exact"/>
        <w:ind w:firstLine="660" w:firstLineChars="200"/>
        <w:rPr>
          <w:rFonts w:eastAsia="黑体"/>
          <w:sz w:val="33"/>
          <w:szCs w:val="33"/>
        </w:rPr>
      </w:pPr>
      <w:r>
        <w:rPr>
          <w:sz w:val="33"/>
          <w:szCs w:val="33"/>
        </w:rPr>
        <w:t>西区法院202</w:t>
      </w:r>
      <w:r>
        <w:rPr>
          <w:rFonts w:hint="eastAsia"/>
          <w:sz w:val="33"/>
          <w:szCs w:val="33"/>
          <w:lang w:val="en-US" w:eastAsia="zh-CN"/>
        </w:rPr>
        <w:t>6</w:t>
      </w:r>
      <w:r>
        <w:rPr>
          <w:sz w:val="33"/>
          <w:szCs w:val="33"/>
        </w:rPr>
        <w:t>年财政拨款收支总预算</w:t>
      </w:r>
      <w:r>
        <w:rPr>
          <w:rFonts w:hint="eastAsia"/>
          <w:sz w:val="33"/>
          <w:szCs w:val="33"/>
          <w:lang w:val="en-US" w:eastAsia="zh-CN"/>
        </w:rPr>
        <w:t>1186.07</w:t>
      </w:r>
      <w:r>
        <w:rPr>
          <w:sz w:val="33"/>
          <w:szCs w:val="33"/>
        </w:rPr>
        <w:t>万元。收入包括：本年一般公共预算拨款收入</w:t>
      </w:r>
      <w:r>
        <w:rPr>
          <w:rFonts w:hint="eastAsia"/>
          <w:sz w:val="33"/>
          <w:szCs w:val="33"/>
          <w:lang w:val="en-US" w:eastAsia="zh-CN"/>
        </w:rPr>
        <w:t>1186.07</w:t>
      </w:r>
      <w:r>
        <w:rPr>
          <w:sz w:val="33"/>
          <w:szCs w:val="33"/>
        </w:rPr>
        <w:t>万元。支出包括：公共安全支出</w:t>
      </w:r>
      <w:r>
        <w:rPr>
          <w:rFonts w:hint="eastAsia"/>
          <w:sz w:val="33"/>
          <w:szCs w:val="33"/>
          <w:lang w:val="en-US" w:eastAsia="zh-CN"/>
        </w:rPr>
        <w:t>890.93</w:t>
      </w:r>
      <w:r>
        <w:rPr>
          <w:sz w:val="33"/>
          <w:szCs w:val="33"/>
        </w:rPr>
        <w:t>万元、社会保障和就业支出</w:t>
      </w:r>
      <w:r>
        <w:rPr>
          <w:rFonts w:hint="eastAsia"/>
          <w:sz w:val="33"/>
          <w:szCs w:val="33"/>
          <w:lang w:val="en-US" w:eastAsia="zh-CN"/>
        </w:rPr>
        <w:t>121.28</w:t>
      </w:r>
      <w:r>
        <w:rPr>
          <w:sz w:val="33"/>
          <w:szCs w:val="33"/>
        </w:rPr>
        <w:t>万元、卫生健康支出</w:t>
      </w:r>
      <w:r>
        <w:rPr>
          <w:rFonts w:hint="eastAsia"/>
          <w:sz w:val="33"/>
          <w:szCs w:val="33"/>
          <w:lang w:val="en-US" w:eastAsia="zh-CN"/>
        </w:rPr>
        <w:t>76.83</w:t>
      </w:r>
      <w:r>
        <w:rPr>
          <w:sz w:val="33"/>
          <w:szCs w:val="33"/>
        </w:rPr>
        <w:t>万元、住房保障支出</w:t>
      </w:r>
      <w:r>
        <w:rPr>
          <w:rFonts w:hint="eastAsia"/>
          <w:sz w:val="33"/>
          <w:szCs w:val="33"/>
          <w:lang w:val="en-US" w:eastAsia="zh-CN"/>
        </w:rPr>
        <w:t>97.03</w:t>
      </w:r>
      <w:r>
        <w:rPr>
          <w:sz w:val="33"/>
          <w:szCs w:val="33"/>
        </w:rPr>
        <w:t>万元。</w:t>
      </w:r>
    </w:p>
    <w:p w14:paraId="62FFBC59">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五、一般公共预算当年拨款情况说明</w:t>
      </w:r>
    </w:p>
    <w:p w14:paraId="65A88C79">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（一）一般公共预算当年拨款规模变化情况</w:t>
      </w:r>
      <w:r>
        <w:rPr>
          <w:rFonts w:hint="default" w:ascii="Times New Roman" w:hAnsi="Times New Roman" w:eastAsia="楷体_GB2312" w:cs="Times New Roman"/>
          <w:b/>
          <w:lang w:eastAsia="zh-CN"/>
        </w:rPr>
        <w:t>。</w:t>
      </w:r>
    </w:p>
    <w:p w14:paraId="4A304B00">
      <w:pPr>
        <w:spacing w:line="600" w:lineRule="exact"/>
        <w:ind w:firstLine="640" w:firstLineChars="200"/>
        <w:rPr>
          <w:rFonts w:hint="default" w:ascii="Times New Roman" w:hAnsi="Times New Roman" w:cs="Times New Roma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年一般公共预算当年拨款</w:t>
      </w:r>
      <w:r>
        <w:rPr>
          <w:rFonts w:hint="eastAsia" w:cs="Times New Roman"/>
          <w:lang w:val="en-US" w:eastAsia="zh-CN"/>
        </w:rPr>
        <w:t>1186.07</w:t>
      </w:r>
      <w:r>
        <w:rPr>
          <w:rFonts w:hint="default" w:ascii="Times New Roman" w:hAnsi="Times New Roman" w:cs="Times New Roman"/>
        </w:rPr>
        <w:t>万元，比</w:t>
      </w:r>
      <w:r>
        <w:rPr>
          <w:rFonts w:hint="eastAsia" w:ascii="Times New Roman" w:hAnsi="Times New Roman" w:cs="Times New Roman"/>
          <w:lang w:eastAsia="zh-CN"/>
        </w:rPr>
        <w:t>202</w:t>
      </w:r>
      <w:r>
        <w:rPr>
          <w:rFonts w:hint="eastAsia" w:ascii="Times New Roman" w:hAnsi="Times New Roman" w:cs="Times New Roman"/>
          <w:lang w:val="en-US" w:eastAsia="zh-CN"/>
        </w:rPr>
        <w:t>5</w:t>
      </w:r>
      <w:r>
        <w:rPr>
          <w:rFonts w:hint="default" w:ascii="Times New Roman" w:hAnsi="Times New Roman" w:cs="Times New Roman"/>
        </w:rPr>
        <w:t>年预算数</w:t>
      </w:r>
      <w:r>
        <w:rPr>
          <w:rFonts w:hint="eastAsia"/>
          <w:sz w:val="33"/>
          <w:szCs w:val="33"/>
          <w:lang w:val="en-US" w:eastAsia="zh-CN"/>
        </w:rPr>
        <w:t>197.28</w:t>
      </w:r>
      <w:r>
        <w:rPr>
          <w:sz w:val="33"/>
          <w:szCs w:val="33"/>
        </w:rPr>
        <w:t>万元，主要是</w:t>
      </w:r>
      <w:r>
        <w:rPr>
          <w:rFonts w:hint="eastAsia"/>
          <w:sz w:val="33"/>
          <w:szCs w:val="33"/>
          <w:lang w:val="en-US" w:eastAsia="zh-CN"/>
        </w:rPr>
        <w:t>2025年年初未将聘用制书记员经费95万元纳入年初预算</w:t>
      </w:r>
      <w:r>
        <w:rPr>
          <w:sz w:val="33"/>
          <w:szCs w:val="33"/>
        </w:rPr>
        <w:t>，二是</w:t>
      </w:r>
      <w:r>
        <w:rPr>
          <w:rFonts w:hint="eastAsia"/>
          <w:sz w:val="33"/>
          <w:szCs w:val="33"/>
          <w:lang w:val="en-US" w:eastAsia="zh-CN"/>
        </w:rPr>
        <w:t>2026年人员有所增加</w:t>
      </w:r>
      <w:r>
        <w:rPr>
          <w:sz w:val="33"/>
          <w:szCs w:val="33"/>
        </w:rPr>
        <w:t>，各项经费相应</w:t>
      </w:r>
      <w:r>
        <w:rPr>
          <w:rFonts w:hint="eastAsia"/>
          <w:sz w:val="33"/>
          <w:szCs w:val="33"/>
          <w:lang w:val="en-US" w:eastAsia="zh-CN"/>
        </w:rPr>
        <w:t>增加</w:t>
      </w:r>
      <w:r>
        <w:rPr>
          <w:sz w:val="33"/>
          <w:szCs w:val="33"/>
        </w:rPr>
        <w:t>。</w:t>
      </w:r>
    </w:p>
    <w:p w14:paraId="05155857">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（二）一般公共预算当年拨款结构情况</w:t>
      </w:r>
      <w:r>
        <w:rPr>
          <w:rFonts w:hint="default" w:ascii="Times New Roman" w:hAnsi="Times New Roman" w:eastAsia="楷体_GB2312" w:cs="Times New Roman"/>
          <w:b/>
          <w:lang w:eastAsia="zh-CN"/>
        </w:rPr>
        <w:t>。</w:t>
      </w:r>
    </w:p>
    <w:p w14:paraId="09C7F4BB">
      <w:pPr>
        <w:spacing w:line="560" w:lineRule="exact"/>
        <w:ind w:firstLine="660" w:firstLineChars="200"/>
        <w:rPr>
          <w:rFonts w:hint="default" w:ascii="Times New Roman" w:hAnsi="Times New Roman" w:cs="Times New Roman"/>
        </w:rPr>
      </w:pPr>
      <w:r>
        <w:rPr>
          <w:sz w:val="33"/>
          <w:szCs w:val="33"/>
        </w:rPr>
        <w:t>公共安全支出</w:t>
      </w:r>
      <w:r>
        <w:rPr>
          <w:rFonts w:hint="eastAsia"/>
          <w:sz w:val="33"/>
          <w:szCs w:val="33"/>
          <w:lang w:val="en-US" w:eastAsia="zh-CN"/>
        </w:rPr>
        <w:t>890.93</w:t>
      </w:r>
      <w:r>
        <w:rPr>
          <w:sz w:val="33"/>
          <w:szCs w:val="33"/>
        </w:rPr>
        <w:t>万元</w:t>
      </w:r>
      <w:r>
        <w:rPr>
          <w:rFonts w:hint="eastAsia"/>
          <w:sz w:val="33"/>
          <w:szCs w:val="33"/>
          <w:lang w:eastAsia="zh-CN"/>
        </w:rPr>
        <w:t>，</w:t>
      </w:r>
      <w:r>
        <w:rPr>
          <w:rFonts w:hint="eastAsia"/>
          <w:sz w:val="33"/>
          <w:szCs w:val="33"/>
          <w:lang w:val="en-US" w:eastAsia="zh-CN"/>
        </w:rPr>
        <w:t>占75.12%；</w:t>
      </w:r>
      <w:r>
        <w:rPr>
          <w:sz w:val="33"/>
          <w:szCs w:val="33"/>
        </w:rPr>
        <w:t>社会保障和就业支出</w:t>
      </w:r>
      <w:r>
        <w:rPr>
          <w:rFonts w:hint="eastAsia"/>
          <w:sz w:val="33"/>
          <w:szCs w:val="33"/>
          <w:lang w:val="en-US" w:eastAsia="zh-CN"/>
        </w:rPr>
        <w:t>121.28</w:t>
      </w:r>
      <w:r>
        <w:rPr>
          <w:sz w:val="33"/>
          <w:szCs w:val="33"/>
        </w:rPr>
        <w:t>万元</w:t>
      </w:r>
      <w:r>
        <w:rPr>
          <w:rFonts w:hint="eastAsia"/>
          <w:sz w:val="33"/>
          <w:szCs w:val="33"/>
          <w:lang w:eastAsia="zh-CN"/>
        </w:rPr>
        <w:t>，</w:t>
      </w:r>
      <w:r>
        <w:rPr>
          <w:rFonts w:hint="eastAsia"/>
          <w:sz w:val="33"/>
          <w:szCs w:val="33"/>
          <w:lang w:val="en-US" w:eastAsia="zh-CN"/>
        </w:rPr>
        <w:t>占10.22%；</w:t>
      </w:r>
      <w:r>
        <w:rPr>
          <w:sz w:val="33"/>
          <w:szCs w:val="33"/>
        </w:rPr>
        <w:t>卫生健康支出</w:t>
      </w:r>
      <w:r>
        <w:rPr>
          <w:rFonts w:hint="eastAsia"/>
          <w:sz w:val="33"/>
          <w:szCs w:val="33"/>
          <w:lang w:val="en-US" w:eastAsia="zh-CN"/>
        </w:rPr>
        <w:t>76.83</w:t>
      </w:r>
      <w:r>
        <w:rPr>
          <w:sz w:val="33"/>
          <w:szCs w:val="33"/>
        </w:rPr>
        <w:t>万元</w:t>
      </w:r>
      <w:r>
        <w:rPr>
          <w:rFonts w:hint="eastAsia"/>
          <w:sz w:val="33"/>
          <w:szCs w:val="33"/>
          <w:lang w:eastAsia="zh-CN"/>
        </w:rPr>
        <w:t>，</w:t>
      </w:r>
      <w:r>
        <w:rPr>
          <w:rFonts w:hint="eastAsia"/>
          <w:sz w:val="33"/>
          <w:szCs w:val="33"/>
          <w:lang w:val="en-US" w:eastAsia="zh-CN"/>
        </w:rPr>
        <w:t>占6.48%；</w:t>
      </w:r>
      <w:r>
        <w:rPr>
          <w:sz w:val="33"/>
          <w:szCs w:val="33"/>
        </w:rPr>
        <w:t>住房保障支出</w:t>
      </w:r>
      <w:r>
        <w:rPr>
          <w:rFonts w:hint="eastAsia"/>
          <w:sz w:val="33"/>
          <w:szCs w:val="33"/>
          <w:lang w:val="en-US" w:eastAsia="zh-CN"/>
        </w:rPr>
        <w:t>97.03</w:t>
      </w:r>
      <w:r>
        <w:rPr>
          <w:sz w:val="33"/>
          <w:szCs w:val="33"/>
        </w:rPr>
        <w:t>万元</w:t>
      </w:r>
      <w:r>
        <w:rPr>
          <w:rFonts w:hint="eastAsia"/>
          <w:sz w:val="33"/>
          <w:szCs w:val="33"/>
          <w:lang w:eastAsia="zh-CN"/>
        </w:rPr>
        <w:t>，</w:t>
      </w:r>
      <w:r>
        <w:rPr>
          <w:rFonts w:hint="eastAsia"/>
          <w:sz w:val="33"/>
          <w:szCs w:val="33"/>
          <w:lang w:val="en-US" w:eastAsia="zh-CN"/>
        </w:rPr>
        <w:t>占8.18%</w:t>
      </w:r>
      <w:r>
        <w:rPr>
          <w:sz w:val="33"/>
          <w:szCs w:val="33"/>
        </w:rPr>
        <w:t>。</w:t>
      </w:r>
    </w:p>
    <w:p w14:paraId="3081D98F">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（三）一般公共预算当年拨款具体使用情况</w:t>
      </w:r>
      <w:r>
        <w:rPr>
          <w:rFonts w:hint="default" w:ascii="Times New Roman" w:hAnsi="Times New Roman" w:eastAsia="楷体_GB2312" w:cs="Times New Roman"/>
          <w:b/>
          <w:lang w:eastAsia="zh-CN"/>
        </w:rPr>
        <w:t>。</w:t>
      </w:r>
    </w:p>
    <w:p w14:paraId="37162AEA">
      <w:pPr>
        <w:suppressAutoHyphens/>
        <w:spacing w:line="560" w:lineRule="exact"/>
        <w:ind w:firstLine="660" w:firstLineChars="200"/>
        <w:rPr>
          <w:sz w:val="33"/>
          <w:szCs w:val="33"/>
        </w:rPr>
      </w:pPr>
      <w:r>
        <w:rPr>
          <w:sz w:val="33"/>
          <w:szCs w:val="33"/>
        </w:rPr>
        <w:t>1.</w:t>
      </w:r>
      <w:r>
        <w:rPr>
          <w:rFonts w:hint="eastAsia"/>
          <w:sz w:val="33"/>
          <w:szCs w:val="33"/>
        </w:rPr>
        <w:t>公共安全支出</w:t>
      </w:r>
      <w:r>
        <w:rPr>
          <w:sz w:val="33"/>
          <w:szCs w:val="33"/>
        </w:rPr>
        <w:t>（类）</w:t>
      </w:r>
      <w:r>
        <w:rPr>
          <w:rFonts w:hint="eastAsia"/>
          <w:sz w:val="33"/>
          <w:szCs w:val="33"/>
        </w:rPr>
        <w:t>法院</w:t>
      </w:r>
      <w:r>
        <w:rPr>
          <w:sz w:val="33"/>
          <w:szCs w:val="33"/>
        </w:rPr>
        <w:t>（款）行政运行（项）202</w:t>
      </w:r>
      <w:r>
        <w:rPr>
          <w:rFonts w:hint="eastAsia"/>
          <w:sz w:val="33"/>
          <w:szCs w:val="33"/>
          <w:lang w:val="en-US" w:eastAsia="zh-CN"/>
        </w:rPr>
        <w:t>6</w:t>
      </w:r>
      <w:r>
        <w:rPr>
          <w:sz w:val="33"/>
          <w:szCs w:val="33"/>
        </w:rPr>
        <w:t>年预算数为</w:t>
      </w:r>
      <w:r>
        <w:rPr>
          <w:rFonts w:hint="eastAsia"/>
          <w:sz w:val="33"/>
          <w:szCs w:val="33"/>
          <w:lang w:val="en-US" w:eastAsia="zh-CN"/>
        </w:rPr>
        <w:t>865.93</w:t>
      </w:r>
      <w:r>
        <w:rPr>
          <w:sz w:val="33"/>
          <w:szCs w:val="33"/>
        </w:rPr>
        <w:t>万元，主要用于：人员经费和公用经费支出，</w:t>
      </w:r>
      <w:r>
        <w:rPr>
          <w:color w:val="000000"/>
          <w:sz w:val="33"/>
          <w:szCs w:val="33"/>
        </w:rPr>
        <w:t>保障西区法院工作正常运转，支持西区法院履行职能</w:t>
      </w:r>
      <w:r>
        <w:rPr>
          <w:sz w:val="33"/>
          <w:szCs w:val="33"/>
        </w:rPr>
        <w:t>。</w:t>
      </w:r>
    </w:p>
    <w:p w14:paraId="6BC4A518">
      <w:pPr>
        <w:suppressAutoHyphens/>
        <w:spacing w:line="560" w:lineRule="exact"/>
        <w:ind w:firstLine="660" w:firstLineChars="200"/>
        <w:rPr>
          <w:sz w:val="33"/>
          <w:szCs w:val="33"/>
        </w:rPr>
      </w:pPr>
      <w:r>
        <w:rPr>
          <w:sz w:val="33"/>
          <w:szCs w:val="33"/>
        </w:rPr>
        <w:t>2.</w:t>
      </w:r>
      <w:r>
        <w:rPr>
          <w:rFonts w:hint="eastAsia"/>
          <w:sz w:val="33"/>
          <w:szCs w:val="33"/>
        </w:rPr>
        <w:t xml:space="preserve"> 公共安全支出</w:t>
      </w:r>
      <w:r>
        <w:rPr>
          <w:sz w:val="33"/>
          <w:szCs w:val="33"/>
        </w:rPr>
        <w:t>（类）</w:t>
      </w:r>
      <w:r>
        <w:rPr>
          <w:rFonts w:hint="eastAsia"/>
          <w:sz w:val="33"/>
          <w:szCs w:val="33"/>
        </w:rPr>
        <w:t>法院</w:t>
      </w:r>
      <w:r>
        <w:rPr>
          <w:sz w:val="33"/>
          <w:szCs w:val="33"/>
        </w:rPr>
        <w:t>（款）一般行政管理事务（项）202</w:t>
      </w:r>
      <w:r>
        <w:rPr>
          <w:rFonts w:hint="eastAsia"/>
          <w:sz w:val="33"/>
          <w:szCs w:val="33"/>
          <w:lang w:val="en-US" w:eastAsia="zh-CN"/>
        </w:rPr>
        <w:t>6</w:t>
      </w:r>
      <w:r>
        <w:rPr>
          <w:sz w:val="33"/>
          <w:szCs w:val="33"/>
        </w:rPr>
        <w:t>年预算数为25万元，主要用于：</w:t>
      </w:r>
      <w:r>
        <w:rPr>
          <w:color w:val="000000"/>
          <w:sz w:val="33"/>
          <w:szCs w:val="33"/>
        </w:rPr>
        <w:t>项目经费支出，保障西区法院办案业务费、司法救助金、人民陪审员经费支出等经费支出，保障西区法院工作有序开展</w:t>
      </w:r>
      <w:r>
        <w:rPr>
          <w:sz w:val="33"/>
          <w:szCs w:val="33"/>
        </w:rPr>
        <w:t>。</w:t>
      </w:r>
    </w:p>
    <w:p w14:paraId="76075137">
      <w:pPr>
        <w:suppressAutoHyphens/>
        <w:spacing w:line="560" w:lineRule="exact"/>
        <w:ind w:firstLine="660" w:firstLineChars="200"/>
        <w:rPr>
          <w:sz w:val="33"/>
          <w:szCs w:val="33"/>
        </w:rPr>
      </w:pPr>
      <w:r>
        <w:rPr>
          <w:sz w:val="33"/>
          <w:szCs w:val="33"/>
        </w:rPr>
        <w:t>3. 社会保障和就业支出（类）</w:t>
      </w:r>
      <w:r>
        <w:rPr>
          <w:rFonts w:hint="eastAsia"/>
          <w:sz w:val="33"/>
          <w:szCs w:val="33"/>
        </w:rPr>
        <w:t>行政事业单位养老支出</w:t>
      </w:r>
      <w:r>
        <w:rPr>
          <w:sz w:val="33"/>
          <w:szCs w:val="33"/>
        </w:rPr>
        <w:t>（款）机关事业单位养老保险缴费支出（项）202</w:t>
      </w:r>
      <w:r>
        <w:rPr>
          <w:rFonts w:hint="eastAsia"/>
          <w:sz w:val="33"/>
          <w:szCs w:val="33"/>
          <w:lang w:val="en-US" w:eastAsia="zh-CN"/>
        </w:rPr>
        <w:t>6</w:t>
      </w:r>
      <w:r>
        <w:rPr>
          <w:sz w:val="33"/>
          <w:szCs w:val="33"/>
        </w:rPr>
        <w:t>年预算数为</w:t>
      </w:r>
      <w:r>
        <w:rPr>
          <w:rFonts w:hint="eastAsia"/>
          <w:sz w:val="33"/>
          <w:szCs w:val="33"/>
          <w:lang w:val="en-US" w:eastAsia="zh-CN"/>
        </w:rPr>
        <w:t>121.28</w:t>
      </w:r>
      <w:r>
        <w:rPr>
          <w:sz w:val="33"/>
          <w:szCs w:val="33"/>
        </w:rPr>
        <w:t>万元，主要用于：支付在职人员养老保险，保障人员经费。</w:t>
      </w:r>
    </w:p>
    <w:p w14:paraId="4751376A">
      <w:pPr>
        <w:suppressAutoHyphens/>
        <w:spacing w:line="560" w:lineRule="exact"/>
        <w:ind w:firstLine="660" w:firstLineChars="200"/>
        <w:rPr>
          <w:color w:val="000000"/>
          <w:sz w:val="33"/>
          <w:szCs w:val="33"/>
        </w:rPr>
      </w:pPr>
      <w:r>
        <w:rPr>
          <w:sz w:val="33"/>
          <w:szCs w:val="33"/>
        </w:rPr>
        <w:t>4. 卫生健康支出（类）行政</w:t>
      </w:r>
      <w:r>
        <w:rPr>
          <w:rFonts w:hint="eastAsia"/>
          <w:sz w:val="33"/>
          <w:szCs w:val="33"/>
        </w:rPr>
        <w:t>事业</w:t>
      </w:r>
      <w:r>
        <w:rPr>
          <w:sz w:val="33"/>
          <w:szCs w:val="33"/>
        </w:rPr>
        <w:t>单位医疗（款）行政单位医疗（项）202</w:t>
      </w:r>
      <w:r>
        <w:rPr>
          <w:rFonts w:hint="eastAsia"/>
          <w:sz w:val="33"/>
          <w:szCs w:val="33"/>
          <w:lang w:val="en-US" w:eastAsia="zh-CN"/>
        </w:rPr>
        <w:t>6</w:t>
      </w:r>
      <w:r>
        <w:rPr>
          <w:sz w:val="33"/>
          <w:szCs w:val="33"/>
        </w:rPr>
        <w:t>年预算数为</w:t>
      </w:r>
      <w:r>
        <w:rPr>
          <w:rFonts w:hint="eastAsia"/>
          <w:sz w:val="33"/>
          <w:szCs w:val="33"/>
          <w:lang w:val="en-US" w:eastAsia="zh-CN"/>
        </w:rPr>
        <w:t>62.27</w:t>
      </w:r>
      <w:r>
        <w:rPr>
          <w:sz w:val="33"/>
          <w:szCs w:val="33"/>
        </w:rPr>
        <w:t>万元，主要用于：</w:t>
      </w:r>
      <w:r>
        <w:rPr>
          <w:color w:val="000000"/>
          <w:sz w:val="33"/>
          <w:szCs w:val="33"/>
        </w:rPr>
        <w:t>支付在职人员的基本医疗保险缴费。</w:t>
      </w:r>
    </w:p>
    <w:p w14:paraId="580B0B92">
      <w:pPr>
        <w:suppressAutoHyphens/>
        <w:spacing w:line="560" w:lineRule="exact"/>
        <w:ind w:firstLine="660" w:firstLineChars="200"/>
        <w:rPr>
          <w:color w:val="000000"/>
          <w:sz w:val="33"/>
          <w:szCs w:val="33"/>
        </w:rPr>
      </w:pPr>
      <w:r>
        <w:rPr>
          <w:color w:val="000000"/>
          <w:sz w:val="33"/>
          <w:szCs w:val="33"/>
        </w:rPr>
        <w:t>5.</w:t>
      </w:r>
      <w:r>
        <w:rPr>
          <w:sz w:val="33"/>
          <w:szCs w:val="33"/>
        </w:rPr>
        <w:t xml:space="preserve"> 卫生健康支出（类）行政</w:t>
      </w:r>
      <w:r>
        <w:rPr>
          <w:rFonts w:hint="eastAsia"/>
          <w:sz w:val="33"/>
          <w:szCs w:val="33"/>
        </w:rPr>
        <w:t>事业</w:t>
      </w:r>
      <w:r>
        <w:rPr>
          <w:sz w:val="33"/>
          <w:szCs w:val="33"/>
        </w:rPr>
        <w:t>单位医疗（款）公务员医疗补助（项）202</w:t>
      </w:r>
      <w:r>
        <w:rPr>
          <w:rFonts w:hint="eastAsia"/>
          <w:sz w:val="33"/>
          <w:szCs w:val="33"/>
          <w:lang w:val="en-US" w:eastAsia="zh-CN"/>
        </w:rPr>
        <w:t>6</w:t>
      </w:r>
      <w:r>
        <w:rPr>
          <w:sz w:val="33"/>
          <w:szCs w:val="33"/>
        </w:rPr>
        <w:t>年预算数为6</w:t>
      </w:r>
      <w:r>
        <w:rPr>
          <w:rFonts w:hint="eastAsia"/>
          <w:sz w:val="33"/>
          <w:szCs w:val="33"/>
          <w:lang w:val="en-US" w:eastAsia="zh-CN"/>
        </w:rPr>
        <w:t>.48</w:t>
      </w:r>
      <w:r>
        <w:rPr>
          <w:sz w:val="33"/>
          <w:szCs w:val="33"/>
        </w:rPr>
        <w:t>万元，主要用于：</w:t>
      </w:r>
      <w:r>
        <w:rPr>
          <w:color w:val="000000"/>
          <w:sz w:val="33"/>
          <w:szCs w:val="33"/>
        </w:rPr>
        <w:t>支付在职人员的公务员医疗补助缴费。</w:t>
      </w:r>
    </w:p>
    <w:p w14:paraId="28B3A838">
      <w:pPr>
        <w:suppressAutoHyphens/>
        <w:spacing w:line="560" w:lineRule="exact"/>
        <w:ind w:firstLine="660" w:firstLineChars="200"/>
        <w:rPr>
          <w:color w:val="000000"/>
          <w:sz w:val="33"/>
          <w:szCs w:val="33"/>
        </w:rPr>
      </w:pPr>
      <w:r>
        <w:rPr>
          <w:color w:val="000000"/>
          <w:sz w:val="33"/>
          <w:szCs w:val="33"/>
        </w:rPr>
        <w:t>6.</w:t>
      </w:r>
      <w:r>
        <w:rPr>
          <w:sz w:val="33"/>
          <w:szCs w:val="33"/>
        </w:rPr>
        <w:t xml:space="preserve"> 卫生健康支出2（类）行政</w:t>
      </w:r>
      <w:r>
        <w:rPr>
          <w:rFonts w:hint="eastAsia"/>
          <w:sz w:val="33"/>
          <w:szCs w:val="33"/>
        </w:rPr>
        <w:t>事业</w:t>
      </w:r>
      <w:r>
        <w:rPr>
          <w:sz w:val="33"/>
          <w:szCs w:val="33"/>
        </w:rPr>
        <w:t>单位医疗（款）其他行政事业单位医疗支出（项）202</w:t>
      </w:r>
      <w:r>
        <w:rPr>
          <w:rFonts w:hint="eastAsia"/>
          <w:sz w:val="33"/>
          <w:szCs w:val="33"/>
          <w:lang w:val="en-US" w:eastAsia="zh-CN"/>
        </w:rPr>
        <w:t>6</w:t>
      </w:r>
      <w:r>
        <w:rPr>
          <w:sz w:val="33"/>
          <w:szCs w:val="33"/>
        </w:rPr>
        <w:t>年预算数为</w:t>
      </w:r>
      <w:r>
        <w:rPr>
          <w:rFonts w:hint="eastAsia"/>
          <w:sz w:val="33"/>
          <w:szCs w:val="33"/>
          <w:lang w:val="en-US" w:eastAsia="zh-CN"/>
        </w:rPr>
        <w:t>8.09</w:t>
      </w:r>
      <w:r>
        <w:rPr>
          <w:sz w:val="33"/>
          <w:szCs w:val="33"/>
        </w:rPr>
        <w:t>万元，主要用于：</w:t>
      </w:r>
      <w:r>
        <w:rPr>
          <w:color w:val="000000"/>
          <w:sz w:val="33"/>
          <w:szCs w:val="33"/>
        </w:rPr>
        <w:t>支付在职人员的其他行政事业单位医疗缴费。</w:t>
      </w:r>
    </w:p>
    <w:p w14:paraId="684F4709">
      <w:pPr>
        <w:spacing w:line="560" w:lineRule="exact"/>
        <w:ind w:firstLine="660" w:firstLineChars="200"/>
        <w:rPr>
          <w:color w:val="000000"/>
          <w:kern w:val="0"/>
          <w:sz w:val="33"/>
          <w:szCs w:val="33"/>
        </w:rPr>
      </w:pPr>
      <w:r>
        <w:rPr>
          <w:color w:val="000000"/>
          <w:kern w:val="0"/>
          <w:sz w:val="33"/>
          <w:szCs w:val="33"/>
        </w:rPr>
        <w:t>7.</w:t>
      </w:r>
      <w:r>
        <w:rPr>
          <w:kern w:val="0"/>
          <w:sz w:val="33"/>
          <w:szCs w:val="33"/>
        </w:rPr>
        <w:t xml:space="preserve"> 住房保障支出（类）</w:t>
      </w:r>
      <w:r>
        <w:rPr>
          <w:rFonts w:hint="eastAsia"/>
          <w:kern w:val="0"/>
          <w:sz w:val="33"/>
          <w:szCs w:val="33"/>
        </w:rPr>
        <w:t>住房改革支出</w:t>
      </w:r>
      <w:r>
        <w:rPr>
          <w:kern w:val="0"/>
          <w:sz w:val="33"/>
          <w:szCs w:val="33"/>
        </w:rPr>
        <w:t>（款）住房公积金（项）202</w:t>
      </w:r>
      <w:r>
        <w:rPr>
          <w:rFonts w:hint="eastAsia"/>
          <w:kern w:val="0"/>
          <w:sz w:val="33"/>
          <w:szCs w:val="33"/>
          <w:lang w:val="en-US" w:eastAsia="zh-CN"/>
        </w:rPr>
        <w:t>6</w:t>
      </w:r>
      <w:r>
        <w:rPr>
          <w:kern w:val="0"/>
          <w:sz w:val="33"/>
          <w:szCs w:val="33"/>
        </w:rPr>
        <w:t>年预算数为</w:t>
      </w:r>
      <w:r>
        <w:rPr>
          <w:rFonts w:hint="eastAsia"/>
          <w:kern w:val="0"/>
          <w:sz w:val="33"/>
          <w:szCs w:val="33"/>
          <w:lang w:val="en-US" w:eastAsia="zh-CN"/>
        </w:rPr>
        <w:t>97.03</w:t>
      </w:r>
      <w:r>
        <w:rPr>
          <w:kern w:val="0"/>
          <w:sz w:val="33"/>
          <w:szCs w:val="33"/>
        </w:rPr>
        <w:t>万元，主要用于：支付</w:t>
      </w:r>
      <w:r>
        <w:rPr>
          <w:color w:val="000000"/>
          <w:kern w:val="0"/>
          <w:sz w:val="33"/>
          <w:szCs w:val="33"/>
        </w:rPr>
        <w:t>在职人员的公积金缴费。</w:t>
      </w:r>
    </w:p>
    <w:p w14:paraId="6E8B5B85">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六、一般公共预算基本支出情况说明</w:t>
      </w:r>
    </w:p>
    <w:p w14:paraId="27F9B072">
      <w:pPr>
        <w:spacing w:line="560" w:lineRule="exact"/>
        <w:ind w:firstLine="660" w:firstLineChars="200"/>
        <w:rPr>
          <w:sz w:val="33"/>
          <w:szCs w:val="33"/>
        </w:rPr>
      </w:pPr>
      <w:r>
        <w:rPr>
          <w:sz w:val="33"/>
          <w:szCs w:val="33"/>
        </w:rPr>
        <w:t>西区法院202</w:t>
      </w:r>
      <w:r>
        <w:rPr>
          <w:rFonts w:hint="eastAsia"/>
          <w:sz w:val="33"/>
          <w:szCs w:val="33"/>
          <w:lang w:val="en-US" w:eastAsia="zh-CN"/>
        </w:rPr>
        <w:t>6</w:t>
      </w:r>
      <w:r>
        <w:rPr>
          <w:sz w:val="33"/>
          <w:szCs w:val="33"/>
        </w:rPr>
        <w:t>年一般公共预算基本支出</w:t>
      </w:r>
      <w:r>
        <w:rPr>
          <w:rFonts w:hint="eastAsia"/>
          <w:sz w:val="33"/>
          <w:szCs w:val="33"/>
          <w:lang w:val="en-US" w:eastAsia="zh-CN"/>
        </w:rPr>
        <w:t>1161.07</w:t>
      </w:r>
      <w:r>
        <w:rPr>
          <w:sz w:val="33"/>
          <w:szCs w:val="33"/>
        </w:rPr>
        <w:t>万元，其中：</w:t>
      </w:r>
    </w:p>
    <w:p w14:paraId="45661A91">
      <w:pPr>
        <w:suppressAutoHyphens/>
        <w:spacing w:line="560" w:lineRule="exact"/>
        <w:ind w:firstLine="660" w:firstLineChars="200"/>
        <w:rPr>
          <w:color w:val="000000"/>
          <w:sz w:val="33"/>
          <w:szCs w:val="33"/>
        </w:rPr>
      </w:pPr>
      <w:r>
        <w:rPr>
          <w:sz w:val="33"/>
          <w:szCs w:val="33"/>
        </w:rPr>
        <w:t>人员经费</w:t>
      </w:r>
      <w:r>
        <w:rPr>
          <w:rFonts w:hint="eastAsia"/>
          <w:sz w:val="33"/>
          <w:szCs w:val="33"/>
          <w:lang w:val="en-US" w:eastAsia="zh-CN"/>
        </w:rPr>
        <w:t>988.23</w:t>
      </w:r>
      <w:r>
        <w:rPr>
          <w:sz w:val="33"/>
          <w:szCs w:val="33"/>
        </w:rPr>
        <w:t>万元，主要包括：基本工资、津贴补贴、奖金、</w:t>
      </w:r>
      <w:r>
        <w:rPr>
          <w:color w:val="000000"/>
          <w:sz w:val="33"/>
          <w:szCs w:val="33"/>
        </w:rPr>
        <w:t>机关事业单位基本养老保险缴费、其他社会保障缴费、住房公积金、对个人和家庭的补助等。</w:t>
      </w:r>
    </w:p>
    <w:p w14:paraId="3D1C52D1">
      <w:pPr>
        <w:suppressAutoHyphens/>
        <w:spacing w:line="560" w:lineRule="exact"/>
        <w:ind w:firstLine="660" w:firstLineChars="200"/>
        <w:rPr>
          <w:sz w:val="33"/>
          <w:szCs w:val="33"/>
        </w:rPr>
      </w:pPr>
      <w:r>
        <w:rPr>
          <w:sz w:val="33"/>
          <w:szCs w:val="33"/>
        </w:rPr>
        <w:t>公用经费</w:t>
      </w:r>
      <w:r>
        <w:rPr>
          <w:rFonts w:hint="eastAsia"/>
          <w:sz w:val="33"/>
          <w:szCs w:val="33"/>
          <w:lang w:val="en-US" w:eastAsia="zh-CN"/>
        </w:rPr>
        <w:t>172.84</w:t>
      </w:r>
      <w:r>
        <w:rPr>
          <w:sz w:val="33"/>
          <w:szCs w:val="33"/>
        </w:rPr>
        <w:t>万元，主要包括：</w:t>
      </w:r>
      <w:r>
        <w:rPr>
          <w:rFonts w:eastAsia="仿宋"/>
          <w:color w:val="000000"/>
          <w:sz w:val="33"/>
          <w:szCs w:val="33"/>
        </w:rPr>
        <w:t>办公费、水费、电费、邮电费、差旅费、公务接待费、工会经费、福利费、公务用车运行维护费、其他交通费、其他商品和服务支出等。</w:t>
      </w:r>
    </w:p>
    <w:p w14:paraId="4C9719A1">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七、“三公”经费财政拨款预算安排情况说明</w:t>
      </w:r>
    </w:p>
    <w:p w14:paraId="4579092D">
      <w:pPr>
        <w:spacing w:line="560" w:lineRule="exact"/>
        <w:ind w:firstLine="660" w:firstLineChars="200"/>
        <w:rPr>
          <w:sz w:val="33"/>
          <w:szCs w:val="33"/>
        </w:rPr>
      </w:pPr>
      <w:r>
        <w:rPr>
          <w:sz w:val="33"/>
          <w:szCs w:val="33"/>
        </w:rPr>
        <w:t>西区法院202</w:t>
      </w:r>
      <w:r>
        <w:rPr>
          <w:rFonts w:hint="eastAsia"/>
          <w:sz w:val="33"/>
          <w:szCs w:val="33"/>
          <w:lang w:val="en-US" w:eastAsia="zh-CN"/>
        </w:rPr>
        <w:t>6</w:t>
      </w:r>
      <w:r>
        <w:rPr>
          <w:sz w:val="33"/>
          <w:szCs w:val="33"/>
        </w:rPr>
        <w:t>年“三公”经费财政拨款预算数</w:t>
      </w:r>
      <w:r>
        <w:rPr>
          <w:rFonts w:hint="eastAsia"/>
          <w:sz w:val="33"/>
          <w:szCs w:val="33"/>
          <w:lang w:val="en-US" w:eastAsia="zh-CN"/>
        </w:rPr>
        <w:t>12.51</w:t>
      </w:r>
      <w:r>
        <w:rPr>
          <w:sz w:val="33"/>
          <w:szCs w:val="33"/>
        </w:rPr>
        <w:t>万元，其中：因公出国（境）经费0万元，公务接待费0.6万元，公务用车购置及运行维护费1</w:t>
      </w:r>
      <w:r>
        <w:rPr>
          <w:rFonts w:hint="eastAsia"/>
          <w:sz w:val="33"/>
          <w:szCs w:val="33"/>
          <w:lang w:val="en-US" w:eastAsia="zh-CN"/>
        </w:rPr>
        <w:t>1.91</w:t>
      </w:r>
      <w:r>
        <w:rPr>
          <w:sz w:val="33"/>
          <w:szCs w:val="33"/>
        </w:rPr>
        <w:t>万元。</w:t>
      </w:r>
    </w:p>
    <w:p w14:paraId="131799DD">
      <w:pPr>
        <w:spacing w:line="560" w:lineRule="exact"/>
        <w:ind w:firstLine="640"/>
        <w:rPr>
          <w:sz w:val="33"/>
          <w:szCs w:val="33"/>
        </w:rPr>
      </w:pPr>
      <w:r>
        <w:rPr>
          <w:rFonts w:eastAsia="楷体_GB2312"/>
          <w:b/>
          <w:sz w:val="33"/>
          <w:szCs w:val="33"/>
        </w:rPr>
        <w:t>（一）因公出国（境）经费与202</w:t>
      </w:r>
      <w:r>
        <w:rPr>
          <w:rFonts w:hint="eastAsia" w:eastAsia="楷体_GB2312"/>
          <w:b/>
          <w:sz w:val="33"/>
          <w:szCs w:val="33"/>
          <w:lang w:val="en-US" w:eastAsia="zh-CN"/>
        </w:rPr>
        <w:t>5</w:t>
      </w:r>
      <w:r>
        <w:rPr>
          <w:rFonts w:eastAsia="楷体_GB2312"/>
          <w:b/>
          <w:sz w:val="33"/>
          <w:szCs w:val="33"/>
        </w:rPr>
        <w:t>年预算持平，均未安排相关经费。</w:t>
      </w:r>
      <w:r>
        <w:rPr>
          <w:sz w:val="33"/>
          <w:szCs w:val="33"/>
        </w:rPr>
        <w:t>主要原因是</w:t>
      </w:r>
      <w:r>
        <w:rPr>
          <w:kern w:val="0"/>
          <w:sz w:val="33"/>
          <w:szCs w:val="33"/>
        </w:rPr>
        <w:t>根据工作统一安排，202</w:t>
      </w:r>
      <w:r>
        <w:rPr>
          <w:rFonts w:hint="eastAsia"/>
          <w:kern w:val="0"/>
          <w:sz w:val="33"/>
          <w:szCs w:val="33"/>
          <w:lang w:val="en-US" w:eastAsia="zh-CN"/>
        </w:rPr>
        <w:t>6</w:t>
      </w:r>
      <w:r>
        <w:rPr>
          <w:kern w:val="0"/>
          <w:sz w:val="33"/>
          <w:szCs w:val="33"/>
        </w:rPr>
        <w:t>年市本级年初部门预算暂不编列因公出国（境）经费。执行中，市级部门确需执行出国（境）任务和计划的，按照“一事一议”的方式按程序报市政府批后安排经费。</w:t>
      </w:r>
    </w:p>
    <w:p w14:paraId="27BBD4A5">
      <w:pPr>
        <w:spacing w:line="560" w:lineRule="exact"/>
        <w:ind w:firstLine="640"/>
        <w:rPr>
          <w:rFonts w:eastAsia="黑体"/>
          <w:b/>
          <w:sz w:val="33"/>
          <w:szCs w:val="33"/>
        </w:rPr>
      </w:pPr>
      <w:r>
        <w:rPr>
          <w:rFonts w:eastAsia="楷体_GB2312"/>
          <w:b/>
          <w:sz w:val="33"/>
          <w:szCs w:val="33"/>
        </w:rPr>
        <w:t>（二）公务接待费与202</w:t>
      </w:r>
      <w:r>
        <w:rPr>
          <w:rFonts w:hint="eastAsia" w:eastAsia="楷体_GB2312"/>
          <w:b/>
          <w:sz w:val="33"/>
          <w:szCs w:val="33"/>
          <w:lang w:val="en-US" w:eastAsia="zh-CN"/>
        </w:rPr>
        <w:t>5</w:t>
      </w:r>
      <w:r>
        <w:rPr>
          <w:rFonts w:eastAsia="楷体_GB2312"/>
          <w:b/>
          <w:sz w:val="33"/>
          <w:szCs w:val="33"/>
        </w:rPr>
        <w:t>年预算持平。</w:t>
      </w:r>
      <w:r>
        <w:rPr>
          <w:sz w:val="33"/>
          <w:szCs w:val="33"/>
        </w:rPr>
        <w:t>主要原因是</w:t>
      </w:r>
      <w:r>
        <w:rPr>
          <w:kern w:val="0"/>
          <w:sz w:val="33"/>
          <w:szCs w:val="33"/>
        </w:rPr>
        <w:t>落实政府过紧日子，原则上不再增加“三公”经费预算。</w:t>
      </w:r>
    </w:p>
    <w:p w14:paraId="070C5B35">
      <w:pPr>
        <w:spacing w:line="600" w:lineRule="exact"/>
        <w:ind w:firstLine="640"/>
        <w:rPr>
          <w:sz w:val="33"/>
          <w:szCs w:val="33"/>
        </w:rPr>
      </w:pPr>
      <w:r>
        <w:rPr>
          <w:sz w:val="33"/>
          <w:szCs w:val="33"/>
        </w:rPr>
        <w:t>202</w:t>
      </w:r>
      <w:r>
        <w:rPr>
          <w:rFonts w:hint="eastAsia"/>
          <w:sz w:val="33"/>
          <w:szCs w:val="33"/>
          <w:lang w:val="en-US" w:eastAsia="zh-CN"/>
        </w:rPr>
        <w:t>6</w:t>
      </w:r>
      <w:r>
        <w:rPr>
          <w:sz w:val="33"/>
          <w:szCs w:val="33"/>
        </w:rPr>
        <w:t>年公务接待费计划用于因工作需要必须使用的公务接待用餐费用。</w:t>
      </w:r>
    </w:p>
    <w:p w14:paraId="4C7CB1D6">
      <w:pPr>
        <w:spacing w:line="600" w:lineRule="exact"/>
        <w:ind w:firstLine="640"/>
        <w:rPr>
          <w:rFonts w:hint="default" w:ascii="Times New Roman" w:hAnsi="Times New Roman" w:eastAsia="仿宋_GB2312" w:cs="Times New Roman"/>
          <w:b/>
          <w:lang w:val="en-US" w:eastAsia="zh-CN"/>
        </w:rPr>
      </w:pPr>
      <w:r>
        <w:rPr>
          <w:rFonts w:hint="default" w:ascii="Times New Roman" w:hAnsi="Times New Roman" w:eastAsia="楷体_GB2312" w:cs="Times New Roman"/>
          <w:b/>
        </w:rPr>
        <w:t>（三）公务用车购置及运行维护费较</w:t>
      </w:r>
      <w:r>
        <w:rPr>
          <w:rFonts w:hint="eastAsia" w:ascii="Times New Roman" w:hAnsi="Times New Roman" w:eastAsia="楷体_GB2312" w:cs="Times New Roman"/>
          <w:b/>
          <w:lang w:eastAsia="zh-CN"/>
        </w:rPr>
        <w:t>202</w:t>
      </w:r>
      <w:r>
        <w:rPr>
          <w:rFonts w:hint="eastAsia" w:ascii="Times New Roman" w:hAnsi="Times New Roman" w:eastAsia="楷体_GB2312" w:cs="Times New Roman"/>
          <w:b/>
          <w:lang w:val="en-US" w:eastAsia="zh-CN"/>
        </w:rPr>
        <w:t>5</w:t>
      </w:r>
      <w:r>
        <w:rPr>
          <w:rFonts w:hint="default" w:ascii="Times New Roman" w:hAnsi="Times New Roman" w:eastAsia="楷体_GB2312" w:cs="Times New Roman"/>
          <w:b/>
        </w:rPr>
        <w:t>年预算</w:t>
      </w:r>
      <w:r>
        <w:rPr>
          <w:rFonts w:hint="default" w:ascii="Times New Roman" w:hAnsi="Times New Roman" w:eastAsia="楷体_GB2312" w:cs="Times New Roman"/>
          <w:b/>
          <w:bCs w:val="0"/>
          <w:u w:val="none"/>
        </w:rPr>
        <w:t>下降</w:t>
      </w:r>
      <w:r>
        <w:rPr>
          <w:rFonts w:hint="eastAsia" w:eastAsia="楷体_GB2312" w:cs="Times New Roman"/>
          <w:b/>
          <w:bCs w:val="0"/>
          <w:u w:val="none"/>
          <w:lang w:val="en-US" w:eastAsia="zh-CN"/>
        </w:rPr>
        <w:t>8.45</w:t>
      </w:r>
      <w:r>
        <w:rPr>
          <w:rFonts w:hint="default" w:ascii="Times New Roman" w:hAnsi="Times New Roman" w:eastAsia="楷体_GB2312" w:cs="Times New Roman"/>
          <w:b/>
          <w:bCs w:val="0"/>
          <w:u w:val="none"/>
        </w:rPr>
        <w:t>%</w:t>
      </w:r>
      <w:r>
        <w:rPr>
          <w:rFonts w:hint="default" w:ascii="Times New Roman" w:hAnsi="Times New Roman" w:eastAsia="楷体_GB2312" w:cs="Times New Roman"/>
          <w:b/>
        </w:rPr>
        <w:t>。</w:t>
      </w:r>
      <w:r>
        <w:rPr>
          <w:rFonts w:hint="default" w:ascii="Times New Roman" w:hAnsi="Times New Roman" w:cs="Times New Roman"/>
        </w:rPr>
        <w:t>主要原因是</w:t>
      </w:r>
      <w:r>
        <w:rPr>
          <w:rFonts w:hint="eastAsia" w:cs="Times New Roman"/>
          <w:lang w:val="en-US" w:eastAsia="zh-CN"/>
        </w:rPr>
        <w:t>2026年报废车辆1台。</w:t>
      </w:r>
    </w:p>
    <w:p w14:paraId="402EFCBA">
      <w:pPr>
        <w:spacing w:line="600" w:lineRule="exact"/>
        <w:ind w:firstLine="640"/>
        <w:rPr>
          <w:rFonts w:hint="default" w:ascii="Times New Roman" w:hAnsi="Times New Roman" w:cs="Times New Roman"/>
        </w:rPr>
      </w:pPr>
      <w:r>
        <w:rPr>
          <w:rFonts w:hint="eastAsia" w:ascii="Times New Roman" w:hAnsi="Times New Roman" w:cs="Times New Roman"/>
          <w:lang w:eastAsia="zh-CN"/>
        </w:rPr>
        <w:t>单位</w:t>
      </w:r>
      <w:r>
        <w:rPr>
          <w:rFonts w:hint="default" w:ascii="Times New Roman" w:hAnsi="Times New Roman" w:cs="Times New Roman"/>
        </w:rPr>
        <w:t>现有公务用车</w:t>
      </w:r>
      <w:r>
        <w:rPr>
          <w:rFonts w:hint="eastAsia" w:cs="Times New Roman"/>
          <w:lang w:val="en-US" w:eastAsia="zh-CN"/>
        </w:rPr>
        <w:t>9</w:t>
      </w:r>
      <w:r>
        <w:rPr>
          <w:rFonts w:hint="default" w:ascii="Times New Roman" w:hAnsi="Times New Roman" w:cs="Times New Roman"/>
        </w:rPr>
        <w:t>辆，其中：轿车（含7座以下商务车、城市越野车）</w:t>
      </w:r>
      <w:r>
        <w:rPr>
          <w:rFonts w:hint="eastAsia" w:cs="Times New Roman"/>
          <w:lang w:val="en-US" w:eastAsia="zh-CN"/>
        </w:rPr>
        <w:t>7</w:t>
      </w:r>
      <w:r>
        <w:rPr>
          <w:rFonts w:hint="default" w:ascii="Times New Roman" w:hAnsi="Times New Roman" w:cs="Times New Roman"/>
        </w:rPr>
        <w:t>辆，7座以上19座（含19座）以下客车</w:t>
      </w:r>
      <w:r>
        <w:rPr>
          <w:rFonts w:hint="eastAsia" w:cs="Times New Roman"/>
          <w:lang w:val="en-US" w:eastAsia="zh-CN"/>
        </w:rPr>
        <w:t>0</w:t>
      </w:r>
      <w:r>
        <w:rPr>
          <w:rFonts w:hint="default" w:ascii="Times New Roman" w:hAnsi="Times New Roman" w:cs="Times New Roman"/>
        </w:rPr>
        <w:t>辆，越野车</w:t>
      </w:r>
      <w:r>
        <w:rPr>
          <w:rFonts w:hint="eastAsia" w:cs="Times New Roman"/>
          <w:lang w:val="en-US" w:eastAsia="zh-CN"/>
        </w:rPr>
        <w:t>2</w:t>
      </w:r>
      <w:r>
        <w:rPr>
          <w:rFonts w:hint="default" w:ascii="Times New Roman" w:hAnsi="Times New Roman" w:cs="Times New Roman"/>
        </w:rPr>
        <w:t>辆，货车及19座以上客车</w:t>
      </w:r>
      <w:r>
        <w:rPr>
          <w:rFonts w:hint="eastAsia" w:cs="Times New Roman"/>
          <w:lang w:val="en-US" w:eastAsia="zh-CN"/>
        </w:rPr>
        <w:t>0</w:t>
      </w:r>
      <w:r>
        <w:rPr>
          <w:rFonts w:hint="default" w:ascii="Times New Roman" w:hAnsi="Times New Roman" w:cs="Times New Roman"/>
        </w:rPr>
        <w:t>辆，摩托车</w:t>
      </w:r>
      <w:r>
        <w:rPr>
          <w:rFonts w:hint="eastAsia" w:cs="Times New Roman"/>
          <w:lang w:val="en-US" w:eastAsia="zh-CN"/>
        </w:rPr>
        <w:t>0</w:t>
      </w:r>
      <w:r>
        <w:rPr>
          <w:rFonts w:hint="default" w:ascii="Times New Roman" w:hAnsi="Times New Roman" w:cs="Times New Roman"/>
        </w:rPr>
        <w:t>辆。</w:t>
      </w:r>
    </w:p>
    <w:p w14:paraId="297EFFD9">
      <w:pPr>
        <w:spacing w:line="600" w:lineRule="exact"/>
        <w:ind w:firstLine="640"/>
        <w:rPr>
          <w:rFonts w:hint="default" w:ascii="Times New Roman" w:hAnsi="Times New Roman" w:cs="Times New Roman"/>
        </w:rPr>
      </w:pP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年安排公务用车购置费</w:t>
      </w:r>
      <w:r>
        <w:rPr>
          <w:rFonts w:hint="eastAsia" w:cs="Times New Roman"/>
          <w:lang w:val="en-US" w:eastAsia="zh-CN"/>
        </w:rPr>
        <w:t>0</w:t>
      </w:r>
      <w:r>
        <w:rPr>
          <w:rFonts w:hint="default" w:ascii="Times New Roman" w:hAnsi="Times New Roman" w:cs="Times New Roman"/>
        </w:rPr>
        <w:t>万元，购置公务用车</w:t>
      </w:r>
      <w:r>
        <w:rPr>
          <w:rFonts w:hint="eastAsia" w:cs="Times New Roman"/>
          <w:lang w:val="en-US" w:eastAsia="zh-CN"/>
        </w:rPr>
        <w:t>0</w:t>
      </w:r>
      <w:r>
        <w:rPr>
          <w:rFonts w:hint="default" w:ascii="Times New Roman" w:hAnsi="Times New Roman" w:cs="Times New Roman"/>
        </w:rPr>
        <w:t>辆，其中：轿车（含7座以下商务车、城市越野车）</w:t>
      </w:r>
      <w:r>
        <w:rPr>
          <w:rFonts w:hint="eastAsia" w:cs="Times New Roman"/>
          <w:lang w:val="en-US" w:eastAsia="zh-CN"/>
        </w:rPr>
        <w:t>0</w:t>
      </w:r>
      <w:r>
        <w:rPr>
          <w:rFonts w:hint="default" w:ascii="Times New Roman" w:hAnsi="Times New Roman" w:cs="Times New Roman"/>
        </w:rPr>
        <w:t>辆，7座以上19座（含19座）以下客车</w:t>
      </w:r>
      <w:r>
        <w:rPr>
          <w:rFonts w:hint="eastAsia" w:cs="Times New Roman"/>
          <w:lang w:val="en-US" w:eastAsia="zh-CN"/>
        </w:rPr>
        <w:t>0</w:t>
      </w:r>
      <w:r>
        <w:rPr>
          <w:rFonts w:hint="default" w:ascii="Times New Roman" w:hAnsi="Times New Roman" w:cs="Times New Roman"/>
        </w:rPr>
        <w:t>辆，越野车</w:t>
      </w:r>
      <w:r>
        <w:rPr>
          <w:rFonts w:hint="eastAsia" w:cs="Times New Roman"/>
          <w:lang w:val="en-US" w:eastAsia="zh-CN"/>
        </w:rPr>
        <w:t>0</w:t>
      </w:r>
      <w:r>
        <w:rPr>
          <w:rFonts w:hint="default" w:ascii="Times New Roman" w:hAnsi="Times New Roman" w:cs="Times New Roman"/>
        </w:rPr>
        <w:t>辆，货车及19座以上客车</w:t>
      </w:r>
      <w:r>
        <w:rPr>
          <w:rFonts w:hint="eastAsia" w:cs="Times New Roman"/>
          <w:lang w:val="en-US" w:eastAsia="zh-CN"/>
        </w:rPr>
        <w:t>0</w:t>
      </w:r>
      <w:r>
        <w:rPr>
          <w:rFonts w:hint="default" w:ascii="Times New Roman" w:hAnsi="Times New Roman" w:cs="Times New Roman"/>
        </w:rPr>
        <w:t>辆，摩托车</w:t>
      </w:r>
      <w:r>
        <w:rPr>
          <w:rFonts w:hint="eastAsia" w:cs="Times New Roman"/>
          <w:lang w:val="en-US" w:eastAsia="zh-CN"/>
        </w:rPr>
        <w:t>0</w:t>
      </w:r>
      <w:r>
        <w:rPr>
          <w:rFonts w:hint="default" w:ascii="Times New Roman" w:hAnsi="Times New Roman" w:cs="Times New Roman"/>
        </w:rPr>
        <w:t>辆。</w:t>
      </w:r>
    </w:p>
    <w:p w14:paraId="1E38646A">
      <w:pPr>
        <w:spacing w:line="600" w:lineRule="exact"/>
        <w:ind w:firstLine="640"/>
        <w:rPr>
          <w:rFonts w:hint="default" w:ascii="Times New Roman" w:hAnsi="Times New Roman" w:cs="Times New Roman"/>
        </w:rPr>
      </w:pP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年安排公务用车运行维护费</w:t>
      </w:r>
      <w:r>
        <w:rPr>
          <w:rFonts w:hint="eastAsia" w:cs="Times New Roman"/>
          <w:lang w:val="en-US" w:eastAsia="zh-CN"/>
        </w:rPr>
        <w:t>11.91</w:t>
      </w:r>
      <w:r>
        <w:rPr>
          <w:rFonts w:hint="default" w:ascii="Times New Roman" w:hAnsi="Times New Roman" w:cs="Times New Roman"/>
        </w:rPr>
        <w:t>万元，用于</w:t>
      </w:r>
      <w:r>
        <w:rPr>
          <w:rFonts w:hint="eastAsia" w:cs="Times New Roman"/>
          <w:lang w:val="en-US" w:eastAsia="zh-CN"/>
        </w:rPr>
        <w:t>9</w:t>
      </w:r>
      <w:r>
        <w:rPr>
          <w:rFonts w:hint="default" w:ascii="Times New Roman" w:hAnsi="Times New Roman" w:cs="Times New Roman"/>
        </w:rPr>
        <w:t>辆</w:t>
      </w:r>
      <w:r>
        <w:rPr>
          <w:kern w:val="0"/>
          <w:sz w:val="33"/>
          <w:szCs w:val="33"/>
        </w:rPr>
        <w:t>公务用车燃油、维修、保险等方面支出，主要保障西区法院执行办案等工作开展。</w:t>
      </w:r>
    </w:p>
    <w:p w14:paraId="26F46E46">
      <w:pPr>
        <w:suppressAutoHyphens/>
        <w:bidi w:val="0"/>
        <w:spacing w:line="580" w:lineRule="exact"/>
        <w:ind w:firstLine="640" w:firstLineChars="200"/>
        <w:outlineLvl w:val="1"/>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八、</w:t>
      </w:r>
      <w:r>
        <w:rPr>
          <w:rFonts w:hint="eastAsia" w:ascii="Times New Roman" w:hAnsi="Times New Roman" w:eastAsia="黑体" w:cs="Times New Roman"/>
          <w:sz w:val="32"/>
          <w:szCs w:val="32"/>
          <w:highlight w:val="none"/>
        </w:rPr>
        <w:t>“三公”经费</w:t>
      </w:r>
      <w:r>
        <w:rPr>
          <w:rFonts w:hint="eastAsia" w:ascii="Times New Roman" w:hAnsi="Times New Roman" w:eastAsia="黑体" w:cs="Times New Roman"/>
          <w:sz w:val="32"/>
          <w:szCs w:val="32"/>
          <w:highlight w:val="none"/>
          <w:lang w:eastAsia="zh-CN"/>
        </w:rPr>
        <w:t>非</w:t>
      </w:r>
      <w:r>
        <w:rPr>
          <w:rFonts w:hint="eastAsia" w:ascii="Times New Roman" w:hAnsi="Times New Roman" w:eastAsia="黑体" w:cs="Times New Roman"/>
          <w:sz w:val="32"/>
          <w:szCs w:val="32"/>
          <w:highlight w:val="none"/>
        </w:rPr>
        <w:t>财政拨款预算安排情况说明</w:t>
      </w:r>
    </w:p>
    <w:p w14:paraId="2F13C379">
      <w:pPr>
        <w:suppressAutoHyphens/>
        <w:bidi w:val="0"/>
        <w:spacing w:line="580" w:lineRule="exact"/>
        <w:ind w:firstLine="640" w:firstLineChars="200"/>
        <w:rPr>
          <w:rFonts w:hint="eastAsia" w:ascii="Times New Roman" w:hAnsi="Times New Roman" w:eastAsia="仿宋_GB2312" w:cs="Times New Roman"/>
          <w:sz w:val="32"/>
          <w:szCs w:val="32"/>
          <w:highlight w:val="none"/>
        </w:rPr>
      </w:pPr>
      <w:r>
        <w:rPr>
          <w:rFonts w:hint="eastAsia" w:cs="Times New Roman"/>
          <w:sz w:val="32"/>
          <w:szCs w:val="32"/>
          <w:highlight w:val="none"/>
          <w:u w:val="none"/>
          <w:lang w:val="en-US" w:eastAsia="zh-CN"/>
        </w:rPr>
        <w:t>西区法院</w:t>
      </w: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没有使用</w:t>
      </w:r>
      <w:r>
        <w:rPr>
          <w:rFonts w:hint="eastAsia" w:ascii="Times New Roman" w:hAnsi="Times New Roman" w:eastAsia="仿宋_GB2312" w:cs="Times New Roman"/>
          <w:sz w:val="32"/>
          <w:szCs w:val="32"/>
          <w:highlight w:val="none"/>
          <w:lang w:eastAsia="zh-CN"/>
        </w:rPr>
        <w:t>非</w:t>
      </w:r>
      <w:r>
        <w:rPr>
          <w:rFonts w:hint="eastAsia" w:ascii="Times New Roman" w:hAnsi="Times New Roman" w:eastAsia="仿宋_GB2312" w:cs="Times New Roman"/>
          <w:sz w:val="32"/>
          <w:szCs w:val="32"/>
          <w:highlight w:val="none"/>
        </w:rPr>
        <w:t>财政拨款安排“三公”经费预算。</w:t>
      </w:r>
    </w:p>
    <w:p w14:paraId="4963200B">
      <w:pPr>
        <w:suppressAutoHyphens/>
        <w:bidi w:val="0"/>
        <w:spacing w:line="580" w:lineRule="exact"/>
        <w:ind w:firstLine="640"/>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（一）非财政拨款安排公务接待费情况说明</w:t>
      </w:r>
    </w:p>
    <w:p w14:paraId="0E7E4380">
      <w:pPr>
        <w:suppressAutoHyphens/>
        <w:spacing w:line="560" w:lineRule="exact"/>
        <w:ind w:firstLine="640"/>
        <w:rPr>
          <w:rFonts w:ascii="Times New Roman" w:hAnsi="Times New Roman" w:eastAsia="仿宋_GB2312" w:cs="Times New Roman"/>
          <w:sz w:val="32"/>
          <w:szCs w:val="32"/>
          <w:highlight w:val="none"/>
        </w:rPr>
      </w:pPr>
      <w:r>
        <w:rPr>
          <w:sz w:val="33"/>
          <w:szCs w:val="33"/>
        </w:rPr>
        <w:t>202</w:t>
      </w:r>
      <w:r>
        <w:rPr>
          <w:rFonts w:hint="eastAsia"/>
          <w:sz w:val="33"/>
          <w:szCs w:val="33"/>
          <w:lang w:val="en-US" w:eastAsia="zh-CN"/>
        </w:rPr>
        <w:t>6</w:t>
      </w:r>
      <w:r>
        <w:rPr>
          <w:sz w:val="33"/>
          <w:szCs w:val="33"/>
        </w:rPr>
        <w:t>年无非财政拨款安排公务接待费计划。</w:t>
      </w:r>
    </w:p>
    <w:p w14:paraId="2D875047">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楷体_GB2312" w:hAnsi="楷体_GB2312" w:eastAsia="楷体_GB2312" w:cs="楷体_GB2312"/>
          <w:b/>
          <w:bCs/>
          <w:sz w:val="32"/>
          <w:szCs w:val="32"/>
          <w:highlight w:val="none"/>
          <w:lang w:eastAsia="zh-CN"/>
        </w:rPr>
        <w:t>（二）非财政拨款安排</w:t>
      </w:r>
      <w:r>
        <w:rPr>
          <w:rFonts w:hint="eastAsia" w:ascii="Times New Roman" w:hAnsi="Times New Roman" w:eastAsia="楷体_GB2312" w:cs="Times New Roman"/>
          <w:b/>
          <w:sz w:val="32"/>
          <w:szCs w:val="32"/>
          <w:highlight w:val="none"/>
        </w:rPr>
        <w:t>公务用车购置及运行维护费</w:t>
      </w:r>
      <w:r>
        <w:rPr>
          <w:rFonts w:hint="eastAsia" w:ascii="楷体_GB2312" w:hAnsi="楷体_GB2312" w:eastAsia="楷体_GB2312" w:cs="楷体_GB2312"/>
          <w:b/>
          <w:bCs/>
          <w:sz w:val="32"/>
          <w:szCs w:val="32"/>
          <w:highlight w:val="none"/>
          <w:lang w:eastAsia="zh-CN"/>
        </w:rPr>
        <w:t>情况说明</w:t>
      </w:r>
    </w:p>
    <w:p w14:paraId="523E71F9">
      <w:pPr>
        <w:suppressAutoHyphens/>
        <w:bidi w:val="0"/>
        <w:spacing w:line="580" w:lineRule="exact"/>
        <w:ind w:firstLine="640"/>
        <w:rPr>
          <w:rFonts w:hint="eastAsia" w:ascii="Times New Roman" w:hAnsi="Times New Roman" w:eastAsia="楷体_GB2312" w:cs="Times New Roman"/>
          <w:b/>
          <w:sz w:val="32"/>
          <w:szCs w:val="32"/>
          <w:highlight w:val="none"/>
          <w:u w:val="single"/>
          <w:lang w:val="en-US" w:eastAsia="zh-CN"/>
        </w:rPr>
      </w:pPr>
      <w:r>
        <w:rPr>
          <w:rFonts w:hint="eastAsia" w:ascii="楷体_GB2312" w:hAnsi="楷体_GB2312" w:eastAsia="楷体_GB2312" w:cs="楷体_GB2312"/>
          <w:b/>
          <w:bCs/>
          <w:sz w:val="32"/>
          <w:szCs w:val="32"/>
          <w:highlight w:val="none"/>
          <w:lang w:eastAsia="zh-CN"/>
        </w:rPr>
        <w:t>非财政拨款安排</w:t>
      </w:r>
      <w:r>
        <w:rPr>
          <w:rFonts w:hint="eastAsia" w:ascii="Times New Roman" w:hAnsi="Times New Roman" w:eastAsia="楷体_GB2312" w:cs="Times New Roman"/>
          <w:b/>
          <w:sz w:val="32"/>
          <w:szCs w:val="32"/>
          <w:highlight w:val="none"/>
        </w:rPr>
        <w:t>公务用车购置及运行维护费较</w:t>
      </w:r>
      <w:r>
        <w:rPr>
          <w:rFonts w:hint="eastAsia" w:ascii="Times New Roman" w:hAnsi="Times New Roman" w:eastAsia="楷体_GB2312" w:cs="Times New Roman"/>
          <w:b/>
          <w:sz w:val="32"/>
          <w:szCs w:val="32"/>
          <w:highlight w:val="none"/>
          <w:lang w:eastAsia="zh-CN"/>
        </w:rPr>
        <w:t>202</w:t>
      </w:r>
      <w:r>
        <w:rPr>
          <w:rFonts w:hint="eastAsia" w:ascii="Times New Roman" w:hAnsi="Times New Roman" w:eastAsia="楷体_GB2312" w:cs="Times New Roman"/>
          <w:b/>
          <w:sz w:val="32"/>
          <w:szCs w:val="32"/>
          <w:highlight w:val="none"/>
          <w:lang w:val="en-US" w:eastAsia="zh-CN"/>
        </w:rPr>
        <w:t>6</w:t>
      </w:r>
      <w:r>
        <w:rPr>
          <w:rFonts w:hint="eastAsia" w:ascii="Times New Roman" w:hAnsi="Times New Roman" w:eastAsia="楷体_GB2312" w:cs="Times New Roman"/>
          <w:b/>
          <w:sz w:val="32"/>
          <w:szCs w:val="32"/>
          <w:highlight w:val="none"/>
          <w:lang w:eastAsia="zh-CN"/>
        </w:rPr>
        <w:t>年</w:t>
      </w:r>
      <w:r>
        <w:rPr>
          <w:rFonts w:hint="eastAsia" w:eastAsia="楷体_GB2312" w:cs="Times New Roman"/>
          <w:b/>
          <w:sz w:val="32"/>
          <w:szCs w:val="32"/>
          <w:highlight w:val="none"/>
          <w:lang w:val="en-US" w:eastAsia="zh-CN"/>
        </w:rPr>
        <w:t>无变化，2025年及2026年非财政拨款均未安排公务</w:t>
      </w:r>
      <w:r>
        <w:rPr>
          <w:rFonts w:hint="eastAsia" w:ascii="Times New Roman" w:hAnsi="Times New Roman" w:eastAsia="楷体_GB2312" w:cs="Times New Roman"/>
          <w:b/>
          <w:sz w:val="32"/>
          <w:szCs w:val="32"/>
          <w:highlight w:val="none"/>
        </w:rPr>
        <w:t>公务用车购置及运行维护费</w:t>
      </w:r>
      <w:r>
        <w:rPr>
          <w:rFonts w:hint="eastAsia" w:eastAsia="楷体_GB2312" w:cs="Times New Roman"/>
          <w:b/>
          <w:sz w:val="32"/>
          <w:szCs w:val="32"/>
          <w:highlight w:val="none"/>
          <w:lang w:eastAsia="zh-CN"/>
        </w:rPr>
        <w:t>。</w:t>
      </w:r>
    </w:p>
    <w:p w14:paraId="6448FF91">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Times New Roman" w:hAnsi="Times New Roman" w:cs="Times New Roman"/>
          <w:sz w:val="32"/>
          <w:szCs w:val="32"/>
          <w:highlight w:val="none"/>
          <w:lang w:eastAsia="zh-CN"/>
        </w:rPr>
        <w:t>单位</w:t>
      </w:r>
      <w:r>
        <w:rPr>
          <w:rFonts w:hint="eastAsia" w:ascii="Times New Roman" w:hAnsi="Times New Roman" w:eastAsia="仿宋_GB2312" w:cs="Times New Roman"/>
          <w:sz w:val="32"/>
          <w:szCs w:val="32"/>
          <w:highlight w:val="none"/>
        </w:rPr>
        <w:t>现有公务用车</w:t>
      </w:r>
      <w:r>
        <w:rPr>
          <w:rFonts w:hint="eastAsia" w:cs="Times New Roman"/>
          <w:sz w:val="32"/>
          <w:szCs w:val="32"/>
          <w:highlight w:val="none"/>
          <w:lang w:val="en-US" w:eastAsia="zh-CN"/>
        </w:rPr>
        <w:t>9</w:t>
      </w:r>
      <w:r>
        <w:rPr>
          <w:rFonts w:hint="eastAsia" w:ascii="Times New Roman" w:hAnsi="Times New Roman" w:eastAsia="仿宋_GB2312" w:cs="Times New Roman"/>
          <w:sz w:val="32"/>
          <w:szCs w:val="32"/>
          <w:highlight w:val="none"/>
        </w:rPr>
        <w:t>辆，其中：轿车</w:t>
      </w:r>
      <w:r>
        <w:rPr>
          <w:rFonts w:hint="eastAsia" w:cs="Times New Roman"/>
          <w:sz w:val="32"/>
          <w:szCs w:val="32"/>
          <w:highlight w:val="none"/>
          <w:lang w:val="en-US" w:eastAsia="zh-CN"/>
        </w:rPr>
        <w:t>7</w:t>
      </w:r>
      <w:r>
        <w:rPr>
          <w:rFonts w:hint="eastAsia" w:ascii="Times New Roman" w:hAnsi="Times New Roman" w:eastAsia="仿宋_GB2312" w:cs="Times New Roman"/>
          <w:sz w:val="32"/>
          <w:szCs w:val="32"/>
          <w:highlight w:val="none"/>
        </w:rPr>
        <w:t>辆，旅行车（含商务车）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辆，越野车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辆，大型客、货车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w:t>
      </w:r>
    </w:p>
    <w:p w14:paraId="3DC635FD">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安排</w:t>
      </w:r>
      <w:r>
        <w:rPr>
          <w:rFonts w:hint="eastAsia" w:ascii="仿宋_GB2312" w:hAnsi="仿宋_GB2312" w:eastAsia="仿宋_GB2312" w:cs="仿宋_GB2312"/>
          <w:b w:val="0"/>
          <w:bCs w:val="0"/>
          <w:sz w:val="32"/>
          <w:szCs w:val="32"/>
          <w:highlight w:val="none"/>
          <w:lang w:eastAsia="zh-CN"/>
        </w:rPr>
        <w:t>非财政拨款</w:t>
      </w:r>
      <w:r>
        <w:rPr>
          <w:rFonts w:hint="eastAsia" w:ascii="Times New Roman" w:hAnsi="Times New Roman" w:eastAsia="仿宋_GB2312" w:cs="Times New Roman"/>
          <w:sz w:val="32"/>
          <w:szCs w:val="32"/>
          <w:highlight w:val="none"/>
        </w:rPr>
        <w:t>公务用车购置费</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拟</w:t>
      </w:r>
      <w:r>
        <w:rPr>
          <w:rFonts w:hint="eastAsia" w:ascii="Times New Roman" w:hAnsi="Times New Roman" w:eastAsia="仿宋_GB2312" w:cs="Times New Roman"/>
          <w:sz w:val="32"/>
          <w:szCs w:val="32"/>
          <w:highlight w:val="none"/>
        </w:rPr>
        <w:t>购置公务用车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辆，其中：轿车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辆，旅行车（含商务车）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辆，越野车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辆，大型客、货车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w:t>
      </w:r>
    </w:p>
    <w:p w14:paraId="5DAFE9DF">
      <w:pPr>
        <w:spacing w:line="600" w:lineRule="exact"/>
        <w:ind w:firstLine="640"/>
        <w:rPr>
          <w:rFonts w:hint="default" w:ascii="Times New Roman" w:hAnsi="Times New Roman" w:cs="Times New Roman"/>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安排</w:t>
      </w:r>
      <w:r>
        <w:rPr>
          <w:rFonts w:hint="eastAsia" w:ascii="仿宋_GB2312" w:hAnsi="仿宋_GB2312" w:eastAsia="仿宋_GB2312" w:cs="仿宋_GB2312"/>
          <w:b w:val="0"/>
          <w:bCs w:val="0"/>
          <w:sz w:val="32"/>
          <w:szCs w:val="32"/>
          <w:highlight w:val="none"/>
          <w:lang w:eastAsia="zh-CN"/>
        </w:rPr>
        <w:t>非财政拨款</w:t>
      </w:r>
      <w:r>
        <w:rPr>
          <w:rFonts w:hint="eastAsia" w:ascii="Times New Roman" w:hAnsi="Times New Roman" w:eastAsia="仿宋_GB2312" w:cs="Times New Roman"/>
          <w:sz w:val="32"/>
          <w:szCs w:val="32"/>
          <w:highlight w:val="none"/>
        </w:rPr>
        <w:t>公务用车运行维护费</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万元，用于</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辆公务</w:t>
      </w:r>
      <w:r>
        <w:rPr>
          <w:sz w:val="33"/>
          <w:szCs w:val="33"/>
        </w:rPr>
        <w:t>用车燃油、维修、保险等方面支出，主要保障办公办案等工作开展。</w:t>
      </w:r>
    </w:p>
    <w:p w14:paraId="68B5196A">
      <w:pPr>
        <w:spacing w:line="600" w:lineRule="exact"/>
        <w:ind w:firstLine="640" w:firstLineChars="200"/>
        <w:rPr>
          <w:rFonts w:hint="default" w:ascii="Times New Roman" w:hAnsi="Times New Roman" w:eastAsia="黑体" w:cs="Times New Roman"/>
        </w:rPr>
      </w:pPr>
      <w:r>
        <w:rPr>
          <w:rFonts w:hint="eastAsia" w:ascii="Times New Roman" w:hAnsi="Times New Roman" w:eastAsia="黑体" w:cs="Times New Roman"/>
          <w:lang w:eastAsia="zh-CN"/>
        </w:rPr>
        <w:t>九</w:t>
      </w:r>
      <w:r>
        <w:rPr>
          <w:rFonts w:hint="default" w:ascii="Times New Roman" w:hAnsi="Times New Roman" w:eastAsia="黑体" w:cs="Times New Roman"/>
        </w:rPr>
        <w:t>、政府性基金预算支出情况说明</w:t>
      </w:r>
    </w:p>
    <w:p w14:paraId="1454C661">
      <w:pPr>
        <w:spacing w:line="600" w:lineRule="exact"/>
        <w:ind w:firstLine="640" w:firstLineChars="200"/>
        <w:rPr>
          <w:rFonts w:hint="default" w:ascii="Times New Roman" w:hAnsi="Times New Roman" w:cs="Times New Roman"/>
        </w:rPr>
      </w:pPr>
      <w:r>
        <w:rPr>
          <w:rFonts w:hint="eastAsia" w:cs="Times New Roman"/>
          <w:u w:val="none"/>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年没有使用政府性基金预算拨款安排的支出。</w:t>
      </w:r>
    </w:p>
    <w:p w14:paraId="07179401">
      <w:pPr>
        <w:suppressAutoHyphens/>
        <w:bidi w:val="0"/>
        <w:spacing w:line="580" w:lineRule="exact"/>
        <w:ind w:firstLine="640" w:firstLineChars="200"/>
        <w:outlineLvl w:val="1"/>
        <w:rPr>
          <w:rFonts w:hint="eastAsia" w:ascii="Times New Roman" w:hAnsi="Times New Roman" w:eastAsia="仿宋_GB2312" w:cs="Times New Roman"/>
          <w:sz w:val="32"/>
          <w:szCs w:val="32"/>
          <w:highlight w:val="none"/>
        </w:rPr>
      </w:pPr>
      <w:r>
        <w:rPr>
          <w:rFonts w:hint="eastAsia" w:ascii="Times New Roman" w:hAnsi="Times New Roman" w:eastAsia="黑体" w:cs="Times New Roman"/>
          <w:sz w:val="32"/>
          <w:szCs w:val="32"/>
          <w:highlight w:val="none"/>
          <w:lang w:eastAsia="zh-CN"/>
        </w:rPr>
        <w:t>十</w:t>
      </w:r>
      <w:r>
        <w:rPr>
          <w:rFonts w:hint="eastAsia" w:ascii="Times New Roman" w:hAnsi="Times New Roman" w:eastAsia="黑体" w:cs="Times New Roman"/>
          <w:sz w:val="32"/>
          <w:szCs w:val="32"/>
          <w:highlight w:val="none"/>
        </w:rPr>
        <w:t>、国有资本经营预算</w:t>
      </w:r>
      <w:r>
        <w:rPr>
          <w:rFonts w:hint="eastAsia" w:ascii="Times New Roman" w:hAnsi="Times New Roman" w:eastAsia="黑体" w:cs="Times New Roman"/>
          <w:sz w:val="32"/>
          <w:szCs w:val="32"/>
          <w:highlight w:val="none"/>
          <w:lang w:eastAsia="zh-CN"/>
        </w:rPr>
        <w:t>情况说明</w:t>
      </w:r>
    </w:p>
    <w:p w14:paraId="528975F3">
      <w:pPr>
        <w:suppressAutoHyphens/>
        <w:bidi w:val="0"/>
        <w:spacing w:line="580" w:lineRule="exact"/>
        <w:ind w:firstLine="640" w:firstLineChars="200"/>
        <w:rPr>
          <w:rFonts w:hint="eastAsia" w:ascii="Times New Roman" w:hAnsi="Times New Roman" w:eastAsia="仿宋_GB2312" w:cs="Times New Roman"/>
          <w:sz w:val="32"/>
          <w:szCs w:val="32"/>
          <w:highlight w:val="none"/>
        </w:rPr>
      </w:pPr>
      <w:r>
        <w:rPr>
          <w:rFonts w:hint="eastAsia" w:cs="Times New Roman"/>
          <w:sz w:val="32"/>
          <w:szCs w:val="32"/>
          <w:highlight w:val="none"/>
          <w:u w:val="none"/>
          <w:lang w:val="en-US" w:eastAsia="zh-CN"/>
        </w:rPr>
        <w:t>西区法院</w:t>
      </w: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没有使用国有资本经营预算拨款安排的支出。</w:t>
      </w:r>
    </w:p>
    <w:p w14:paraId="6CA07D8E">
      <w:pPr>
        <w:spacing w:line="600" w:lineRule="exact"/>
        <w:ind w:firstLine="640" w:firstLineChars="200"/>
        <w:rPr>
          <w:rFonts w:hint="default" w:ascii="Times New Roman" w:hAnsi="Times New Roman" w:eastAsia="黑体" w:cs="Times New Roman"/>
        </w:rPr>
      </w:pPr>
      <w:r>
        <w:rPr>
          <w:rFonts w:hint="eastAsia" w:ascii="Times New Roman" w:hAnsi="Times New Roman" w:eastAsia="黑体" w:cs="Times New Roman"/>
          <w:lang w:eastAsia="zh-CN"/>
        </w:rPr>
        <w:t>十一</w:t>
      </w:r>
      <w:r>
        <w:rPr>
          <w:rFonts w:hint="default" w:ascii="Times New Roman" w:hAnsi="Times New Roman" w:eastAsia="黑体" w:cs="Times New Roman"/>
        </w:rPr>
        <w:t>、其他重要事项的情况说明</w:t>
      </w:r>
    </w:p>
    <w:p w14:paraId="62C83C0C">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（一）</w:t>
      </w:r>
      <w:r>
        <w:rPr>
          <w:rFonts w:hint="default" w:ascii="Times New Roman" w:hAnsi="Times New Roman" w:eastAsia="楷体_GB2312" w:cs="Times New Roman"/>
          <w:b/>
          <w:lang w:eastAsia="zh-CN"/>
        </w:rPr>
        <w:t>机关</w:t>
      </w:r>
      <w:r>
        <w:rPr>
          <w:rFonts w:hint="default" w:ascii="Times New Roman" w:hAnsi="Times New Roman" w:eastAsia="楷体_GB2312" w:cs="Times New Roman"/>
          <w:b/>
        </w:rPr>
        <w:t>运行经费</w:t>
      </w:r>
      <w:r>
        <w:rPr>
          <w:rFonts w:hint="default" w:ascii="Times New Roman" w:hAnsi="Times New Roman" w:eastAsia="楷体_GB2312" w:cs="Times New Roman"/>
          <w:b/>
          <w:lang w:eastAsia="zh-CN"/>
        </w:rPr>
        <w:t>。</w:t>
      </w:r>
    </w:p>
    <w:p w14:paraId="0A1A2599">
      <w:pPr>
        <w:spacing w:line="600" w:lineRule="exact"/>
        <w:ind w:firstLine="660" w:firstLineChars="200"/>
        <w:rPr>
          <w:sz w:val="33"/>
          <w:szCs w:val="33"/>
        </w:rPr>
      </w:pPr>
      <w:r>
        <w:rPr>
          <w:sz w:val="33"/>
          <w:szCs w:val="33"/>
        </w:rPr>
        <w:t>202</w:t>
      </w:r>
      <w:r>
        <w:rPr>
          <w:rFonts w:hint="eastAsia"/>
          <w:sz w:val="33"/>
          <w:szCs w:val="33"/>
          <w:lang w:val="en-US" w:eastAsia="zh-CN"/>
        </w:rPr>
        <w:t>6</w:t>
      </w:r>
      <w:r>
        <w:rPr>
          <w:sz w:val="33"/>
          <w:szCs w:val="33"/>
        </w:rPr>
        <w:t>年，攀枝花市西区人民法院无下属单位，202</w:t>
      </w:r>
      <w:r>
        <w:rPr>
          <w:rFonts w:hint="eastAsia"/>
          <w:sz w:val="33"/>
          <w:szCs w:val="33"/>
          <w:lang w:val="en-US" w:eastAsia="zh-CN"/>
        </w:rPr>
        <w:t>6</w:t>
      </w:r>
      <w:r>
        <w:rPr>
          <w:sz w:val="33"/>
          <w:szCs w:val="33"/>
        </w:rPr>
        <w:t>年机关运行经费财政拨款预算为</w:t>
      </w:r>
      <w:r>
        <w:rPr>
          <w:rFonts w:hint="eastAsia"/>
          <w:sz w:val="33"/>
          <w:szCs w:val="33"/>
          <w:lang w:val="en-US" w:eastAsia="zh-CN"/>
        </w:rPr>
        <w:t>172.84</w:t>
      </w:r>
      <w:r>
        <w:rPr>
          <w:sz w:val="33"/>
          <w:szCs w:val="33"/>
        </w:rPr>
        <w:t>万元，比202</w:t>
      </w:r>
      <w:r>
        <w:rPr>
          <w:rFonts w:hint="eastAsia"/>
          <w:sz w:val="33"/>
          <w:szCs w:val="33"/>
          <w:lang w:val="en-US" w:eastAsia="zh-CN"/>
        </w:rPr>
        <w:t>5</w:t>
      </w:r>
      <w:r>
        <w:rPr>
          <w:sz w:val="33"/>
          <w:szCs w:val="33"/>
        </w:rPr>
        <w:t>年预算增加</w:t>
      </w:r>
      <w:r>
        <w:rPr>
          <w:rFonts w:hint="eastAsia"/>
          <w:sz w:val="33"/>
          <w:szCs w:val="33"/>
          <w:lang w:val="en-US" w:eastAsia="zh-CN"/>
        </w:rPr>
        <w:t>12</w:t>
      </w:r>
      <w:r>
        <w:rPr>
          <w:sz w:val="33"/>
          <w:szCs w:val="33"/>
        </w:rPr>
        <w:t>万元，增加</w:t>
      </w:r>
      <w:r>
        <w:rPr>
          <w:rFonts w:hint="eastAsia"/>
          <w:sz w:val="33"/>
          <w:szCs w:val="33"/>
          <w:lang w:val="en-US" w:eastAsia="zh-CN"/>
        </w:rPr>
        <w:t>7.46</w:t>
      </w:r>
      <w:r>
        <w:rPr>
          <w:sz w:val="33"/>
          <w:szCs w:val="33"/>
        </w:rPr>
        <w:t>%。主要原因是</w:t>
      </w:r>
      <w:r>
        <w:rPr>
          <w:rFonts w:hint="eastAsia"/>
          <w:sz w:val="33"/>
          <w:szCs w:val="33"/>
          <w:lang w:val="en-US" w:eastAsia="zh-CN"/>
        </w:rPr>
        <w:t>人员增加</w:t>
      </w:r>
      <w:r>
        <w:rPr>
          <w:sz w:val="33"/>
          <w:szCs w:val="33"/>
        </w:rPr>
        <w:t>，预算的办公费、差旅费</w:t>
      </w:r>
      <w:r>
        <w:rPr>
          <w:rFonts w:hint="eastAsia"/>
          <w:sz w:val="33"/>
          <w:szCs w:val="33"/>
          <w:lang w:eastAsia="zh-CN"/>
        </w:rPr>
        <w:t>、</w:t>
      </w:r>
      <w:r>
        <w:rPr>
          <w:sz w:val="33"/>
          <w:szCs w:val="33"/>
        </w:rPr>
        <w:t>工会经费等</w:t>
      </w:r>
      <w:r>
        <w:rPr>
          <w:rFonts w:hint="eastAsia"/>
          <w:sz w:val="33"/>
          <w:szCs w:val="33"/>
          <w:lang w:val="en-US" w:eastAsia="zh-CN"/>
        </w:rPr>
        <w:t>公用经费</w:t>
      </w:r>
      <w:r>
        <w:rPr>
          <w:sz w:val="33"/>
          <w:szCs w:val="33"/>
        </w:rPr>
        <w:t>相应增加。</w:t>
      </w:r>
    </w:p>
    <w:p w14:paraId="2BBA22B0">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二</w:t>
      </w:r>
      <w:r>
        <w:rPr>
          <w:rFonts w:hint="default" w:ascii="Times New Roman" w:hAnsi="Times New Roman" w:eastAsia="楷体_GB2312" w:cs="Times New Roman"/>
          <w:b/>
        </w:rPr>
        <w:t>）</w:t>
      </w:r>
      <w:r>
        <w:rPr>
          <w:rFonts w:hint="eastAsia" w:ascii="Times New Roman" w:hAnsi="Times New Roman" w:eastAsia="楷体_GB2312" w:cs="Times New Roman"/>
          <w:b/>
          <w:lang w:eastAsia="zh-CN"/>
        </w:rPr>
        <w:t>政府采购情况</w:t>
      </w:r>
      <w:r>
        <w:rPr>
          <w:rFonts w:hint="default" w:ascii="Times New Roman" w:hAnsi="Times New Roman" w:eastAsia="楷体_GB2312" w:cs="Times New Roman"/>
          <w:b/>
          <w:lang w:eastAsia="zh-CN"/>
        </w:rPr>
        <w:t>。</w:t>
      </w:r>
    </w:p>
    <w:p w14:paraId="7D989513">
      <w:pPr>
        <w:suppressAutoHyphens/>
        <w:bidi w:val="0"/>
        <w:spacing w:line="580" w:lineRule="exact"/>
        <w:ind w:firstLine="640" w:firstLineChars="200"/>
        <w:rPr>
          <w:rFonts w:hint="default" w:ascii="Times New Roman" w:hAnsi="Times New Roman" w:cs="Times New Roman"/>
          <w:u w:val="single"/>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w:t>
      </w:r>
      <w:r>
        <w:rPr>
          <w:rFonts w:hint="eastAsia" w:cs="Times New Roman"/>
          <w:sz w:val="32"/>
          <w:szCs w:val="32"/>
          <w:highlight w:val="none"/>
          <w:lang w:val="en-US" w:eastAsia="zh-CN"/>
        </w:rPr>
        <w:t>西区法院</w:t>
      </w:r>
      <w:r>
        <w:rPr>
          <w:rFonts w:hint="eastAsia" w:ascii="Times New Roman" w:hAnsi="Times New Roman" w:eastAsia="仿宋_GB2312" w:cs="Times New Roman"/>
          <w:sz w:val="32"/>
          <w:szCs w:val="32"/>
          <w:highlight w:val="none"/>
        </w:rPr>
        <w:t>安排政府采购预算</w:t>
      </w:r>
      <w:r>
        <w:rPr>
          <w:rFonts w:hint="eastAsia" w:cs="Times New Roman"/>
          <w:sz w:val="32"/>
          <w:szCs w:val="32"/>
          <w:highlight w:val="none"/>
          <w:lang w:val="en-US" w:eastAsia="zh-CN"/>
        </w:rPr>
        <w:t>6.7</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其中，政府采购货物</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；政府采购工程</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；政府采购服务</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6.7</w:t>
      </w:r>
      <w:r>
        <w:rPr>
          <w:rFonts w:hint="eastAsia" w:ascii="Times New Roman" w:hAnsi="Times New Roman" w:eastAsia="仿宋_GB2312" w:cs="Times New Roman"/>
          <w:sz w:val="32"/>
          <w:szCs w:val="32"/>
          <w:highlight w:val="none"/>
        </w:rPr>
        <w:t>万元。</w:t>
      </w:r>
    </w:p>
    <w:p w14:paraId="47EC16FE">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三</w:t>
      </w:r>
      <w:r>
        <w:rPr>
          <w:rFonts w:hint="default" w:ascii="Times New Roman" w:hAnsi="Times New Roman" w:eastAsia="楷体_GB2312" w:cs="Times New Roman"/>
          <w:b/>
        </w:rPr>
        <w:t>）国有资产占有使用情况</w:t>
      </w:r>
      <w:r>
        <w:rPr>
          <w:rFonts w:hint="default" w:ascii="Times New Roman" w:hAnsi="Times New Roman" w:eastAsia="楷体_GB2312" w:cs="Times New Roman"/>
          <w:b/>
          <w:lang w:eastAsia="zh-CN"/>
        </w:rPr>
        <w:t>。</w:t>
      </w:r>
    </w:p>
    <w:p w14:paraId="27F56054">
      <w:pPr>
        <w:spacing w:line="600" w:lineRule="exact"/>
        <w:ind w:firstLine="640" w:firstLineChars="200"/>
        <w:rPr>
          <w:rFonts w:hint="default" w:ascii="Times New Roman" w:hAnsi="Times New Roman" w:cs="Times New Roman"/>
        </w:rPr>
      </w:pPr>
      <w:r>
        <w:rPr>
          <w:rFonts w:hint="default" w:ascii="Times New Roman" w:hAnsi="Times New Roman" w:cs="Times New Roman"/>
        </w:rPr>
        <w:t>截至</w:t>
      </w:r>
      <w:r>
        <w:rPr>
          <w:rFonts w:hint="eastAsia" w:ascii="Times New Roman" w:hAnsi="Times New Roman" w:cs="Times New Roman"/>
          <w:lang w:eastAsia="zh-CN"/>
        </w:rPr>
        <w:t>202</w:t>
      </w:r>
      <w:r>
        <w:rPr>
          <w:rFonts w:hint="eastAsia" w:ascii="Times New Roman" w:hAnsi="Times New Roman" w:cs="Times New Roman"/>
          <w:lang w:val="en-US" w:eastAsia="zh-CN"/>
        </w:rPr>
        <w:t>5</w:t>
      </w:r>
      <w:r>
        <w:rPr>
          <w:rFonts w:hint="default" w:ascii="Times New Roman" w:hAnsi="Times New Roman" w:cs="Times New Roman"/>
        </w:rPr>
        <w:t>年底，</w:t>
      </w:r>
      <w:r>
        <w:rPr>
          <w:rFonts w:hint="eastAsia" w:cs="Times New Roman"/>
          <w:lang w:val="en-US" w:eastAsia="zh-CN"/>
        </w:rPr>
        <w:t>西区法院</w:t>
      </w:r>
      <w:r>
        <w:rPr>
          <w:rFonts w:hint="default" w:ascii="Times New Roman" w:hAnsi="Times New Roman" w:cs="Times New Roman"/>
          <w:u w:val="none"/>
        </w:rPr>
        <w:t>及</w:t>
      </w:r>
      <w:r>
        <w:rPr>
          <w:rFonts w:hint="default" w:ascii="Times New Roman" w:hAnsi="Times New Roman" w:cs="Times New Roman"/>
        </w:rPr>
        <w:t>所属的非独立核算单位共有车辆</w:t>
      </w:r>
      <w:r>
        <w:rPr>
          <w:rFonts w:hint="eastAsia" w:cs="Times New Roman"/>
          <w:lang w:val="en-US" w:eastAsia="zh-CN"/>
        </w:rPr>
        <w:t>9</w:t>
      </w:r>
      <w:r>
        <w:rPr>
          <w:rFonts w:hint="default" w:ascii="Times New Roman" w:hAnsi="Times New Roman" w:cs="Times New Roman"/>
        </w:rPr>
        <w:t>辆</w:t>
      </w:r>
      <w:r>
        <w:rPr>
          <w:rFonts w:hint="default" w:ascii="Times New Roman" w:hAnsi="Times New Roman" w:cs="Times New Roman"/>
          <w:u w:val="none"/>
        </w:rPr>
        <w:t>（车辆数应与“三公”经费说明中单位现有公务用车保有量一致）</w:t>
      </w:r>
      <w:r>
        <w:rPr>
          <w:rFonts w:hint="default" w:ascii="Times New Roman" w:hAnsi="Times New Roman" w:cs="Times New Roman"/>
        </w:rPr>
        <w:t>，其中，</w:t>
      </w:r>
      <w:r>
        <w:rPr>
          <w:rFonts w:hint="default" w:ascii="Times New Roman" w:hAnsi="Times New Roman" w:cs="Times New Roman"/>
          <w:u w:val="none"/>
        </w:rPr>
        <w:t>执法执勤用车</w:t>
      </w:r>
      <w:r>
        <w:rPr>
          <w:rFonts w:hint="eastAsia" w:cs="Times New Roman"/>
          <w:u w:val="none"/>
          <w:lang w:val="en-US" w:eastAsia="zh-CN"/>
        </w:rPr>
        <w:t>9</w:t>
      </w:r>
      <w:r>
        <w:rPr>
          <w:rFonts w:hint="default" w:ascii="Times New Roman" w:hAnsi="Times New Roman" w:cs="Times New Roman"/>
          <w:u w:val="none"/>
        </w:rPr>
        <w:t>辆（若没有的请填写0辆）。单位价值200万元以上大型设备</w:t>
      </w:r>
      <w:r>
        <w:rPr>
          <w:rFonts w:hint="eastAsia" w:cs="Times New Roman"/>
          <w:u w:val="none"/>
          <w:lang w:val="en-US" w:eastAsia="zh-CN"/>
        </w:rPr>
        <w:t>0</w:t>
      </w:r>
      <w:r>
        <w:rPr>
          <w:rFonts w:hint="default" w:ascii="Times New Roman" w:hAnsi="Times New Roman" w:cs="Times New Roman"/>
          <w:u w:val="none"/>
        </w:rPr>
        <w:t>台（套）。</w:t>
      </w:r>
    </w:p>
    <w:p w14:paraId="6011A9EC">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四</w:t>
      </w:r>
      <w:r>
        <w:rPr>
          <w:rFonts w:hint="default" w:ascii="Times New Roman" w:hAnsi="Times New Roman" w:eastAsia="楷体_GB2312" w:cs="Times New Roman"/>
          <w:b/>
        </w:rPr>
        <w:t>）预算绩效情况</w:t>
      </w:r>
      <w:r>
        <w:rPr>
          <w:rFonts w:hint="default" w:ascii="Times New Roman" w:hAnsi="Times New Roman" w:eastAsia="楷体_GB2312" w:cs="Times New Roman"/>
          <w:b/>
          <w:lang w:eastAsia="zh-CN"/>
        </w:rPr>
        <w:t>。</w:t>
      </w:r>
    </w:p>
    <w:p w14:paraId="075D489D">
      <w:pPr>
        <w:spacing w:line="560" w:lineRule="exact"/>
        <w:ind w:firstLine="660" w:firstLineChars="200"/>
        <w:rPr>
          <w:sz w:val="33"/>
          <w:szCs w:val="33"/>
        </w:rPr>
      </w:pPr>
      <w:r>
        <w:rPr>
          <w:sz w:val="33"/>
          <w:szCs w:val="33"/>
        </w:rPr>
        <w:t>202</w:t>
      </w:r>
      <w:r>
        <w:rPr>
          <w:rFonts w:hint="eastAsia"/>
          <w:sz w:val="33"/>
          <w:szCs w:val="33"/>
          <w:lang w:val="en-US" w:eastAsia="zh-CN"/>
        </w:rPr>
        <w:t>6</w:t>
      </w:r>
      <w:r>
        <w:rPr>
          <w:sz w:val="33"/>
          <w:szCs w:val="33"/>
        </w:rPr>
        <w:t>年西区法院开展绩效目标管理的项目3个，涉及预算25万元。其中：人员类项目0个，涉及预算0万元；运转类项目0个，涉及预算0万元；特定目标类项目3个，涉及预算25万元。</w:t>
      </w:r>
    </w:p>
    <w:p w14:paraId="37BB52CB">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十</w:t>
      </w:r>
      <w:r>
        <w:rPr>
          <w:rFonts w:hint="eastAsia" w:ascii="Times New Roman" w:hAnsi="Times New Roman" w:eastAsia="黑体" w:cs="Times New Roman"/>
          <w:lang w:eastAsia="zh-CN"/>
        </w:rPr>
        <w:t>二</w:t>
      </w:r>
      <w:r>
        <w:rPr>
          <w:rFonts w:hint="default" w:ascii="Times New Roman" w:hAnsi="Times New Roman" w:eastAsia="黑体" w:cs="Times New Roman"/>
        </w:rPr>
        <w:t>、名词解释</w:t>
      </w:r>
    </w:p>
    <w:p w14:paraId="760AF742">
      <w:pPr>
        <w:spacing w:line="600" w:lineRule="exact"/>
        <w:ind w:firstLine="640" w:firstLineChars="200"/>
        <w:rPr>
          <w:rFonts w:hint="default" w:ascii="Times New Roman" w:hAnsi="Times New Roman" w:cs="Times New Roman"/>
          <w:u w:val="none"/>
          <w:lang w:eastAsia="zh-CN"/>
        </w:rPr>
      </w:pPr>
      <w:r>
        <w:rPr>
          <w:rFonts w:hint="default" w:ascii="Times New Roman" w:hAnsi="Times New Roman" w:cs="Times New Roman"/>
          <w:u w:val="none"/>
          <w:lang w:val="en-US" w:eastAsia="zh-CN"/>
        </w:rPr>
        <w:t>1.</w:t>
      </w:r>
      <w:r>
        <w:rPr>
          <w:rFonts w:hint="default" w:ascii="Times New Roman" w:hAnsi="Times New Roman" w:cs="Times New Roman"/>
          <w:u w:val="none"/>
          <w:lang w:eastAsia="zh-CN"/>
        </w:rPr>
        <w:t>一般公共预算拨款收入：指市级财政当年拨付的资金。</w:t>
      </w:r>
    </w:p>
    <w:p w14:paraId="2F5C21D7">
      <w:pPr>
        <w:spacing w:line="600" w:lineRule="exact"/>
        <w:ind w:firstLine="640" w:firstLineChars="200"/>
        <w:rPr>
          <w:rFonts w:hint="default" w:ascii="Times New Roman" w:hAnsi="Times New Roman" w:cs="Times New Roman"/>
          <w:u w:val="none"/>
          <w:lang w:eastAsia="zh-CN"/>
        </w:rPr>
      </w:pPr>
      <w:r>
        <w:rPr>
          <w:rFonts w:hint="default" w:ascii="Times New Roman" w:hAnsi="Times New Roman" w:cs="Times New Roman"/>
          <w:u w:val="none"/>
          <w:lang w:val="en-US" w:eastAsia="zh-CN"/>
        </w:rPr>
        <w:t>2.</w:t>
      </w:r>
      <w:r>
        <w:rPr>
          <w:rFonts w:hint="default" w:ascii="Times New Roman" w:hAnsi="Times New Roman" w:cs="Times New Roman"/>
          <w:u w:val="none"/>
          <w:lang w:eastAsia="zh-CN"/>
        </w:rPr>
        <w:t>卫生健康支出（类）行政事业单位医疗（款）行政单位医疗（项）：指市机关及参公管理事业单位用于缴纳单位基本医疗保险支出。</w:t>
      </w:r>
    </w:p>
    <w:p w14:paraId="500FE503">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基本支出：指为保证机构正常运转，完成日常工作任务而发生的人员支出和公用支出。</w:t>
      </w:r>
    </w:p>
    <w:p w14:paraId="6D281929">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.项目支出：指在基本支出之外为完成特定</w:t>
      </w:r>
      <w:r>
        <w:rPr>
          <w:rFonts w:hint="default" w:ascii="Times New Roman" w:hAnsi="Times New Roman" w:cs="Times New Roman"/>
          <w:lang w:eastAsia="zh-CN"/>
        </w:rPr>
        <w:t>的工作</w:t>
      </w:r>
      <w:r>
        <w:rPr>
          <w:rFonts w:hint="default" w:ascii="Times New Roman" w:hAnsi="Times New Roman" w:cs="Times New Roman"/>
        </w:rPr>
        <w:t>任务和事业发展目标所发生的支出。</w:t>
      </w:r>
    </w:p>
    <w:p w14:paraId="13C5890F">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“三公”经费：纳入预决算管理的“三公”经费，是指</w:t>
      </w:r>
      <w:r>
        <w:rPr>
          <w:rFonts w:hint="eastAsia" w:ascii="Times New Roman" w:hAnsi="Times New Roman" w:cs="Times New Roman"/>
          <w:lang w:eastAsia="zh-CN"/>
        </w:rPr>
        <w:t>单位</w:t>
      </w:r>
      <w:r>
        <w:rPr>
          <w:rFonts w:hint="default" w:ascii="Times New Roman" w:hAnsi="Times New Roman" w:cs="Times New Roman"/>
        </w:rPr>
        <w:t>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购置支出（含车辆购置税、牌照费）及按规定保留的公务用车燃料费、维修费、过路过桥费、保险费、安全奖励费用等支出；公务接待费反映单位按规定开支的各类公务接待（含外宾接待）费用。</w:t>
      </w:r>
    </w:p>
    <w:p w14:paraId="260F1AEE">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w:t>
      </w:r>
      <w:r>
        <w:rPr>
          <w:rFonts w:hint="default" w:ascii="Times New Roman" w:hAnsi="Times New Roman" w:cs="Times New Roman"/>
          <w:lang w:eastAsia="zh-CN"/>
        </w:rPr>
        <w:t>机关</w:t>
      </w:r>
      <w:r>
        <w:rPr>
          <w:rFonts w:hint="default" w:ascii="Times New Roman" w:hAnsi="Times New Roman" w:cs="Times New Roman"/>
        </w:rPr>
        <w:t>运行</w:t>
      </w:r>
      <w:r>
        <w:rPr>
          <w:rFonts w:hint="default" w:ascii="Times New Roman" w:hAnsi="Times New Roman" w:cs="Times New Roman"/>
          <w:lang w:eastAsia="zh-CN"/>
        </w:rPr>
        <w:t>经</w:t>
      </w:r>
      <w:r>
        <w:rPr>
          <w:rFonts w:hint="default" w:ascii="Times New Roman" w:hAnsi="Times New Roman" w:cs="Times New Roman"/>
        </w:rPr>
        <w:t>费：为保障行政单位（包含参照公务员法管理的事业单位）运行用于购买货物和服务的各项资金。包括办公及办公费、水费、电费、印刷费、邮电费、差旅费、会议费等费用开支。</w:t>
      </w:r>
    </w:p>
    <w:p w14:paraId="77BF9C4D">
      <w:pPr>
        <w:spacing w:line="600" w:lineRule="exact"/>
        <w:ind w:firstLine="640" w:firstLineChars="200"/>
        <w:rPr>
          <w:rFonts w:hint="default" w:ascii="Times New Roman" w:hAnsi="Times New Roman" w:cs="Times New Roman"/>
        </w:rPr>
      </w:pPr>
    </w:p>
    <w:p w14:paraId="215D34DA">
      <w:pPr>
        <w:spacing w:line="600" w:lineRule="exact"/>
        <w:ind w:firstLine="640" w:firstLineChars="200"/>
        <w:rPr>
          <w:rFonts w:hint="default" w:ascii="Times New Roman" w:hAnsi="Times New Roman" w:cs="Times New Roman"/>
        </w:rPr>
      </w:pPr>
      <w:r>
        <w:rPr>
          <w:rFonts w:hint="default" w:ascii="Times New Roman" w:hAnsi="Times New Roman" w:cs="Times New Roman"/>
        </w:rPr>
        <w:t>附件：表1.</w:t>
      </w:r>
      <w:r>
        <w:rPr>
          <w:rFonts w:hint="eastAsia" w:ascii="Times New Roman" w:hAnsi="Times New Roman" w:cs="Times New Roman"/>
          <w:lang w:eastAsia="zh-CN"/>
        </w:rPr>
        <w:t>单位</w:t>
      </w:r>
      <w:r>
        <w:rPr>
          <w:rFonts w:hint="default" w:ascii="Times New Roman" w:hAnsi="Times New Roman" w:cs="Times New Roman"/>
        </w:rPr>
        <w:t>收支总表</w:t>
      </w:r>
    </w:p>
    <w:p w14:paraId="0156A0C7">
      <w:pPr>
        <w:spacing w:line="600" w:lineRule="exac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表1-1.</w:t>
      </w:r>
      <w:r>
        <w:rPr>
          <w:rFonts w:hint="eastAsia" w:ascii="Times New Roman" w:hAnsi="Times New Roman" w:cs="Times New Roman"/>
          <w:lang w:eastAsia="zh-CN"/>
        </w:rPr>
        <w:t>单位</w:t>
      </w:r>
      <w:r>
        <w:rPr>
          <w:rFonts w:hint="default" w:ascii="Times New Roman" w:hAnsi="Times New Roman" w:cs="Times New Roman"/>
        </w:rPr>
        <w:t>收入总表</w:t>
      </w:r>
    </w:p>
    <w:p w14:paraId="18E52C9B">
      <w:pPr>
        <w:spacing w:line="600" w:lineRule="exac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表1-2.</w:t>
      </w:r>
      <w:r>
        <w:rPr>
          <w:rFonts w:hint="eastAsia" w:ascii="Times New Roman" w:hAnsi="Times New Roman" w:cs="Times New Roman"/>
          <w:lang w:eastAsia="zh-CN"/>
        </w:rPr>
        <w:t>单位</w:t>
      </w:r>
      <w:r>
        <w:rPr>
          <w:rFonts w:hint="default" w:ascii="Times New Roman" w:hAnsi="Times New Roman" w:cs="Times New Roman"/>
        </w:rPr>
        <w:t>支出总表</w:t>
      </w:r>
    </w:p>
    <w:p w14:paraId="106BC2E4">
      <w:pPr>
        <w:spacing w:line="600" w:lineRule="exact"/>
        <w:ind w:firstLine="1600" w:firstLineChars="500"/>
        <w:rPr>
          <w:rFonts w:hint="default" w:ascii="Times New Roman" w:hAnsi="Times New Roman" w:cs="Times New Roman"/>
        </w:rPr>
      </w:pPr>
      <w:r>
        <w:rPr>
          <w:rFonts w:hint="default" w:ascii="Times New Roman" w:hAnsi="Times New Roman" w:cs="Times New Roman"/>
        </w:rPr>
        <w:t>表2.财政拨款收支预算总表</w:t>
      </w:r>
    </w:p>
    <w:p w14:paraId="28A9A39F">
      <w:pPr>
        <w:spacing w:line="600" w:lineRule="exact"/>
        <w:ind w:firstLine="1600" w:firstLineChars="500"/>
        <w:rPr>
          <w:rFonts w:hint="default" w:ascii="Times New Roman" w:hAnsi="Times New Roman" w:eastAsia="仿宋_GB2312" w:cs="Times New Roman"/>
          <w:lang w:eastAsia="zh-CN"/>
        </w:rPr>
      </w:pPr>
      <w:r>
        <w:rPr>
          <w:rFonts w:hint="default" w:ascii="Times New Roman" w:hAnsi="Times New Roman" w:cs="Times New Roman"/>
          <w:lang w:eastAsia="zh-CN"/>
        </w:rPr>
        <w:t>表</w:t>
      </w:r>
      <w:r>
        <w:rPr>
          <w:rFonts w:hint="default" w:ascii="Times New Roman" w:hAnsi="Times New Roman" w:cs="Times New Roman"/>
          <w:lang w:val="en-US" w:eastAsia="zh-CN"/>
        </w:rPr>
        <w:t>2-1.财政拨款支出预算表</w:t>
      </w:r>
    </w:p>
    <w:p w14:paraId="204B2199">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表3.一般公共预算支出预算表</w:t>
      </w:r>
    </w:p>
    <w:p w14:paraId="25E1607C">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表3-1.一般公共预算基本支出预算表</w:t>
      </w:r>
    </w:p>
    <w:p w14:paraId="4A549D64">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表3-2.一般公共预算项目支出预算表</w:t>
      </w:r>
    </w:p>
    <w:p w14:paraId="3CEB90B5">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表3-3.一般公共预算“三公”经费支出预算表</w:t>
      </w:r>
    </w:p>
    <w:p w14:paraId="3C9FCA71">
      <w:pPr>
        <w:spacing w:line="600" w:lineRule="exact"/>
        <w:ind w:firstLine="1600" w:firstLineChars="500"/>
        <w:rPr>
          <w:rFonts w:hint="default" w:ascii="Times New Roman" w:hAnsi="Times New Roman" w:cs="Times New Roman"/>
        </w:rPr>
      </w:pPr>
      <w:r>
        <w:rPr>
          <w:rFonts w:hint="default" w:ascii="Times New Roman" w:hAnsi="Times New Roman" w:cs="Times New Roman"/>
        </w:rPr>
        <w:t>表4.政府性基金支出预算表</w:t>
      </w:r>
    </w:p>
    <w:p w14:paraId="632778EC">
      <w:pPr>
        <w:spacing w:line="600" w:lineRule="exact"/>
        <w:ind w:firstLine="1600" w:firstLineChars="500"/>
        <w:rPr>
          <w:rFonts w:hint="default" w:ascii="Times New Roman" w:hAnsi="Times New Roman" w:cs="Times New Roman"/>
        </w:rPr>
      </w:pPr>
      <w:r>
        <w:rPr>
          <w:rFonts w:hint="default" w:ascii="Times New Roman" w:hAnsi="Times New Roman" w:cs="Times New Roman"/>
        </w:rPr>
        <w:t>表4-1.政府性基金预算“三公”经费支出预算表</w:t>
      </w:r>
    </w:p>
    <w:p w14:paraId="6866CEBD">
      <w:pPr>
        <w:spacing w:line="600" w:lineRule="exact"/>
        <w:ind w:firstLine="1600" w:firstLineChars="500"/>
        <w:rPr>
          <w:rFonts w:hint="default" w:ascii="Times New Roman" w:hAnsi="Times New Roman" w:cs="Times New Roman"/>
        </w:rPr>
      </w:pPr>
      <w:r>
        <w:rPr>
          <w:rFonts w:hint="default" w:ascii="Times New Roman" w:hAnsi="Times New Roman" w:cs="Times New Roman"/>
        </w:rPr>
        <w:t>表5.国有资本经营预算支出预算表</w:t>
      </w:r>
    </w:p>
    <w:p w14:paraId="5DFFAD98">
      <w:pPr>
        <w:spacing w:line="600" w:lineRule="exact"/>
        <w:ind w:firstLine="1600" w:firstLineChars="500"/>
        <w:rPr>
          <w:rFonts w:hint="default" w:ascii="Times New Roman" w:hAnsi="Times New Roman" w:cs="Times New Roman"/>
          <w:lang w:val="en-US" w:eastAsia="zh-CN"/>
        </w:rPr>
      </w:pPr>
      <w:r>
        <w:rPr>
          <w:rFonts w:hint="default" w:ascii="Times New Roman" w:hAnsi="Times New Roman" w:cs="Times New Roman"/>
          <w:lang w:eastAsia="zh-CN"/>
        </w:rPr>
        <w:t>表</w:t>
      </w:r>
      <w:r>
        <w:rPr>
          <w:rFonts w:hint="default" w:ascii="Times New Roman" w:hAnsi="Times New Roman" w:cs="Times New Roman"/>
          <w:lang w:val="en-US" w:eastAsia="zh-CN"/>
        </w:rPr>
        <w:t>6.</w:t>
      </w:r>
      <w:r>
        <w:rPr>
          <w:rFonts w:hint="eastAsia" w:ascii="Times New Roman" w:hAnsi="Times New Roman" w:cs="Times New Roman"/>
          <w:lang w:val="en-US" w:eastAsia="zh-CN"/>
        </w:rPr>
        <w:t>单位</w:t>
      </w:r>
      <w:r>
        <w:rPr>
          <w:rFonts w:hint="default" w:ascii="Times New Roman" w:hAnsi="Times New Roman" w:cs="Times New Roman"/>
          <w:lang w:val="en-US" w:eastAsia="zh-CN"/>
        </w:rPr>
        <w:t>预算项目绩效目标表</w:t>
      </w:r>
    </w:p>
    <w:p w14:paraId="6E655447">
      <w:pPr>
        <w:spacing w:line="600" w:lineRule="exact"/>
        <w:ind w:firstLine="1600" w:firstLineChars="500"/>
        <w:rPr>
          <w:rFonts w:hint="default" w:ascii="Times New Roman" w:hAnsi="Times New Roman" w:eastAsia="仿宋_GB2312" w:cs="Times New Roman"/>
          <w:u w:val="single"/>
          <w:lang w:eastAsia="zh-CN"/>
        </w:rPr>
      </w:pPr>
      <w:r>
        <w:rPr>
          <w:rFonts w:hint="default" w:ascii="Times New Roman" w:hAnsi="Times New Roman" w:cs="Times New Roman"/>
          <w:lang w:val="en-US" w:eastAsia="zh-CN"/>
        </w:rPr>
        <w:t>表7.</w:t>
      </w:r>
      <w:r>
        <w:rPr>
          <w:rFonts w:hint="eastAsia" w:ascii="Times New Roman" w:hAnsi="Times New Roman" w:cs="Times New Roman"/>
          <w:lang w:val="en-US" w:eastAsia="zh-CN"/>
        </w:rPr>
        <w:t>单位</w:t>
      </w:r>
      <w:r>
        <w:rPr>
          <w:rFonts w:hint="default" w:ascii="Times New Roman" w:hAnsi="Times New Roman" w:cs="Times New Roman"/>
          <w:lang w:val="en-US" w:eastAsia="zh-CN"/>
        </w:rPr>
        <w:t>整体支出绩效目标表</w:t>
      </w:r>
    </w:p>
    <w:sectPr>
      <w:footerReference r:id="rId5" w:type="default"/>
      <w:pgSz w:w="11906" w:h="16838"/>
      <w:pgMar w:top="1247" w:right="1542" w:bottom="1247" w:left="2098" w:header="851" w:footer="992" w:gutter="0"/>
      <w:pgNumType w:fmt="numberInDash"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671D1">
    <w:pPr>
      <w:pStyle w:val="5"/>
      <w:framePr w:wrap="around" w:vAnchor="text" w:hAnchor="margin" w:xAlign="center" w:y="1"/>
      <w:rPr>
        <w:rStyle w:val="12"/>
      </w:rPr>
    </w:pPr>
    <w:r>
      <w:fldChar w:fldCharType="begin"/>
    </w:r>
    <w:r>
      <w:rPr>
        <w:rStyle w:val="12"/>
      </w:rPr>
      <w:instrText xml:space="preserve">PAGE  </w:instrText>
    </w:r>
    <w:r>
      <w:fldChar w:fldCharType="separate"/>
    </w:r>
    <w:r>
      <w:fldChar w:fldCharType="end"/>
    </w:r>
  </w:p>
  <w:p w14:paraId="213EAB5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99ED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D958">
    <w:pPr>
      <w:pStyle w:val="5"/>
      <w:framePr w:wrap="around" w:vAnchor="text" w:hAnchor="margin" w:xAlign="center" w:y="1"/>
      <w:rPr>
        <w:rStyle w:val="12"/>
        <w:rFonts w:ascii="宋体" w:hAnsi="宋体"/>
        <w:sz w:val="30"/>
        <w:szCs w:val="30"/>
      </w:rPr>
    </w:pPr>
    <w:r>
      <w:rPr>
        <w:rFonts w:ascii="宋体" w:hAnsi="宋体"/>
        <w:sz w:val="30"/>
        <w:szCs w:val="30"/>
      </w:rPr>
      <w:fldChar w:fldCharType="begin"/>
    </w:r>
    <w:r>
      <w:rPr>
        <w:rStyle w:val="12"/>
        <w:rFonts w:ascii="宋体" w:hAnsi="宋体"/>
        <w:sz w:val="30"/>
        <w:szCs w:val="30"/>
      </w:rPr>
      <w:instrText xml:space="preserve">PAGE  </w:instrText>
    </w:r>
    <w:r>
      <w:rPr>
        <w:rFonts w:ascii="宋体" w:hAnsi="宋体"/>
        <w:sz w:val="30"/>
        <w:szCs w:val="30"/>
      </w:rPr>
      <w:fldChar w:fldCharType="separate"/>
    </w:r>
    <w:r>
      <w:rPr>
        <w:rStyle w:val="12"/>
        <w:rFonts w:ascii="宋体" w:hAnsi="宋体"/>
        <w:sz w:val="30"/>
        <w:szCs w:val="30"/>
      </w:rPr>
      <w:t>- 4 -</w:t>
    </w:r>
    <w:r>
      <w:rPr>
        <w:rFonts w:ascii="宋体" w:hAnsi="宋体"/>
        <w:sz w:val="30"/>
        <w:szCs w:val="30"/>
      </w:rPr>
      <w:fldChar w:fldCharType="end"/>
    </w:r>
  </w:p>
  <w:p w14:paraId="52353DB5">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6D50A3"/>
    <w:rsid w:val="049344EA"/>
    <w:rsid w:val="06CC0D67"/>
    <w:rsid w:val="08543968"/>
    <w:rsid w:val="0C150564"/>
    <w:rsid w:val="0C3A0095"/>
    <w:rsid w:val="0DD324B6"/>
    <w:rsid w:val="10D73F2E"/>
    <w:rsid w:val="10E0290C"/>
    <w:rsid w:val="13B925F8"/>
    <w:rsid w:val="14117320"/>
    <w:rsid w:val="17174C81"/>
    <w:rsid w:val="17910EAF"/>
    <w:rsid w:val="17BB1A9C"/>
    <w:rsid w:val="1AA91958"/>
    <w:rsid w:val="1BD0283F"/>
    <w:rsid w:val="1F596CCE"/>
    <w:rsid w:val="2A7A4CF5"/>
    <w:rsid w:val="2ABB0DC8"/>
    <w:rsid w:val="2C575892"/>
    <w:rsid w:val="2D913540"/>
    <w:rsid w:val="2EEC52B7"/>
    <w:rsid w:val="31E6052A"/>
    <w:rsid w:val="32483DF0"/>
    <w:rsid w:val="357F58F8"/>
    <w:rsid w:val="35A63982"/>
    <w:rsid w:val="36641C2D"/>
    <w:rsid w:val="36F3173A"/>
    <w:rsid w:val="37B578D9"/>
    <w:rsid w:val="37BB10B5"/>
    <w:rsid w:val="3AC04E69"/>
    <w:rsid w:val="3BA12796"/>
    <w:rsid w:val="3CD05F17"/>
    <w:rsid w:val="484B3B49"/>
    <w:rsid w:val="489D775D"/>
    <w:rsid w:val="4B270992"/>
    <w:rsid w:val="50A14292"/>
    <w:rsid w:val="50CC1AE7"/>
    <w:rsid w:val="559A08A5"/>
    <w:rsid w:val="590402F8"/>
    <w:rsid w:val="5B4F6829"/>
    <w:rsid w:val="6592617F"/>
    <w:rsid w:val="69614728"/>
    <w:rsid w:val="73A008DD"/>
    <w:rsid w:val="75BC76E9"/>
    <w:rsid w:val="771963E7"/>
    <w:rsid w:val="7792547C"/>
    <w:rsid w:val="7ADC7036"/>
    <w:rsid w:val="7C3D6891"/>
    <w:rsid w:val="7E6243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Body Text Indent"/>
    <w:basedOn w:val="1"/>
    <w:semiHidden/>
    <w:unhideWhenUsed/>
    <w:qFormat/>
    <w:uiPriority w:val="99"/>
    <w:pPr>
      <w:spacing w:after="120"/>
      <w:ind w:left="420" w:leftChars="200"/>
    </w:p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3"/>
    <w:unhideWhenUsed/>
    <w:qFormat/>
    <w:uiPriority w:val="99"/>
    <w:pPr>
      <w:ind w:firstLine="420" w:firstLineChars="200"/>
    </w:pPr>
    <w:rPr>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Char Char Char Char Char Char Char Char Char Char Char Char"/>
    <w:basedOn w:val="1"/>
    <w:qFormat/>
    <w:uiPriority w:val="0"/>
    <w:rPr>
      <w:szCs w:val="21"/>
    </w:rPr>
  </w:style>
  <w:style w:type="paragraph" w:customStyle="1" w:styleId="14">
    <w:name w:val=" Char Char1 Char Char Char Char Char Char Char Char"/>
    <w:basedOn w:val="1"/>
    <w:next w:val="1"/>
    <w:qFormat/>
    <w:uiPriority w:val="0"/>
    <w:pPr>
      <w:spacing w:line="240" w:lineRule="atLeast"/>
      <w:ind w:left="420" w:firstLine="420"/>
      <w:jc w:val="left"/>
    </w:pPr>
    <w:rPr>
      <w:rFonts w:eastAsia="宋体"/>
      <w:kern w:val="0"/>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微软中国</Company>
  <Pages>21</Pages>
  <Words>10570</Words>
  <Characters>12375</Characters>
  <Lines>20</Lines>
  <Paragraphs>5</Paragraphs>
  <TotalTime>1</TotalTime>
  <ScaleCrop>false</ScaleCrop>
  <LinksUpToDate>false</LinksUpToDate>
  <CharactersWithSpaces>12404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2014-03-03T16:31:00Z</dcterms:created>
  <dc:creator>赵树子</dc:creator>
  <cp:lastModifiedBy>user</cp:lastModifiedBy>
  <cp:lastPrinted>2017-02-23T16:48:00Z</cp:lastPrinted>
  <dcterms:modified xsi:type="dcterms:W3CDTF">2026-10-21T11:03:46Z</dcterms:modified>
  <dc:title>四川省财政厅2011年部门预算编制说明</dc:title>
  <cp:revision>215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8F5AE23E28274809A04F4513B549A729_13</vt:lpwstr>
  </property>
  <property fmtid="{D5CDD505-2E9C-101B-9397-08002B2CF9AE}" pid="4" name="KSOTemplateDocerSaveRecord">
    <vt:lpwstr>eyJoZGlkIjoiZmIzZjExODZjZTdlNzI5NzkwMDdlYWFhNGUyYjdkODAifQ==</vt:lpwstr>
  </property>
</Properties>
</file>