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6345B">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攀枝花市饮水机用滤芯产品质量监督抽查实施细则</w:t>
      </w:r>
    </w:p>
    <w:p w14:paraId="1B6B1DB6">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（2026 年版）</w:t>
      </w:r>
    </w:p>
    <w:p w14:paraId="3B70F91B">
      <w:pPr>
        <w:spacing w:before="224" w:line="229" w:lineRule="auto"/>
        <w:ind w:left="12"/>
        <w:rPr>
          <w:rFonts w:hint="eastAsia" w:ascii="黑体" w:hAnsi="黑体" w:eastAsia="黑体" w:cs="黑体"/>
          <w:sz w:val="21"/>
          <w:szCs w:val="21"/>
          <w:lang w:val="en-US" w:eastAsia="zh-CN"/>
        </w:rPr>
      </w:pPr>
      <w:r>
        <w:rPr>
          <w:rFonts w:ascii="黑体" w:hAnsi="黑体" w:eastAsia="黑体" w:cs="黑体"/>
          <w:spacing w:val="2"/>
          <w:sz w:val="21"/>
          <w:szCs w:val="21"/>
        </w:rPr>
        <w:t>1</w:t>
      </w:r>
      <w:r>
        <w:rPr>
          <w:rFonts w:ascii="黑体" w:hAnsi="黑体" w:eastAsia="黑体" w:cs="黑体"/>
          <w:spacing w:val="11"/>
          <w:sz w:val="21"/>
          <w:szCs w:val="21"/>
        </w:rPr>
        <w:t xml:space="preserve">  </w:t>
      </w:r>
      <w:r>
        <w:rPr>
          <w:rFonts w:ascii="黑体" w:hAnsi="黑体" w:eastAsia="黑体" w:cs="黑体"/>
          <w:spacing w:val="2"/>
          <w:sz w:val="21"/>
          <w:szCs w:val="21"/>
        </w:rPr>
        <w:t>抽样方法</w:t>
      </w:r>
      <w:bookmarkStart w:id="0" w:name="_GoBack"/>
      <w:bookmarkEnd w:id="0"/>
    </w:p>
    <w:p w14:paraId="1949F1A2">
      <w:pPr>
        <w:pStyle w:val="2"/>
        <w:spacing w:before="159" w:line="228" w:lineRule="auto"/>
        <w:ind w:left="445"/>
        <w:rPr>
          <w:rFonts w:hint="eastAsia" w:ascii="宋体" w:hAnsi="宋体" w:eastAsia="宋体" w:cs="宋体"/>
          <w:sz w:val="21"/>
          <w:szCs w:val="21"/>
        </w:rPr>
      </w:pPr>
      <w:r>
        <w:rPr>
          <w:rFonts w:hint="eastAsia" w:ascii="宋体" w:hAnsi="宋体" w:eastAsia="宋体" w:cs="宋体"/>
          <w:spacing w:val="8"/>
          <w:sz w:val="21"/>
          <w:szCs w:val="21"/>
        </w:rPr>
        <w:t>以随机抽样的方式在被抽样生产者、销售者的待销产品中抽取。</w:t>
      </w:r>
    </w:p>
    <w:p w14:paraId="7B692436">
      <w:pPr>
        <w:pStyle w:val="2"/>
        <w:spacing w:before="164" w:line="228" w:lineRule="auto"/>
        <w:ind w:left="421"/>
        <w:rPr>
          <w:rFonts w:hint="eastAsia" w:ascii="宋体" w:hAnsi="宋体" w:eastAsia="宋体" w:cs="宋体"/>
          <w:spacing w:val="8"/>
          <w:sz w:val="21"/>
          <w:szCs w:val="21"/>
        </w:rPr>
      </w:pPr>
      <w:r>
        <w:rPr>
          <w:rFonts w:hint="eastAsia" w:ascii="宋体" w:hAnsi="宋体" w:eastAsia="宋体" w:cs="宋体"/>
          <w:spacing w:val="8"/>
          <w:sz w:val="21"/>
          <w:szCs w:val="21"/>
        </w:rPr>
        <w:t>随机数一般可使用随机数表等方法产生。</w:t>
      </w:r>
    </w:p>
    <w:p w14:paraId="5193FE17">
      <w:pPr>
        <w:pStyle w:val="2"/>
        <w:spacing w:before="164" w:line="228" w:lineRule="auto"/>
        <w:ind w:left="421"/>
      </w:pPr>
      <w:r>
        <w:rPr>
          <w:rFonts w:hint="eastAsia" w:ascii="宋体" w:hAnsi="宋体" w:eastAsia="宋体" w:cs="宋体"/>
          <w:spacing w:val="8"/>
          <w:sz w:val="21"/>
          <w:szCs w:val="21"/>
        </w:rPr>
        <w:t>每批次产品抽取样品</w:t>
      </w:r>
      <w:r>
        <w:rPr>
          <w:rFonts w:hint="eastAsia" w:cs="宋体"/>
          <w:spacing w:val="8"/>
          <w:sz w:val="21"/>
          <w:szCs w:val="21"/>
          <w:lang w:val="en-US" w:eastAsia="zh-CN"/>
        </w:rPr>
        <w:t>4个</w:t>
      </w:r>
      <w:r>
        <w:rPr>
          <w:rFonts w:hint="eastAsia" w:ascii="宋体" w:hAnsi="宋体" w:eastAsia="宋体" w:cs="宋体"/>
          <w:spacing w:val="8"/>
          <w:sz w:val="21"/>
          <w:szCs w:val="21"/>
        </w:rPr>
        <w:t>，其中</w:t>
      </w:r>
      <w:r>
        <w:rPr>
          <w:rFonts w:hint="eastAsia" w:cs="宋体"/>
          <w:spacing w:val="8"/>
          <w:sz w:val="21"/>
          <w:szCs w:val="21"/>
          <w:lang w:val="en-US" w:eastAsia="zh-CN"/>
        </w:rPr>
        <w:t>2个</w:t>
      </w:r>
      <w:r>
        <w:rPr>
          <w:rFonts w:hint="eastAsia" w:ascii="宋体" w:hAnsi="宋体" w:eastAsia="宋体" w:cs="宋体"/>
          <w:spacing w:val="8"/>
          <w:sz w:val="21"/>
          <w:szCs w:val="21"/>
        </w:rPr>
        <w:t>作为检验样品，</w:t>
      </w:r>
      <w:r>
        <w:rPr>
          <w:rFonts w:hint="eastAsia" w:cs="宋体"/>
          <w:spacing w:val="8"/>
          <w:sz w:val="21"/>
          <w:szCs w:val="21"/>
          <w:lang w:val="en-US" w:eastAsia="zh-CN"/>
        </w:rPr>
        <w:t>2个</w:t>
      </w:r>
      <w:r>
        <w:rPr>
          <w:rFonts w:hint="eastAsia" w:ascii="宋体" w:hAnsi="宋体" w:eastAsia="宋体" w:cs="宋体"/>
          <w:spacing w:val="8"/>
          <w:sz w:val="21"/>
          <w:szCs w:val="21"/>
        </w:rPr>
        <w:t>作为备用样</w:t>
      </w:r>
      <w:r>
        <w:rPr>
          <w:rFonts w:hint="eastAsia" w:ascii="宋体" w:hAnsi="宋体" w:eastAsia="宋体" w:cs="宋体"/>
          <w:spacing w:val="7"/>
          <w:sz w:val="21"/>
          <w:szCs w:val="21"/>
        </w:rPr>
        <w:t>品。</w:t>
      </w:r>
    </w:p>
    <w:p w14:paraId="1EE18E29">
      <w:pPr>
        <w:spacing w:before="161" w:line="230" w:lineRule="auto"/>
        <w:rPr>
          <w:rFonts w:ascii="黑体" w:hAnsi="黑体" w:eastAsia="黑体" w:cs="黑体"/>
          <w:sz w:val="21"/>
          <w:szCs w:val="21"/>
        </w:rPr>
      </w:pPr>
      <w:r>
        <w:rPr>
          <w:rFonts w:ascii="黑体" w:hAnsi="黑体" w:eastAsia="黑体" w:cs="黑体"/>
          <w:spacing w:val="6"/>
          <w:sz w:val="21"/>
          <w:szCs w:val="21"/>
        </w:rPr>
        <w:t>2  检验依据</w:t>
      </w:r>
    </w:p>
    <w:p w14:paraId="03A0FCF6">
      <w:pPr>
        <w:spacing w:before="159" w:line="229" w:lineRule="auto"/>
        <w:ind w:left="3389"/>
        <w:outlineLvl w:val="0"/>
        <w:rPr>
          <w:rFonts w:ascii="黑体" w:hAnsi="黑体" w:eastAsia="黑体" w:cs="黑体"/>
          <w:sz w:val="20"/>
          <w:szCs w:val="20"/>
        </w:rPr>
      </w:pPr>
      <w:r>
        <w:rPr>
          <w:rFonts w:ascii="黑体" w:hAnsi="黑体" w:eastAsia="黑体" w:cs="黑体"/>
          <w:spacing w:val="2"/>
          <w:sz w:val="20"/>
          <w:szCs w:val="20"/>
        </w:rPr>
        <w:t>表</w:t>
      </w:r>
      <w:r>
        <w:rPr>
          <w:rFonts w:ascii="黑体" w:hAnsi="黑体" w:eastAsia="黑体" w:cs="黑体"/>
          <w:spacing w:val="-29"/>
          <w:sz w:val="20"/>
          <w:szCs w:val="20"/>
        </w:rPr>
        <w:t xml:space="preserve"> </w:t>
      </w:r>
      <w:r>
        <w:rPr>
          <w:rFonts w:ascii="黑体" w:hAnsi="黑体" w:eastAsia="黑体" w:cs="黑体"/>
          <w:spacing w:val="2"/>
          <w:sz w:val="20"/>
          <w:szCs w:val="20"/>
        </w:rPr>
        <w:t>1</w:t>
      </w:r>
      <w:r>
        <w:rPr>
          <w:rFonts w:ascii="黑体" w:hAnsi="黑体" w:eastAsia="黑体" w:cs="黑体"/>
          <w:spacing w:val="23"/>
          <w:sz w:val="20"/>
          <w:szCs w:val="20"/>
        </w:rPr>
        <w:t xml:space="preserve"> </w:t>
      </w:r>
      <w:r>
        <w:rPr>
          <w:rFonts w:hint="eastAsia" w:ascii="黑体" w:hAnsi="黑体" w:eastAsia="黑体" w:cs="黑体"/>
          <w:spacing w:val="23"/>
          <w:sz w:val="20"/>
          <w:szCs w:val="20"/>
        </w:rPr>
        <w:t>饮水机用滤芯</w:t>
      </w:r>
      <w:r>
        <w:rPr>
          <w:rFonts w:ascii="黑体" w:hAnsi="黑体" w:eastAsia="黑体" w:cs="黑体"/>
          <w:spacing w:val="2"/>
          <w:sz w:val="20"/>
          <w:szCs w:val="20"/>
        </w:rPr>
        <w:t>检验项目</w:t>
      </w:r>
    </w:p>
    <w:p w14:paraId="56CFC3F8">
      <w:pPr>
        <w:spacing w:line="129" w:lineRule="exact"/>
      </w:pPr>
    </w:p>
    <w:tbl>
      <w:tblPr>
        <w:tblStyle w:val="5"/>
        <w:tblW w:w="8282" w:type="dxa"/>
        <w:tblInd w:w="3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4906"/>
        <w:gridCol w:w="2589"/>
      </w:tblGrid>
      <w:tr w14:paraId="6A3A3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787" w:type="dxa"/>
            <w:vAlign w:val="top"/>
          </w:tcPr>
          <w:p w14:paraId="1AB45308">
            <w:pPr>
              <w:spacing w:before="70" w:line="230" w:lineRule="auto"/>
              <w:ind w:left="187"/>
              <w:rPr>
                <w:rFonts w:ascii="宋体" w:hAnsi="宋体" w:eastAsia="宋体" w:cs="宋体"/>
                <w:sz w:val="20"/>
                <w:szCs w:val="20"/>
              </w:rPr>
            </w:pPr>
            <w:r>
              <w:rPr>
                <w:rFonts w:ascii="宋体" w:hAnsi="宋体" w:eastAsia="宋体" w:cs="宋体"/>
                <w:spacing w:val="5"/>
                <w:sz w:val="20"/>
                <w:szCs w:val="20"/>
              </w:rPr>
              <w:t>序号</w:t>
            </w:r>
          </w:p>
        </w:tc>
        <w:tc>
          <w:tcPr>
            <w:tcW w:w="4906" w:type="dxa"/>
            <w:vAlign w:val="top"/>
          </w:tcPr>
          <w:p w14:paraId="7087E5E8">
            <w:pPr>
              <w:spacing w:before="71" w:line="228" w:lineRule="auto"/>
              <w:ind w:left="2036"/>
              <w:rPr>
                <w:rFonts w:ascii="宋体" w:hAnsi="宋体" w:eastAsia="宋体" w:cs="宋体"/>
                <w:sz w:val="20"/>
                <w:szCs w:val="20"/>
              </w:rPr>
            </w:pPr>
            <w:r>
              <w:rPr>
                <w:rFonts w:ascii="宋体" w:hAnsi="宋体" w:eastAsia="宋体" w:cs="宋体"/>
                <w:spacing w:val="7"/>
                <w:sz w:val="20"/>
                <w:szCs w:val="20"/>
              </w:rPr>
              <w:t>检验项目</w:t>
            </w:r>
          </w:p>
        </w:tc>
        <w:tc>
          <w:tcPr>
            <w:tcW w:w="2589" w:type="dxa"/>
            <w:vAlign w:val="top"/>
          </w:tcPr>
          <w:p w14:paraId="0B2D454D">
            <w:pPr>
              <w:spacing w:before="71" w:line="228" w:lineRule="auto"/>
              <w:ind w:left="879"/>
              <w:rPr>
                <w:rFonts w:ascii="宋体" w:hAnsi="宋体" w:eastAsia="宋体" w:cs="宋体"/>
                <w:sz w:val="20"/>
                <w:szCs w:val="20"/>
              </w:rPr>
            </w:pPr>
            <w:r>
              <w:rPr>
                <w:rFonts w:ascii="宋体" w:hAnsi="宋体" w:eastAsia="宋体" w:cs="宋体"/>
                <w:spacing w:val="7"/>
                <w:sz w:val="20"/>
                <w:szCs w:val="20"/>
              </w:rPr>
              <w:t>检验方法</w:t>
            </w:r>
          </w:p>
        </w:tc>
      </w:tr>
      <w:tr w14:paraId="59528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2ADBFCCB">
            <w:pPr>
              <w:spacing w:before="81" w:line="271" w:lineRule="exact"/>
              <w:ind w:left="362"/>
              <w:rPr>
                <w:rFonts w:ascii="宋体" w:hAnsi="宋体" w:eastAsia="宋体" w:cs="宋体"/>
                <w:sz w:val="20"/>
                <w:szCs w:val="20"/>
              </w:rPr>
            </w:pPr>
            <w:r>
              <w:rPr>
                <w:rFonts w:ascii="宋体" w:hAnsi="宋体" w:eastAsia="宋体" w:cs="宋体"/>
                <w:position w:val="1"/>
                <w:sz w:val="20"/>
                <w:szCs w:val="20"/>
              </w:rPr>
              <w:t>1</w:t>
            </w:r>
          </w:p>
        </w:tc>
        <w:tc>
          <w:tcPr>
            <w:tcW w:w="4906" w:type="dxa"/>
            <w:vAlign w:val="center"/>
          </w:tcPr>
          <w:p w14:paraId="57E6C928">
            <w:pPr>
              <w:spacing w:before="151" w:line="229" w:lineRule="auto"/>
              <w:jc w:val="center"/>
              <w:rPr>
                <w:rFonts w:ascii="宋体" w:hAnsi="宋体" w:eastAsia="宋体" w:cs="宋体"/>
                <w:sz w:val="20"/>
                <w:szCs w:val="20"/>
              </w:rPr>
            </w:pPr>
            <w:r>
              <w:rPr>
                <w:rFonts w:hint="eastAsia" w:ascii="宋体" w:hAnsi="宋体" w:eastAsia="宋体" w:cs="宋体"/>
                <w:sz w:val="20"/>
                <w:szCs w:val="20"/>
              </w:rPr>
              <w:t>外观质量</w:t>
            </w:r>
          </w:p>
        </w:tc>
        <w:tc>
          <w:tcPr>
            <w:tcW w:w="2589" w:type="dxa"/>
            <w:vAlign w:val="center"/>
          </w:tcPr>
          <w:p w14:paraId="6E093FDC">
            <w:pPr>
              <w:spacing w:before="151" w:line="228" w:lineRule="auto"/>
              <w:jc w:val="center"/>
              <w:rPr>
                <w:rFonts w:ascii="宋体" w:hAnsi="宋体" w:eastAsia="宋体" w:cs="宋体"/>
                <w:sz w:val="20"/>
                <w:szCs w:val="20"/>
              </w:rPr>
            </w:pPr>
            <w:r>
              <w:rPr>
                <w:rFonts w:hint="eastAsia" w:ascii="宋体" w:hAnsi="宋体" w:eastAsia="宋体" w:cs="宋体"/>
                <w:sz w:val="20"/>
                <w:szCs w:val="20"/>
              </w:rPr>
              <w:t>GB/T 30306-2024</w:t>
            </w:r>
          </w:p>
        </w:tc>
      </w:tr>
      <w:tr w14:paraId="3A630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0A9344A6">
            <w:pPr>
              <w:spacing w:before="81" w:line="271" w:lineRule="exact"/>
              <w:ind w:left="362"/>
              <w:rPr>
                <w:rFonts w:hint="eastAsia" w:ascii="宋体" w:hAnsi="宋体" w:eastAsia="宋体" w:cs="宋体"/>
                <w:position w:val="1"/>
                <w:sz w:val="20"/>
                <w:szCs w:val="20"/>
                <w:lang w:val="en-US" w:eastAsia="zh-CN"/>
              </w:rPr>
            </w:pPr>
            <w:r>
              <w:rPr>
                <w:rFonts w:hint="eastAsia" w:ascii="宋体" w:hAnsi="宋体" w:eastAsia="宋体" w:cs="宋体"/>
                <w:position w:val="1"/>
                <w:sz w:val="20"/>
                <w:szCs w:val="20"/>
                <w:lang w:val="en-US" w:eastAsia="zh-CN"/>
              </w:rPr>
              <w:t>2</w:t>
            </w:r>
          </w:p>
        </w:tc>
        <w:tc>
          <w:tcPr>
            <w:tcW w:w="4906" w:type="dxa"/>
            <w:vAlign w:val="center"/>
          </w:tcPr>
          <w:p w14:paraId="006DC5F2">
            <w:pPr>
              <w:spacing w:before="151" w:line="229" w:lineRule="auto"/>
              <w:jc w:val="center"/>
              <w:rPr>
                <w:rFonts w:ascii="宋体" w:hAnsi="宋体" w:eastAsia="宋体" w:cs="宋体"/>
                <w:sz w:val="20"/>
                <w:szCs w:val="20"/>
              </w:rPr>
            </w:pPr>
            <w:r>
              <w:rPr>
                <w:rFonts w:hint="eastAsia" w:ascii="宋体" w:hAnsi="宋体" w:eastAsia="宋体" w:cs="宋体"/>
                <w:sz w:val="20"/>
                <w:szCs w:val="20"/>
              </w:rPr>
              <w:t>密封性（静水压密封）</w:t>
            </w:r>
          </w:p>
        </w:tc>
        <w:tc>
          <w:tcPr>
            <w:tcW w:w="2589" w:type="dxa"/>
            <w:vAlign w:val="center"/>
          </w:tcPr>
          <w:p w14:paraId="1B181151">
            <w:pPr>
              <w:spacing w:before="151" w:line="228" w:lineRule="auto"/>
              <w:jc w:val="center"/>
              <w:rPr>
                <w:rFonts w:ascii="宋体" w:hAnsi="宋体" w:eastAsia="宋体" w:cs="宋体"/>
                <w:sz w:val="20"/>
                <w:szCs w:val="20"/>
              </w:rPr>
            </w:pPr>
            <w:r>
              <w:rPr>
                <w:rFonts w:hint="eastAsia" w:ascii="宋体" w:hAnsi="宋体" w:eastAsia="宋体" w:cs="宋体"/>
                <w:sz w:val="20"/>
                <w:szCs w:val="20"/>
              </w:rPr>
              <w:t>GB/T 30306-2024</w:t>
            </w:r>
          </w:p>
        </w:tc>
      </w:tr>
      <w:tr w14:paraId="522FF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87" w:type="dxa"/>
            <w:vAlign w:val="top"/>
          </w:tcPr>
          <w:p w14:paraId="440538E2">
            <w:pPr>
              <w:spacing w:before="81" w:line="271" w:lineRule="exact"/>
              <w:ind w:left="362"/>
              <w:rPr>
                <w:rFonts w:hint="eastAsia" w:ascii="宋体" w:hAnsi="宋体" w:eastAsia="宋体" w:cs="宋体"/>
                <w:position w:val="1"/>
                <w:sz w:val="20"/>
                <w:szCs w:val="20"/>
                <w:lang w:val="en-US" w:eastAsia="zh-CN"/>
              </w:rPr>
            </w:pPr>
            <w:r>
              <w:rPr>
                <w:rFonts w:hint="eastAsia" w:ascii="宋体" w:hAnsi="宋体" w:eastAsia="宋体" w:cs="宋体"/>
                <w:position w:val="1"/>
                <w:sz w:val="20"/>
                <w:szCs w:val="20"/>
                <w:lang w:val="en-US" w:eastAsia="zh-CN"/>
              </w:rPr>
              <w:t>3</w:t>
            </w:r>
          </w:p>
        </w:tc>
        <w:tc>
          <w:tcPr>
            <w:tcW w:w="4906" w:type="dxa"/>
            <w:vAlign w:val="center"/>
          </w:tcPr>
          <w:p w14:paraId="698DD8B6">
            <w:pPr>
              <w:spacing w:before="151" w:line="229" w:lineRule="auto"/>
              <w:jc w:val="center"/>
              <w:rPr>
                <w:rFonts w:ascii="宋体" w:hAnsi="宋体" w:eastAsia="宋体" w:cs="宋体"/>
                <w:sz w:val="20"/>
                <w:szCs w:val="20"/>
              </w:rPr>
            </w:pPr>
            <w:r>
              <w:rPr>
                <w:rFonts w:hint="eastAsia" w:ascii="宋体" w:hAnsi="宋体" w:eastAsia="宋体" w:cs="宋体"/>
                <w:sz w:val="20"/>
                <w:szCs w:val="20"/>
              </w:rPr>
              <w:t>阻垢率（阻垢抑垢滤芯）</w:t>
            </w:r>
          </w:p>
        </w:tc>
        <w:tc>
          <w:tcPr>
            <w:tcW w:w="2589" w:type="dxa"/>
            <w:vAlign w:val="center"/>
          </w:tcPr>
          <w:p w14:paraId="0D5AEB07">
            <w:pPr>
              <w:spacing w:before="151" w:line="228" w:lineRule="auto"/>
              <w:jc w:val="center"/>
              <w:rPr>
                <w:rFonts w:ascii="宋体" w:hAnsi="宋体" w:eastAsia="宋体" w:cs="宋体"/>
                <w:sz w:val="20"/>
                <w:szCs w:val="20"/>
              </w:rPr>
            </w:pPr>
            <w:r>
              <w:rPr>
                <w:rFonts w:hint="eastAsia" w:ascii="宋体" w:hAnsi="宋体" w:eastAsia="宋体" w:cs="宋体"/>
                <w:sz w:val="20"/>
                <w:szCs w:val="20"/>
              </w:rPr>
              <w:t>GB/T 30306-2024</w:t>
            </w:r>
          </w:p>
        </w:tc>
      </w:tr>
    </w:tbl>
    <w:p w14:paraId="486B22FE">
      <w:pPr>
        <w:widowControl w:val="0"/>
        <w:kinsoku/>
        <w:autoSpaceDE/>
        <w:autoSpaceDN/>
        <w:adjustRightInd/>
        <w:snapToGrid w:val="0"/>
        <w:spacing w:line="440" w:lineRule="exact"/>
        <w:ind w:firstLine="359" w:firstLineChars="171"/>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执行企业标准、团体标准、地方标准的产品，检验项目参照上述内容执行。</w:t>
      </w:r>
    </w:p>
    <w:p w14:paraId="161E14CA">
      <w:pPr>
        <w:widowControl w:val="0"/>
        <w:kinsoku/>
        <w:autoSpaceDE/>
        <w:autoSpaceDN/>
        <w:adjustRightInd/>
        <w:snapToGrid w:val="0"/>
        <w:spacing w:line="440" w:lineRule="exact"/>
        <w:ind w:firstLine="359" w:firstLineChars="171"/>
        <w:jc w:val="both"/>
        <w:textAlignment w:val="auto"/>
        <w:rPr>
          <w:rFonts w:ascii="Times New Roman" w:hAnsi="Times New Roman" w:eastAsia="宋体" w:cs="Times New Roman"/>
          <w:snapToGrid/>
          <w:color w:val="000000"/>
          <w:kern w:val="2"/>
          <w:szCs w:val="21"/>
          <w:lang w:eastAsia="zh-CN"/>
        </w:rPr>
      </w:pPr>
      <w:r>
        <w:rPr>
          <w:rFonts w:ascii="Times New Roman" w:hAnsi="Times New Roman" w:eastAsia="宋体" w:cs="Times New Roman"/>
          <w:snapToGrid/>
          <w:color w:val="000000"/>
          <w:kern w:val="2"/>
          <w:szCs w:val="21"/>
          <w:lang w:eastAsia="zh-CN"/>
        </w:rPr>
        <w:t>凡是注日期的文件，其随后所有的修改单（不包括勘误的内容）或修订版不适用于本细则。凡是不注日期的文件，其最新版本适用于本细则。</w:t>
      </w:r>
    </w:p>
    <w:p w14:paraId="19364C0B">
      <w:pPr>
        <w:spacing w:before="140" w:line="230" w:lineRule="auto"/>
        <w:ind w:left="1"/>
        <w:rPr>
          <w:rFonts w:ascii="黑体" w:hAnsi="黑体" w:eastAsia="黑体" w:cs="黑体"/>
          <w:sz w:val="21"/>
          <w:szCs w:val="21"/>
        </w:rPr>
      </w:pPr>
      <w:r>
        <w:rPr>
          <w:rFonts w:ascii="黑体" w:hAnsi="黑体" w:eastAsia="黑体" w:cs="黑体"/>
          <w:spacing w:val="5"/>
          <w:sz w:val="21"/>
          <w:szCs w:val="21"/>
        </w:rPr>
        <w:t>3</w:t>
      </w:r>
      <w:r>
        <w:rPr>
          <w:rFonts w:ascii="黑体" w:hAnsi="黑体" w:eastAsia="黑体" w:cs="黑体"/>
          <w:spacing w:val="9"/>
          <w:sz w:val="21"/>
          <w:szCs w:val="21"/>
        </w:rPr>
        <w:t xml:space="preserve">  </w:t>
      </w:r>
      <w:r>
        <w:rPr>
          <w:rFonts w:ascii="黑体" w:hAnsi="黑体" w:eastAsia="黑体" w:cs="黑体"/>
          <w:spacing w:val="5"/>
          <w:sz w:val="21"/>
          <w:szCs w:val="21"/>
        </w:rPr>
        <w:t>判定规则</w:t>
      </w:r>
    </w:p>
    <w:p w14:paraId="3CB74E13">
      <w:pPr>
        <w:pStyle w:val="2"/>
        <w:spacing w:before="158" w:line="228" w:lineRule="auto"/>
        <w:ind w:left="5"/>
        <w:rPr>
          <w:rFonts w:hint="eastAsia" w:ascii="宋体" w:hAnsi="宋体" w:eastAsia="宋体" w:cs="宋体"/>
          <w:sz w:val="21"/>
          <w:szCs w:val="21"/>
        </w:rPr>
      </w:pPr>
      <w:r>
        <w:rPr>
          <w:rFonts w:hint="eastAsia" w:ascii="宋体" w:hAnsi="宋体" w:eastAsia="宋体" w:cs="宋体"/>
          <w:spacing w:val="5"/>
          <w:sz w:val="21"/>
          <w:szCs w:val="21"/>
        </w:rPr>
        <w:t>3.1  依据标准</w:t>
      </w:r>
    </w:p>
    <w:p w14:paraId="119AD313">
      <w:pPr>
        <w:pStyle w:val="2"/>
        <w:spacing w:before="160" w:line="378" w:lineRule="auto"/>
        <w:ind w:left="423" w:right="1" w:hanging="4"/>
        <w:rPr>
          <w:rFonts w:hint="eastAsia" w:ascii="宋体" w:hAnsi="宋体" w:eastAsia="宋体" w:cs="宋体"/>
          <w:spacing w:val="6"/>
          <w:sz w:val="21"/>
          <w:szCs w:val="21"/>
          <w:lang w:eastAsia="zh-CN"/>
        </w:rPr>
      </w:pPr>
      <w:r>
        <w:rPr>
          <w:rFonts w:hint="eastAsia" w:ascii="宋体" w:hAnsi="宋体" w:eastAsia="宋体" w:cs="宋体"/>
          <w:sz w:val="21"/>
          <w:szCs w:val="21"/>
        </w:rPr>
        <w:t>GB/T 30306-2024</w:t>
      </w:r>
      <w:r>
        <w:rPr>
          <w:rFonts w:hint="eastAsia" w:cs="宋体"/>
          <w:sz w:val="21"/>
          <w:szCs w:val="21"/>
          <w:lang w:val="en-US" w:eastAsia="zh-CN"/>
        </w:rPr>
        <w:t xml:space="preserve"> 家用和类似用途饮用水处理滤芯</w:t>
      </w:r>
    </w:p>
    <w:p w14:paraId="1E34BF87">
      <w:pPr>
        <w:pStyle w:val="2"/>
        <w:spacing w:before="160" w:line="378" w:lineRule="auto"/>
        <w:ind w:left="423" w:right="1" w:hanging="4"/>
        <w:rPr>
          <w:rFonts w:hint="eastAsia" w:ascii="宋体" w:hAnsi="宋体" w:eastAsia="宋体" w:cs="宋体"/>
          <w:sz w:val="21"/>
          <w:szCs w:val="21"/>
        </w:rPr>
      </w:pPr>
      <w:r>
        <w:rPr>
          <w:rFonts w:hint="eastAsia" w:ascii="宋体" w:hAnsi="宋体" w:eastAsia="宋体" w:cs="宋体"/>
          <w:spacing w:val="9"/>
          <w:sz w:val="21"/>
          <w:szCs w:val="21"/>
        </w:rPr>
        <w:t>现行有效的企业标准、团体标准、地方标准及产品明示质量要求。</w:t>
      </w:r>
    </w:p>
    <w:p w14:paraId="71C6C934">
      <w:pPr>
        <w:pStyle w:val="2"/>
        <w:spacing w:line="229" w:lineRule="auto"/>
        <w:ind w:left="5"/>
        <w:rPr>
          <w:rFonts w:hint="eastAsia" w:ascii="宋体" w:hAnsi="宋体" w:eastAsia="宋体" w:cs="宋体"/>
          <w:sz w:val="21"/>
          <w:szCs w:val="21"/>
        </w:rPr>
      </w:pPr>
      <w:r>
        <w:rPr>
          <w:rFonts w:hint="eastAsia" w:ascii="宋体" w:hAnsi="宋体" w:eastAsia="宋体" w:cs="宋体"/>
          <w:spacing w:val="5"/>
          <w:sz w:val="21"/>
          <w:szCs w:val="21"/>
        </w:rPr>
        <w:t>3.2  判定原则</w:t>
      </w:r>
    </w:p>
    <w:p w14:paraId="6FBD84F7">
      <w:pPr>
        <w:widowControl w:val="0"/>
        <w:kinsoku/>
        <w:autoSpaceDE/>
        <w:autoSpaceDN/>
        <w:adjustRightInd/>
        <w:snapToGrid w:val="0"/>
        <w:spacing w:line="440" w:lineRule="exact"/>
        <w:ind w:firstLine="420" w:firstLineChars="200"/>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经检验，检验项目全部合格，判定为被抽查产品所检项目未发现不合格；检验项目中任一项或一项以上不合格，判定为被抽查产品不合格。</w:t>
      </w:r>
    </w:p>
    <w:p w14:paraId="17EC5443">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若被检产品明示的质量要求高于本细则中检验项目依据的标准要求时，应按被检产品明示的质量要求判定。</w:t>
      </w:r>
    </w:p>
    <w:p w14:paraId="5FCEB3BF">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若被检产品明示的质量要求低于本细则中检验项目依据的强制性标准要求时，应按照强制性标准要求判定。</w:t>
      </w:r>
    </w:p>
    <w:p w14:paraId="75E57A2D">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若被检产品明示的质量要求低于或包含本细则中检验项目依据的推荐性标准要求时，应以被检产品明示的质量要求判定。</w:t>
      </w:r>
    </w:p>
    <w:p w14:paraId="2CE9FC31">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若被检产品明示的质量要求缺少本细则中检验项目依据的强制性标准要求时，应按照强制性标准要求判定。</w:t>
      </w:r>
    </w:p>
    <w:p w14:paraId="07C7E870">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若被检产品明示的质量要求缺少本细则中检验项目依据的推荐性标准要求时，该项目不参与判定。</w:t>
      </w:r>
    </w:p>
    <w:p w14:paraId="34DE27F7">
      <w:pPr>
        <w:pStyle w:val="2"/>
        <w:spacing w:before="159" w:line="228" w:lineRule="auto"/>
        <w:jc w:val="right"/>
      </w:pPr>
    </w:p>
    <w:sectPr>
      <w:footerReference r:id="rId5" w:type="default"/>
      <w:pgSz w:w="11906" w:h="16839"/>
      <w:pgMar w:top="1406" w:right="1108" w:bottom="1518" w:left="1704" w:header="0" w:footer="124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8F0CEF9-AFBD-47CA-A369-99FEA3AE0E4D}"/>
  </w:font>
  <w:font w:name="黑体">
    <w:panose1 w:val="02010609060101010101"/>
    <w:charset w:val="86"/>
    <w:family w:val="auto"/>
    <w:pitch w:val="default"/>
    <w:sig w:usb0="800002BF" w:usb1="38CF7CFA" w:usb2="00000016" w:usb3="00000000" w:csb0="00040001" w:csb1="00000000"/>
    <w:embedRegular r:id="rId2" w:fontKey="{4CD52FC9-03BD-4386-A7F2-26713AB6F9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3E0BF76-5657-4BEA-872E-C18C7B142452}"/>
  </w:font>
  <w:font w:name="方正小标宋简体">
    <w:panose1 w:val="02000000000000000000"/>
    <w:charset w:val="86"/>
    <w:family w:val="auto"/>
    <w:pitch w:val="default"/>
    <w:sig w:usb0="00000001" w:usb1="08000000" w:usb2="00000000" w:usb3="00000000" w:csb0="00040000" w:csb1="00000000"/>
    <w:embedRegular r:id="rId4" w:fontKey="{FF19F11E-C71A-4DD3-8215-400FFF496CC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9A56A">
    <w:pPr>
      <w:spacing w:line="266" w:lineRule="exact"/>
      <w:ind w:left="4497"/>
      <w:rPr>
        <w:rFonts w:ascii="Calibri" w:hAnsi="Calibri" w:eastAsia="Calibri" w:cs="Calibri"/>
        <w:sz w:val="18"/>
        <w:szCs w:val="18"/>
      </w:rPr>
    </w:pPr>
    <w:r>
      <w:rPr>
        <w:rFonts w:ascii="Calibri" w:hAnsi="Calibri" w:eastAsia="Calibri" w:cs="Calibri"/>
        <w:position w:val="2"/>
        <w:sz w:val="18"/>
        <w:szCs w:val="18"/>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1D5FB4"/>
    <w:rsid w:val="002235CA"/>
    <w:rsid w:val="044E2BE0"/>
    <w:rsid w:val="055C132D"/>
    <w:rsid w:val="087370B9"/>
    <w:rsid w:val="0BA92DF2"/>
    <w:rsid w:val="0C6A2581"/>
    <w:rsid w:val="0E1F59AD"/>
    <w:rsid w:val="1441006B"/>
    <w:rsid w:val="16930926"/>
    <w:rsid w:val="1881137E"/>
    <w:rsid w:val="1BC258D0"/>
    <w:rsid w:val="1C0227D6"/>
    <w:rsid w:val="1D4806BC"/>
    <w:rsid w:val="1E180DD4"/>
    <w:rsid w:val="21A34113"/>
    <w:rsid w:val="21ED1832"/>
    <w:rsid w:val="22C32593"/>
    <w:rsid w:val="231A4E15"/>
    <w:rsid w:val="23305E7B"/>
    <w:rsid w:val="241629E9"/>
    <w:rsid w:val="277327DA"/>
    <w:rsid w:val="27B5694E"/>
    <w:rsid w:val="2B34402E"/>
    <w:rsid w:val="2C707434"/>
    <w:rsid w:val="2D3E2F42"/>
    <w:rsid w:val="2D510EC7"/>
    <w:rsid w:val="2DC07DFB"/>
    <w:rsid w:val="301D7787"/>
    <w:rsid w:val="309061AB"/>
    <w:rsid w:val="30A36BA0"/>
    <w:rsid w:val="315216B2"/>
    <w:rsid w:val="31BC4AAE"/>
    <w:rsid w:val="330B2C8D"/>
    <w:rsid w:val="34E24AFB"/>
    <w:rsid w:val="37DE77FC"/>
    <w:rsid w:val="3AEC0481"/>
    <w:rsid w:val="3C37397E"/>
    <w:rsid w:val="3E682813"/>
    <w:rsid w:val="3E974BA8"/>
    <w:rsid w:val="401A15ED"/>
    <w:rsid w:val="404843AC"/>
    <w:rsid w:val="42DF08CC"/>
    <w:rsid w:val="45036AF3"/>
    <w:rsid w:val="4933371F"/>
    <w:rsid w:val="49DE7B2F"/>
    <w:rsid w:val="4BE07B8E"/>
    <w:rsid w:val="4C7C0B81"/>
    <w:rsid w:val="4DC64B62"/>
    <w:rsid w:val="4DFA5FFD"/>
    <w:rsid w:val="4F351F9F"/>
    <w:rsid w:val="4F8C3B89"/>
    <w:rsid w:val="537B019D"/>
    <w:rsid w:val="553E76D4"/>
    <w:rsid w:val="58313520"/>
    <w:rsid w:val="58845D45"/>
    <w:rsid w:val="5B7B51DE"/>
    <w:rsid w:val="5C5B6DBD"/>
    <w:rsid w:val="60E90E3C"/>
    <w:rsid w:val="619D39D4"/>
    <w:rsid w:val="61EC6CC1"/>
    <w:rsid w:val="65F52031"/>
    <w:rsid w:val="685B3E0C"/>
    <w:rsid w:val="68B97BB8"/>
    <w:rsid w:val="6C07661A"/>
    <w:rsid w:val="6CF03552"/>
    <w:rsid w:val="6EC151A6"/>
    <w:rsid w:val="6ED22F0F"/>
    <w:rsid w:val="71E511AB"/>
    <w:rsid w:val="74FA4F6E"/>
    <w:rsid w:val="76C92E49"/>
    <w:rsid w:val="777803CC"/>
    <w:rsid w:val="78B77DE4"/>
    <w:rsid w:val="79690914"/>
    <w:rsid w:val="79DA4BAA"/>
    <w:rsid w:val="7B6475E5"/>
    <w:rsid w:val="7CD65FF5"/>
    <w:rsid w:val="7D625DA6"/>
    <w:rsid w:val="7E4436FD"/>
    <w:rsid w:val="7EBA7AD9"/>
    <w:rsid w:val="7ED06D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Calibri" w:hAnsi="Calibri" w:eastAsia="Calibri" w:cs="Calibri"/>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624</Words>
  <Characters>679</Characters>
  <TotalTime>7</TotalTime>
  <ScaleCrop>false</ScaleCrop>
  <LinksUpToDate>false</LinksUpToDate>
  <CharactersWithSpaces>697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2026-06-26T16:17:00Z</dcterms:created>
  <dc:creator>Windows 用户</dc:creator>
  <cp:lastModifiedBy>。</cp:lastModifiedBy>
  <dcterms:modified xsi:type="dcterms:W3CDTF">2026-10-09T04:00:35Z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2026-09-30T17:11:07Z</vt:filetime>
  </property>
  <property fmtid="{D5CDD505-2E9C-101B-9397-08002B2CF9AE}" pid="4" name="KSOTemplateDocerSaveRecord">
    <vt:lpwstr>eyJoZGlkIjoiNjBmMGY0NDRhMDljNjM3ZmM0MTNlYjhjZjBkMmNlYjEiLCJ1c2VySWQiOiIyMTM2ODQxMzIifQ==</vt:lpwstr>
  </property>
  <property fmtid="{D5CDD505-2E9C-101B-9397-08002B2CF9AE}" pid="5" name="KSOProductBuildVer">
    <vt:lpwstr>2052-12.1.0.28505</vt:lpwstr>
  </property>
  <property fmtid="{D5CDD505-2E9C-101B-9397-08002B2CF9AE}" pid="6" name="ICV">
    <vt:lpwstr>754500F8336E4EA7A4B0AAC16BA99911_12</vt:lpwstr>
  </property>
</Properties>
</file>