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6345B">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攀枝花市抑尘覆盖网产品质量监督抽查实施细则</w:t>
      </w:r>
    </w:p>
    <w:p w14:paraId="1B6B1DB6">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（2026 年版）</w:t>
      </w:r>
    </w:p>
    <w:p w14:paraId="3B70F91B">
      <w:pPr>
        <w:spacing w:before="224" w:line="229" w:lineRule="auto"/>
        <w:ind w:left="12"/>
        <w:rPr>
          <w:rFonts w:ascii="黑体" w:hAnsi="黑体" w:eastAsia="黑体" w:cs="黑体"/>
          <w:sz w:val="21"/>
          <w:szCs w:val="21"/>
        </w:rPr>
      </w:pPr>
      <w:r>
        <w:rPr>
          <w:rFonts w:ascii="黑体" w:hAnsi="黑体" w:eastAsia="黑体" w:cs="黑体"/>
          <w:spacing w:val="2"/>
          <w:sz w:val="21"/>
          <w:szCs w:val="21"/>
        </w:rPr>
        <w:t>1</w:t>
      </w:r>
      <w:r>
        <w:rPr>
          <w:rFonts w:ascii="黑体" w:hAnsi="黑体" w:eastAsia="黑体" w:cs="黑体"/>
          <w:spacing w:val="11"/>
          <w:sz w:val="21"/>
          <w:szCs w:val="21"/>
        </w:rPr>
        <w:t xml:space="preserve">  </w:t>
      </w:r>
      <w:r>
        <w:rPr>
          <w:rFonts w:ascii="黑体" w:hAnsi="黑体" w:eastAsia="黑体" w:cs="黑体"/>
          <w:spacing w:val="2"/>
          <w:sz w:val="21"/>
          <w:szCs w:val="21"/>
        </w:rPr>
        <w:t>抽样方法</w:t>
      </w:r>
    </w:p>
    <w:p w14:paraId="1949F1A2">
      <w:pPr>
        <w:pStyle w:val="2"/>
        <w:spacing w:before="159" w:line="228" w:lineRule="auto"/>
        <w:ind w:left="445"/>
        <w:rPr>
          <w:rFonts w:hint="eastAsia" w:ascii="宋体" w:hAnsi="宋体" w:eastAsia="宋体" w:cs="宋体"/>
          <w:sz w:val="21"/>
          <w:szCs w:val="21"/>
        </w:rPr>
      </w:pPr>
      <w:r>
        <w:rPr>
          <w:rFonts w:hint="eastAsia" w:ascii="宋体" w:hAnsi="宋体" w:eastAsia="宋体" w:cs="宋体"/>
          <w:spacing w:val="8"/>
          <w:sz w:val="21"/>
          <w:szCs w:val="21"/>
        </w:rPr>
        <w:t>以随机抽样的方式在被抽样生产者、销售者的待销产品中抽取。</w:t>
      </w:r>
    </w:p>
    <w:p w14:paraId="7B692436">
      <w:pPr>
        <w:pStyle w:val="2"/>
        <w:spacing w:before="164" w:line="228" w:lineRule="auto"/>
        <w:ind w:left="421"/>
        <w:rPr>
          <w:rFonts w:hint="eastAsia" w:ascii="宋体" w:hAnsi="宋体" w:eastAsia="宋体" w:cs="宋体"/>
          <w:spacing w:val="8"/>
          <w:sz w:val="21"/>
          <w:szCs w:val="21"/>
        </w:rPr>
      </w:pPr>
      <w:r>
        <w:rPr>
          <w:rFonts w:hint="eastAsia" w:ascii="宋体" w:hAnsi="宋体" w:eastAsia="宋体" w:cs="宋体"/>
          <w:spacing w:val="8"/>
          <w:sz w:val="21"/>
          <w:szCs w:val="21"/>
        </w:rPr>
        <w:t>随机数一般可使用随机数表等方法产生。</w:t>
      </w:r>
    </w:p>
    <w:p w14:paraId="5193FE17">
      <w:pPr>
        <w:pStyle w:val="2"/>
        <w:spacing w:before="164" w:line="228" w:lineRule="auto"/>
        <w:ind w:left="421"/>
      </w:pPr>
      <w:r>
        <w:rPr>
          <w:rFonts w:hint="eastAsia" w:ascii="宋体" w:hAnsi="宋体" w:eastAsia="宋体" w:cs="宋体"/>
          <w:spacing w:val="8"/>
          <w:sz w:val="21"/>
          <w:szCs w:val="21"/>
        </w:rPr>
        <w:t>每批次产品抽取样品</w:t>
      </w:r>
      <w:r>
        <w:rPr>
          <w:rFonts w:hint="eastAsia" w:cs="宋体"/>
          <w:spacing w:val="8"/>
          <w:sz w:val="21"/>
          <w:szCs w:val="21"/>
          <w:lang w:val="en-US" w:eastAsia="zh-CN"/>
        </w:rPr>
        <w:t>10</w:t>
      </w:r>
      <w:r>
        <w:rPr>
          <w:rFonts w:hint="eastAsia" w:ascii="宋体" w:hAnsi="宋体" w:eastAsia="宋体" w:cs="宋体"/>
          <w:spacing w:val="8"/>
          <w:sz w:val="21"/>
          <w:szCs w:val="21"/>
        </w:rPr>
        <w:t xml:space="preserve"> m²，其中5 m²作为检验样品，5 m²作为备用样</w:t>
      </w:r>
      <w:r>
        <w:rPr>
          <w:rFonts w:hint="eastAsia" w:ascii="宋体" w:hAnsi="宋体" w:eastAsia="宋体" w:cs="宋体"/>
          <w:spacing w:val="7"/>
          <w:sz w:val="21"/>
          <w:szCs w:val="21"/>
        </w:rPr>
        <w:t>品。</w:t>
      </w:r>
    </w:p>
    <w:p w14:paraId="1EE18E29">
      <w:pPr>
        <w:spacing w:before="161" w:line="230" w:lineRule="auto"/>
        <w:rPr>
          <w:rFonts w:ascii="黑体" w:hAnsi="黑体" w:eastAsia="黑体" w:cs="黑体"/>
          <w:sz w:val="21"/>
          <w:szCs w:val="21"/>
        </w:rPr>
      </w:pPr>
      <w:r>
        <w:rPr>
          <w:rFonts w:ascii="黑体" w:hAnsi="黑体" w:eastAsia="黑体" w:cs="黑体"/>
          <w:spacing w:val="6"/>
          <w:sz w:val="21"/>
          <w:szCs w:val="21"/>
        </w:rPr>
        <w:t>2  检验依据</w:t>
      </w:r>
    </w:p>
    <w:p w14:paraId="03A0FCF6">
      <w:pPr>
        <w:spacing w:before="159" w:line="229" w:lineRule="auto"/>
        <w:ind w:left="3389"/>
        <w:outlineLvl w:val="0"/>
        <w:rPr>
          <w:rFonts w:ascii="黑体" w:hAnsi="黑体" w:eastAsia="黑体" w:cs="黑体"/>
          <w:sz w:val="20"/>
          <w:szCs w:val="20"/>
        </w:rPr>
      </w:pPr>
      <w:r>
        <w:rPr>
          <w:rFonts w:ascii="黑体" w:hAnsi="黑体" w:eastAsia="黑体" w:cs="黑体"/>
          <w:spacing w:val="2"/>
          <w:sz w:val="20"/>
          <w:szCs w:val="20"/>
        </w:rPr>
        <w:t>表</w:t>
      </w:r>
      <w:r>
        <w:rPr>
          <w:rFonts w:ascii="黑体" w:hAnsi="黑体" w:eastAsia="黑体" w:cs="黑体"/>
          <w:spacing w:val="-29"/>
          <w:sz w:val="20"/>
          <w:szCs w:val="20"/>
        </w:rPr>
        <w:t xml:space="preserve"> </w:t>
      </w:r>
      <w:r>
        <w:rPr>
          <w:rFonts w:ascii="黑体" w:hAnsi="黑体" w:eastAsia="黑体" w:cs="黑体"/>
          <w:spacing w:val="2"/>
          <w:sz w:val="20"/>
          <w:szCs w:val="20"/>
        </w:rPr>
        <w:t>1</w:t>
      </w:r>
      <w:r>
        <w:rPr>
          <w:rFonts w:ascii="黑体" w:hAnsi="黑体" w:eastAsia="黑体" w:cs="黑体"/>
          <w:spacing w:val="23"/>
          <w:sz w:val="20"/>
          <w:szCs w:val="20"/>
        </w:rPr>
        <w:t xml:space="preserve"> </w:t>
      </w:r>
      <w:r>
        <w:rPr>
          <w:rFonts w:hint="eastAsia" w:ascii="黑体" w:hAnsi="黑体" w:eastAsia="黑体" w:cs="黑体"/>
          <w:spacing w:val="23"/>
          <w:sz w:val="20"/>
          <w:szCs w:val="20"/>
        </w:rPr>
        <w:t>抑尘覆盖网</w:t>
      </w:r>
      <w:r>
        <w:rPr>
          <w:rFonts w:ascii="黑体" w:hAnsi="黑体" w:eastAsia="黑体" w:cs="黑体"/>
          <w:spacing w:val="2"/>
          <w:sz w:val="20"/>
          <w:szCs w:val="20"/>
        </w:rPr>
        <w:t>检验项目</w:t>
      </w:r>
    </w:p>
    <w:p w14:paraId="56CFC3F8">
      <w:pPr>
        <w:spacing w:line="129" w:lineRule="exact"/>
      </w:pPr>
    </w:p>
    <w:tbl>
      <w:tblPr>
        <w:tblStyle w:val="5"/>
        <w:tblW w:w="8282" w:type="dxa"/>
        <w:tblInd w:w="3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4906"/>
        <w:gridCol w:w="2589"/>
      </w:tblGrid>
      <w:tr w14:paraId="6A3A3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8" w:hRule="atLeast"/>
        </w:trPr>
        <w:tc>
          <w:tcPr>
            <w:tcW w:w="787" w:type="dxa"/>
            <w:vAlign w:val="top"/>
          </w:tcPr>
          <w:p w14:paraId="1AB45308">
            <w:pPr>
              <w:spacing w:before="70" w:line="230" w:lineRule="auto"/>
              <w:ind w:left="187"/>
              <w:rPr>
                <w:rFonts w:ascii="宋体" w:hAnsi="宋体" w:eastAsia="宋体" w:cs="宋体"/>
                <w:sz w:val="20"/>
                <w:szCs w:val="20"/>
              </w:rPr>
            </w:pPr>
            <w:r>
              <w:rPr>
                <w:rFonts w:ascii="宋体" w:hAnsi="宋体" w:eastAsia="宋体" w:cs="宋体"/>
                <w:spacing w:val="5"/>
                <w:sz w:val="20"/>
                <w:szCs w:val="20"/>
              </w:rPr>
              <w:t>序号</w:t>
            </w:r>
          </w:p>
        </w:tc>
        <w:tc>
          <w:tcPr>
            <w:tcW w:w="4906" w:type="dxa"/>
            <w:vAlign w:val="top"/>
          </w:tcPr>
          <w:p w14:paraId="7087E5E8">
            <w:pPr>
              <w:spacing w:before="71" w:line="228" w:lineRule="auto"/>
              <w:ind w:left="2036"/>
              <w:rPr>
                <w:rFonts w:ascii="宋体" w:hAnsi="宋体" w:eastAsia="宋体" w:cs="宋体"/>
                <w:sz w:val="20"/>
                <w:szCs w:val="20"/>
              </w:rPr>
            </w:pPr>
            <w:r>
              <w:rPr>
                <w:rFonts w:ascii="宋体" w:hAnsi="宋体" w:eastAsia="宋体" w:cs="宋体"/>
                <w:spacing w:val="7"/>
                <w:sz w:val="20"/>
                <w:szCs w:val="20"/>
              </w:rPr>
              <w:t>检验项目</w:t>
            </w:r>
          </w:p>
        </w:tc>
        <w:tc>
          <w:tcPr>
            <w:tcW w:w="2589" w:type="dxa"/>
            <w:vAlign w:val="top"/>
          </w:tcPr>
          <w:p w14:paraId="0B2D454D">
            <w:pPr>
              <w:spacing w:before="71" w:line="228" w:lineRule="auto"/>
              <w:ind w:left="879"/>
              <w:rPr>
                <w:rFonts w:ascii="宋体" w:hAnsi="宋体" w:eastAsia="宋体" w:cs="宋体"/>
                <w:sz w:val="20"/>
                <w:szCs w:val="20"/>
              </w:rPr>
            </w:pPr>
            <w:r>
              <w:rPr>
                <w:rFonts w:ascii="宋体" w:hAnsi="宋体" w:eastAsia="宋体" w:cs="宋体"/>
                <w:spacing w:val="7"/>
                <w:sz w:val="20"/>
                <w:szCs w:val="20"/>
              </w:rPr>
              <w:t>检验方法</w:t>
            </w:r>
          </w:p>
        </w:tc>
      </w:tr>
      <w:tr w14:paraId="59528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2ADBFCCB">
            <w:pPr>
              <w:spacing w:before="81" w:line="271" w:lineRule="exact"/>
              <w:ind w:left="362"/>
              <w:rPr>
                <w:rFonts w:ascii="宋体" w:hAnsi="宋体" w:eastAsia="宋体" w:cs="宋体"/>
                <w:sz w:val="20"/>
                <w:szCs w:val="20"/>
              </w:rPr>
            </w:pPr>
            <w:r>
              <w:rPr>
                <w:rFonts w:ascii="宋体" w:hAnsi="宋体" w:eastAsia="宋体" w:cs="宋体"/>
                <w:position w:val="1"/>
                <w:sz w:val="20"/>
                <w:szCs w:val="20"/>
              </w:rPr>
              <w:t>1</w:t>
            </w:r>
          </w:p>
        </w:tc>
        <w:tc>
          <w:tcPr>
            <w:tcW w:w="4906" w:type="dxa"/>
            <w:vAlign w:val="center"/>
          </w:tcPr>
          <w:p w14:paraId="57E6C928">
            <w:pPr>
              <w:spacing w:before="151" w:line="229" w:lineRule="auto"/>
              <w:jc w:val="center"/>
              <w:rPr>
                <w:rFonts w:ascii="宋体" w:hAnsi="宋体" w:eastAsia="宋体" w:cs="宋体"/>
                <w:sz w:val="20"/>
                <w:szCs w:val="20"/>
              </w:rPr>
            </w:pPr>
            <w:r>
              <w:rPr>
                <w:rFonts w:hint="eastAsia" w:ascii="宋体" w:hAnsi="宋体" w:eastAsia="宋体" w:cs="宋体"/>
                <w:sz w:val="20"/>
                <w:szCs w:val="20"/>
              </w:rPr>
              <w:t>断裂强力</w:t>
            </w:r>
          </w:p>
        </w:tc>
        <w:tc>
          <w:tcPr>
            <w:tcW w:w="2589" w:type="dxa"/>
            <w:vAlign w:val="center"/>
          </w:tcPr>
          <w:p w14:paraId="6E093FDC">
            <w:pPr>
              <w:spacing w:before="151" w:line="228" w:lineRule="auto"/>
              <w:jc w:val="center"/>
              <w:rPr>
                <w:rFonts w:ascii="宋体" w:hAnsi="宋体" w:eastAsia="宋体" w:cs="宋体"/>
                <w:sz w:val="20"/>
                <w:szCs w:val="20"/>
              </w:rPr>
            </w:pPr>
            <w:r>
              <w:rPr>
                <w:rFonts w:hint="eastAsia" w:ascii="宋体" w:hAnsi="宋体" w:eastAsia="宋体" w:cs="宋体"/>
                <w:sz w:val="20"/>
                <w:szCs w:val="20"/>
              </w:rPr>
              <w:t>GB 5725-2009</w:t>
            </w:r>
          </w:p>
        </w:tc>
      </w:tr>
      <w:tr w14:paraId="45D19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4D64CC30">
            <w:pPr>
              <w:spacing w:before="81" w:line="271" w:lineRule="exact"/>
              <w:ind w:left="362"/>
              <w:rPr>
                <w:rFonts w:hint="eastAsia" w:ascii="宋体" w:hAnsi="宋体" w:eastAsia="宋体" w:cs="宋体"/>
                <w:position w:val="1"/>
                <w:sz w:val="20"/>
                <w:szCs w:val="20"/>
                <w:lang w:val="en-US" w:eastAsia="zh-CN"/>
              </w:rPr>
            </w:pPr>
            <w:r>
              <w:rPr>
                <w:rFonts w:hint="eastAsia" w:ascii="宋体" w:hAnsi="宋体" w:eastAsia="宋体" w:cs="宋体"/>
                <w:position w:val="1"/>
                <w:sz w:val="20"/>
                <w:szCs w:val="20"/>
                <w:lang w:val="en-US" w:eastAsia="zh-CN"/>
              </w:rPr>
              <w:t>2</w:t>
            </w:r>
          </w:p>
        </w:tc>
        <w:tc>
          <w:tcPr>
            <w:tcW w:w="4906" w:type="dxa"/>
            <w:vAlign w:val="center"/>
          </w:tcPr>
          <w:p w14:paraId="6D01C99D">
            <w:pPr>
              <w:spacing w:before="151" w:line="229" w:lineRule="auto"/>
              <w:jc w:val="center"/>
              <w:rPr>
                <w:rFonts w:ascii="宋体" w:hAnsi="宋体" w:eastAsia="宋体" w:cs="宋体"/>
                <w:sz w:val="20"/>
                <w:szCs w:val="20"/>
              </w:rPr>
            </w:pPr>
            <w:r>
              <w:rPr>
                <w:rFonts w:hint="eastAsia" w:ascii="宋体" w:hAnsi="宋体" w:eastAsia="宋体" w:cs="宋体"/>
                <w:sz w:val="20"/>
                <w:szCs w:val="20"/>
              </w:rPr>
              <w:t>密度偏差</w:t>
            </w:r>
          </w:p>
        </w:tc>
        <w:tc>
          <w:tcPr>
            <w:tcW w:w="2589" w:type="dxa"/>
            <w:vAlign w:val="center"/>
          </w:tcPr>
          <w:p w14:paraId="521A8053">
            <w:pPr>
              <w:spacing w:before="151" w:line="228" w:lineRule="auto"/>
              <w:jc w:val="center"/>
              <w:rPr>
                <w:rFonts w:ascii="宋体" w:hAnsi="宋体" w:eastAsia="宋体" w:cs="宋体"/>
                <w:sz w:val="20"/>
                <w:szCs w:val="20"/>
              </w:rPr>
            </w:pPr>
            <w:r>
              <w:rPr>
                <w:rFonts w:hint="eastAsia" w:ascii="宋体" w:hAnsi="宋体" w:eastAsia="宋体" w:cs="宋体"/>
                <w:sz w:val="20"/>
                <w:szCs w:val="20"/>
              </w:rPr>
              <w:t>FZ/T 64106-2023</w:t>
            </w:r>
          </w:p>
        </w:tc>
      </w:tr>
      <w:tr w14:paraId="09F7F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2EDBFEDF">
            <w:pPr>
              <w:spacing w:before="81" w:line="271" w:lineRule="exact"/>
              <w:ind w:left="362"/>
              <w:rPr>
                <w:rFonts w:hint="eastAsia" w:ascii="宋体" w:hAnsi="宋体" w:eastAsia="宋体" w:cs="宋体"/>
                <w:position w:val="1"/>
                <w:sz w:val="20"/>
                <w:szCs w:val="20"/>
                <w:lang w:val="en-US" w:eastAsia="zh-CN"/>
              </w:rPr>
            </w:pPr>
            <w:r>
              <w:rPr>
                <w:rFonts w:hint="eastAsia" w:ascii="宋体" w:hAnsi="宋体" w:eastAsia="宋体" w:cs="宋体"/>
                <w:position w:val="1"/>
                <w:sz w:val="20"/>
                <w:szCs w:val="20"/>
                <w:lang w:val="en-US" w:eastAsia="zh-CN"/>
              </w:rPr>
              <w:t>3</w:t>
            </w:r>
          </w:p>
        </w:tc>
        <w:tc>
          <w:tcPr>
            <w:tcW w:w="4906" w:type="dxa"/>
            <w:vAlign w:val="center"/>
          </w:tcPr>
          <w:p w14:paraId="6B1984B8">
            <w:pPr>
              <w:spacing w:before="151" w:line="229" w:lineRule="auto"/>
              <w:jc w:val="center"/>
              <w:rPr>
                <w:rFonts w:ascii="宋体" w:hAnsi="宋体" w:eastAsia="宋体" w:cs="宋体"/>
                <w:sz w:val="20"/>
                <w:szCs w:val="20"/>
              </w:rPr>
            </w:pPr>
            <w:r>
              <w:rPr>
                <w:rFonts w:hint="eastAsia" w:ascii="宋体" w:hAnsi="宋体" w:eastAsia="宋体" w:cs="宋体"/>
                <w:sz w:val="20"/>
                <w:szCs w:val="20"/>
              </w:rPr>
              <w:t>覆盖率</w:t>
            </w:r>
          </w:p>
        </w:tc>
        <w:tc>
          <w:tcPr>
            <w:tcW w:w="2589" w:type="dxa"/>
            <w:vAlign w:val="center"/>
          </w:tcPr>
          <w:p w14:paraId="5A022D49">
            <w:pPr>
              <w:spacing w:before="151" w:line="228" w:lineRule="auto"/>
              <w:jc w:val="center"/>
              <w:rPr>
                <w:rFonts w:ascii="宋体" w:hAnsi="宋体" w:eastAsia="宋体" w:cs="宋体"/>
                <w:sz w:val="20"/>
                <w:szCs w:val="20"/>
              </w:rPr>
            </w:pPr>
            <w:r>
              <w:rPr>
                <w:rFonts w:hint="eastAsia" w:ascii="宋体" w:hAnsi="宋体" w:eastAsia="宋体" w:cs="宋体"/>
                <w:sz w:val="20"/>
                <w:szCs w:val="20"/>
              </w:rPr>
              <w:t>FZ/T 64106-2023</w:t>
            </w:r>
          </w:p>
        </w:tc>
      </w:tr>
    </w:tbl>
    <w:p w14:paraId="486B22FE">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bookmarkStart w:id="0" w:name="_GoBack"/>
      <w:bookmarkEnd w:id="0"/>
      <w:r>
        <w:rPr>
          <w:rFonts w:ascii="Times New Roman" w:hAnsi="Times New Roman" w:eastAsia="宋体" w:cs="Times New Roman"/>
          <w:snapToGrid/>
          <w:color w:val="000000"/>
          <w:kern w:val="2"/>
          <w:szCs w:val="21"/>
          <w:lang w:eastAsia="zh-CN"/>
        </w:rPr>
        <w:t>执行企业标准、团体标准、地方标准的产品，检验项目参照上述内容执行。</w:t>
      </w:r>
    </w:p>
    <w:p w14:paraId="161E14CA">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凡是注日期的文件，其随后所有的修改单（不包括勘误的内容）或修订版不适用于本细则。凡是不注日期的文件，其最新版本适用于本细则。</w:t>
      </w:r>
    </w:p>
    <w:p w14:paraId="19364C0B">
      <w:pPr>
        <w:spacing w:before="140" w:line="230" w:lineRule="auto"/>
        <w:ind w:left="1"/>
        <w:rPr>
          <w:rFonts w:ascii="黑体" w:hAnsi="黑体" w:eastAsia="黑体" w:cs="黑体"/>
          <w:sz w:val="21"/>
          <w:szCs w:val="21"/>
        </w:rPr>
      </w:pPr>
      <w:r>
        <w:rPr>
          <w:rFonts w:ascii="黑体" w:hAnsi="黑体" w:eastAsia="黑体" w:cs="黑体"/>
          <w:spacing w:val="5"/>
          <w:sz w:val="21"/>
          <w:szCs w:val="21"/>
        </w:rPr>
        <w:t>3</w:t>
      </w:r>
      <w:r>
        <w:rPr>
          <w:rFonts w:ascii="黑体" w:hAnsi="黑体" w:eastAsia="黑体" w:cs="黑体"/>
          <w:spacing w:val="9"/>
          <w:sz w:val="21"/>
          <w:szCs w:val="21"/>
        </w:rPr>
        <w:t xml:space="preserve">  </w:t>
      </w:r>
      <w:r>
        <w:rPr>
          <w:rFonts w:ascii="黑体" w:hAnsi="黑体" w:eastAsia="黑体" w:cs="黑体"/>
          <w:spacing w:val="5"/>
          <w:sz w:val="21"/>
          <w:szCs w:val="21"/>
        </w:rPr>
        <w:t>判定规则</w:t>
      </w:r>
    </w:p>
    <w:p w14:paraId="3CB74E13">
      <w:pPr>
        <w:pStyle w:val="2"/>
        <w:spacing w:before="158" w:line="228" w:lineRule="auto"/>
        <w:ind w:left="5"/>
        <w:rPr>
          <w:rFonts w:hint="eastAsia" w:ascii="宋体" w:hAnsi="宋体" w:eastAsia="宋体" w:cs="宋体"/>
          <w:sz w:val="21"/>
          <w:szCs w:val="21"/>
        </w:rPr>
      </w:pPr>
      <w:r>
        <w:rPr>
          <w:rFonts w:hint="eastAsia" w:ascii="宋体" w:hAnsi="宋体" w:eastAsia="宋体" w:cs="宋体"/>
          <w:spacing w:val="5"/>
          <w:sz w:val="21"/>
          <w:szCs w:val="21"/>
        </w:rPr>
        <w:t>3.1  依据标准</w:t>
      </w:r>
    </w:p>
    <w:p w14:paraId="119AD313">
      <w:pPr>
        <w:pStyle w:val="2"/>
        <w:spacing w:before="160" w:line="378" w:lineRule="auto"/>
        <w:ind w:left="423" w:right="1" w:hanging="4"/>
        <w:rPr>
          <w:rFonts w:hint="eastAsia" w:ascii="宋体" w:hAnsi="宋体" w:eastAsia="宋体" w:cs="宋体"/>
          <w:spacing w:val="6"/>
          <w:sz w:val="21"/>
          <w:szCs w:val="21"/>
          <w:lang w:eastAsia="zh-CN"/>
        </w:rPr>
      </w:pPr>
      <w:r>
        <w:rPr>
          <w:rFonts w:hint="eastAsia" w:ascii="宋体" w:hAnsi="宋体" w:eastAsia="宋体" w:cs="宋体"/>
          <w:sz w:val="21"/>
          <w:szCs w:val="21"/>
        </w:rPr>
        <w:t xml:space="preserve"> FZ/T 64106-2023</w:t>
      </w:r>
      <w:r>
        <w:rPr>
          <w:rFonts w:hint="eastAsia" w:cs="宋体"/>
          <w:sz w:val="21"/>
          <w:szCs w:val="21"/>
          <w:lang w:val="en-US" w:eastAsia="zh-CN"/>
        </w:rPr>
        <w:t xml:space="preserve"> 抑尘覆盖网</w:t>
      </w:r>
    </w:p>
    <w:p w14:paraId="1E34BF87">
      <w:pPr>
        <w:pStyle w:val="2"/>
        <w:spacing w:before="160" w:line="378" w:lineRule="auto"/>
        <w:ind w:left="423" w:right="1" w:hanging="4"/>
        <w:rPr>
          <w:rFonts w:hint="eastAsia" w:ascii="宋体" w:hAnsi="宋体" w:eastAsia="宋体" w:cs="宋体"/>
          <w:sz w:val="21"/>
          <w:szCs w:val="21"/>
        </w:rPr>
      </w:pPr>
      <w:r>
        <w:rPr>
          <w:rFonts w:hint="eastAsia" w:ascii="宋体" w:hAnsi="宋体" w:eastAsia="宋体" w:cs="宋体"/>
          <w:spacing w:val="9"/>
          <w:sz w:val="21"/>
          <w:szCs w:val="21"/>
        </w:rPr>
        <w:t>现行有效的企业标准、团体标准、地方标准及产品明示质量要求。</w:t>
      </w:r>
    </w:p>
    <w:p w14:paraId="71C6C934">
      <w:pPr>
        <w:pStyle w:val="2"/>
        <w:spacing w:line="229" w:lineRule="auto"/>
        <w:ind w:left="5"/>
        <w:rPr>
          <w:rFonts w:hint="eastAsia" w:ascii="宋体" w:hAnsi="宋体" w:eastAsia="宋体" w:cs="宋体"/>
          <w:sz w:val="21"/>
          <w:szCs w:val="21"/>
        </w:rPr>
      </w:pPr>
      <w:r>
        <w:rPr>
          <w:rFonts w:hint="eastAsia" w:ascii="宋体" w:hAnsi="宋体" w:eastAsia="宋体" w:cs="宋体"/>
          <w:spacing w:val="5"/>
          <w:sz w:val="21"/>
          <w:szCs w:val="21"/>
        </w:rPr>
        <w:t>3.2  判定原则</w:t>
      </w:r>
    </w:p>
    <w:p w14:paraId="6FBD84F7">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经检验，检验项目全部合格，判定为被抽查产品所检项目未发现不合格；检验项目中任一项或一项以上不合格，判定为被抽查产品不合格。</w:t>
      </w:r>
    </w:p>
    <w:p w14:paraId="17EC5443">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若被检产品明示的质量要求高于本细则中检验项目依据的标准要求时，应按被检产品明示的质量要求判定。</w:t>
      </w:r>
    </w:p>
    <w:p w14:paraId="5FCEB3BF">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若被检产品明示的质量要求低于本细则中检验项目依据的强制性标准要求时，应按照强制性标准要求判定。</w:t>
      </w:r>
    </w:p>
    <w:p w14:paraId="75E57A2D">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若被检产品明示的质量要求低于或包含本细则中检验项目依据的推荐性标准要求时，应以被检产品明示的质量要求判定。</w:t>
      </w:r>
    </w:p>
    <w:p w14:paraId="2CE9FC31">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若被检产品明示的质量要求缺少本细则中检验项目依据的强制性标准要求时，应按照强制性标准要求判定。</w:t>
      </w:r>
    </w:p>
    <w:p w14:paraId="07C7E870">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若被检产品明示的质量要求缺少本细则中检验项目依据的推荐性标准要求时，该项目不参与判定。</w:t>
      </w:r>
    </w:p>
    <w:p w14:paraId="34DE27F7">
      <w:pPr>
        <w:pStyle w:val="2"/>
        <w:spacing w:before="159" w:line="228" w:lineRule="auto"/>
        <w:jc w:val="right"/>
      </w:pPr>
    </w:p>
    <w:sectPr>
      <w:footerReference r:id="rId5" w:type="default"/>
      <w:pgSz w:w="11906" w:h="16839"/>
      <w:pgMar w:top="1406" w:right="1108" w:bottom="1518" w:left="1704" w:header="0" w:footer="124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416F7B9-C4FE-4C2A-B062-7B1CCF7CCD38}"/>
  </w:font>
  <w:font w:name="黑体">
    <w:panose1 w:val="02010609060101010101"/>
    <w:charset w:val="86"/>
    <w:family w:val="auto"/>
    <w:pitch w:val="default"/>
    <w:sig w:usb0="800002BF" w:usb1="38CF7CFA" w:usb2="00000016" w:usb3="00000000" w:csb0="00040001" w:csb1="00000000"/>
    <w:embedRegular r:id="rId2" w:fontKey="{8C7805AC-FA9C-4AC9-8046-FB954F6D9C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47E2323-FE6C-400E-AEA0-982F2A392397}"/>
  </w:font>
  <w:font w:name="方正小标宋简体">
    <w:panose1 w:val="02000000000000000000"/>
    <w:charset w:val="86"/>
    <w:family w:val="auto"/>
    <w:pitch w:val="default"/>
    <w:sig w:usb0="00000001" w:usb1="08000000" w:usb2="00000000" w:usb3="00000000" w:csb0="00040000" w:csb1="00000000"/>
    <w:embedRegular r:id="rId4" w:fontKey="{5C682DFC-DE3B-4769-9034-445BA99C78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9A56A">
    <w:pPr>
      <w:spacing w:line="266" w:lineRule="exact"/>
      <w:ind w:left="4497"/>
      <w:rPr>
        <w:rFonts w:ascii="Calibri" w:hAnsi="Calibri" w:eastAsia="Calibri" w:cs="Calibri"/>
        <w:sz w:val="18"/>
        <w:szCs w:val="18"/>
      </w:rPr>
    </w:pPr>
    <w:r>
      <w:rPr>
        <w:rFonts w:ascii="Calibri" w:hAnsi="Calibri" w:eastAsia="Calibri" w:cs="Calibri"/>
        <w:position w:val="2"/>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1D5FB4"/>
    <w:rsid w:val="00EA058C"/>
    <w:rsid w:val="02300221"/>
    <w:rsid w:val="044E2BE0"/>
    <w:rsid w:val="055C132D"/>
    <w:rsid w:val="087370B9"/>
    <w:rsid w:val="0BA92DF2"/>
    <w:rsid w:val="0C6A2581"/>
    <w:rsid w:val="1441006B"/>
    <w:rsid w:val="16930926"/>
    <w:rsid w:val="1BC258D0"/>
    <w:rsid w:val="21A34113"/>
    <w:rsid w:val="21ED1832"/>
    <w:rsid w:val="22C32593"/>
    <w:rsid w:val="231A4E15"/>
    <w:rsid w:val="23305E7B"/>
    <w:rsid w:val="236E69A3"/>
    <w:rsid w:val="277327DA"/>
    <w:rsid w:val="27B5694E"/>
    <w:rsid w:val="2AED4651"/>
    <w:rsid w:val="2B34402E"/>
    <w:rsid w:val="2C707434"/>
    <w:rsid w:val="2CA927FA"/>
    <w:rsid w:val="2D3E2F42"/>
    <w:rsid w:val="2D510EC7"/>
    <w:rsid w:val="2DC07DFB"/>
    <w:rsid w:val="309061AB"/>
    <w:rsid w:val="30A36BA0"/>
    <w:rsid w:val="315216B2"/>
    <w:rsid w:val="31BC4AAE"/>
    <w:rsid w:val="330B2C8D"/>
    <w:rsid w:val="34E24AFB"/>
    <w:rsid w:val="3C37397E"/>
    <w:rsid w:val="3E1177D4"/>
    <w:rsid w:val="3E682813"/>
    <w:rsid w:val="401A15ED"/>
    <w:rsid w:val="416A0352"/>
    <w:rsid w:val="42DF08CC"/>
    <w:rsid w:val="45036AF3"/>
    <w:rsid w:val="480212E4"/>
    <w:rsid w:val="4933371F"/>
    <w:rsid w:val="49DE7B2F"/>
    <w:rsid w:val="4C7C0B81"/>
    <w:rsid w:val="4DFA5FFD"/>
    <w:rsid w:val="4E21448E"/>
    <w:rsid w:val="4F351F9F"/>
    <w:rsid w:val="537B019D"/>
    <w:rsid w:val="553E76D4"/>
    <w:rsid w:val="58313520"/>
    <w:rsid w:val="58845D45"/>
    <w:rsid w:val="5AB81CD6"/>
    <w:rsid w:val="5B7B51DE"/>
    <w:rsid w:val="5C5B6DBD"/>
    <w:rsid w:val="607448F1"/>
    <w:rsid w:val="60E90E3C"/>
    <w:rsid w:val="619D39D4"/>
    <w:rsid w:val="61EC6CC1"/>
    <w:rsid w:val="685B3E0C"/>
    <w:rsid w:val="68B97BB8"/>
    <w:rsid w:val="6DA85BDA"/>
    <w:rsid w:val="6ED22F0F"/>
    <w:rsid w:val="746565D3"/>
    <w:rsid w:val="74FA4F6E"/>
    <w:rsid w:val="76AA3164"/>
    <w:rsid w:val="76C92E49"/>
    <w:rsid w:val="770B3462"/>
    <w:rsid w:val="777803CC"/>
    <w:rsid w:val="79BD2770"/>
    <w:rsid w:val="7A84390D"/>
    <w:rsid w:val="7EBA7AD9"/>
    <w:rsid w:val="7ED06D3F"/>
    <w:rsid w:val="7FBD55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Calibri" w:hAnsi="Calibri" w:eastAsia="Calibri" w:cs="Calibri"/>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640</Words>
  <Characters>671</Characters>
  <TotalTime>17</TotalTime>
  <ScaleCrop>false</ScaleCrop>
  <LinksUpToDate>false</LinksUpToDate>
  <CharactersWithSpaces>690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2026-06-26T16:17:00Z</dcterms:created>
  <dc:creator>Windows 用户</dc:creator>
  <cp:lastModifiedBy>。</cp:lastModifiedBy>
  <dcterms:modified xsi:type="dcterms:W3CDTF">2026-10-09T06:12:39Z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2026-09-30T17:11:07Z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754500F8336E4EA7A4B0AAC16BA99911_12</vt:lpwstr>
  </property>
</Properties>
</file>