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6E66B">
      <w:pPr>
        <w:adjustRightInd w:val="0"/>
        <w:snapToGrid w:val="0"/>
        <w:spacing w:line="440" w:lineRule="exact"/>
        <w:jc w:val="center"/>
        <w:rPr>
          <w:rFonts w:eastAsia="方正小标宋简体" w:cs="方正仿宋简体"/>
          <w:color w:val="000000"/>
          <w:sz w:val="32"/>
          <w:szCs w:val="32"/>
        </w:rPr>
      </w:pPr>
      <w:r>
        <w:rPr>
          <w:rFonts w:hint="eastAsia" w:eastAsia="方正小标宋简体" w:cs="方正仿宋简体"/>
          <w:color w:val="000000"/>
          <w:sz w:val="32"/>
          <w:szCs w:val="32"/>
          <w:lang w:val="en-US" w:eastAsia="zh-CN"/>
        </w:rPr>
        <w:t>攀枝花市</w:t>
      </w:r>
      <w:r>
        <w:rPr>
          <w:rFonts w:hint="eastAsia" w:eastAsia="方正小标宋简体" w:cs="方正仿宋简体"/>
          <w:color w:val="000000"/>
          <w:sz w:val="32"/>
          <w:szCs w:val="32"/>
        </w:rPr>
        <w:t>水溶肥料产品质量监督抽查实施细则</w:t>
      </w:r>
    </w:p>
    <w:p w14:paraId="260B42AB">
      <w:pPr>
        <w:spacing w:line="440" w:lineRule="exact"/>
        <w:jc w:val="center"/>
        <w:rPr>
          <w:rFonts w:eastAsia="方正小标宋简体" w:cs="方正仿宋简体"/>
          <w:color w:val="000000"/>
          <w:sz w:val="32"/>
          <w:szCs w:val="32"/>
        </w:rPr>
      </w:pPr>
      <w:r>
        <w:rPr>
          <w:rFonts w:hint="eastAsia" w:eastAsia="方正小标宋简体" w:cs="方正仿宋简体"/>
          <w:color w:val="000000"/>
          <w:sz w:val="32"/>
          <w:szCs w:val="32"/>
        </w:rPr>
        <w:t>（202</w:t>
      </w:r>
      <w:r>
        <w:rPr>
          <w:rFonts w:hint="eastAsia" w:eastAsia="方正小标宋简体" w:cs="方正仿宋简体"/>
          <w:color w:val="000000"/>
          <w:sz w:val="32"/>
          <w:szCs w:val="32"/>
          <w:lang w:val="en-US" w:eastAsia="zh-CN"/>
        </w:rPr>
        <w:t>6</w:t>
      </w:r>
      <w:r>
        <w:rPr>
          <w:rFonts w:hint="eastAsia" w:eastAsia="方正小标宋简体" w:cs="方正仿宋简体"/>
          <w:color w:val="000000"/>
          <w:sz w:val="32"/>
          <w:szCs w:val="32"/>
        </w:rPr>
        <w:t>年版）</w:t>
      </w:r>
    </w:p>
    <w:p w14:paraId="6529B765">
      <w:pPr>
        <w:adjustRightInd w:val="0"/>
        <w:snapToGrid w:val="0"/>
        <w:spacing w:line="594" w:lineRule="exact"/>
        <w:jc w:val="center"/>
        <w:rPr>
          <w:rFonts w:eastAsia="方正小标宋简体" w:cs="方正仿宋简体"/>
          <w:color w:val="000000"/>
          <w:sz w:val="32"/>
          <w:szCs w:val="32"/>
        </w:rPr>
      </w:pPr>
    </w:p>
    <w:p w14:paraId="2A8AAADA">
      <w:pPr>
        <w:snapToGrid w:val="0"/>
        <w:spacing w:line="440" w:lineRule="exact"/>
        <w:rPr>
          <w:rFonts w:eastAsia="黑体"/>
          <w:szCs w:val="21"/>
        </w:rPr>
      </w:pPr>
      <w:r>
        <w:rPr>
          <w:rFonts w:hint="eastAsia" w:eastAsia="黑体"/>
          <w:color w:val="000000"/>
          <w:szCs w:val="21"/>
        </w:rPr>
        <w:t>1 抽样方法</w:t>
      </w:r>
    </w:p>
    <w:p w14:paraId="5E03CDD0">
      <w:pPr>
        <w:snapToGrid w:val="0"/>
        <w:spacing w:line="440" w:lineRule="exact"/>
        <w:ind w:firstLine="420" w:firstLineChars="200"/>
        <w:rPr>
          <w:color w:val="000000"/>
          <w:szCs w:val="21"/>
        </w:rPr>
      </w:pPr>
      <w:r>
        <w:rPr>
          <w:rFonts w:hint="eastAsia"/>
          <w:color w:val="000000"/>
          <w:szCs w:val="21"/>
        </w:rPr>
        <w:t>以随机抽样的方式在被抽样生产者、销售者的待销产品中抽取。</w:t>
      </w:r>
    </w:p>
    <w:p w14:paraId="40677DA7">
      <w:pPr>
        <w:snapToGrid w:val="0"/>
        <w:spacing w:line="440" w:lineRule="exact"/>
        <w:ind w:firstLine="420" w:firstLineChars="200"/>
        <w:rPr>
          <w:color w:val="000000"/>
          <w:szCs w:val="21"/>
        </w:rPr>
      </w:pPr>
      <w:r>
        <w:rPr>
          <w:rFonts w:hint="eastAsia"/>
          <w:color w:val="000000"/>
          <w:szCs w:val="21"/>
        </w:rPr>
        <w:t>随机数一般可使用随机数表等方法产生。</w:t>
      </w:r>
    </w:p>
    <w:p w14:paraId="53E5636F">
      <w:pPr>
        <w:adjustRightInd w:val="0"/>
        <w:snapToGrid w:val="0"/>
        <w:spacing w:line="440" w:lineRule="exact"/>
        <w:ind w:firstLine="420" w:firstLineChars="200"/>
        <w:outlineLvl w:val="1"/>
        <w:rPr>
          <w:color w:val="000000"/>
          <w:szCs w:val="21"/>
        </w:rPr>
      </w:pPr>
      <w:r>
        <w:rPr>
          <w:rFonts w:hint="eastAsia"/>
          <w:color w:val="000000"/>
          <w:szCs w:val="21"/>
        </w:rPr>
        <w:t>（1）独立包装小于等于100g或100mL的产品，抽取若干包（瓶）样品，样品总量不少于200g或200mL，平均分成二份，其中一份为检验样品，另一份为备用样品；</w:t>
      </w:r>
    </w:p>
    <w:p w14:paraId="0F9AAFF1">
      <w:pPr>
        <w:adjustRightInd w:val="0"/>
        <w:snapToGrid w:val="0"/>
        <w:spacing w:line="440" w:lineRule="exact"/>
        <w:ind w:firstLine="420" w:firstLineChars="200"/>
        <w:outlineLvl w:val="1"/>
        <w:rPr>
          <w:color w:val="000000"/>
          <w:szCs w:val="21"/>
        </w:rPr>
      </w:pPr>
      <w:r>
        <w:rPr>
          <w:rFonts w:hint="eastAsia"/>
          <w:color w:val="000000"/>
          <w:szCs w:val="21"/>
        </w:rPr>
        <w:t>（2）独立包装在100g或100mL以上，且小于等于1000g或1000mL的产品，抽样数量为2包（瓶），其中一份为检验样品，另一份为备用样品；</w:t>
      </w:r>
    </w:p>
    <w:p w14:paraId="2BD0060F">
      <w:pPr>
        <w:adjustRightInd w:val="0"/>
        <w:snapToGrid w:val="0"/>
        <w:spacing w:line="440" w:lineRule="exact"/>
        <w:ind w:firstLine="420" w:firstLineChars="200"/>
        <w:outlineLvl w:val="1"/>
        <w:rPr>
          <w:color w:val="000000"/>
          <w:szCs w:val="21"/>
          <w:highlight w:val="none"/>
        </w:rPr>
      </w:pPr>
      <w:r>
        <w:rPr>
          <w:rFonts w:hint="eastAsia"/>
          <w:color w:val="000000"/>
          <w:szCs w:val="21"/>
          <w:highlight w:val="none"/>
        </w:rPr>
        <w:t>（3）独立包装在1000g或1000mL以上的产品，所取产品的总包装袋数不超过100包（瓶、桶）时，随机抽取3包（瓶、桶），每袋采取样品数量不少于100g；超过100包（瓶、桶）时，随机抽取5包（瓶、桶），每袋采取样品数量不少于</w:t>
      </w:r>
      <w:r>
        <w:rPr>
          <w:color w:val="000000"/>
          <w:szCs w:val="21"/>
          <w:highlight w:val="none"/>
        </w:rPr>
        <w:t>10</w:t>
      </w:r>
      <w:r>
        <w:rPr>
          <w:rFonts w:hint="eastAsia"/>
          <w:color w:val="000000"/>
          <w:szCs w:val="21"/>
          <w:highlight w:val="none"/>
        </w:rPr>
        <w:t>0g。将所采样品置于洁净、干燥的容器中，迅速混匀。取样品200g或200mL，平均分装于两个洁净、干燥的具有密封性能的容器中密封，其中一份为检验样品，另一份为备用样品。同时抽取外包装一个，如无法抽取外包装，则应留存外包装的影像资料。</w:t>
      </w:r>
    </w:p>
    <w:p w14:paraId="54CD7846">
      <w:pPr>
        <w:adjustRightInd w:val="0"/>
        <w:snapToGrid w:val="0"/>
        <w:spacing w:line="440" w:lineRule="exact"/>
        <w:ind w:firstLine="420" w:firstLineChars="200"/>
        <w:outlineLvl w:val="1"/>
        <w:rPr>
          <w:rFonts w:hint="eastAsia"/>
          <w:color w:val="000000"/>
          <w:szCs w:val="21"/>
          <w:highlight w:val="none"/>
        </w:rPr>
      </w:pPr>
      <w:r>
        <w:rPr>
          <w:rFonts w:hint="eastAsia"/>
          <w:color w:val="000000"/>
          <w:szCs w:val="21"/>
          <w:highlight w:val="none"/>
        </w:rPr>
        <w:t>（4）颗粒状大量元素水溶肥料至少应抽取样品1000g，平均分成二份，其中一份为检验样品，另一份为备用样品。</w:t>
      </w:r>
    </w:p>
    <w:p w14:paraId="3271ED2D">
      <w:pPr>
        <w:adjustRightInd w:val="0"/>
        <w:snapToGrid w:val="0"/>
        <w:spacing w:line="440" w:lineRule="exact"/>
        <w:ind w:firstLine="420" w:firstLineChars="200"/>
        <w:outlineLvl w:val="1"/>
        <w:rPr>
          <w:rFonts w:hint="eastAsia"/>
          <w:color w:val="000000"/>
          <w:szCs w:val="21"/>
          <w:highlight w:val="none"/>
        </w:rPr>
      </w:pPr>
    </w:p>
    <w:p w14:paraId="1F186722">
      <w:pPr>
        <w:adjustRightInd w:val="0"/>
        <w:snapToGrid w:val="0"/>
        <w:spacing w:line="440" w:lineRule="exact"/>
        <w:outlineLvl w:val="1"/>
        <w:rPr>
          <w:rFonts w:eastAsia="黑体"/>
          <w:szCs w:val="21"/>
        </w:rPr>
      </w:pPr>
      <w:r>
        <w:rPr>
          <w:rFonts w:hint="eastAsia" w:eastAsia="黑体"/>
          <w:szCs w:val="21"/>
        </w:rPr>
        <w:t>2 检验依据</w:t>
      </w:r>
    </w:p>
    <w:p w14:paraId="637F5F4E">
      <w:pPr>
        <w:pStyle w:val="3"/>
        <w:spacing w:line="264" w:lineRule="auto"/>
        <w:ind w:firstLine="420" w:firstLineChars="200"/>
        <w:jc w:val="center"/>
        <w:rPr>
          <w:rFonts w:ascii="Times New Roman" w:hAnsi="Times New Roman"/>
          <w:bCs/>
        </w:rPr>
      </w:pPr>
      <w:r>
        <w:rPr>
          <w:rFonts w:ascii="Times New Roman" w:hAnsi="Times New Roman"/>
          <w:bCs/>
        </w:rPr>
        <w:t>表</w:t>
      </w:r>
      <w:r>
        <w:rPr>
          <w:rFonts w:hint="eastAsia" w:ascii="Times New Roman" w:hAnsi="Times New Roman"/>
          <w:bCs/>
        </w:rPr>
        <w:t>1</w:t>
      </w:r>
      <w:r>
        <w:rPr>
          <w:rFonts w:ascii="Times New Roman" w:hAnsi="Times New Roman"/>
          <w:bCs/>
        </w:rPr>
        <w:t xml:space="preserve"> </w:t>
      </w:r>
      <w:r>
        <w:rPr>
          <w:rFonts w:hint="eastAsia" w:ascii="Times New Roman" w:hAnsi="Times New Roman"/>
          <w:bCs/>
        </w:rPr>
        <w:t>大量元素水溶肥料</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2435"/>
        <w:gridCol w:w="2645"/>
        <w:gridCol w:w="2717"/>
      </w:tblGrid>
      <w:tr w14:paraId="47304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3" w:type="dxa"/>
            <w:vAlign w:val="center"/>
          </w:tcPr>
          <w:p w14:paraId="503E2B79">
            <w:pPr>
              <w:pStyle w:val="3"/>
              <w:jc w:val="center"/>
              <w:rPr>
                <w:rFonts w:ascii="Times New Roman" w:hAnsi="Times New Roman"/>
                <w:sz w:val="20"/>
              </w:rPr>
            </w:pPr>
            <w:r>
              <w:rPr>
                <w:rFonts w:ascii="Times New Roman" w:hAnsi="Times New Roman"/>
                <w:sz w:val="20"/>
              </w:rPr>
              <w:t>序号</w:t>
            </w:r>
          </w:p>
        </w:tc>
        <w:tc>
          <w:tcPr>
            <w:tcW w:w="2435" w:type="dxa"/>
            <w:vAlign w:val="center"/>
          </w:tcPr>
          <w:p w14:paraId="1EB4188E">
            <w:pPr>
              <w:pStyle w:val="3"/>
              <w:jc w:val="center"/>
              <w:rPr>
                <w:rFonts w:ascii="Times New Roman" w:hAnsi="Times New Roman"/>
              </w:rPr>
            </w:pPr>
            <w:r>
              <w:rPr>
                <w:rFonts w:ascii="Times New Roman" w:hAnsi="Times New Roman"/>
              </w:rPr>
              <w:t>检验项目</w:t>
            </w:r>
          </w:p>
        </w:tc>
        <w:tc>
          <w:tcPr>
            <w:tcW w:w="2645" w:type="dxa"/>
            <w:vAlign w:val="center"/>
          </w:tcPr>
          <w:p w14:paraId="606EB354">
            <w:pPr>
              <w:pStyle w:val="3"/>
              <w:jc w:val="center"/>
              <w:rPr>
                <w:rFonts w:ascii="Times New Roman" w:hAnsi="Times New Roman"/>
              </w:rPr>
            </w:pPr>
            <w:r>
              <w:rPr>
                <w:rFonts w:hint="eastAsia"/>
                <w:color w:val="000000"/>
              </w:rPr>
              <w:t>检验依据</w:t>
            </w:r>
          </w:p>
        </w:tc>
        <w:tc>
          <w:tcPr>
            <w:tcW w:w="2717" w:type="dxa"/>
            <w:vAlign w:val="center"/>
          </w:tcPr>
          <w:p w14:paraId="00CD763B">
            <w:pPr>
              <w:pStyle w:val="3"/>
              <w:jc w:val="center"/>
              <w:rPr>
                <w:rFonts w:ascii="Times New Roman" w:hAnsi="Times New Roman"/>
              </w:rPr>
            </w:pPr>
            <w:r>
              <w:rPr>
                <w:color w:val="000000"/>
              </w:rPr>
              <w:t>检验方法</w:t>
            </w:r>
          </w:p>
        </w:tc>
      </w:tr>
      <w:tr w14:paraId="3C85B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7D5950AD">
            <w:pPr>
              <w:pStyle w:val="3"/>
              <w:jc w:val="center"/>
              <w:rPr>
                <w:rFonts w:ascii="Times New Roman" w:hAnsi="Times New Roman"/>
              </w:rPr>
            </w:pPr>
            <w:r>
              <w:rPr>
                <w:rFonts w:ascii="Times New Roman" w:hAnsi="Times New Roman"/>
              </w:rPr>
              <w:t>1</w:t>
            </w:r>
          </w:p>
        </w:tc>
        <w:tc>
          <w:tcPr>
            <w:tcW w:w="2435" w:type="dxa"/>
            <w:shd w:val="clear" w:color="auto" w:fill="auto"/>
            <w:vAlign w:val="center"/>
          </w:tcPr>
          <w:p w14:paraId="589A1449">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大量元素含量</w:t>
            </w:r>
          </w:p>
        </w:tc>
        <w:tc>
          <w:tcPr>
            <w:tcW w:w="2645" w:type="dxa"/>
            <w:shd w:val="clear" w:color="auto" w:fill="auto"/>
            <w:vAlign w:val="center"/>
          </w:tcPr>
          <w:p w14:paraId="7404B598">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 </w:t>
            </w:r>
          </w:p>
        </w:tc>
        <w:tc>
          <w:tcPr>
            <w:tcW w:w="2717" w:type="dxa"/>
            <w:shd w:val="clear" w:color="auto" w:fill="auto"/>
            <w:vAlign w:val="center"/>
          </w:tcPr>
          <w:p w14:paraId="37C6373E">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 </w:t>
            </w:r>
          </w:p>
        </w:tc>
      </w:tr>
      <w:tr w14:paraId="5CA4C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4941098C">
            <w:pPr>
              <w:pStyle w:val="3"/>
              <w:jc w:val="center"/>
              <w:rPr>
                <w:rFonts w:ascii="Times New Roman" w:hAnsi="Times New Roman"/>
              </w:rPr>
            </w:pPr>
            <w:r>
              <w:rPr>
                <w:rFonts w:ascii="Times New Roman" w:hAnsi="Times New Roman"/>
              </w:rPr>
              <w:t>2</w:t>
            </w:r>
          </w:p>
        </w:tc>
        <w:tc>
          <w:tcPr>
            <w:tcW w:w="2435" w:type="dxa"/>
            <w:shd w:val="clear" w:color="auto" w:fill="auto"/>
            <w:vAlign w:val="center"/>
          </w:tcPr>
          <w:p w14:paraId="37550231">
            <w:pPr>
              <w:pStyle w:val="3"/>
              <w:jc w:val="center"/>
              <w:rPr>
                <w:rFonts w:ascii="Times New Roman" w:hAnsi="Times New Roman" w:eastAsia="宋体" w:cs="Times New Roman"/>
                <w:kern w:val="2"/>
                <w:sz w:val="21"/>
                <w:szCs w:val="21"/>
                <w:lang w:val="en-US" w:eastAsia="zh-CN" w:bidi="ar-SA"/>
              </w:rPr>
            </w:pPr>
            <w:r>
              <w:rPr>
                <w:rFonts w:ascii="Times New Roman" w:hAnsi="Times New Roman"/>
              </w:rPr>
              <w:t>总氮</w:t>
            </w:r>
            <w:r>
              <w:rPr>
                <w:rFonts w:hint="eastAsia" w:ascii="Times New Roman" w:hAnsi="Times New Roman"/>
              </w:rPr>
              <w:t>含量</w:t>
            </w:r>
          </w:p>
        </w:tc>
        <w:tc>
          <w:tcPr>
            <w:tcW w:w="2645" w:type="dxa"/>
            <w:shd w:val="clear" w:color="auto" w:fill="auto"/>
            <w:vAlign w:val="top"/>
          </w:tcPr>
          <w:p w14:paraId="278AA1F0">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 </w:t>
            </w:r>
          </w:p>
        </w:tc>
        <w:tc>
          <w:tcPr>
            <w:tcW w:w="2717" w:type="dxa"/>
            <w:shd w:val="clear" w:color="auto" w:fill="auto"/>
            <w:vAlign w:val="center"/>
          </w:tcPr>
          <w:p w14:paraId="465E9939">
            <w:pPr>
              <w:pStyle w:val="3"/>
              <w:jc w:val="center"/>
              <w:rPr>
                <w:rFonts w:ascii="Times New Roman" w:hAnsi="Times New Roman" w:eastAsia="宋体" w:cs="Times New Roman"/>
                <w:kern w:val="2"/>
                <w:sz w:val="18"/>
                <w:szCs w:val="18"/>
                <w:lang w:val="en-US" w:eastAsia="zh-CN" w:bidi="ar-SA"/>
              </w:rPr>
            </w:pPr>
            <w:r>
              <w:rPr>
                <w:rFonts w:hint="eastAsia" w:ascii="Times New Roman" w:hAnsi="Times New Roman"/>
              </w:rPr>
              <w:t>NY/T</w:t>
            </w:r>
            <w:r>
              <w:rPr>
                <w:rFonts w:ascii="Times New Roman" w:hAnsi="Times New Roman"/>
              </w:rPr>
              <w:t xml:space="preserve"> 1977-2010</w:t>
            </w:r>
          </w:p>
        </w:tc>
      </w:tr>
      <w:tr w14:paraId="6189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2DAE432A">
            <w:pPr>
              <w:pStyle w:val="3"/>
              <w:jc w:val="center"/>
              <w:rPr>
                <w:rFonts w:ascii="Times New Roman" w:hAnsi="Times New Roman"/>
              </w:rPr>
            </w:pPr>
            <w:r>
              <w:rPr>
                <w:rFonts w:ascii="Times New Roman" w:hAnsi="Times New Roman"/>
              </w:rPr>
              <w:t>3</w:t>
            </w:r>
          </w:p>
        </w:tc>
        <w:tc>
          <w:tcPr>
            <w:tcW w:w="2435" w:type="dxa"/>
            <w:shd w:val="clear" w:color="auto" w:fill="auto"/>
            <w:vAlign w:val="center"/>
          </w:tcPr>
          <w:p w14:paraId="5A32CE9C">
            <w:pPr>
              <w:pStyle w:val="3"/>
              <w:jc w:val="center"/>
              <w:rPr>
                <w:rFonts w:ascii="Times New Roman" w:hAnsi="Times New Roman" w:eastAsia="宋体" w:cs="Times New Roman"/>
                <w:kern w:val="2"/>
                <w:sz w:val="21"/>
                <w:szCs w:val="21"/>
                <w:lang w:val="en-US" w:eastAsia="zh-CN" w:bidi="ar-SA"/>
              </w:rPr>
            </w:pPr>
            <w:r>
              <w:rPr>
                <w:rFonts w:ascii="Times New Roman" w:hAnsi="Times New Roman"/>
              </w:rPr>
              <w:t>磷</w:t>
            </w:r>
            <w:r>
              <w:rPr>
                <w:rFonts w:hint="eastAsia" w:ascii="Times New Roman" w:hAnsi="Times New Roman"/>
              </w:rPr>
              <w:t>含量</w:t>
            </w:r>
          </w:p>
        </w:tc>
        <w:tc>
          <w:tcPr>
            <w:tcW w:w="2645" w:type="dxa"/>
            <w:shd w:val="clear" w:color="auto" w:fill="auto"/>
            <w:vAlign w:val="top"/>
          </w:tcPr>
          <w:p w14:paraId="746FAF9A">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 </w:t>
            </w:r>
          </w:p>
        </w:tc>
        <w:tc>
          <w:tcPr>
            <w:tcW w:w="2717" w:type="dxa"/>
            <w:shd w:val="clear" w:color="auto" w:fill="auto"/>
            <w:vAlign w:val="center"/>
          </w:tcPr>
          <w:p w14:paraId="355B3987">
            <w:pPr>
              <w:pStyle w:val="3"/>
              <w:jc w:val="center"/>
              <w:rPr>
                <w:rFonts w:ascii="Times New Roman" w:hAnsi="Times New Roman" w:eastAsia="宋体" w:cs="Times New Roman"/>
                <w:kern w:val="2"/>
                <w:sz w:val="18"/>
                <w:szCs w:val="18"/>
                <w:lang w:val="en-US" w:eastAsia="zh-CN" w:bidi="ar-SA"/>
              </w:rPr>
            </w:pPr>
            <w:r>
              <w:rPr>
                <w:rFonts w:hint="eastAsia" w:ascii="Times New Roman" w:hAnsi="Times New Roman"/>
              </w:rPr>
              <w:t>NY/T</w:t>
            </w:r>
            <w:r>
              <w:rPr>
                <w:rFonts w:ascii="Times New Roman" w:hAnsi="Times New Roman"/>
              </w:rPr>
              <w:t xml:space="preserve"> 1977-2010</w:t>
            </w:r>
          </w:p>
        </w:tc>
      </w:tr>
      <w:tr w14:paraId="742B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11C79FA7">
            <w:pPr>
              <w:pStyle w:val="3"/>
              <w:jc w:val="center"/>
              <w:rPr>
                <w:rFonts w:ascii="Times New Roman" w:hAnsi="Times New Roman"/>
              </w:rPr>
            </w:pPr>
            <w:r>
              <w:rPr>
                <w:rFonts w:ascii="Times New Roman" w:hAnsi="Times New Roman"/>
              </w:rPr>
              <w:t>4</w:t>
            </w:r>
          </w:p>
        </w:tc>
        <w:tc>
          <w:tcPr>
            <w:tcW w:w="2435" w:type="dxa"/>
            <w:shd w:val="clear" w:color="auto" w:fill="auto"/>
            <w:vAlign w:val="center"/>
          </w:tcPr>
          <w:p w14:paraId="3E2FD959">
            <w:pPr>
              <w:pStyle w:val="3"/>
              <w:jc w:val="center"/>
              <w:rPr>
                <w:rFonts w:ascii="Times New Roman" w:hAnsi="Times New Roman" w:eastAsia="宋体" w:cs="Times New Roman"/>
                <w:kern w:val="2"/>
                <w:sz w:val="21"/>
                <w:szCs w:val="21"/>
                <w:lang w:val="en-US" w:eastAsia="zh-CN" w:bidi="ar-SA"/>
              </w:rPr>
            </w:pPr>
            <w:r>
              <w:rPr>
                <w:rFonts w:ascii="Times New Roman" w:hAnsi="Times New Roman"/>
              </w:rPr>
              <w:t>钾</w:t>
            </w:r>
            <w:r>
              <w:rPr>
                <w:rFonts w:hint="eastAsia" w:ascii="Times New Roman" w:hAnsi="Times New Roman"/>
              </w:rPr>
              <w:t>含量</w:t>
            </w:r>
          </w:p>
        </w:tc>
        <w:tc>
          <w:tcPr>
            <w:tcW w:w="2645" w:type="dxa"/>
            <w:shd w:val="clear" w:color="auto" w:fill="auto"/>
            <w:vAlign w:val="top"/>
          </w:tcPr>
          <w:p w14:paraId="11EF3BB5">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 </w:t>
            </w:r>
          </w:p>
        </w:tc>
        <w:tc>
          <w:tcPr>
            <w:tcW w:w="2717" w:type="dxa"/>
            <w:shd w:val="clear" w:color="auto" w:fill="auto"/>
            <w:vAlign w:val="center"/>
          </w:tcPr>
          <w:p w14:paraId="2B3D7017">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1977-2010</w:t>
            </w:r>
          </w:p>
        </w:tc>
      </w:tr>
      <w:tr w14:paraId="7292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054C53F3">
            <w:pPr>
              <w:pStyle w:val="3"/>
              <w:jc w:val="center"/>
              <w:rPr>
                <w:rFonts w:ascii="Times New Roman" w:hAnsi="Times New Roman"/>
              </w:rPr>
            </w:pPr>
            <w:r>
              <w:rPr>
                <w:rFonts w:ascii="Times New Roman" w:hAnsi="Times New Roman"/>
              </w:rPr>
              <w:t>5</w:t>
            </w:r>
          </w:p>
        </w:tc>
        <w:tc>
          <w:tcPr>
            <w:tcW w:w="2435" w:type="dxa"/>
            <w:shd w:val="clear" w:color="auto" w:fill="auto"/>
            <w:vAlign w:val="center"/>
          </w:tcPr>
          <w:p w14:paraId="4661B5E9">
            <w:pPr>
              <w:pStyle w:val="3"/>
              <w:jc w:val="center"/>
              <w:rPr>
                <w:rFonts w:ascii="Times New Roman" w:hAnsi="Times New Roman" w:eastAsia="宋体" w:cs="Times New Roman"/>
                <w:kern w:val="2"/>
                <w:sz w:val="21"/>
                <w:szCs w:val="21"/>
                <w:lang w:val="en-US" w:eastAsia="zh-CN" w:bidi="ar-SA"/>
              </w:rPr>
            </w:pPr>
            <w:r>
              <w:rPr>
                <w:rFonts w:ascii="Times New Roman" w:hAnsi="Times New Roman"/>
              </w:rPr>
              <w:t>pH</w:t>
            </w:r>
          </w:p>
        </w:tc>
        <w:tc>
          <w:tcPr>
            <w:tcW w:w="2645" w:type="dxa"/>
            <w:shd w:val="clear" w:color="auto" w:fill="auto"/>
            <w:vAlign w:val="center"/>
          </w:tcPr>
          <w:p w14:paraId="5494F246">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w:t>
            </w:r>
          </w:p>
        </w:tc>
        <w:tc>
          <w:tcPr>
            <w:tcW w:w="2717" w:type="dxa"/>
            <w:shd w:val="clear" w:color="auto" w:fill="auto"/>
            <w:vAlign w:val="top"/>
          </w:tcPr>
          <w:p w14:paraId="5300F00F">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r w14:paraId="0C3A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752826A3">
            <w:pPr>
              <w:pStyle w:val="3"/>
              <w:jc w:val="center"/>
              <w:rPr>
                <w:rFonts w:ascii="Times New Roman" w:hAnsi="Times New Roman"/>
              </w:rPr>
            </w:pPr>
            <w:r>
              <w:rPr>
                <w:rFonts w:ascii="Times New Roman" w:hAnsi="Times New Roman"/>
              </w:rPr>
              <w:t>6</w:t>
            </w:r>
          </w:p>
        </w:tc>
        <w:tc>
          <w:tcPr>
            <w:tcW w:w="2435" w:type="dxa"/>
            <w:shd w:val="clear" w:color="auto" w:fill="auto"/>
            <w:vAlign w:val="center"/>
          </w:tcPr>
          <w:p w14:paraId="489764DA">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水不溶物含量</w:t>
            </w:r>
          </w:p>
        </w:tc>
        <w:tc>
          <w:tcPr>
            <w:tcW w:w="2645" w:type="dxa"/>
            <w:shd w:val="clear" w:color="auto" w:fill="auto"/>
            <w:vAlign w:val="center"/>
          </w:tcPr>
          <w:p w14:paraId="42F33526">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1107-2020</w:t>
            </w:r>
          </w:p>
        </w:tc>
        <w:tc>
          <w:tcPr>
            <w:tcW w:w="2717" w:type="dxa"/>
            <w:shd w:val="clear" w:color="auto" w:fill="auto"/>
            <w:vAlign w:val="top"/>
          </w:tcPr>
          <w:p w14:paraId="5DE79C9B">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bl>
    <w:p w14:paraId="59FB8426">
      <w:pPr>
        <w:ind w:firstLine="420" w:firstLineChars="200"/>
        <w:jc w:val="left"/>
      </w:pPr>
    </w:p>
    <w:p w14:paraId="76D21986">
      <w:pPr>
        <w:pStyle w:val="3"/>
        <w:spacing w:line="264" w:lineRule="auto"/>
        <w:ind w:firstLine="420" w:firstLineChars="200"/>
        <w:jc w:val="center"/>
        <w:rPr>
          <w:rFonts w:ascii="Times New Roman" w:hAnsi="Times New Roman"/>
          <w:bCs/>
        </w:rPr>
      </w:pPr>
      <w:r>
        <w:rPr>
          <w:rFonts w:ascii="Times New Roman" w:hAnsi="Times New Roman"/>
          <w:bCs/>
        </w:rPr>
        <w:t xml:space="preserve">表2 </w:t>
      </w:r>
      <w:r>
        <w:rPr>
          <w:rFonts w:hint="eastAsia" w:ascii="Times New Roman" w:hAnsi="Times New Roman"/>
          <w:bCs/>
        </w:rPr>
        <w:t>中量元素水溶肥料</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2435"/>
        <w:gridCol w:w="2645"/>
        <w:gridCol w:w="2717"/>
      </w:tblGrid>
      <w:tr w14:paraId="40DD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3" w:type="dxa"/>
            <w:vAlign w:val="center"/>
          </w:tcPr>
          <w:p w14:paraId="1CFE3FB9">
            <w:pPr>
              <w:pStyle w:val="3"/>
              <w:jc w:val="center"/>
              <w:rPr>
                <w:rFonts w:ascii="Times New Roman" w:hAnsi="Times New Roman"/>
                <w:sz w:val="20"/>
              </w:rPr>
            </w:pPr>
            <w:r>
              <w:rPr>
                <w:rFonts w:ascii="Times New Roman" w:hAnsi="Times New Roman"/>
                <w:sz w:val="20"/>
              </w:rPr>
              <w:t>序号</w:t>
            </w:r>
          </w:p>
        </w:tc>
        <w:tc>
          <w:tcPr>
            <w:tcW w:w="2435" w:type="dxa"/>
            <w:vAlign w:val="center"/>
          </w:tcPr>
          <w:p w14:paraId="6E9C1C04">
            <w:pPr>
              <w:pStyle w:val="3"/>
              <w:jc w:val="center"/>
              <w:rPr>
                <w:rFonts w:ascii="Times New Roman" w:hAnsi="Times New Roman"/>
              </w:rPr>
            </w:pPr>
            <w:r>
              <w:rPr>
                <w:rFonts w:ascii="Times New Roman" w:hAnsi="Times New Roman"/>
              </w:rPr>
              <w:t>检验项目</w:t>
            </w:r>
          </w:p>
        </w:tc>
        <w:tc>
          <w:tcPr>
            <w:tcW w:w="2645" w:type="dxa"/>
            <w:vAlign w:val="center"/>
          </w:tcPr>
          <w:p w14:paraId="5925BF9C">
            <w:pPr>
              <w:pStyle w:val="3"/>
              <w:jc w:val="center"/>
              <w:rPr>
                <w:rFonts w:ascii="Times New Roman" w:hAnsi="Times New Roman"/>
              </w:rPr>
            </w:pPr>
            <w:r>
              <w:rPr>
                <w:rFonts w:hint="eastAsia"/>
                <w:color w:val="000000"/>
              </w:rPr>
              <w:t>检验依据</w:t>
            </w:r>
          </w:p>
        </w:tc>
        <w:tc>
          <w:tcPr>
            <w:tcW w:w="2717" w:type="dxa"/>
            <w:vAlign w:val="center"/>
          </w:tcPr>
          <w:p w14:paraId="5D83F127">
            <w:pPr>
              <w:pStyle w:val="3"/>
              <w:jc w:val="center"/>
              <w:rPr>
                <w:rFonts w:ascii="Times New Roman" w:hAnsi="Times New Roman"/>
              </w:rPr>
            </w:pPr>
            <w:r>
              <w:rPr>
                <w:color w:val="000000"/>
              </w:rPr>
              <w:t>检验方法</w:t>
            </w:r>
          </w:p>
        </w:tc>
      </w:tr>
      <w:tr w14:paraId="324D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59627D29">
            <w:pPr>
              <w:pStyle w:val="3"/>
              <w:jc w:val="center"/>
              <w:rPr>
                <w:rFonts w:ascii="Times New Roman" w:hAnsi="Times New Roman"/>
              </w:rPr>
            </w:pPr>
            <w:r>
              <w:rPr>
                <w:rFonts w:ascii="Times New Roman" w:hAnsi="Times New Roman"/>
              </w:rPr>
              <w:t>1</w:t>
            </w:r>
          </w:p>
        </w:tc>
        <w:tc>
          <w:tcPr>
            <w:tcW w:w="2435" w:type="dxa"/>
            <w:shd w:val="clear" w:color="auto" w:fill="auto"/>
            <w:vAlign w:val="center"/>
          </w:tcPr>
          <w:p w14:paraId="0847673F">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中量元素含量</w:t>
            </w:r>
          </w:p>
        </w:tc>
        <w:tc>
          <w:tcPr>
            <w:tcW w:w="2645" w:type="dxa"/>
            <w:shd w:val="clear" w:color="auto" w:fill="auto"/>
            <w:vAlign w:val="center"/>
          </w:tcPr>
          <w:p w14:paraId="5FCA07D7">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c>
          <w:tcPr>
            <w:tcW w:w="2717" w:type="dxa"/>
            <w:shd w:val="clear" w:color="auto" w:fill="auto"/>
            <w:vAlign w:val="center"/>
          </w:tcPr>
          <w:p w14:paraId="2DB25A8A">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r>
      <w:tr w14:paraId="78DD3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46DB2579">
            <w:pPr>
              <w:pStyle w:val="3"/>
              <w:jc w:val="center"/>
              <w:rPr>
                <w:rFonts w:ascii="Times New Roman" w:hAnsi="Times New Roman"/>
              </w:rPr>
            </w:pPr>
            <w:r>
              <w:rPr>
                <w:rFonts w:ascii="Times New Roman" w:hAnsi="Times New Roman"/>
              </w:rPr>
              <w:t>2</w:t>
            </w:r>
          </w:p>
        </w:tc>
        <w:tc>
          <w:tcPr>
            <w:tcW w:w="2435" w:type="dxa"/>
            <w:shd w:val="clear" w:color="auto" w:fill="auto"/>
            <w:vAlign w:val="center"/>
          </w:tcPr>
          <w:p w14:paraId="3EEDA588">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钙含量</w:t>
            </w:r>
          </w:p>
        </w:tc>
        <w:tc>
          <w:tcPr>
            <w:tcW w:w="2645" w:type="dxa"/>
            <w:shd w:val="clear" w:color="auto" w:fill="auto"/>
            <w:vAlign w:val="center"/>
          </w:tcPr>
          <w:p w14:paraId="4A2E4423">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c>
          <w:tcPr>
            <w:tcW w:w="2717" w:type="dxa"/>
            <w:shd w:val="clear" w:color="auto" w:fill="auto"/>
            <w:vAlign w:val="center"/>
          </w:tcPr>
          <w:p w14:paraId="7F9A1ED3">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1117-2010</w:t>
            </w:r>
          </w:p>
        </w:tc>
      </w:tr>
      <w:tr w14:paraId="19FB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32695925">
            <w:pPr>
              <w:pStyle w:val="3"/>
              <w:jc w:val="center"/>
              <w:rPr>
                <w:rFonts w:ascii="Times New Roman" w:hAnsi="Times New Roman"/>
              </w:rPr>
            </w:pPr>
            <w:r>
              <w:rPr>
                <w:rFonts w:ascii="Times New Roman" w:hAnsi="Times New Roman"/>
              </w:rPr>
              <w:t>3</w:t>
            </w:r>
          </w:p>
        </w:tc>
        <w:tc>
          <w:tcPr>
            <w:tcW w:w="2435" w:type="dxa"/>
            <w:shd w:val="clear" w:color="auto" w:fill="auto"/>
            <w:vAlign w:val="center"/>
          </w:tcPr>
          <w:p w14:paraId="36F74DA0">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镁含量</w:t>
            </w:r>
          </w:p>
        </w:tc>
        <w:tc>
          <w:tcPr>
            <w:tcW w:w="2645" w:type="dxa"/>
            <w:shd w:val="clear" w:color="auto" w:fill="auto"/>
            <w:vAlign w:val="center"/>
          </w:tcPr>
          <w:p w14:paraId="00EC8F91">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c>
          <w:tcPr>
            <w:tcW w:w="2717" w:type="dxa"/>
            <w:shd w:val="clear" w:color="auto" w:fill="auto"/>
            <w:vAlign w:val="center"/>
          </w:tcPr>
          <w:p w14:paraId="3DEA0C2B">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1117-2010</w:t>
            </w:r>
          </w:p>
        </w:tc>
      </w:tr>
      <w:tr w14:paraId="12E0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595725CC">
            <w:pPr>
              <w:pStyle w:val="3"/>
              <w:jc w:val="center"/>
              <w:rPr>
                <w:rFonts w:ascii="Times New Roman" w:hAnsi="Times New Roman"/>
              </w:rPr>
            </w:pPr>
            <w:r>
              <w:rPr>
                <w:rFonts w:ascii="Times New Roman" w:hAnsi="Times New Roman"/>
              </w:rPr>
              <w:t>4</w:t>
            </w:r>
          </w:p>
        </w:tc>
        <w:tc>
          <w:tcPr>
            <w:tcW w:w="2435" w:type="dxa"/>
            <w:shd w:val="clear" w:color="auto" w:fill="auto"/>
            <w:vAlign w:val="center"/>
          </w:tcPr>
          <w:p w14:paraId="7B8DE6F2">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p</w:t>
            </w:r>
            <w:r>
              <w:rPr>
                <w:rFonts w:ascii="Times New Roman" w:hAnsi="Times New Roman"/>
              </w:rPr>
              <w:t>H</w:t>
            </w:r>
            <w:r>
              <w:rPr>
                <w:rFonts w:hint="eastAsia" w:ascii="Times New Roman" w:hAnsi="Times New Roman"/>
              </w:rPr>
              <w:t>（</w:t>
            </w:r>
            <w:r>
              <w:rPr>
                <w:rFonts w:ascii="Times New Roman" w:hAnsi="Times New Roman"/>
              </w:rPr>
              <w:t>1</w:t>
            </w:r>
            <w:r>
              <w:rPr>
                <w:rFonts w:hint="eastAsia" w:ascii="Times New Roman" w:hAnsi="Times New Roman"/>
              </w:rPr>
              <w:t>:</w:t>
            </w:r>
            <w:r>
              <w:rPr>
                <w:rFonts w:ascii="Times New Roman" w:hAnsi="Times New Roman"/>
              </w:rPr>
              <w:t>250</w:t>
            </w:r>
            <w:r>
              <w:rPr>
                <w:rFonts w:hint="eastAsia" w:ascii="Times New Roman" w:hAnsi="Times New Roman"/>
              </w:rPr>
              <w:t>倍稀释）</w:t>
            </w:r>
          </w:p>
        </w:tc>
        <w:tc>
          <w:tcPr>
            <w:tcW w:w="2645" w:type="dxa"/>
            <w:shd w:val="clear" w:color="auto" w:fill="auto"/>
            <w:vAlign w:val="center"/>
          </w:tcPr>
          <w:p w14:paraId="66484C80">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c>
          <w:tcPr>
            <w:tcW w:w="2717" w:type="dxa"/>
            <w:shd w:val="clear" w:color="auto" w:fill="auto"/>
            <w:vAlign w:val="center"/>
          </w:tcPr>
          <w:p w14:paraId="6A973264">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r w14:paraId="5455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25D9D897">
            <w:pPr>
              <w:pStyle w:val="3"/>
              <w:jc w:val="center"/>
              <w:rPr>
                <w:rFonts w:ascii="Times New Roman" w:hAnsi="Times New Roman"/>
              </w:rPr>
            </w:pPr>
            <w:r>
              <w:rPr>
                <w:rFonts w:hint="eastAsia" w:ascii="Times New Roman" w:hAnsi="Times New Roman"/>
              </w:rPr>
              <w:t>12</w:t>
            </w:r>
          </w:p>
        </w:tc>
        <w:tc>
          <w:tcPr>
            <w:tcW w:w="2435" w:type="dxa"/>
            <w:shd w:val="clear" w:color="auto" w:fill="auto"/>
            <w:vAlign w:val="center"/>
          </w:tcPr>
          <w:p w14:paraId="2A218435">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水不溶物含量</w:t>
            </w:r>
          </w:p>
        </w:tc>
        <w:tc>
          <w:tcPr>
            <w:tcW w:w="2645" w:type="dxa"/>
            <w:shd w:val="clear" w:color="auto" w:fill="auto"/>
            <w:vAlign w:val="center"/>
          </w:tcPr>
          <w:p w14:paraId="48EBBBE5">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226</w:t>
            </w:r>
            <w:r>
              <w:rPr>
                <w:rFonts w:hint="eastAsia" w:ascii="Times New Roman" w:hAnsi="Times New Roman"/>
              </w:rPr>
              <w:t>6-</w:t>
            </w:r>
            <w:r>
              <w:rPr>
                <w:rFonts w:ascii="Times New Roman" w:hAnsi="Times New Roman"/>
              </w:rPr>
              <w:t>2012</w:t>
            </w:r>
          </w:p>
        </w:tc>
        <w:tc>
          <w:tcPr>
            <w:tcW w:w="2717" w:type="dxa"/>
            <w:shd w:val="clear" w:color="auto" w:fill="auto"/>
            <w:vAlign w:val="center"/>
          </w:tcPr>
          <w:p w14:paraId="4204E6CF">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bl>
    <w:p w14:paraId="7795FE35"/>
    <w:p w14:paraId="6B0FFA88">
      <w:pPr>
        <w:pStyle w:val="3"/>
        <w:spacing w:line="264" w:lineRule="auto"/>
        <w:ind w:firstLine="420" w:firstLineChars="200"/>
        <w:jc w:val="center"/>
        <w:rPr>
          <w:rFonts w:ascii="Times New Roman" w:hAnsi="Times New Roman"/>
          <w:bCs/>
        </w:rPr>
      </w:pPr>
      <w:r>
        <w:rPr>
          <w:rFonts w:ascii="Times New Roman" w:hAnsi="Times New Roman"/>
          <w:bCs/>
        </w:rPr>
        <w:t xml:space="preserve">表3 </w:t>
      </w:r>
      <w:r>
        <w:rPr>
          <w:rFonts w:hint="eastAsia" w:ascii="Times New Roman" w:hAnsi="Times New Roman"/>
          <w:bCs/>
        </w:rPr>
        <w:t>微量元素水溶肥料</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2435"/>
        <w:gridCol w:w="2645"/>
        <w:gridCol w:w="2717"/>
      </w:tblGrid>
      <w:tr w14:paraId="5B93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73" w:type="dxa"/>
            <w:vAlign w:val="center"/>
          </w:tcPr>
          <w:p w14:paraId="1AAB2A46">
            <w:pPr>
              <w:pStyle w:val="3"/>
              <w:jc w:val="center"/>
              <w:rPr>
                <w:rFonts w:ascii="Times New Roman" w:hAnsi="Times New Roman"/>
                <w:sz w:val="20"/>
              </w:rPr>
            </w:pPr>
            <w:r>
              <w:rPr>
                <w:rFonts w:ascii="Times New Roman" w:hAnsi="Times New Roman"/>
                <w:sz w:val="20"/>
              </w:rPr>
              <w:t>序号</w:t>
            </w:r>
          </w:p>
        </w:tc>
        <w:tc>
          <w:tcPr>
            <w:tcW w:w="2435" w:type="dxa"/>
            <w:vAlign w:val="center"/>
          </w:tcPr>
          <w:p w14:paraId="02AC5508">
            <w:pPr>
              <w:pStyle w:val="3"/>
              <w:jc w:val="center"/>
              <w:rPr>
                <w:rFonts w:ascii="Times New Roman" w:hAnsi="Times New Roman"/>
              </w:rPr>
            </w:pPr>
            <w:r>
              <w:rPr>
                <w:rFonts w:ascii="Times New Roman" w:hAnsi="Times New Roman"/>
              </w:rPr>
              <w:t>检验项目</w:t>
            </w:r>
          </w:p>
        </w:tc>
        <w:tc>
          <w:tcPr>
            <w:tcW w:w="2645" w:type="dxa"/>
            <w:vAlign w:val="center"/>
          </w:tcPr>
          <w:p w14:paraId="4F146754">
            <w:pPr>
              <w:pStyle w:val="3"/>
              <w:jc w:val="center"/>
              <w:rPr>
                <w:rFonts w:ascii="Times New Roman" w:hAnsi="Times New Roman"/>
              </w:rPr>
            </w:pPr>
            <w:r>
              <w:rPr>
                <w:rFonts w:hint="eastAsia"/>
                <w:color w:val="000000"/>
              </w:rPr>
              <w:t>检验依据</w:t>
            </w:r>
          </w:p>
        </w:tc>
        <w:tc>
          <w:tcPr>
            <w:tcW w:w="2717" w:type="dxa"/>
            <w:vAlign w:val="center"/>
          </w:tcPr>
          <w:p w14:paraId="403A4CC4">
            <w:pPr>
              <w:pStyle w:val="3"/>
              <w:jc w:val="center"/>
              <w:rPr>
                <w:rFonts w:ascii="Times New Roman" w:hAnsi="Times New Roman"/>
              </w:rPr>
            </w:pPr>
            <w:r>
              <w:rPr>
                <w:color w:val="000000"/>
              </w:rPr>
              <w:t>检验方法</w:t>
            </w:r>
          </w:p>
        </w:tc>
      </w:tr>
      <w:tr w14:paraId="790D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4DB51F79">
            <w:pPr>
              <w:pStyle w:val="3"/>
              <w:jc w:val="center"/>
              <w:rPr>
                <w:rFonts w:ascii="Times New Roman" w:hAnsi="Times New Roman"/>
              </w:rPr>
            </w:pPr>
            <w:r>
              <w:rPr>
                <w:rFonts w:ascii="Times New Roman" w:hAnsi="Times New Roman"/>
              </w:rPr>
              <w:t>1</w:t>
            </w:r>
          </w:p>
        </w:tc>
        <w:tc>
          <w:tcPr>
            <w:tcW w:w="2435" w:type="dxa"/>
            <w:shd w:val="clear" w:color="auto" w:fill="auto"/>
            <w:vAlign w:val="center"/>
          </w:tcPr>
          <w:p w14:paraId="758185DA">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微量元素含量</w:t>
            </w:r>
          </w:p>
        </w:tc>
        <w:tc>
          <w:tcPr>
            <w:tcW w:w="2645" w:type="dxa"/>
            <w:shd w:val="clear" w:color="auto" w:fill="auto"/>
            <w:vAlign w:val="top"/>
          </w:tcPr>
          <w:p w14:paraId="103AEE7C">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top"/>
          </w:tcPr>
          <w:p w14:paraId="33B48361">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r>
      <w:tr w14:paraId="46CF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5209C70D">
            <w:pPr>
              <w:pStyle w:val="3"/>
              <w:jc w:val="center"/>
              <w:rPr>
                <w:rFonts w:ascii="Times New Roman" w:hAnsi="Times New Roman"/>
              </w:rPr>
            </w:pPr>
            <w:r>
              <w:rPr>
                <w:rFonts w:ascii="Times New Roman" w:hAnsi="Times New Roman"/>
              </w:rPr>
              <w:t>2</w:t>
            </w:r>
          </w:p>
        </w:tc>
        <w:tc>
          <w:tcPr>
            <w:tcW w:w="2435" w:type="dxa"/>
            <w:shd w:val="clear" w:color="auto" w:fill="auto"/>
            <w:vAlign w:val="center"/>
          </w:tcPr>
          <w:p w14:paraId="38D0A2C5">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铜含量</w:t>
            </w:r>
          </w:p>
        </w:tc>
        <w:tc>
          <w:tcPr>
            <w:tcW w:w="2645" w:type="dxa"/>
            <w:shd w:val="clear" w:color="auto" w:fill="auto"/>
            <w:vAlign w:val="top"/>
          </w:tcPr>
          <w:p w14:paraId="38B00AC8">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4C74C484">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53F0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0991D0F3">
            <w:pPr>
              <w:pStyle w:val="3"/>
              <w:jc w:val="center"/>
              <w:rPr>
                <w:rFonts w:ascii="Times New Roman" w:hAnsi="Times New Roman"/>
              </w:rPr>
            </w:pPr>
            <w:r>
              <w:rPr>
                <w:rFonts w:ascii="Times New Roman" w:hAnsi="Times New Roman"/>
              </w:rPr>
              <w:t>3</w:t>
            </w:r>
          </w:p>
        </w:tc>
        <w:tc>
          <w:tcPr>
            <w:tcW w:w="2435" w:type="dxa"/>
            <w:shd w:val="clear" w:color="auto" w:fill="auto"/>
            <w:vAlign w:val="center"/>
          </w:tcPr>
          <w:p w14:paraId="7627809D">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铁含量</w:t>
            </w:r>
          </w:p>
        </w:tc>
        <w:tc>
          <w:tcPr>
            <w:tcW w:w="2645" w:type="dxa"/>
            <w:shd w:val="clear" w:color="auto" w:fill="auto"/>
            <w:vAlign w:val="top"/>
          </w:tcPr>
          <w:p w14:paraId="7DB00C74">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1FD2700F">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5E0F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517439E0">
            <w:pPr>
              <w:pStyle w:val="3"/>
              <w:jc w:val="center"/>
              <w:rPr>
                <w:rFonts w:ascii="Times New Roman" w:hAnsi="Times New Roman"/>
              </w:rPr>
            </w:pPr>
            <w:r>
              <w:rPr>
                <w:rFonts w:ascii="Times New Roman" w:hAnsi="Times New Roman"/>
              </w:rPr>
              <w:t>4</w:t>
            </w:r>
          </w:p>
        </w:tc>
        <w:tc>
          <w:tcPr>
            <w:tcW w:w="2435" w:type="dxa"/>
            <w:shd w:val="clear" w:color="auto" w:fill="auto"/>
            <w:vAlign w:val="center"/>
          </w:tcPr>
          <w:p w14:paraId="05A55CD4">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锰含量</w:t>
            </w:r>
          </w:p>
        </w:tc>
        <w:tc>
          <w:tcPr>
            <w:tcW w:w="2645" w:type="dxa"/>
            <w:shd w:val="clear" w:color="auto" w:fill="auto"/>
            <w:vAlign w:val="top"/>
          </w:tcPr>
          <w:p w14:paraId="5F74BABD">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41915DD0">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63E7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1E1B5475">
            <w:pPr>
              <w:pStyle w:val="3"/>
              <w:jc w:val="center"/>
              <w:rPr>
                <w:rFonts w:ascii="Times New Roman" w:hAnsi="Times New Roman"/>
              </w:rPr>
            </w:pPr>
            <w:r>
              <w:rPr>
                <w:rFonts w:ascii="Times New Roman" w:hAnsi="Times New Roman"/>
              </w:rPr>
              <w:t>5</w:t>
            </w:r>
          </w:p>
        </w:tc>
        <w:tc>
          <w:tcPr>
            <w:tcW w:w="2435" w:type="dxa"/>
            <w:shd w:val="clear" w:color="auto" w:fill="auto"/>
            <w:vAlign w:val="center"/>
          </w:tcPr>
          <w:p w14:paraId="4A4A0048">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锌含量</w:t>
            </w:r>
          </w:p>
        </w:tc>
        <w:tc>
          <w:tcPr>
            <w:tcW w:w="2645" w:type="dxa"/>
            <w:shd w:val="clear" w:color="auto" w:fill="auto"/>
            <w:vAlign w:val="top"/>
          </w:tcPr>
          <w:p w14:paraId="54BAD930">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21EDE987">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0846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6A932EB0">
            <w:pPr>
              <w:pStyle w:val="3"/>
              <w:jc w:val="center"/>
              <w:rPr>
                <w:rFonts w:ascii="Times New Roman" w:hAnsi="Times New Roman"/>
              </w:rPr>
            </w:pPr>
            <w:r>
              <w:rPr>
                <w:rFonts w:ascii="Times New Roman" w:hAnsi="Times New Roman"/>
              </w:rPr>
              <w:t>6</w:t>
            </w:r>
          </w:p>
        </w:tc>
        <w:tc>
          <w:tcPr>
            <w:tcW w:w="2435" w:type="dxa"/>
            <w:shd w:val="clear" w:color="auto" w:fill="auto"/>
            <w:vAlign w:val="center"/>
          </w:tcPr>
          <w:p w14:paraId="195FBC1F">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硼含量</w:t>
            </w:r>
          </w:p>
        </w:tc>
        <w:tc>
          <w:tcPr>
            <w:tcW w:w="2645" w:type="dxa"/>
            <w:shd w:val="clear" w:color="auto" w:fill="auto"/>
            <w:vAlign w:val="top"/>
          </w:tcPr>
          <w:p w14:paraId="347576F9">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53E50F4F">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33F2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76980E6B">
            <w:pPr>
              <w:pStyle w:val="3"/>
              <w:jc w:val="center"/>
              <w:rPr>
                <w:rFonts w:ascii="Times New Roman" w:hAnsi="Times New Roman"/>
              </w:rPr>
            </w:pPr>
            <w:r>
              <w:rPr>
                <w:rFonts w:ascii="Times New Roman" w:hAnsi="Times New Roman"/>
              </w:rPr>
              <w:t>7</w:t>
            </w:r>
          </w:p>
        </w:tc>
        <w:tc>
          <w:tcPr>
            <w:tcW w:w="2435" w:type="dxa"/>
            <w:shd w:val="clear" w:color="auto" w:fill="auto"/>
            <w:vAlign w:val="center"/>
          </w:tcPr>
          <w:p w14:paraId="7DDEF881">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钼含量</w:t>
            </w:r>
          </w:p>
        </w:tc>
        <w:tc>
          <w:tcPr>
            <w:tcW w:w="2645" w:type="dxa"/>
            <w:shd w:val="clear" w:color="auto" w:fill="auto"/>
            <w:vAlign w:val="top"/>
          </w:tcPr>
          <w:p w14:paraId="46F65C02">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104BB58C">
            <w:pPr>
              <w:pStyle w:val="3"/>
              <w:jc w:val="center"/>
              <w:rPr>
                <w:rFonts w:ascii="Times New Roman" w:hAnsi="Times New Roman" w:eastAsia="宋体" w:cs="Times New Roman"/>
                <w:kern w:val="2"/>
                <w:sz w:val="21"/>
                <w:szCs w:val="21"/>
                <w:lang w:val="en-US" w:eastAsia="zh-CN" w:bidi="ar-SA"/>
              </w:rPr>
            </w:pPr>
            <w:r>
              <w:rPr>
                <w:rFonts w:ascii="Times New Roman" w:hAnsi="Times New Roman"/>
              </w:rPr>
              <w:t>NY/T 1974-2010</w:t>
            </w:r>
          </w:p>
        </w:tc>
      </w:tr>
      <w:tr w14:paraId="5EE8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6A5967EC">
            <w:pPr>
              <w:pStyle w:val="3"/>
              <w:jc w:val="center"/>
              <w:rPr>
                <w:rFonts w:ascii="Times New Roman" w:hAnsi="Times New Roman"/>
              </w:rPr>
            </w:pPr>
            <w:r>
              <w:rPr>
                <w:rFonts w:hint="eastAsia" w:ascii="Times New Roman" w:hAnsi="Times New Roman"/>
              </w:rPr>
              <w:t>8</w:t>
            </w:r>
          </w:p>
        </w:tc>
        <w:tc>
          <w:tcPr>
            <w:tcW w:w="2435" w:type="dxa"/>
            <w:shd w:val="clear" w:color="auto" w:fill="auto"/>
            <w:vAlign w:val="center"/>
          </w:tcPr>
          <w:p w14:paraId="6C0EA23E">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p</w:t>
            </w:r>
            <w:r>
              <w:rPr>
                <w:rFonts w:ascii="Times New Roman" w:hAnsi="Times New Roman"/>
              </w:rPr>
              <w:t>H</w:t>
            </w:r>
            <w:r>
              <w:rPr>
                <w:rFonts w:hint="eastAsia" w:ascii="Times New Roman" w:hAnsi="Times New Roman"/>
              </w:rPr>
              <w:t>（</w:t>
            </w:r>
            <w:r>
              <w:rPr>
                <w:rFonts w:ascii="Times New Roman" w:hAnsi="Times New Roman"/>
              </w:rPr>
              <w:t>1</w:t>
            </w:r>
            <w:r>
              <w:rPr>
                <w:rFonts w:hint="eastAsia" w:ascii="Times New Roman" w:hAnsi="Times New Roman"/>
              </w:rPr>
              <w:t>:</w:t>
            </w:r>
            <w:r>
              <w:rPr>
                <w:rFonts w:ascii="Times New Roman" w:hAnsi="Times New Roman"/>
              </w:rPr>
              <w:t>250</w:t>
            </w:r>
            <w:r>
              <w:rPr>
                <w:rFonts w:hint="eastAsia" w:ascii="Times New Roman" w:hAnsi="Times New Roman"/>
              </w:rPr>
              <w:t>倍稀释）</w:t>
            </w:r>
          </w:p>
        </w:tc>
        <w:tc>
          <w:tcPr>
            <w:tcW w:w="2645" w:type="dxa"/>
            <w:shd w:val="clear" w:color="auto" w:fill="auto"/>
            <w:vAlign w:val="top"/>
          </w:tcPr>
          <w:p w14:paraId="7D0E0423">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364C85D1">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r w14:paraId="1762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3" w:type="dxa"/>
            <w:vAlign w:val="center"/>
          </w:tcPr>
          <w:p w14:paraId="32CFC9C3">
            <w:pPr>
              <w:pStyle w:val="3"/>
              <w:jc w:val="center"/>
              <w:rPr>
                <w:rFonts w:ascii="Times New Roman" w:hAnsi="Times New Roman"/>
              </w:rPr>
            </w:pPr>
            <w:r>
              <w:rPr>
                <w:rFonts w:hint="eastAsia" w:ascii="Times New Roman" w:hAnsi="Times New Roman"/>
              </w:rPr>
              <w:t>9</w:t>
            </w:r>
          </w:p>
        </w:tc>
        <w:tc>
          <w:tcPr>
            <w:tcW w:w="2435" w:type="dxa"/>
            <w:shd w:val="clear" w:color="auto" w:fill="auto"/>
            <w:vAlign w:val="center"/>
          </w:tcPr>
          <w:p w14:paraId="62CE49D6">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水不溶物含量</w:t>
            </w:r>
          </w:p>
        </w:tc>
        <w:tc>
          <w:tcPr>
            <w:tcW w:w="2645" w:type="dxa"/>
            <w:shd w:val="clear" w:color="auto" w:fill="auto"/>
            <w:vAlign w:val="top"/>
          </w:tcPr>
          <w:p w14:paraId="684EB9A7">
            <w:pPr>
              <w:pStyle w:val="3"/>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rPr>
              <w:t>NY</w:t>
            </w:r>
            <w:r>
              <w:rPr>
                <w:rFonts w:ascii="Times New Roman" w:hAnsi="Times New Roman"/>
              </w:rPr>
              <w:t xml:space="preserve"> 1428</w:t>
            </w:r>
            <w:r>
              <w:rPr>
                <w:rFonts w:hint="eastAsia" w:ascii="Times New Roman" w:hAnsi="Times New Roman"/>
              </w:rPr>
              <w:t>-</w:t>
            </w:r>
            <w:r>
              <w:rPr>
                <w:rFonts w:ascii="Times New Roman" w:hAnsi="Times New Roman"/>
              </w:rPr>
              <w:t>2010</w:t>
            </w:r>
          </w:p>
        </w:tc>
        <w:tc>
          <w:tcPr>
            <w:tcW w:w="2717" w:type="dxa"/>
            <w:shd w:val="clear" w:color="auto" w:fill="auto"/>
            <w:vAlign w:val="center"/>
          </w:tcPr>
          <w:p w14:paraId="52BB1B25">
            <w:pPr>
              <w:pStyle w:val="3"/>
              <w:jc w:val="center"/>
              <w:rPr>
                <w:rFonts w:ascii="Times New Roman" w:hAnsi="Times New Roman" w:eastAsia="宋体" w:cs="Times New Roman"/>
                <w:kern w:val="2"/>
                <w:sz w:val="21"/>
                <w:szCs w:val="21"/>
                <w:lang w:val="en-US" w:eastAsia="zh-CN" w:bidi="ar-SA"/>
              </w:rPr>
            </w:pPr>
            <w:r>
              <w:rPr>
                <w:rFonts w:hint="eastAsia" w:ascii="Times New Roman" w:hAnsi="Times New Roman"/>
              </w:rPr>
              <w:t>NY/T</w:t>
            </w:r>
            <w:r>
              <w:rPr>
                <w:rFonts w:ascii="Times New Roman" w:hAnsi="Times New Roman"/>
              </w:rPr>
              <w:t xml:space="preserve"> 1973-20</w:t>
            </w:r>
            <w:r>
              <w:rPr>
                <w:rFonts w:hint="eastAsia" w:ascii="Times New Roman" w:hAnsi="Times New Roman"/>
              </w:rPr>
              <w:t>21</w:t>
            </w:r>
          </w:p>
        </w:tc>
      </w:tr>
    </w:tbl>
    <w:p w14:paraId="7B3391FA">
      <w:pPr>
        <w:adjustRightInd w:val="0"/>
        <w:snapToGrid w:val="0"/>
        <w:spacing w:line="440" w:lineRule="exact"/>
        <w:ind w:firstLine="420" w:firstLineChars="200"/>
        <w:rPr>
          <w:color w:val="000000"/>
          <w:szCs w:val="21"/>
        </w:rPr>
      </w:pPr>
      <w:bookmarkStart w:id="0" w:name="_Hlk40347690"/>
      <w:r>
        <w:rPr>
          <w:rFonts w:hint="eastAsia"/>
          <w:color w:val="000000"/>
          <w:szCs w:val="21"/>
        </w:rPr>
        <w:t>执行企业标准、团体标准、地方标准的产品，检验项目参照上述内容执行。</w:t>
      </w:r>
      <w:bookmarkEnd w:id="0"/>
    </w:p>
    <w:p w14:paraId="249856D6">
      <w:pPr>
        <w:snapToGrid w:val="0"/>
        <w:spacing w:line="440" w:lineRule="exact"/>
        <w:ind w:firstLine="359" w:firstLineChars="171"/>
        <w:rPr>
          <w:rFonts w:eastAsia="黑体"/>
          <w:szCs w:val="21"/>
        </w:rPr>
      </w:pPr>
      <w:r>
        <w:rPr>
          <w:rFonts w:hint="eastAsia"/>
          <w:color w:val="000000"/>
          <w:szCs w:val="21"/>
        </w:rPr>
        <w:t>凡是注日期的文件，其随后所有的修改单（不包括勘误的内容）或修订版不适用于本细则。凡是不注日期的文件，其最新版本适用于本细则。</w:t>
      </w:r>
    </w:p>
    <w:p w14:paraId="06964943">
      <w:pPr>
        <w:adjustRightInd w:val="0"/>
        <w:snapToGrid w:val="0"/>
        <w:spacing w:line="440" w:lineRule="exact"/>
        <w:outlineLvl w:val="1"/>
        <w:rPr>
          <w:rFonts w:eastAsia="黑体"/>
          <w:szCs w:val="21"/>
        </w:rPr>
      </w:pPr>
      <w:r>
        <w:rPr>
          <w:rFonts w:hint="eastAsia" w:eastAsia="黑体"/>
          <w:szCs w:val="21"/>
        </w:rPr>
        <w:t>3 依据规则</w:t>
      </w:r>
    </w:p>
    <w:p w14:paraId="7654A50F">
      <w:pPr>
        <w:adjustRightInd w:val="0"/>
        <w:snapToGrid w:val="0"/>
        <w:spacing w:line="440" w:lineRule="exact"/>
        <w:outlineLvl w:val="1"/>
        <w:rPr>
          <w:szCs w:val="21"/>
        </w:rPr>
      </w:pPr>
      <w:r>
        <w:rPr>
          <w:rFonts w:hint="eastAsia"/>
          <w:szCs w:val="21"/>
        </w:rPr>
        <w:t>3.1依据标准</w:t>
      </w:r>
    </w:p>
    <w:p w14:paraId="7597DED5">
      <w:pPr>
        <w:adjustRightInd w:val="0"/>
        <w:snapToGrid w:val="0"/>
        <w:spacing w:line="440" w:lineRule="exact"/>
        <w:ind w:firstLine="420" w:firstLineChars="200"/>
        <w:rPr>
          <w:rFonts w:cs="宋体"/>
          <w:szCs w:val="21"/>
        </w:rPr>
      </w:pPr>
      <w:r>
        <w:rPr>
          <w:rFonts w:hint="eastAsia" w:cs="宋体"/>
          <w:szCs w:val="21"/>
        </w:rPr>
        <w:t>NY/T 1107-2020 大量元素水溶肥料</w:t>
      </w:r>
    </w:p>
    <w:p w14:paraId="6C3FAA33">
      <w:pPr>
        <w:adjustRightInd w:val="0"/>
        <w:snapToGrid w:val="0"/>
        <w:spacing w:line="440" w:lineRule="exact"/>
        <w:ind w:firstLine="420" w:firstLineChars="200"/>
        <w:rPr>
          <w:rFonts w:cs="宋体"/>
          <w:szCs w:val="21"/>
        </w:rPr>
      </w:pPr>
      <w:r>
        <w:rPr>
          <w:rFonts w:hint="eastAsia" w:cs="宋体"/>
          <w:szCs w:val="21"/>
        </w:rPr>
        <w:t>NY 2266-2012 中量元素水溶肥料</w:t>
      </w:r>
    </w:p>
    <w:p w14:paraId="623C8445">
      <w:pPr>
        <w:adjustRightInd w:val="0"/>
        <w:snapToGrid w:val="0"/>
        <w:spacing w:line="440" w:lineRule="exact"/>
        <w:ind w:firstLine="420" w:firstLineChars="200"/>
        <w:rPr>
          <w:rFonts w:hint="eastAsia" w:eastAsia="宋体" w:cs="宋体"/>
          <w:szCs w:val="21"/>
          <w:lang w:val="en-US" w:eastAsia="zh-CN"/>
        </w:rPr>
      </w:pPr>
      <w:r>
        <w:rPr>
          <w:rFonts w:hint="eastAsia" w:cs="宋体"/>
          <w:szCs w:val="21"/>
        </w:rPr>
        <w:t>NY 1428-2010 微量元素水溶肥料</w:t>
      </w:r>
    </w:p>
    <w:p w14:paraId="0529D2CC">
      <w:pPr>
        <w:adjustRightInd w:val="0"/>
        <w:snapToGrid w:val="0"/>
        <w:spacing w:line="440" w:lineRule="exact"/>
        <w:ind w:firstLine="420" w:firstLineChars="200"/>
        <w:rPr>
          <w:rFonts w:cs="宋体"/>
          <w:szCs w:val="21"/>
        </w:rPr>
      </w:pPr>
      <w:r>
        <w:rPr>
          <w:rFonts w:hint="eastAsia" w:cs="宋体"/>
          <w:szCs w:val="21"/>
        </w:rPr>
        <w:t>现行有效的企业标准、团体标准、地方标准及产品明示质量要求</w:t>
      </w:r>
    </w:p>
    <w:p w14:paraId="5A51B15C">
      <w:pPr>
        <w:adjustRightInd w:val="0"/>
        <w:snapToGrid w:val="0"/>
        <w:spacing w:line="440" w:lineRule="exact"/>
        <w:outlineLvl w:val="1"/>
        <w:rPr>
          <w:szCs w:val="21"/>
        </w:rPr>
      </w:pPr>
      <w:r>
        <w:rPr>
          <w:rFonts w:hint="eastAsia"/>
          <w:szCs w:val="21"/>
        </w:rPr>
        <w:t>3.2判定原则</w:t>
      </w:r>
    </w:p>
    <w:p w14:paraId="03D0A126">
      <w:pPr>
        <w:spacing w:line="440" w:lineRule="exact"/>
        <w:ind w:firstLine="420" w:firstLineChars="200"/>
        <w:rPr>
          <w:color w:val="000000"/>
          <w:szCs w:val="21"/>
        </w:rPr>
      </w:pPr>
      <w:r>
        <w:rPr>
          <w:rFonts w:hint="eastAsia"/>
          <w:color w:val="000000"/>
          <w:szCs w:val="21"/>
        </w:rPr>
        <w:t>经检验，检验项目全部合格，判定为被抽查产品所检项目未发现不合格；检验项目中任一项或一项以上不合格，判定为被抽查产品不合格。</w:t>
      </w:r>
    </w:p>
    <w:p w14:paraId="7ECB89D0">
      <w:pPr>
        <w:spacing w:line="440" w:lineRule="exact"/>
        <w:ind w:firstLine="417" w:firstLineChars="199"/>
        <w:rPr>
          <w:color w:val="000000"/>
          <w:szCs w:val="21"/>
        </w:rPr>
      </w:pPr>
      <w:r>
        <w:rPr>
          <w:rFonts w:hint="eastAsia"/>
          <w:color w:val="000000"/>
          <w:szCs w:val="21"/>
        </w:rPr>
        <w:t>若被检产品明示的质量要求高于本细则中检验项目依据的标准要求时，应按被检产品明示的质量要求判定。</w:t>
      </w:r>
    </w:p>
    <w:p w14:paraId="537E7098">
      <w:pPr>
        <w:spacing w:line="440" w:lineRule="exact"/>
        <w:ind w:firstLine="417" w:firstLineChars="199"/>
        <w:rPr>
          <w:color w:val="000000"/>
          <w:szCs w:val="21"/>
        </w:rPr>
      </w:pPr>
      <w:r>
        <w:rPr>
          <w:rFonts w:hint="eastAsia"/>
          <w:color w:val="000000"/>
          <w:szCs w:val="21"/>
        </w:rPr>
        <w:t>若被检产品明示的质量要求低于本细则中检验项目依据的强制性标准要求时，应按照强制性标准要求判定。</w:t>
      </w:r>
    </w:p>
    <w:p w14:paraId="15CA04CB">
      <w:pPr>
        <w:spacing w:line="440" w:lineRule="exact"/>
        <w:ind w:firstLine="417" w:firstLineChars="199"/>
        <w:rPr>
          <w:color w:val="000000"/>
          <w:szCs w:val="21"/>
        </w:rPr>
      </w:pPr>
      <w:r>
        <w:rPr>
          <w:rFonts w:hint="eastAsia"/>
          <w:color w:val="000000"/>
          <w:szCs w:val="21"/>
        </w:rPr>
        <w:t>若被检产品明示的质量要求低于或包含本细则中检验项目依据的推荐性标准要求时，应以被检产品明示的质量要求判定。</w:t>
      </w:r>
    </w:p>
    <w:p w14:paraId="5F817184">
      <w:pPr>
        <w:spacing w:line="440" w:lineRule="exact"/>
        <w:ind w:firstLine="417" w:firstLineChars="199"/>
        <w:rPr>
          <w:color w:val="000000"/>
          <w:szCs w:val="21"/>
        </w:rPr>
      </w:pPr>
      <w:r>
        <w:rPr>
          <w:rFonts w:hint="eastAsia"/>
          <w:color w:val="000000"/>
          <w:szCs w:val="21"/>
        </w:rPr>
        <w:t>若被检产品明示的质量要求缺少本细则中检验项目依据的强制性标准要求时，应按照强制性标准要求判定。</w:t>
      </w:r>
    </w:p>
    <w:p w14:paraId="2880C242">
      <w:pPr>
        <w:spacing w:line="440" w:lineRule="exact"/>
        <w:ind w:firstLine="417" w:firstLineChars="199"/>
        <w:rPr>
          <w:color w:val="000000"/>
          <w:szCs w:val="21"/>
        </w:rPr>
      </w:pPr>
      <w:r>
        <w:rPr>
          <w:rFonts w:hint="eastAsia"/>
          <w:color w:val="000000"/>
          <w:szCs w:val="21"/>
        </w:rPr>
        <w:t>若被检产品明示的质量要求缺少本细则中检验项目依据的推荐性标准要求时，该项目不参与判定。</w:t>
      </w:r>
    </w:p>
    <w:p w14:paraId="1F224350">
      <w:pPr>
        <w:adjustRightInd w:val="0"/>
        <w:snapToGrid w:val="0"/>
        <w:spacing w:line="440" w:lineRule="exact"/>
        <w:ind w:firstLine="420" w:firstLineChars="200"/>
        <w:outlineLvl w:val="1"/>
        <w:rPr>
          <w:color w:val="000000"/>
          <w:szCs w:val="21"/>
        </w:rPr>
      </w:pPr>
    </w:p>
    <w:p w14:paraId="59659A98">
      <w:pPr>
        <w:adjustRightInd w:val="0"/>
        <w:snapToGrid w:val="0"/>
        <w:spacing w:line="440" w:lineRule="exact"/>
        <w:ind w:firstLine="420" w:firstLineChars="200"/>
        <w:outlineLvl w:val="1"/>
        <w:rPr>
          <w:color w:val="000000"/>
          <w:szCs w:val="21"/>
        </w:rPr>
      </w:pPr>
      <w:bookmarkStart w:id="1" w:name="_GoBack"/>
      <w:bookmarkEnd w:id="1"/>
    </w:p>
    <w:sectPr>
      <w:footerReference r:id="rId3" w:type="default"/>
      <w:pgSz w:w="11906" w:h="16838"/>
      <w:pgMar w:top="1985" w:right="1474" w:bottom="1644"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BD15501-DA8D-475B-AE7B-2B07424605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30DE6E9F-1759-44F5-B80D-FA4ED80493DD}"/>
  </w:font>
  <w:font w:name="方正仿宋简体">
    <w:panose1 w:val="02000000000000000000"/>
    <w:charset w:val="86"/>
    <w:family w:val="script"/>
    <w:pitch w:val="default"/>
    <w:sig w:usb0="A00002BF" w:usb1="184F6CFA" w:usb2="00000012" w:usb3="00000000" w:csb0="00040001" w:csb1="00000000"/>
    <w:embedRegular r:id="rId3" w:fontKey="{982D9851-A2FC-4553-ADF2-48DC599A2F0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62B8">
    <w:pPr>
      <w:pStyle w:val="5"/>
      <w:jc w:val="center"/>
    </w:pPr>
    <w:r>
      <w:fldChar w:fldCharType="begin"/>
    </w:r>
    <w:r>
      <w:instrText xml:space="preserve">PAGE   \* MERGEFORMAT</w:instrText>
    </w:r>
    <w:r>
      <w:fldChar w:fldCharType="separate"/>
    </w:r>
    <w:r>
      <w:rPr>
        <w:lang w:val="zh-CN"/>
      </w:rPr>
      <w:t>2</w:t>
    </w:r>
    <w:r>
      <w:fldChar w:fldCharType="end"/>
    </w:r>
  </w:p>
  <w:p w14:paraId="09374025">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ZDdmNmRjM2UyNjkzM2Q2ZmNmMjNjNjY3M2EzOTlmZjMifQ=="/>
  </w:docVars>
  <w:rsids>
    <w:rsidRoot w:val="00752E6A"/>
    <w:rsid w:val="00005EF3"/>
    <w:rsid w:val="00006736"/>
    <w:rsid w:val="00010E96"/>
    <w:rsid w:val="00017B35"/>
    <w:rsid w:val="00026924"/>
    <w:rsid w:val="00031D6F"/>
    <w:rsid w:val="00035343"/>
    <w:rsid w:val="00053F02"/>
    <w:rsid w:val="000625CF"/>
    <w:rsid w:val="00096725"/>
    <w:rsid w:val="00096E29"/>
    <w:rsid w:val="000A080C"/>
    <w:rsid w:val="000F53DE"/>
    <w:rsid w:val="00101532"/>
    <w:rsid w:val="00104656"/>
    <w:rsid w:val="00104D1A"/>
    <w:rsid w:val="00120E76"/>
    <w:rsid w:val="00127745"/>
    <w:rsid w:val="00127815"/>
    <w:rsid w:val="001B28D7"/>
    <w:rsid w:val="001E1A20"/>
    <w:rsid w:val="001F3718"/>
    <w:rsid w:val="00203ABE"/>
    <w:rsid w:val="00257FC1"/>
    <w:rsid w:val="002D3752"/>
    <w:rsid w:val="002E040F"/>
    <w:rsid w:val="00307328"/>
    <w:rsid w:val="00326F6D"/>
    <w:rsid w:val="00333D39"/>
    <w:rsid w:val="00336888"/>
    <w:rsid w:val="00340B75"/>
    <w:rsid w:val="00391C40"/>
    <w:rsid w:val="003A5D24"/>
    <w:rsid w:val="003B091C"/>
    <w:rsid w:val="003F300C"/>
    <w:rsid w:val="00414CE9"/>
    <w:rsid w:val="00420B26"/>
    <w:rsid w:val="00451273"/>
    <w:rsid w:val="00456CCD"/>
    <w:rsid w:val="00460ADB"/>
    <w:rsid w:val="004677D2"/>
    <w:rsid w:val="00480F24"/>
    <w:rsid w:val="004A0691"/>
    <w:rsid w:val="004D451C"/>
    <w:rsid w:val="004F66FC"/>
    <w:rsid w:val="005450AB"/>
    <w:rsid w:val="00561EC2"/>
    <w:rsid w:val="00567A25"/>
    <w:rsid w:val="00574E2C"/>
    <w:rsid w:val="0057510B"/>
    <w:rsid w:val="005D48BB"/>
    <w:rsid w:val="006403CA"/>
    <w:rsid w:val="006769EE"/>
    <w:rsid w:val="00716D35"/>
    <w:rsid w:val="00752E6A"/>
    <w:rsid w:val="007610BC"/>
    <w:rsid w:val="00771EF0"/>
    <w:rsid w:val="007770DD"/>
    <w:rsid w:val="007A7EA7"/>
    <w:rsid w:val="007C2EE3"/>
    <w:rsid w:val="007E48F2"/>
    <w:rsid w:val="00805E81"/>
    <w:rsid w:val="00825ED6"/>
    <w:rsid w:val="00872DDB"/>
    <w:rsid w:val="0087518C"/>
    <w:rsid w:val="00886882"/>
    <w:rsid w:val="008952C2"/>
    <w:rsid w:val="008970D3"/>
    <w:rsid w:val="008B6A29"/>
    <w:rsid w:val="008F2FC4"/>
    <w:rsid w:val="009053AD"/>
    <w:rsid w:val="00946D18"/>
    <w:rsid w:val="00963052"/>
    <w:rsid w:val="00964546"/>
    <w:rsid w:val="00987246"/>
    <w:rsid w:val="009E56A4"/>
    <w:rsid w:val="00A0706E"/>
    <w:rsid w:val="00A07A94"/>
    <w:rsid w:val="00A24789"/>
    <w:rsid w:val="00A26470"/>
    <w:rsid w:val="00A270F4"/>
    <w:rsid w:val="00A6360C"/>
    <w:rsid w:val="00A86FBC"/>
    <w:rsid w:val="00AA2CD6"/>
    <w:rsid w:val="00AD6E09"/>
    <w:rsid w:val="00B10389"/>
    <w:rsid w:val="00B14675"/>
    <w:rsid w:val="00B3498F"/>
    <w:rsid w:val="00B37622"/>
    <w:rsid w:val="00B42B9E"/>
    <w:rsid w:val="00B90D06"/>
    <w:rsid w:val="00B9527A"/>
    <w:rsid w:val="00BA05B2"/>
    <w:rsid w:val="00BA328F"/>
    <w:rsid w:val="00BA40F9"/>
    <w:rsid w:val="00BC42DE"/>
    <w:rsid w:val="00C1406D"/>
    <w:rsid w:val="00C21BC6"/>
    <w:rsid w:val="00C23996"/>
    <w:rsid w:val="00C33C3B"/>
    <w:rsid w:val="00C477BF"/>
    <w:rsid w:val="00C66B2F"/>
    <w:rsid w:val="00C92D5D"/>
    <w:rsid w:val="00CD39E7"/>
    <w:rsid w:val="00CD4DD2"/>
    <w:rsid w:val="00D371B3"/>
    <w:rsid w:val="00D92B09"/>
    <w:rsid w:val="00DA0C0A"/>
    <w:rsid w:val="00DB1A4B"/>
    <w:rsid w:val="00DE26AC"/>
    <w:rsid w:val="00DF3932"/>
    <w:rsid w:val="00E401CD"/>
    <w:rsid w:val="00E4432F"/>
    <w:rsid w:val="00E472D2"/>
    <w:rsid w:val="00E66117"/>
    <w:rsid w:val="00E827C6"/>
    <w:rsid w:val="00E92C44"/>
    <w:rsid w:val="00EB3DC6"/>
    <w:rsid w:val="00EC7B2E"/>
    <w:rsid w:val="00F20833"/>
    <w:rsid w:val="00F30DC1"/>
    <w:rsid w:val="00F324D1"/>
    <w:rsid w:val="00F40848"/>
    <w:rsid w:val="00F93A0B"/>
    <w:rsid w:val="00FD629F"/>
    <w:rsid w:val="00FE2571"/>
    <w:rsid w:val="00FE2FFA"/>
    <w:rsid w:val="00FF2CB3"/>
    <w:rsid w:val="026F49F5"/>
    <w:rsid w:val="096C0C06"/>
    <w:rsid w:val="09AD50A6"/>
    <w:rsid w:val="0AF72575"/>
    <w:rsid w:val="0CE63D6F"/>
    <w:rsid w:val="0D8922A9"/>
    <w:rsid w:val="0DC81C60"/>
    <w:rsid w:val="0E7D19FE"/>
    <w:rsid w:val="10C77AD8"/>
    <w:rsid w:val="11433FCF"/>
    <w:rsid w:val="12731E42"/>
    <w:rsid w:val="1589462E"/>
    <w:rsid w:val="16EC7E6F"/>
    <w:rsid w:val="19031638"/>
    <w:rsid w:val="1AD00627"/>
    <w:rsid w:val="1E110D1F"/>
    <w:rsid w:val="21FC679E"/>
    <w:rsid w:val="22DB088C"/>
    <w:rsid w:val="267E427C"/>
    <w:rsid w:val="29A07CA1"/>
    <w:rsid w:val="2B2D41EB"/>
    <w:rsid w:val="2DF47C38"/>
    <w:rsid w:val="2E0B1C92"/>
    <w:rsid w:val="2F8551C6"/>
    <w:rsid w:val="313047E9"/>
    <w:rsid w:val="31D746E7"/>
    <w:rsid w:val="3213075D"/>
    <w:rsid w:val="32672EAC"/>
    <w:rsid w:val="34803BAB"/>
    <w:rsid w:val="3AD71050"/>
    <w:rsid w:val="3B9E6505"/>
    <w:rsid w:val="3C5965E1"/>
    <w:rsid w:val="3E861AA1"/>
    <w:rsid w:val="3E910FD1"/>
    <w:rsid w:val="3F143DBA"/>
    <w:rsid w:val="406F7878"/>
    <w:rsid w:val="410733E5"/>
    <w:rsid w:val="4111685C"/>
    <w:rsid w:val="428B55F1"/>
    <w:rsid w:val="439338E4"/>
    <w:rsid w:val="4609059D"/>
    <w:rsid w:val="47021CFC"/>
    <w:rsid w:val="472411E9"/>
    <w:rsid w:val="47C76D48"/>
    <w:rsid w:val="487208FE"/>
    <w:rsid w:val="50CC2BB0"/>
    <w:rsid w:val="51FE56F4"/>
    <w:rsid w:val="52777DA9"/>
    <w:rsid w:val="5478404C"/>
    <w:rsid w:val="549B1B69"/>
    <w:rsid w:val="5520266A"/>
    <w:rsid w:val="57C52953"/>
    <w:rsid w:val="57D24073"/>
    <w:rsid w:val="586C2392"/>
    <w:rsid w:val="5B2123AD"/>
    <w:rsid w:val="5CE35E19"/>
    <w:rsid w:val="5DD4749B"/>
    <w:rsid w:val="5FFB68ED"/>
    <w:rsid w:val="631B3E5A"/>
    <w:rsid w:val="640675A2"/>
    <w:rsid w:val="64A21EF5"/>
    <w:rsid w:val="64BF3152"/>
    <w:rsid w:val="65E95CF4"/>
    <w:rsid w:val="67977763"/>
    <w:rsid w:val="6C2802B0"/>
    <w:rsid w:val="6EB6008B"/>
    <w:rsid w:val="70951CEA"/>
    <w:rsid w:val="71E06205"/>
    <w:rsid w:val="73D75BEF"/>
    <w:rsid w:val="7401651A"/>
    <w:rsid w:val="76347D92"/>
    <w:rsid w:val="79BD19C3"/>
    <w:rsid w:val="7AAB23E2"/>
    <w:rsid w:val="7C9D5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2"/>
    <w:autoRedefine/>
    <w:qFormat/>
    <w:uiPriority w:val="0"/>
    <w:pPr>
      <w:jc w:val="left"/>
    </w:pPr>
  </w:style>
  <w:style w:type="paragraph" w:styleId="3">
    <w:name w:val="Plain Text"/>
    <w:basedOn w:val="1"/>
    <w:link w:val="18"/>
    <w:autoRedefine/>
    <w:qFormat/>
    <w:uiPriority w:val="0"/>
    <w:rPr>
      <w:rFonts w:ascii="宋体" w:hAnsi="Courier New"/>
      <w:szCs w:val="21"/>
    </w:rPr>
  </w:style>
  <w:style w:type="paragraph" w:styleId="4">
    <w:name w:val="Balloon Text"/>
    <w:basedOn w:val="1"/>
    <w:link w:val="13"/>
    <w:autoRedefine/>
    <w:qFormat/>
    <w:uiPriority w:val="0"/>
    <w:rPr>
      <w:sz w:val="18"/>
      <w:szCs w:val="18"/>
    </w:rPr>
  </w:style>
  <w:style w:type="paragraph" w:styleId="5">
    <w:name w:val="footer"/>
    <w:basedOn w:val="1"/>
    <w:link w:val="14"/>
    <w:autoRedefine/>
    <w:qFormat/>
    <w:uiPriority w:val="99"/>
    <w:pPr>
      <w:tabs>
        <w:tab w:val="center" w:pos="4153"/>
        <w:tab w:val="right" w:pos="8306"/>
      </w:tabs>
      <w:snapToGrid w:val="0"/>
      <w:jc w:val="left"/>
    </w:pPr>
    <w:rPr>
      <w:sz w:val="18"/>
      <w:szCs w:val="18"/>
    </w:rPr>
  </w:style>
  <w:style w:type="paragraph" w:styleId="6">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6"/>
    <w:autoRedefine/>
    <w:qFormat/>
    <w:uiPriority w:val="0"/>
    <w:rPr>
      <w:b/>
      <w:bCs/>
    </w:rPr>
  </w:style>
  <w:style w:type="character" w:styleId="10">
    <w:name w:val="page number"/>
    <w:basedOn w:val="9"/>
    <w:qFormat/>
    <w:uiPriority w:val="0"/>
  </w:style>
  <w:style w:type="character" w:styleId="11">
    <w:name w:val="annotation reference"/>
    <w:autoRedefine/>
    <w:unhideWhenUsed/>
    <w:qFormat/>
    <w:uiPriority w:val="99"/>
    <w:rPr>
      <w:sz w:val="21"/>
      <w:szCs w:val="21"/>
    </w:rPr>
  </w:style>
  <w:style w:type="character" w:customStyle="1" w:styleId="12">
    <w:name w:val="批注文字 字符"/>
    <w:link w:val="2"/>
    <w:autoRedefine/>
    <w:qFormat/>
    <w:uiPriority w:val="0"/>
    <w:rPr>
      <w:kern w:val="2"/>
      <w:sz w:val="21"/>
      <w:szCs w:val="22"/>
    </w:rPr>
  </w:style>
  <w:style w:type="character" w:customStyle="1" w:styleId="13">
    <w:name w:val="批注框文本 字符"/>
    <w:link w:val="4"/>
    <w:autoRedefine/>
    <w:qFormat/>
    <w:uiPriority w:val="0"/>
    <w:rPr>
      <w:kern w:val="2"/>
      <w:sz w:val="18"/>
      <w:szCs w:val="18"/>
    </w:rPr>
  </w:style>
  <w:style w:type="character" w:customStyle="1" w:styleId="14">
    <w:name w:val="页脚 字符"/>
    <w:link w:val="5"/>
    <w:autoRedefine/>
    <w:qFormat/>
    <w:uiPriority w:val="99"/>
    <w:rPr>
      <w:kern w:val="2"/>
      <w:sz w:val="18"/>
      <w:szCs w:val="18"/>
    </w:rPr>
  </w:style>
  <w:style w:type="character" w:customStyle="1" w:styleId="15">
    <w:name w:val="页眉 字符"/>
    <w:link w:val="6"/>
    <w:autoRedefine/>
    <w:qFormat/>
    <w:uiPriority w:val="0"/>
    <w:rPr>
      <w:kern w:val="2"/>
      <w:sz w:val="18"/>
      <w:szCs w:val="18"/>
    </w:rPr>
  </w:style>
  <w:style w:type="character" w:customStyle="1" w:styleId="16">
    <w:name w:val="批注主题 字符"/>
    <w:link w:val="7"/>
    <w:autoRedefine/>
    <w:qFormat/>
    <w:uiPriority w:val="0"/>
    <w:rPr>
      <w:b/>
      <w:bCs/>
      <w:kern w:val="2"/>
      <w:sz w:val="21"/>
      <w:szCs w:val="22"/>
    </w:rPr>
  </w:style>
  <w:style w:type="paragraph" w:customStyle="1" w:styleId="17">
    <w:name w:val="Revision"/>
    <w:autoRedefine/>
    <w:hidden/>
    <w:unhideWhenUsed/>
    <w:qFormat/>
    <w:uiPriority w:val="99"/>
    <w:rPr>
      <w:rFonts w:ascii="Times New Roman" w:hAnsi="Times New Roman" w:eastAsia="宋体" w:cs="Times New Roman"/>
      <w:kern w:val="2"/>
      <w:sz w:val="21"/>
      <w:szCs w:val="22"/>
      <w:lang w:val="en-US" w:eastAsia="zh-CN" w:bidi="ar-SA"/>
    </w:rPr>
  </w:style>
  <w:style w:type="character" w:customStyle="1" w:styleId="18">
    <w:name w:val="纯文本 字符"/>
    <w:basedOn w:val="9"/>
    <w:link w:val="3"/>
    <w:autoRedefine/>
    <w:qFormat/>
    <w:uiPriority w:val="0"/>
    <w:rPr>
      <w:rFonts w:ascii="宋体" w:hAnsi="Courier New"/>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1181</Words>
  <Characters>1697</Characters>
  <Lines>15</Lines>
  <Paragraphs>7</Paragraphs>
  <TotalTime>0</TotalTime>
  <ScaleCrop>false</ScaleCrop>
  <LinksUpToDate>false</LinksUpToDate>
  <CharactersWithSpaces>1754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2024-01-30T06:31:00Z</dcterms:created>
  <dc:creator>wee</dc:creator>
  <cp:lastModifiedBy>。</cp:lastModifiedBy>
  <dcterms:modified xsi:type="dcterms:W3CDTF">2026-10-09T05:53:21Z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530733C1BE4442BE806D5237EF191742</vt:lpwstr>
  </property>
  <property fmtid="{D5CDD505-2E9C-101B-9397-08002B2CF9AE}" pid="4" name="KSOTemplateDocerSaveRecord">
    <vt:lpwstr>eyJoZGlkIjoiNjBmMGY0NDRhMDljNjM3ZmM0MTNlYjhjZjBkMmNlYjEiLCJ1c2VySWQiOiIyMTM2ODQxMzIifQ==</vt:lpwstr>
  </property>
</Properties>
</file>