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432CC">
      <w:pPr>
        <w:adjustRightInd w:val="0"/>
        <w:snapToGrid w:val="0"/>
        <w:spacing w:line="440" w:lineRule="exact"/>
        <w:jc w:val="center"/>
        <w:rPr>
          <w:rFonts w:eastAsia="方正小标宋简体"/>
          <w:color w:val="000000"/>
          <w:sz w:val="32"/>
          <w:szCs w:val="32"/>
        </w:rPr>
      </w:pPr>
      <w:r>
        <w:rPr>
          <w:rFonts w:hint="eastAsia" w:eastAsia="方正小标宋简体"/>
          <w:color w:val="000000"/>
          <w:sz w:val="32"/>
          <w:szCs w:val="32"/>
          <w:lang w:val="en-US" w:eastAsia="zh-CN"/>
        </w:rPr>
        <w:t>攀枝花市</w:t>
      </w:r>
      <w:r>
        <w:rPr>
          <w:rFonts w:eastAsia="方正小标宋简体"/>
          <w:color w:val="000000"/>
          <w:sz w:val="32"/>
          <w:szCs w:val="32"/>
        </w:rPr>
        <w:t>塑料购物袋产品质量监督抽查实施细则</w:t>
      </w:r>
    </w:p>
    <w:p w14:paraId="643E7EC6">
      <w:pPr>
        <w:adjustRightInd w:val="0"/>
        <w:snapToGrid w:val="0"/>
        <w:spacing w:line="440" w:lineRule="exact"/>
        <w:jc w:val="center"/>
        <w:rPr>
          <w:rFonts w:eastAsia="方正小标宋简体"/>
          <w:color w:val="000000"/>
          <w:sz w:val="32"/>
          <w:szCs w:val="32"/>
        </w:rPr>
      </w:pPr>
      <w:r>
        <w:rPr>
          <w:rFonts w:eastAsia="方正小标宋简体"/>
          <w:color w:val="000000"/>
          <w:sz w:val="32"/>
          <w:szCs w:val="32"/>
        </w:rPr>
        <w:t>（202</w:t>
      </w:r>
      <w:r>
        <w:rPr>
          <w:rFonts w:hint="eastAsia" w:eastAsia="方正小标宋简体"/>
          <w:color w:val="000000"/>
          <w:sz w:val="32"/>
          <w:szCs w:val="32"/>
          <w:lang w:val="en-US" w:eastAsia="zh-CN"/>
        </w:rPr>
        <w:t>6</w:t>
      </w:r>
      <w:r>
        <w:rPr>
          <w:rFonts w:eastAsia="方正小标宋简体"/>
          <w:color w:val="000000"/>
          <w:sz w:val="32"/>
          <w:szCs w:val="32"/>
        </w:rPr>
        <w:t>年版）</w:t>
      </w:r>
    </w:p>
    <w:p w14:paraId="5074ADBB">
      <w:pPr>
        <w:snapToGrid w:val="0"/>
        <w:spacing w:line="440" w:lineRule="exact"/>
        <w:rPr>
          <w:rFonts w:eastAsia="黑体"/>
          <w:color w:val="000000"/>
          <w:szCs w:val="21"/>
        </w:rPr>
      </w:pPr>
      <w:r>
        <w:rPr>
          <w:rFonts w:eastAsia="黑体"/>
          <w:color w:val="000000"/>
          <w:szCs w:val="21"/>
        </w:rPr>
        <w:t>1 抽样方法</w:t>
      </w:r>
    </w:p>
    <w:p w14:paraId="1976CB99">
      <w:pPr>
        <w:snapToGrid w:val="0"/>
        <w:spacing w:line="440" w:lineRule="exact"/>
        <w:ind w:firstLine="420" w:firstLineChars="200"/>
        <w:rPr>
          <w:color w:val="000000"/>
          <w:szCs w:val="21"/>
        </w:rPr>
      </w:pPr>
      <w:r>
        <w:rPr>
          <w:color w:val="000000"/>
          <w:szCs w:val="21"/>
        </w:rPr>
        <w:t>以随机抽样的方式在被抽样生产者、销售者的待销产品中抽取。</w:t>
      </w:r>
    </w:p>
    <w:p w14:paraId="551D3B8D">
      <w:pPr>
        <w:snapToGrid w:val="0"/>
        <w:spacing w:line="440" w:lineRule="exact"/>
        <w:ind w:firstLine="420" w:firstLineChars="200"/>
        <w:rPr>
          <w:color w:val="000000"/>
          <w:szCs w:val="21"/>
        </w:rPr>
      </w:pPr>
      <w:r>
        <w:rPr>
          <w:color w:val="000000"/>
          <w:szCs w:val="21"/>
        </w:rPr>
        <w:t>随机数一般可使用随机数表等方法产生。</w:t>
      </w:r>
    </w:p>
    <w:p w14:paraId="6948AB85">
      <w:pPr>
        <w:snapToGrid w:val="0"/>
        <w:spacing w:line="440" w:lineRule="exact"/>
        <w:ind w:firstLine="420" w:firstLineChars="200"/>
        <w:rPr>
          <w:color w:val="000000"/>
          <w:szCs w:val="21"/>
        </w:rPr>
      </w:pPr>
      <w:r>
        <w:rPr>
          <w:color w:val="000000"/>
          <w:szCs w:val="21"/>
        </w:rPr>
        <w:t>每批次产品</w:t>
      </w:r>
      <w:r>
        <w:rPr>
          <w:color w:val="000000"/>
          <w:szCs w:val="21"/>
          <w:highlight w:val="none"/>
        </w:rPr>
        <w:t>抽</w:t>
      </w:r>
      <w:r>
        <w:rPr>
          <w:color w:val="auto"/>
          <w:szCs w:val="21"/>
          <w:highlight w:val="none"/>
        </w:rPr>
        <w:t>取样品80个（袋规格应不小于15cm×15cm），其中50个作为检验样品，30个作为备用样品。</w:t>
      </w:r>
    </w:p>
    <w:p w14:paraId="3C86C8CE">
      <w:pPr>
        <w:snapToGrid w:val="0"/>
        <w:spacing w:line="440" w:lineRule="exact"/>
        <w:rPr>
          <w:rFonts w:eastAsia="黑体"/>
          <w:color w:val="000000"/>
          <w:szCs w:val="21"/>
        </w:rPr>
      </w:pPr>
      <w:r>
        <w:rPr>
          <w:rFonts w:eastAsia="黑体"/>
          <w:color w:val="000000"/>
          <w:szCs w:val="21"/>
        </w:rPr>
        <w:t>2 检验依据</w:t>
      </w:r>
    </w:p>
    <w:p w14:paraId="5423518D">
      <w:pPr>
        <w:snapToGrid w:val="0"/>
        <w:spacing w:line="440" w:lineRule="exact"/>
        <w:jc w:val="center"/>
        <w:rPr>
          <w:rFonts w:hint="default" w:eastAsia="宋体"/>
          <w:color w:val="000000"/>
          <w:szCs w:val="21"/>
          <w:lang w:val="en-US" w:eastAsia="zh-CN"/>
        </w:rPr>
      </w:pPr>
      <w:r>
        <w:t>表1</w:t>
      </w:r>
      <w:r>
        <w:rPr>
          <w:rFonts w:hint="eastAsia"/>
          <w:lang w:val="en-US" w:eastAsia="zh-CN"/>
        </w:rPr>
        <w:t xml:space="preserve">  </w:t>
      </w:r>
      <w:r>
        <w:rPr>
          <w:rFonts w:hint="eastAsia"/>
          <w:color w:val="000000"/>
          <w:szCs w:val="21"/>
          <w:lang w:val="en-US" w:eastAsia="zh-CN"/>
        </w:rPr>
        <w:t>塑料购物袋</w:t>
      </w:r>
    </w:p>
    <w:tbl>
      <w:tblPr>
        <w:tblStyle w:val="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2711"/>
        <w:gridCol w:w="3289"/>
      </w:tblGrid>
      <w:tr w14:paraId="36A8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1D80A7A4">
            <w:pPr>
              <w:snapToGrid w:val="0"/>
              <w:jc w:val="center"/>
              <w:rPr>
                <w:color w:val="000000"/>
                <w:szCs w:val="21"/>
              </w:rPr>
            </w:pPr>
            <w:r>
              <w:rPr>
                <w:color w:val="000000"/>
                <w:szCs w:val="21"/>
              </w:rPr>
              <w:t>序号</w:t>
            </w:r>
          </w:p>
        </w:tc>
        <w:tc>
          <w:tcPr>
            <w:tcW w:w="2711" w:type="dxa"/>
            <w:noWrap w:val="0"/>
            <w:vAlign w:val="center"/>
          </w:tcPr>
          <w:p w14:paraId="638D260D">
            <w:pPr>
              <w:snapToGrid w:val="0"/>
              <w:jc w:val="center"/>
              <w:rPr>
                <w:color w:val="000000"/>
                <w:szCs w:val="21"/>
              </w:rPr>
            </w:pPr>
            <w:r>
              <w:rPr>
                <w:color w:val="000000"/>
                <w:szCs w:val="21"/>
              </w:rPr>
              <w:t>检验项目</w:t>
            </w:r>
          </w:p>
        </w:tc>
        <w:tc>
          <w:tcPr>
            <w:tcW w:w="3289" w:type="dxa"/>
            <w:noWrap w:val="0"/>
            <w:vAlign w:val="center"/>
          </w:tcPr>
          <w:p w14:paraId="47C3F008">
            <w:pPr>
              <w:snapToGrid w:val="0"/>
              <w:jc w:val="center"/>
              <w:rPr>
                <w:color w:val="000000"/>
                <w:szCs w:val="21"/>
              </w:rPr>
            </w:pPr>
            <w:r>
              <w:rPr>
                <w:color w:val="000000"/>
                <w:szCs w:val="21"/>
              </w:rPr>
              <w:t>检验方法</w:t>
            </w:r>
          </w:p>
        </w:tc>
      </w:tr>
      <w:tr w14:paraId="14420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209AC50A">
            <w:pPr>
              <w:snapToGrid w:val="0"/>
              <w:jc w:val="center"/>
              <w:rPr>
                <w:bCs/>
                <w:szCs w:val="21"/>
              </w:rPr>
            </w:pPr>
            <w:r>
              <w:rPr>
                <w:color w:val="000000"/>
                <w:szCs w:val="21"/>
              </w:rPr>
              <w:t>1</w:t>
            </w:r>
          </w:p>
        </w:tc>
        <w:tc>
          <w:tcPr>
            <w:tcW w:w="2711" w:type="dxa"/>
            <w:shd w:val="clear" w:color="auto" w:fill="auto"/>
            <w:noWrap w:val="0"/>
            <w:vAlign w:val="center"/>
          </w:tcPr>
          <w:p w14:paraId="2F83916D">
            <w:pPr>
              <w:jc w:val="center"/>
              <w:rPr>
                <w:rFonts w:hint="default" w:ascii="Times New Roman" w:hAnsi="Times New Roman" w:eastAsia="宋体" w:cs="Times New Roman"/>
                <w:color w:val="000000"/>
                <w:kern w:val="2"/>
                <w:sz w:val="21"/>
                <w:szCs w:val="21"/>
                <w:lang w:val="en-US" w:eastAsia="zh-CN" w:bidi="ar-SA"/>
              </w:rPr>
            </w:pPr>
            <w:r>
              <w:rPr>
                <w:rFonts w:hint="default" w:ascii="Times New Roman" w:hAnsi="Times New Roman" w:eastAsia="宋体" w:cs="Times New Roman"/>
                <w:color w:val="000000"/>
                <w:kern w:val="2"/>
                <w:sz w:val="21"/>
                <w:szCs w:val="21"/>
                <w:lang w:val="en-US" w:eastAsia="zh-CN" w:bidi="ar-SA"/>
              </w:rPr>
              <w:t>结构</w:t>
            </w:r>
          </w:p>
        </w:tc>
        <w:tc>
          <w:tcPr>
            <w:tcW w:w="3289" w:type="dxa"/>
            <w:shd w:val="clear" w:color="auto" w:fill="auto"/>
            <w:noWrap w:val="0"/>
            <w:vAlign w:val="center"/>
          </w:tcPr>
          <w:p w14:paraId="4D79814E">
            <w:pPr>
              <w:adjustRightInd w:val="0"/>
              <w:snapToGrid w:val="0"/>
              <w:jc w:val="center"/>
              <w:rPr>
                <w:rFonts w:hint="eastAsia" w:ascii="Times New Roman" w:hAnsi="Times New Roman" w:eastAsia="宋体" w:cs="Times New Roman"/>
                <w:color w:val="000000"/>
                <w:kern w:val="2"/>
                <w:sz w:val="21"/>
                <w:szCs w:val="21"/>
                <w:lang w:val="en-US" w:eastAsia="zh-CN" w:bidi="ar-SA"/>
              </w:rPr>
            </w:pPr>
            <w:r>
              <w:rPr>
                <w:color w:val="000000"/>
                <w:szCs w:val="21"/>
              </w:rPr>
              <w:t>GB/T 21661</w:t>
            </w:r>
            <w:r>
              <w:rPr>
                <w:rFonts w:hint="eastAsia"/>
                <w:lang w:eastAsia="zh-CN"/>
              </w:rPr>
              <w:t>-</w:t>
            </w:r>
            <w:r>
              <w:rPr>
                <w:color w:val="000000"/>
                <w:szCs w:val="21"/>
              </w:rPr>
              <w:t>202</w:t>
            </w:r>
            <w:r>
              <w:rPr>
                <w:rFonts w:hint="eastAsia"/>
                <w:color w:val="000000"/>
                <w:szCs w:val="21"/>
                <w:lang w:val="en-US" w:eastAsia="zh-CN"/>
              </w:rPr>
              <w:t>5</w:t>
            </w:r>
          </w:p>
        </w:tc>
      </w:tr>
      <w:tr w14:paraId="38C8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191FB57D">
            <w:pPr>
              <w:snapToGrid w:val="0"/>
              <w:jc w:val="center"/>
              <w:rPr>
                <w:bCs/>
                <w:szCs w:val="21"/>
              </w:rPr>
            </w:pPr>
            <w:r>
              <w:rPr>
                <w:bCs/>
                <w:szCs w:val="21"/>
              </w:rPr>
              <w:t>2</w:t>
            </w:r>
          </w:p>
        </w:tc>
        <w:tc>
          <w:tcPr>
            <w:tcW w:w="2711" w:type="dxa"/>
            <w:shd w:val="clear" w:color="auto" w:fill="auto"/>
            <w:noWrap w:val="0"/>
            <w:vAlign w:val="center"/>
          </w:tcPr>
          <w:p w14:paraId="724975D1">
            <w:pPr>
              <w:jc w:val="center"/>
              <w:rPr>
                <w:rFonts w:hint="eastAsia" w:ascii="Times New Roman" w:hAnsi="Times New Roman" w:eastAsia="宋体" w:cs="Times New Roman"/>
                <w:color w:val="000000"/>
                <w:kern w:val="2"/>
                <w:sz w:val="21"/>
                <w:szCs w:val="21"/>
                <w:lang w:val="en-US" w:eastAsia="zh-CN" w:bidi="ar-SA"/>
              </w:rPr>
            </w:pPr>
            <w:r>
              <w:rPr>
                <w:color w:val="000000"/>
                <w:szCs w:val="21"/>
              </w:rPr>
              <w:t>跌落试验</w:t>
            </w:r>
          </w:p>
        </w:tc>
        <w:tc>
          <w:tcPr>
            <w:tcW w:w="3289" w:type="dxa"/>
            <w:shd w:val="clear" w:color="auto" w:fill="auto"/>
            <w:noWrap w:val="0"/>
            <w:vAlign w:val="center"/>
          </w:tcPr>
          <w:p w14:paraId="7A210180">
            <w:pPr>
              <w:adjustRightInd w:val="0"/>
              <w:snapToGrid w:val="0"/>
              <w:jc w:val="center"/>
              <w:rPr>
                <w:rFonts w:ascii="Times New Roman" w:hAnsi="Times New Roman" w:eastAsia="宋体" w:cs="Times New Roman"/>
                <w:color w:val="000000"/>
                <w:kern w:val="2"/>
                <w:sz w:val="21"/>
                <w:szCs w:val="21"/>
                <w:highlight w:val="yellow"/>
                <w:lang w:val="en-US" w:eastAsia="zh-CN" w:bidi="ar-SA"/>
              </w:rPr>
            </w:pPr>
            <w:r>
              <w:rPr>
                <w:color w:val="000000"/>
                <w:szCs w:val="21"/>
              </w:rPr>
              <w:t>GB/T 21661</w:t>
            </w:r>
            <w:r>
              <w:rPr>
                <w:rFonts w:hint="eastAsia"/>
                <w:lang w:eastAsia="zh-CN"/>
              </w:rPr>
              <w:t>-</w:t>
            </w:r>
            <w:r>
              <w:rPr>
                <w:color w:val="000000"/>
                <w:szCs w:val="21"/>
              </w:rPr>
              <w:t>202</w:t>
            </w:r>
            <w:r>
              <w:rPr>
                <w:rFonts w:hint="eastAsia"/>
                <w:color w:val="000000"/>
                <w:szCs w:val="21"/>
                <w:lang w:val="en-US" w:eastAsia="zh-CN"/>
              </w:rPr>
              <w:t>5</w:t>
            </w:r>
            <w:r>
              <w:rPr>
                <w:color w:val="000000"/>
                <w:szCs w:val="21"/>
              </w:rPr>
              <w:t xml:space="preserve"> </w:t>
            </w:r>
          </w:p>
        </w:tc>
      </w:tr>
      <w:tr w14:paraId="0B712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5BCE1E06">
            <w:pPr>
              <w:snapToGrid w:val="0"/>
              <w:jc w:val="center"/>
              <w:rPr>
                <w:bCs/>
                <w:szCs w:val="21"/>
              </w:rPr>
            </w:pPr>
            <w:r>
              <w:rPr>
                <w:bCs/>
                <w:szCs w:val="21"/>
              </w:rPr>
              <w:t>3</w:t>
            </w:r>
          </w:p>
        </w:tc>
        <w:tc>
          <w:tcPr>
            <w:tcW w:w="2711" w:type="dxa"/>
            <w:shd w:val="clear" w:color="auto" w:fill="auto"/>
            <w:noWrap w:val="0"/>
            <w:vAlign w:val="center"/>
          </w:tcPr>
          <w:p w14:paraId="53D5846E">
            <w:pPr>
              <w:jc w:val="center"/>
              <w:rPr>
                <w:rFonts w:hint="default" w:ascii="Times New Roman" w:hAnsi="Times New Roman" w:eastAsia="宋体" w:cs="Times New Roman"/>
                <w:color w:val="000000"/>
                <w:kern w:val="2"/>
                <w:sz w:val="21"/>
                <w:szCs w:val="21"/>
                <w:lang w:val="en-US" w:eastAsia="zh-CN" w:bidi="ar-SA"/>
              </w:rPr>
            </w:pPr>
            <w:r>
              <w:rPr>
                <w:color w:val="000000"/>
                <w:szCs w:val="21"/>
              </w:rPr>
              <w:t>漏水性</w:t>
            </w:r>
          </w:p>
        </w:tc>
        <w:tc>
          <w:tcPr>
            <w:tcW w:w="3289" w:type="dxa"/>
            <w:shd w:val="clear" w:color="auto" w:fill="auto"/>
            <w:noWrap w:val="0"/>
            <w:vAlign w:val="center"/>
          </w:tcPr>
          <w:p w14:paraId="6793C265">
            <w:pPr>
              <w:adjustRightInd w:val="0"/>
              <w:snapToGrid w:val="0"/>
              <w:jc w:val="center"/>
              <w:rPr>
                <w:rFonts w:ascii="Times New Roman" w:hAnsi="Times New Roman" w:eastAsia="宋体" w:cs="Times New Roman"/>
                <w:color w:val="000000"/>
                <w:kern w:val="2"/>
                <w:sz w:val="21"/>
                <w:szCs w:val="21"/>
                <w:lang w:val="en-US" w:eastAsia="zh-CN" w:bidi="ar-SA"/>
              </w:rPr>
            </w:pPr>
            <w:r>
              <w:rPr>
                <w:color w:val="000000"/>
                <w:szCs w:val="21"/>
              </w:rPr>
              <w:t>GB/T 21661</w:t>
            </w:r>
            <w:r>
              <w:rPr>
                <w:rFonts w:hint="eastAsia"/>
                <w:lang w:eastAsia="zh-CN"/>
              </w:rPr>
              <w:t>-</w:t>
            </w:r>
            <w:r>
              <w:rPr>
                <w:color w:val="000000"/>
                <w:szCs w:val="21"/>
              </w:rPr>
              <w:t>202</w:t>
            </w:r>
            <w:r>
              <w:rPr>
                <w:rFonts w:hint="eastAsia"/>
                <w:color w:val="000000"/>
                <w:szCs w:val="21"/>
                <w:lang w:val="en-US" w:eastAsia="zh-CN"/>
              </w:rPr>
              <w:t>5</w:t>
            </w:r>
            <w:r>
              <w:rPr>
                <w:color w:val="000000"/>
                <w:szCs w:val="21"/>
              </w:rPr>
              <w:t xml:space="preserve"> </w:t>
            </w:r>
          </w:p>
        </w:tc>
      </w:tr>
      <w:tr w14:paraId="43EAA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7103EE73">
            <w:pPr>
              <w:snapToGrid w:val="0"/>
              <w:jc w:val="center"/>
              <w:rPr>
                <w:bCs/>
                <w:szCs w:val="21"/>
              </w:rPr>
            </w:pPr>
            <w:r>
              <w:rPr>
                <w:bCs/>
                <w:szCs w:val="21"/>
              </w:rPr>
              <w:t>4</w:t>
            </w:r>
          </w:p>
        </w:tc>
        <w:tc>
          <w:tcPr>
            <w:tcW w:w="2711" w:type="dxa"/>
            <w:shd w:val="clear" w:color="auto" w:fill="auto"/>
            <w:noWrap w:val="0"/>
            <w:vAlign w:val="center"/>
          </w:tcPr>
          <w:p w14:paraId="5D7F8392">
            <w:pPr>
              <w:jc w:val="center"/>
              <w:rPr>
                <w:rFonts w:hint="default" w:ascii="Times New Roman" w:hAnsi="Times New Roman" w:eastAsia="宋体" w:cs="Times New Roman"/>
                <w:color w:val="000000"/>
                <w:kern w:val="2"/>
                <w:sz w:val="21"/>
                <w:szCs w:val="21"/>
                <w:lang w:val="en-US" w:eastAsia="zh-CN" w:bidi="ar-SA"/>
              </w:rPr>
            </w:pPr>
            <w:r>
              <w:rPr>
                <w:color w:val="000000"/>
                <w:szCs w:val="21"/>
              </w:rPr>
              <w:t>封合强度</w:t>
            </w:r>
          </w:p>
        </w:tc>
        <w:tc>
          <w:tcPr>
            <w:tcW w:w="3289" w:type="dxa"/>
            <w:shd w:val="clear" w:color="auto" w:fill="auto"/>
            <w:noWrap w:val="0"/>
            <w:vAlign w:val="center"/>
          </w:tcPr>
          <w:p w14:paraId="6D6EB026">
            <w:pPr>
              <w:adjustRightInd w:val="0"/>
              <w:snapToGrid w:val="0"/>
              <w:jc w:val="center"/>
              <w:rPr>
                <w:rFonts w:ascii="Times New Roman" w:hAnsi="Times New Roman" w:eastAsia="宋体" w:cs="Times New Roman"/>
                <w:color w:val="000000"/>
                <w:kern w:val="2"/>
                <w:sz w:val="21"/>
                <w:szCs w:val="21"/>
                <w:lang w:val="en-US" w:eastAsia="zh-CN" w:bidi="ar-SA"/>
              </w:rPr>
            </w:pPr>
            <w:r>
              <w:rPr>
                <w:rFonts w:hint="eastAsia"/>
                <w:szCs w:val="21"/>
              </w:rPr>
              <w:t>QB/T 2358-1998</w:t>
            </w:r>
          </w:p>
        </w:tc>
      </w:tr>
      <w:tr w14:paraId="36A5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70D3E418">
            <w:pPr>
              <w:snapToGrid w:val="0"/>
              <w:jc w:val="center"/>
              <w:rPr>
                <w:rFonts w:hint="eastAsia" w:eastAsia="宋体"/>
                <w:bCs/>
                <w:szCs w:val="21"/>
                <w:lang w:eastAsia="zh-CN"/>
              </w:rPr>
            </w:pPr>
            <w:r>
              <w:rPr>
                <w:rFonts w:hint="eastAsia"/>
                <w:bCs/>
                <w:szCs w:val="21"/>
                <w:lang w:val="en-US" w:eastAsia="zh-CN"/>
              </w:rPr>
              <w:t>5</w:t>
            </w:r>
          </w:p>
        </w:tc>
        <w:tc>
          <w:tcPr>
            <w:tcW w:w="2711" w:type="dxa"/>
            <w:shd w:val="clear" w:color="auto" w:fill="auto"/>
            <w:noWrap w:val="0"/>
            <w:vAlign w:val="center"/>
          </w:tcPr>
          <w:p w14:paraId="5802BDA6">
            <w:pPr>
              <w:jc w:val="center"/>
              <w:rPr>
                <w:rFonts w:hint="default" w:ascii="Times New Roman" w:hAnsi="Times New Roman" w:eastAsia="宋体" w:cs="Times New Roman"/>
                <w:color w:val="000000"/>
                <w:kern w:val="2"/>
                <w:sz w:val="21"/>
                <w:szCs w:val="21"/>
                <w:lang w:val="en-US" w:eastAsia="zh-CN" w:bidi="ar-SA"/>
              </w:rPr>
            </w:pPr>
            <w:r>
              <w:rPr>
                <w:rFonts w:hint="eastAsia"/>
                <w:color w:val="000000"/>
                <w:szCs w:val="21"/>
              </w:rPr>
              <w:t>落镖冲击</w:t>
            </w:r>
          </w:p>
        </w:tc>
        <w:tc>
          <w:tcPr>
            <w:tcW w:w="3289" w:type="dxa"/>
            <w:shd w:val="clear" w:color="auto" w:fill="auto"/>
            <w:noWrap w:val="0"/>
            <w:vAlign w:val="center"/>
          </w:tcPr>
          <w:p w14:paraId="3A33C52B">
            <w:pPr>
              <w:adjustRightInd w:val="0"/>
              <w:snapToGrid w:val="0"/>
              <w:jc w:val="center"/>
              <w:rPr>
                <w:rFonts w:ascii="Times New Roman" w:hAnsi="Times New Roman" w:eastAsia="宋体" w:cs="Times New Roman"/>
                <w:color w:val="000000"/>
                <w:kern w:val="2"/>
                <w:sz w:val="21"/>
                <w:szCs w:val="21"/>
                <w:lang w:val="en-US" w:eastAsia="zh-CN" w:bidi="ar-SA"/>
              </w:rPr>
            </w:pPr>
            <w:r>
              <w:rPr>
                <w:color w:val="000000"/>
                <w:szCs w:val="21"/>
              </w:rPr>
              <w:t>GB/T 21661</w:t>
            </w:r>
            <w:r>
              <w:rPr>
                <w:rFonts w:hint="eastAsia"/>
                <w:lang w:eastAsia="zh-CN"/>
              </w:rPr>
              <w:t>-</w:t>
            </w:r>
            <w:r>
              <w:rPr>
                <w:color w:val="000000"/>
                <w:szCs w:val="21"/>
              </w:rPr>
              <w:t>202</w:t>
            </w:r>
            <w:r>
              <w:rPr>
                <w:rFonts w:hint="eastAsia"/>
                <w:color w:val="000000"/>
                <w:szCs w:val="21"/>
                <w:lang w:val="en-US" w:eastAsia="zh-CN"/>
              </w:rPr>
              <w:t>5</w:t>
            </w:r>
            <w:r>
              <w:rPr>
                <w:color w:val="000000"/>
                <w:szCs w:val="21"/>
              </w:rPr>
              <w:t xml:space="preserve"> </w:t>
            </w:r>
          </w:p>
        </w:tc>
      </w:tr>
      <w:tr w14:paraId="22A6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05" w:type="dxa"/>
            <w:noWrap w:val="0"/>
            <w:vAlign w:val="center"/>
          </w:tcPr>
          <w:p w14:paraId="5354D6BA">
            <w:pPr>
              <w:snapToGrid w:val="0"/>
              <w:jc w:val="center"/>
              <w:rPr>
                <w:rFonts w:hint="default"/>
                <w:bCs/>
                <w:szCs w:val="21"/>
                <w:lang w:val="en-US" w:eastAsia="zh-CN"/>
              </w:rPr>
            </w:pPr>
            <w:r>
              <w:rPr>
                <w:rFonts w:hint="eastAsia"/>
                <w:bCs/>
                <w:szCs w:val="21"/>
                <w:lang w:val="en-US" w:eastAsia="zh-CN"/>
              </w:rPr>
              <w:t>6</w:t>
            </w:r>
          </w:p>
        </w:tc>
        <w:tc>
          <w:tcPr>
            <w:tcW w:w="2711" w:type="dxa"/>
            <w:shd w:val="clear" w:color="auto" w:fill="auto"/>
            <w:noWrap w:val="0"/>
            <w:vAlign w:val="center"/>
          </w:tcPr>
          <w:p w14:paraId="7BB7960C">
            <w:pPr>
              <w:jc w:val="center"/>
              <w:rPr>
                <w:rFonts w:hint="eastAsia"/>
                <w:color w:val="000000"/>
                <w:szCs w:val="21"/>
              </w:rPr>
            </w:pPr>
            <w:r>
              <w:rPr>
                <w:rFonts w:hint="eastAsia"/>
                <w:color w:val="000000"/>
                <w:szCs w:val="21"/>
              </w:rPr>
              <w:t>提吊试验</w:t>
            </w:r>
          </w:p>
        </w:tc>
        <w:tc>
          <w:tcPr>
            <w:tcW w:w="3289" w:type="dxa"/>
            <w:shd w:val="clear" w:color="auto" w:fill="auto"/>
            <w:noWrap w:val="0"/>
            <w:vAlign w:val="center"/>
          </w:tcPr>
          <w:p w14:paraId="04DA2394">
            <w:pPr>
              <w:adjustRightInd w:val="0"/>
              <w:snapToGrid w:val="0"/>
              <w:jc w:val="center"/>
              <w:rPr>
                <w:color w:val="000000"/>
                <w:szCs w:val="21"/>
              </w:rPr>
            </w:pPr>
            <w:r>
              <w:rPr>
                <w:color w:val="000000"/>
                <w:szCs w:val="21"/>
              </w:rPr>
              <w:t>GB/T 21661</w:t>
            </w:r>
            <w:r>
              <w:rPr>
                <w:rFonts w:hint="eastAsia"/>
                <w:lang w:eastAsia="zh-CN"/>
              </w:rPr>
              <w:t>-</w:t>
            </w:r>
            <w:r>
              <w:rPr>
                <w:color w:val="000000"/>
                <w:szCs w:val="21"/>
              </w:rPr>
              <w:t>202</w:t>
            </w:r>
            <w:r>
              <w:rPr>
                <w:rFonts w:hint="eastAsia"/>
                <w:color w:val="000000"/>
                <w:szCs w:val="21"/>
                <w:lang w:val="en-US" w:eastAsia="zh-CN"/>
              </w:rPr>
              <w:t>5</w:t>
            </w:r>
            <w:r>
              <w:rPr>
                <w:color w:val="000000"/>
                <w:szCs w:val="21"/>
              </w:rPr>
              <w:t xml:space="preserve"> </w:t>
            </w:r>
          </w:p>
        </w:tc>
      </w:tr>
    </w:tbl>
    <w:p w14:paraId="533F51EB">
      <w:pPr>
        <w:adjustRightInd w:val="0"/>
        <w:snapToGrid w:val="0"/>
        <w:spacing w:line="440" w:lineRule="exact"/>
        <w:ind w:firstLine="420" w:firstLineChars="200"/>
        <w:rPr>
          <w:color w:val="000000"/>
          <w:szCs w:val="21"/>
        </w:rPr>
      </w:pPr>
      <w:r>
        <w:rPr>
          <w:color w:val="000000"/>
          <w:szCs w:val="21"/>
        </w:rPr>
        <w:t>执行企业标准、团体标准、地方标准的产品，检验项目参照上述内容执行。</w:t>
      </w:r>
    </w:p>
    <w:p w14:paraId="3C841B91">
      <w:pPr>
        <w:snapToGrid w:val="0"/>
        <w:spacing w:line="440" w:lineRule="exact"/>
        <w:ind w:firstLine="420" w:firstLineChars="200"/>
        <w:rPr>
          <w:color w:val="000000"/>
          <w:szCs w:val="21"/>
        </w:rPr>
      </w:pPr>
      <w:r>
        <w:rPr>
          <w:rFonts w:hint="eastAsia"/>
          <w:color w:val="auto"/>
          <w:szCs w:val="21"/>
        </w:rPr>
        <w:t>凡是注日期的文件，其随后所有的修改单（不包括勘误的内容）或修订版不适用于本细则。凡是不注日期的文件，其最新版本适用于本细则。</w:t>
      </w:r>
    </w:p>
    <w:p w14:paraId="6789C795">
      <w:pPr>
        <w:snapToGrid w:val="0"/>
        <w:spacing w:line="440" w:lineRule="exact"/>
        <w:rPr>
          <w:rFonts w:eastAsia="黑体"/>
          <w:color w:val="000000"/>
          <w:szCs w:val="21"/>
        </w:rPr>
      </w:pPr>
      <w:r>
        <w:rPr>
          <w:rFonts w:eastAsia="黑体"/>
          <w:color w:val="000000"/>
          <w:szCs w:val="21"/>
        </w:rPr>
        <w:t>3 判定规则</w:t>
      </w:r>
    </w:p>
    <w:p w14:paraId="45683E29">
      <w:pPr>
        <w:snapToGrid w:val="0"/>
        <w:spacing w:line="440" w:lineRule="exact"/>
        <w:rPr>
          <w:color w:val="000000"/>
          <w:szCs w:val="21"/>
        </w:rPr>
      </w:pPr>
      <w:r>
        <w:rPr>
          <w:color w:val="000000"/>
          <w:szCs w:val="21"/>
        </w:rPr>
        <w:t>3.1依据标准</w:t>
      </w:r>
    </w:p>
    <w:p w14:paraId="2B8387E2">
      <w:pPr>
        <w:snapToGrid w:val="0"/>
        <w:spacing w:line="440" w:lineRule="exact"/>
        <w:ind w:firstLine="420" w:firstLineChars="200"/>
        <w:rPr>
          <w:color w:val="000000"/>
          <w:szCs w:val="21"/>
        </w:rPr>
      </w:pPr>
      <w:r>
        <w:rPr>
          <w:color w:val="000000"/>
          <w:szCs w:val="21"/>
        </w:rPr>
        <w:t>GB/T 21661</w:t>
      </w:r>
      <w:r>
        <w:rPr>
          <w:rFonts w:hint="eastAsia"/>
          <w:color w:val="000000"/>
          <w:szCs w:val="21"/>
          <w:lang w:eastAsia="zh-CN"/>
        </w:rPr>
        <w:t>-</w:t>
      </w:r>
      <w:r>
        <w:rPr>
          <w:color w:val="000000"/>
          <w:szCs w:val="21"/>
        </w:rPr>
        <w:t>202</w:t>
      </w:r>
      <w:r>
        <w:rPr>
          <w:rFonts w:hint="eastAsia"/>
          <w:color w:val="000000"/>
          <w:szCs w:val="21"/>
          <w:lang w:val="en-US" w:eastAsia="zh-CN"/>
        </w:rPr>
        <w:t>5</w:t>
      </w:r>
      <w:r>
        <w:rPr>
          <w:color w:val="000000"/>
          <w:szCs w:val="21"/>
        </w:rPr>
        <w:t xml:space="preserve"> 塑料购物袋</w:t>
      </w:r>
    </w:p>
    <w:p w14:paraId="5A670253">
      <w:pPr>
        <w:adjustRightInd w:val="0"/>
        <w:snapToGrid w:val="0"/>
        <w:spacing w:line="440" w:lineRule="exact"/>
        <w:ind w:firstLine="420" w:firstLineChars="200"/>
        <w:rPr>
          <w:rFonts w:ascii="Times New Roman" w:hAnsi="Times New Roman" w:cs="宋体"/>
          <w:szCs w:val="21"/>
        </w:rPr>
      </w:pPr>
      <w:r>
        <w:rPr>
          <w:rFonts w:hint="eastAsia" w:ascii="Times New Roman" w:hAnsi="Times New Roman" w:cs="宋体"/>
          <w:szCs w:val="21"/>
        </w:rPr>
        <w:t>现行有效的企业标准、团体标准、地方标准及产品明示质量要求</w:t>
      </w:r>
    </w:p>
    <w:p w14:paraId="30D409DF">
      <w:pPr>
        <w:adjustRightInd w:val="0"/>
        <w:snapToGrid w:val="0"/>
        <w:spacing w:line="440" w:lineRule="exact"/>
        <w:outlineLvl w:val="1"/>
        <w:rPr>
          <w:rFonts w:ascii="Times New Roman" w:hAnsi="Times New Roman" w:cs="Times New Roman"/>
          <w:szCs w:val="21"/>
        </w:rPr>
      </w:pPr>
      <w:r>
        <w:rPr>
          <w:rFonts w:hint="eastAsia" w:ascii="Times New Roman" w:hAnsi="Times New Roman" w:cs="Times New Roman"/>
          <w:szCs w:val="21"/>
        </w:rPr>
        <w:t>3.2判定原则</w:t>
      </w:r>
    </w:p>
    <w:p w14:paraId="0FF72096">
      <w:pPr>
        <w:spacing w:line="440" w:lineRule="exact"/>
        <w:ind w:firstLine="420" w:firstLineChars="200"/>
        <w:rPr>
          <w:rFonts w:ascii="Times New Roman" w:hAnsi="Times New Roman" w:cs="Times New Roman"/>
          <w:color w:val="000000"/>
          <w:szCs w:val="21"/>
        </w:rPr>
      </w:pPr>
      <w:r>
        <w:rPr>
          <w:rFonts w:hint="eastAsia" w:ascii="Times New Roman" w:hAnsi="Times New Roman" w:cs="Times New Roman"/>
          <w:color w:val="000000"/>
          <w:szCs w:val="21"/>
        </w:rPr>
        <w:t>经检验，检验项目全部合格，判定为被抽查产品所检项目未发现不合格；检验项目中任一项或一项以上不合格，判定为被抽查产品不合格。</w:t>
      </w:r>
    </w:p>
    <w:p w14:paraId="1AFBD3CA">
      <w:pPr>
        <w:spacing w:line="440" w:lineRule="exact"/>
        <w:ind w:firstLine="417" w:firstLineChars="199"/>
        <w:rPr>
          <w:rFonts w:ascii="Times New Roman" w:hAnsi="Times New Roman" w:cs="Times New Roman"/>
          <w:color w:val="000000"/>
          <w:szCs w:val="21"/>
        </w:rPr>
      </w:pPr>
      <w:r>
        <w:rPr>
          <w:rFonts w:hint="eastAsia" w:ascii="Times New Roman" w:hAnsi="Times New Roman" w:cs="Times New Roman"/>
          <w:color w:val="000000"/>
          <w:szCs w:val="21"/>
        </w:rPr>
        <w:t>若被检产品明示的质量要求高于本细则中检验项目依据的标准要求时，应按被检产品明示的质量要求判定。</w:t>
      </w:r>
    </w:p>
    <w:p w14:paraId="24F5D598">
      <w:pPr>
        <w:spacing w:line="440" w:lineRule="exact"/>
        <w:ind w:firstLine="417" w:firstLineChars="199"/>
        <w:rPr>
          <w:rFonts w:ascii="Times New Roman" w:hAnsi="Times New Roman" w:cs="Times New Roman"/>
          <w:color w:val="000000"/>
          <w:szCs w:val="21"/>
        </w:rPr>
      </w:pPr>
      <w:r>
        <w:rPr>
          <w:rFonts w:hint="eastAsia" w:ascii="Times New Roman" w:hAnsi="Times New Roman" w:cs="Times New Roman"/>
          <w:color w:val="000000"/>
          <w:szCs w:val="21"/>
        </w:rPr>
        <w:t>若被检产品明示的质量要求低于本细则中检验项目依据的强制性标准要求时，应按照强制性标准要求判定。</w:t>
      </w:r>
    </w:p>
    <w:p w14:paraId="3331FE18">
      <w:pPr>
        <w:spacing w:line="440" w:lineRule="exact"/>
        <w:ind w:firstLine="417" w:firstLineChars="199"/>
        <w:rPr>
          <w:rFonts w:ascii="Times New Roman" w:hAnsi="Times New Roman" w:cs="Times New Roman"/>
          <w:color w:val="000000"/>
          <w:szCs w:val="21"/>
        </w:rPr>
      </w:pPr>
      <w:r>
        <w:rPr>
          <w:rFonts w:hint="eastAsia" w:ascii="Times New Roman" w:hAnsi="Times New Roman" w:cs="Times New Roman"/>
          <w:color w:val="000000"/>
          <w:szCs w:val="21"/>
        </w:rPr>
        <w:t>若被检产品明示的质量要求低于或包含本细则中检验项目依据的推荐性标准要求时，应以被检产品明示的质量要求判定。</w:t>
      </w:r>
    </w:p>
    <w:p w14:paraId="74E8920F">
      <w:pPr>
        <w:spacing w:line="440" w:lineRule="exact"/>
        <w:ind w:firstLine="417" w:firstLineChars="199"/>
        <w:rPr>
          <w:rFonts w:ascii="Times New Roman" w:hAnsi="Times New Roman" w:cs="Times New Roman"/>
          <w:color w:val="000000"/>
          <w:szCs w:val="21"/>
        </w:rPr>
      </w:pPr>
      <w:r>
        <w:rPr>
          <w:rFonts w:hint="eastAsia" w:ascii="Times New Roman" w:hAnsi="Times New Roman" w:cs="Times New Roman"/>
          <w:color w:val="000000"/>
          <w:szCs w:val="21"/>
        </w:rPr>
        <w:t>若被检产品明示的质量要求缺少本细则中检验项目依据的强制性标准要求时，应按照强制性标准要求判定。</w:t>
      </w:r>
    </w:p>
    <w:p w14:paraId="3E04C128">
      <w:pPr>
        <w:spacing w:line="440" w:lineRule="exact"/>
        <w:ind w:firstLine="417" w:firstLineChars="199"/>
        <w:rPr>
          <w:rFonts w:ascii="Times New Roman" w:hAnsi="Times New Roman" w:cs="Times New Roman"/>
          <w:color w:val="000000"/>
          <w:szCs w:val="21"/>
        </w:rPr>
      </w:pPr>
      <w:r>
        <w:rPr>
          <w:rFonts w:hint="eastAsia" w:ascii="Times New Roman" w:hAnsi="Times New Roman" w:cs="Times New Roman"/>
          <w:color w:val="000000"/>
          <w:szCs w:val="21"/>
        </w:rPr>
        <w:t>若被检产品明示的质量要求缺少本细则中检验项目依据的推荐性标准要求时，该项目不参与判定。</w:t>
      </w:r>
    </w:p>
    <w:p w14:paraId="36FE5241">
      <w:pPr>
        <w:adjustRightInd w:val="0"/>
        <w:snapToGrid w:val="0"/>
        <w:spacing w:line="440" w:lineRule="exact"/>
        <w:ind w:firstLine="420" w:firstLineChars="200"/>
        <w:outlineLvl w:val="1"/>
        <w:rPr>
          <w:rFonts w:ascii="Times New Roman" w:hAnsi="Times New Roman" w:cs="Times New Roman"/>
          <w:color w:val="000000"/>
          <w:szCs w:val="21"/>
        </w:rPr>
      </w:pPr>
    </w:p>
    <w:p w14:paraId="66E92A4E">
      <w:pPr>
        <w:rPr>
          <w:rFonts w:hint="eastAsia"/>
        </w:rPr>
      </w:pPr>
      <w:bookmarkStart w:id="0" w:name="_GoBack"/>
      <w:bookmarkEnd w:id="0"/>
    </w:p>
    <w:sectPr>
      <w:headerReference r:id="rId3" w:type="default"/>
      <w:footerReference r:id="rId4" w:type="default"/>
      <w:footerReference r:id="rId5" w:type="even"/>
      <w:pgSz w:w="11906" w:h="16838"/>
      <w:pgMar w:top="1984" w:right="1474" w:bottom="1644"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7424136-0B14-41F4-BECC-761B8F65D9A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8F19A555-4AF1-4E95-BDC4-60AB6E4D3200}"/>
  </w:font>
  <w:font w:name="方正小标宋简体">
    <w:panose1 w:val="02000000000000000000"/>
    <w:charset w:val="86"/>
    <w:family w:val="auto"/>
    <w:pitch w:val="default"/>
    <w:sig w:usb0="00000001" w:usb1="08000000" w:usb2="00000000" w:usb3="00000000" w:csb0="00040000" w:csb1="00000000"/>
    <w:embedRegular r:id="rId3" w:fontKey="{9EB4C06B-1193-43E8-B8CB-15BDF7C4B0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5789">
    <w:pPr>
      <w:pStyle w:val="3"/>
      <w:jc w:val="center"/>
    </w:pPr>
    <w:r>
      <w:rPr>
        <w:lang w:val="zh-CN"/>
      </w:rPr>
      <w:fldChar w:fldCharType="begin"/>
    </w:r>
    <w:r>
      <w:rPr>
        <w:lang w:val="zh-CN"/>
      </w:rPr>
      <w:instrText xml:space="preserve"> PAGE   \* MERGEFORMAT </w:instrText>
    </w:r>
    <w:r>
      <w:rPr>
        <w:lang w:val="zh-CN"/>
      </w:rPr>
      <w:fldChar w:fldCharType="separate"/>
    </w:r>
    <w:r>
      <w:t>2</w:t>
    </w:r>
    <w:r>
      <w:rPr>
        <w:lang w:val="zh-CN"/>
      </w:rPr>
      <w:fldChar w:fldCharType="end"/>
    </w:r>
  </w:p>
  <w:p w14:paraId="00BCE5DB">
    <w:pPr>
      <w:pStyle w:val="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CBDD1">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2</w:t>
    </w:r>
    <w:r>
      <w:fldChar w:fldCharType="end"/>
    </w:r>
  </w:p>
  <w:p w14:paraId="4AF1F482">
    <w:pPr>
      <w:pStyle w:val="3"/>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505140">
    <w:pPr>
      <w:pStyle w:val="4"/>
      <w:pBdr>
        <w:bottom w:val="none" w:color="auto" w:sz="0" w:space="0"/>
      </w:pBd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documentProtection w:enforcement="0"/>
  <w:characterSpacingControl w:val="compressPunctuation"/>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Q2NWU1ZjA0OTUxNmI4MGE2YmNkNWNmMTIyOTYzNzMifQ=="/>
  </w:docVars>
  <w:rsids>
    <w:rsidRoot w:val="00000000"/>
    <w:rsid w:val="05E27A84"/>
    <w:rsid w:val="05EE2D05"/>
    <w:rsid w:val="0BCB720C"/>
    <w:rsid w:val="0E4017EB"/>
    <w:rsid w:val="11BB3217"/>
    <w:rsid w:val="145B1459"/>
    <w:rsid w:val="161C41D7"/>
    <w:rsid w:val="190703A6"/>
    <w:rsid w:val="1A153C29"/>
    <w:rsid w:val="21C43376"/>
    <w:rsid w:val="230B75C6"/>
    <w:rsid w:val="274912B9"/>
    <w:rsid w:val="2A216736"/>
    <w:rsid w:val="458F6F97"/>
    <w:rsid w:val="47626EC8"/>
    <w:rsid w:val="4968786D"/>
    <w:rsid w:val="49DD0FE9"/>
    <w:rsid w:val="50AF7B2F"/>
    <w:rsid w:val="575E66F8"/>
    <w:rsid w:val="59867B3D"/>
    <w:rsid w:val="5A405C9C"/>
    <w:rsid w:val="5C8029F1"/>
    <w:rsid w:val="60E73870"/>
    <w:rsid w:val="792E2DE4"/>
    <w:rsid w:val="79E67D0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autoRedefine/>
    <w:semiHidden/>
    <w:qFormat/>
    <w:uiPriority w:val="0"/>
  </w:style>
  <w:style w:type="table" w:default="1" w:styleId="5">
    <w:name w:val="Normal Table"/>
    <w:unhideWhenUsed/>
    <w:qFormat/>
    <w:uiPriority w:val="99"/>
    <w:tblPr>
      <w:tblCellMar>
        <w:top w:w="0" w:type="dxa"/>
        <w:left w:w="108" w:type="dxa"/>
        <w:bottom w:w="0" w:type="dxa"/>
        <w:right w:w="108" w:type="dxa"/>
      </w:tblCellMar>
    </w:tblPr>
  </w:style>
  <w:style w:type="paragraph" w:styleId="2">
    <w:name w:val="Plain Text"/>
    <w:basedOn w:val="1"/>
    <w:autoRedefine/>
    <w:qFormat/>
    <w:uiPriority w:val="0"/>
    <w:rPr>
      <w:rFonts w:ascii="宋体" w:hAnsi="Courier New"/>
    </w:r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header"/>
    <w:basedOn w:val="1"/>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page number"/>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690</Words>
  <Characters>791</Characters>
  <TotalTime>0</TotalTime>
  <ScaleCrop>false</ScaleCrop>
  <LinksUpToDate>false</LinksUpToDate>
  <CharactersWithSpaces>808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2024-04-19T06:37:00Z</dcterms:created>
  <dc:creator>EDZ</dc:creator>
  <cp:lastModifiedBy>。</cp:lastModifiedBy>
  <dcterms:modified xsi:type="dcterms:W3CDTF">2026-10-09T05:54:18Z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944A2292004D49039854CF22AA303CFB_13</vt:lpwstr>
  </property>
  <property fmtid="{D5CDD505-2E9C-101B-9397-08002B2CF9AE}" pid="4" name="KSOTemplateDocerSaveRecord">
    <vt:lpwstr>eyJoZGlkIjoiNjBmMGY0NDRhMDljNjM3ZmM0MTNlYjhjZjBkMmNlYjEiLCJ1c2VySWQiOiIyMTM2ODQxMzIifQ==</vt:lpwstr>
  </property>
</Properties>
</file>