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E77E0B">
      <w:pPr>
        <w:pStyle w:val="2"/>
        <w:spacing w:before="319" w:line="226" w:lineRule="auto"/>
        <w:ind w:left="642"/>
        <w:jc w:val="center"/>
        <w:rPr>
          <w:rFonts w:hint="eastAsia" w:ascii="Times New Roman" w:hAnsi="Times New Roman" w:eastAsia="方正小标宋简体" w:cs="Times New Roman"/>
          <w:snapToGrid/>
          <w:color w:val="000000"/>
          <w:kern w:val="2"/>
          <w:sz w:val="32"/>
          <w:szCs w:val="32"/>
          <w:lang w:val="en-US" w:eastAsia="zh-CN" w:bidi="ar-SA"/>
        </w:rPr>
      </w:pPr>
      <w:r>
        <w:rPr>
          <w:rFonts w:hint="eastAsia" w:ascii="Times New Roman" w:hAnsi="Times New Roman" w:eastAsia="方正小标宋简体" w:cs="Times New Roman"/>
          <w:snapToGrid/>
          <w:color w:val="000000"/>
          <w:kern w:val="2"/>
          <w:sz w:val="32"/>
          <w:szCs w:val="32"/>
          <w:lang w:val="en-US" w:eastAsia="zh-CN" w:bidi="ar-SA"/>
        </w:rPr>
        <w:t>攀枝花市普通照明用自镇流 LED 灯</w:t>
      </w:r>
    </w:p>
    <w:p w14:paraId="1D66345B">
      <w:pPr>
        <w:pStyle w:val="2"/>
        <w:spacing w:before="319" w:line="226" w:lineRule="auto"/>
        <w:ind w:left="642"/>
        <w:jc w:val="center"/>
        <w:rPr>
          <w:rFonts w:hint="eastAsia" w:ascii="Times New Roman" w:hAnsi="Times New Roman" w:eastAsia="方正小标宋简体" w:cs="Times New Roman"/>
          <w:snapToGrid/>
          <w:color w:val="000000"/>
          <w:kern w:val="2"/>
          <w:sz w:val="32"/>
          <w:szCs w:val="32"/>
          <w:lang w:val="en-US" w:eastAsia="zh-CN" w:bidi="ar-SA"/>
        </w:rPr>
      </w:pPr>
      <w:r>
        <w:rPr>
          <w:rFonts w:hint="eastAsia" w:ascii="Times New Roman" w:hAnsi="Times New Roman" w:eastAsia="方正小标宋简体" w:cs="Times New Roman"/>
          <w:snapToGrid/>
          <w:color w:val="000000"/>
          <w:kern w:val="2"/>
          <w:sz w:val="32"/>
          <w:szCs w:val="32"/>
          <w:lang w:val="en-US" w:eastAsia="zh-CN" w:bidi="ar-SA"/>
        </w:rPr>
        <w:t>产品质量监督抽查实施细则</w:t>
      </w:r>
    </w:p>
    <w:p w14:paraId="1B6B1DB6">
      <w:pPr>
        <w:pStyle w:val="2"/>
        <w:spacing w:before="319" w:line="226" w:lineRule="auto"/>
        <w:ind w:left="642"/>
        <w:jc w:val="center"/>
        <w:rPr>
          <w:rFonts w:hint="eastAsia" w:ascii="Times New Roman" w:hAnsi="Times New Roman" w:eastAsia="方正小标宋简体" w:cs="Times New Roman"/>
          <w:snapToGrid/>
          <w:color w:val="000000"/>
          <w:kern w:val="2"/>
          <w:sz w:val="32"/>
          <w:szCs w:val="32"/>
          <w:lang w:val="en-US" w:eastAsia="zh-CN" w:bidi="ar-SA"/>
        </w:rPr>
      </w:pPr>
      <w:r>
        <w:rPr>
          <w:rFonts w:hint="eastAsia" w:ascii="Times New Roman" w:hAnsi="Times New Roman" w:eastAsia="方正小标宋简体" w:cs="Times New Roman"/>
          <w:snapToGrid/>
          <w:color w:val="000000"/>
          <w:kern w:val="2"/>
          <w:sz w:val="32"/>
          <w:szCs w:val="32"/>
          <w:lang w:val="en-US" w:eastAsia="zh-CN" w:bidi="ar-SA"/>
        </w:rPr>
        <w:t>（2026 年版）</w:t>
      </w:r>
    </w:p>
    <w:p w14:paraId="3B70F91B">
      <w:pPr>
        <w:spacing w:before="224" w:line="229" w:lineRule="auto"/>
        <w:ind w:left="12"/>
        <w:rPr>
          <w:rFonts w:ascii="黑体" w:hAnsi="黑体" w:eastAsia="黑体" w:cs="黑体"/>
          <w:sz w:val="21"/>
          <w:szCs w:val="21"/>
        </w:rPr>
      </w:pPr>
      <w:r>
        <w:rPr>
          <w:rFonts w:ascii="黑体" w:hAnsi="黑体" w:eastAsia="黑体" w:cs="黑体"/>
          <w:spacing w:val="2"/>
          <w:sz w:val="21"/>
          <w:szCs w:val="21"/>
        </w:rPr>
        <w:t>1</w:t>
      </w:r>
      <w:r>
        <w:rPr>
          <w:rFonts w:ascii="黑体" w:hAnsi="黑体" w:eastAsia="黑体" w:cs="黑体"/>
          <w:spacing w:val="11"/>
          <w:sz w:val="21"/>
          <w:szCs w:val="21"/>
        </w:rPr>
        <w:t xml:space="preserve">  </w:t>
      </w:r>
      <w:r>
        <w:rPr>
          <w:rFonts w:ascii="黑体" w:hAnsi="黑体" w:eastAsia="黑体" w:cs="黑体"/>
          <w:spacing w:val="2"/>
          <w:sz w:val="21"/>
          <w:szCs w:val="21"/>
        </w:rPr>
        <w:t>抽样方法</w:t>
      </w:r>
    </w:p>
    <w:p w14:paraId="1949F1A2">
      <w:pPr>
        <w:pStyle w:val="2"/>
        <w:spacing w:before="159" w:line="228" w:lineRule="auto"/>
        <w:ind w:left="445"/>
        <w:rPr>
          <w:rFonts w:hint="eastAsia" w:ascii="宋体" w:hAnsi="宋体" w:eastAsia="宋体" w:cs="宋体"/>
          <w:sz w:val="21"/>
          <w:szCs w:val="21"/>
        </w:rPr>
      </w:pPr>
      <w:r>
        <w:rPr>
          <w:rFonts w:hint="eastAsia" w:ascii="宋体" w:hAnsi="宋体" w:eastAsia="宋体" w:cs="宋体"/>
          <w:spacing w:val="8"/>
          <w:sz w:val="21"/>
          <w:szCs w:val="21"/>
        </w:rPr>
        <w:t>以随机抽样的方式在被抽样生产者、销售者的待销产品中抽取。</w:t>
      </w:r>
    </w:p>
    <w:p w14:paraId="7B692436">
      <w:pPr>
        <w:pStyle w:val="2"/>
        <w:spacing w:before="164" w:line="228" w:lineRule="auto"/>
        <w:ind w:left="421"/>
        <w:rPr>
          <w:rFonts w:hint="eastAsia" w:ascii="宋体" w:hAnsi="宋体" w:eastAsia="宋体" w:cs="宋体"/>
          <w:spacing w:val="8"/>
          <w:sz w:val="21"/>
          <w:szCs w:val="21"/>
        </w:rPr>
      </w:pPr>
      <w:r>
        <w:rPr>
          <w:rFonts w:hint="eastAsia" w:ascii="宋体" w:hAnsi="宋体" w:eastAsia="宋体" w:cs="宋体"/>
          <w:spacing w:val="8"/>
          <w:sz w:val="21"/>
          <w:szCs w:val="21"/>
        </w:rPr>
        <w:t>随机数一般可使用随机数表等方法产生。</w:t>
      </w:r>
    </w:p>
    <w:p w14:paraId="5193FE17">
      <w:pPr>
        <w:pStyle w:val="2"/>
        <w:spacing w:before="164" w:line="228" w:lineRule="auto"/>
        <w:ind w:left="421"/>
      </w:pPr>
      <w:r>
        <w:rPr>
          <w:rFonts w:hint="eastAsia" w:ascii="宋体" w:hAnsi="宋体" w:eastAsia="宋体" w:cs="宋体"/>
          <w:spacing w:val="8"/>
          <w:sz w:val="21"/>
          <w:szCs w:val="21"/>
        </w:rPr>
        <w:t>每批次产品抽取样品3</w:t>
      </w:r>
      <w:r>
        <w:rPr>
          <w:rFonts w:hint="eastAsia" w:ascii="宋体" w:hAnsi="宋体" w:eastAsia="宋体" w:cs="宋体"/>
          <w:spacing w:val="-25"/>
          <w:sz w:val="21"/>
          <w:szCs w:val="21"/>
        </w:rPr>
        <w:t xml:space="preserve"> </w:t>
      </w:r>
      <w:r>
        <w:rPr>
          <w:rFonts w:hint="eastAsia" w:ascii="宋体" w:hAnsi="宋体" w:eastAsia="宋体" w:cs="宋体"/>
          <w:spacing w:val="8"/>
          <w:sz w:val="21"/>
          <w:szCs w:val="21"/>
        </w:rPr>
        <w:t>只，其中</w:t>
      </w:r>
      <w:r>
        <w:rPr>
          <w:rFonts w:hint="eastAsia" w:ascii="宋体" w:hAnsi="宋体" w:eastAsia="宋体" w:cs="宋体"/>
          <w:spacing w:val="-35"/>
          <w:sz w:val="21"/>
          <w:szCs w:val="21"/>
        </w:rPr>
        <w:t xml:space="preserve"> </w:t>
      </w:r>
      <w:r>
        <w:rPr>
          <w:rFonts w:hint="eastAsia" w:ascii="宋体" w:hAnsi="宋体" w:eastAsia="宋体" w:cs="宋体"/>
          <w:spacing w:val="8"/>
          <w:sz w:val="21"/>
          <w:szCs w:val="21"/>
        </w:rPr>
        <w:t>2</w:t>
      </w:r>
      <w:r>
        <w:rPr>
          <w:rFonts w:hint="eastAsia" w:ascii="宋体" w:hAnsi="宋体" w:eastAsia="宋体" w:cs="宋体"/>
          <w:spacing w:val="-28"/>
          <w:sz w:val="21"/>
          <w:szCs w:val="21"/>
        </w:rPr>
        <w:t xml:space="preserve"> </w:t>
      </w:r>
      <w:r>
        <w:rPr>
          <w:rFonts w:hint="eastAsia" w:ascii="宋体" w:hAnsi="宋体" w:eastAsia="宋体" w:cs="宋体"/>
          <w:spacing w:val="8"/>
          <w:sz w:val="21"/>
          <w:szCs w:val="21"/>
        </w:rPr>
        <w:t>只作为检验样品，1</w:t>
      </w:r>
      <w:r>
        <w:rPr>
          <w:rFonts w:hint="eastAsia" w:ascii="宋体" w:hAnsi="宋体" w:eastAsia="宋体" w:cs="宋体"/>
          <w:spacing w:val="-28"/>
          <w:sz w:val="21"/>
          <w:szCs w:val="21"/>
        </w:rPr>
        <w:t xml:space="preserve"> </w:t>
      </w:r>
      <w:r>
        <w:rPr>
          <w:rFonts w:hint="eastAsia" w:ascii="宋体" w:hAnsi="宋体" w:eastAsia="宋体" w:cs="宋体"/>
          <w:spacing w:val="8"/>
          <w:sz w:val="21"/>
          <w:szCs w:val="21"/>
        </w:rPr>
        <w:t>只作为备用样</w:t>
      </w:r>
      <w:r>
        <w:rPr>
          <w:rFonts w:hint="eastAsia" w:ascii="宋体" w:hAnsi="宋体" w:eastAsia="宋体" w:cs="宋体"/>
          <w:spacing w:val="7"/>
          <w:sz w:val="21"/>
          <w:szCs w:val="21"/>
        </w:rPr>
        <w:t>品。</w:t>
      </w:r>
    </w:p>
    <w:p w14:paraId="1EE18E29">
      <w:pPr>
        <w:spacing w:before="161" w:line="230" w:lineRule="auto"/>
        <w:rPr>
          <w:rFonts w:ascii="黑体" w:hAnsi="黑体" w:eastAsia="黑体" w:cs="黑体"/>
          <w:sz w:val="21"/>
          <w:szCs w:val="21"/>
        </w:rPr>
      </w:pPr>
      <w:r>
        <w:rPr>
          <w:rFonts w:ascii="黑体" w:hAnsi="黑体" w:eastAsia="黑体" w:cs="黑体"/>
          <w:spacing w:val="6"/>
          <w:sz w:val="21"/>
          <w:szCs w:val="21"/>
        </w:rPr>
        <w:t>2  检验依据</w:t>
      </w:r>
    </w:p>
    <w:p w14:paraId="03A0FCF6">
      <w:pPr>
        <w:spacing w:before="159" w:line="229" w:lineRule="auto"/>
        <w:ind w:left="3389"/>
        <w:outlineLvl w:val="0"/>
        <w:rPr>
          <w:rFonts w:ascii="黑体" w:hAnsi="黑体" w:eastAsia="黑体" w:cs="黑体"/>
          <w:sz w:val="20"/>
          <w:szCs w:val="20"/>
        </w:rPr>
      </w:pPr>
      <w:r>
        <w:rPr>
          <w:rFonts w:ascii="黑体" w:hAnsi="黑体" w:eastAsia="黑体" w:cs="黑体"/>
          <w:spacing w:val="2"/>
          <w:sz w:val="20"/>
          <w:szCs w:val="20"/>
        </w:rPr>
        <w:t>表</w:t>
      </w:r>
      <w:r>
        <w:rPr>
          <w:rFonts w:ascii="黑体" w:hAnsi="黑体" w:eastAsia="黑体" w:cs="黑体"/>
          <w:spacing w:val="-29"/>
          <w:sz w:val="20"/>
          <w:szCs w:val="20"/>
        </w:rPr>
        <w:t xml:space="preserve"> </w:t>
      </w:r>
      <w:r>
        <w:rPr>
          <w:rFonts w:ascii="黑体" w:hAnsi="黑体" w:eastAsia="黑体" w:cs="黑体"/>
          <w:spacing w:val="2"/>
          <w:sz w:val="20"/>
          <w:szCs w:val="20"/>
        </w:rPr>
        <w:t>1</w:t>
      </w:r>
      <w:r>
        <w:rPr>
          <w:rFonts w:ascii="黑体" w:hAnsi="黑体" w:eastAsia="黑体" w:cs="黑体"/>
          <w:spacing w:val="23"/>
          <w:sz w:val="20"/>
          <w:szCs w:val="20"/>
        </w:rPr>
        <w:t xml:space="preserve">  </w:t>
      </w:r>
      <w:r>
        <w:rPr>
          <w:rFonts w:ascii="黑体" w:hAnsi="黑体" w:eastAsia="黑体" w:cs="黑体"/>
          <w:spacing w:val="2"/>
          <w:sz w:val="20"/>
          <w:szCs w:val="20"/>
        </w:rPr>
        <w:t>自镇流</w:t>
      </w:r>
      <w:r>
        <w:rPr>
          <w:rFonts w:ascii="黑体" w:hAnsi="黑体" w:eastAsia="黑体" w:cs="黑体"/>
          <w:spacing w:val="-37"/>
          <w:sz w:val="20"/>
          <w:szCs w:val="20"/>
        </w:rPr>
        <w:t xml:space="preserve"> </w:t>
      </w:r>
      <w:r>
        <w:rPr>
          <w:rFonts w:ascii="黑体" w:hAnsi="黑体" w:eastAsia="黑体" w:cs="黑体"/>
          <w:sz w:val="20"/>
          <w:szCs w:val="20"/>
        </w:rPr>
        <w:t>LED</w:t>
      </w:r>
      <w:r>
        <w:rPr>
          <w:rFonts w:ascii="黑体" w:hAnsi="黑体" w:eastAsia="黑体" w:cs="黑体"/>
          <w:spacing w:val="-39"/>
          <w:sz w:val="20"/>
          <w:szCs w:val="20"/>
        </w:rPr>
        <w:t xml:space="preserve"> </w:t>
      </w:r>
      <w:r>
        <w:rPr>
          <w:rFonts w:ascii="黑体" w:hAnsi="黑体" w:eastAsia="黑体" w:cs="黑体"/>
          <w:spacing w:val="2"/>
          <w:sz w:val="20"/>
          <w:szCs w:val="20"/>
        </w:rPr>
        <w:t>灯检验项目</w:t>
      </w:r>
    </w:p>
    <w:p w14:paraId="56CFC3F8">
      <w:pPr>
        <w:spacing w:line="129" w:lineRule="exact"/>
      </w:pPr>
    </w:p>
    <w:tbl>
      <w:tblPr>
        <w:tblStyle w:val="5"/>
        <w:tblW w:w="8282" w:type="dxa"/>
        <w:tblInd w:w="38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7"/>
        <w:gridCol w:w="4906"/>
        <w:gridCol w:w="2589"/>
      </w:tblGrid>
      <w:tr w14:paraId="6A3A3C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88" w:hRule="atLeast"/>
        </w:trPr>
        <w:tc>
          <w:tcPr>
            <w:tcW w:w="787" w:type="dxa"/>
            <w:vAlign w:val="top"/>
          </w:tcPr>
          <w:p w14:paraId="1AB45308">
            <w:pPr>
              <w:spacing w:before="70" w:line="230" w:lineRule="auto"/>
              <w:ind w:left="187"/>
              <w:rPr>
                <w:rFonts w:ascii="宋体" w:hAnsi="宋体" w:eastAsia="宋体" w:cs="宋体"/>
                <w:sz w:val="20"/>
                <w:szCs w:val="20"/>
              </w:rPr>
            </w:pPr>
            <w:r>
              <w:rPr>
                <w:rFonts w:ascii="宋体" w:hAnsi="宋体" w:eastAsia="宋体" w:cs="宋体"/>
                <w:spacing w:val="5"/>
                <w:sz w:val="20"/>
                <w:szCs w:val="20"/>
              </w:rPr>
              <w:t>序号</w:t>
            </w:r>
          </w:p>
        </w:tc>
        <w:tc>
          <w:tcPr>
            <w:tcW w:w="4906" w:type="dxa"/>
            <w:vAlign w:val="top"/>
          </w:tcPr>
          <w:p w14:paraId="7087E5E8">
            <w:pPr>
              <w:spacing w:before="71" w:line="228" w:lineRule="auto"/>
              <w:ind w:left="2036"/>
              <w:rPr>
                <w:rFonts w:ascii="宋体" w:hAnsi="宋体" w:eastAsia="宋体" w:cs="宋体"/>
                <w:sz w:val="20"/>
                <w:szCs w:val="20"/>
              </w:rPr>
            </w:pPr>
            <w:r>
              <w:rPr>
                <w:rFonts w:ascii="宋体" w:hAnsi="宋体" w:eastAsia="宋体" w:cs="宋体"/>
                <w:spacing w:val="7"/>
                <w:sz w:val="20"/>
                <w:szCs w:val="20"/>
              </w:rPr>
              <w:t>检验项目</w:t>
            </w:r>
          </w:p>
        </w:tc>
        <w:tc>
          <w:tcPr>
            <w:tcW w:w="2589" w:type="dxa"/>
            <w:vAlign w:val="top"/>
          </w:tcPr>
          <w:p w14:paraId="0B2D454D">
            <w:pPr>
              <w:spacing w:before="71" w:line="228" w:lineRule="auto"/>
              <w:ind w:left="879"/>
              <w:rPr>
                <w:rFonts w:ascii="宋体" w:hAnsi="宋体" w:eastAsia="宋体" w:cs="宋体"/>
                <w:sz w:val="20"/>
                <w:szCs w:val="20"/>
              </w:rPr>
            </w:pPr>
            <w:r>
              <w:rPr>
                <w:rFonts w:ascii="宋体" w:hAnsi="宋体" w:eastAsia="宋体" w:cs="宋体"/>
                <w:spacing w:val="7"/>
                <w:sz w:val="20"/>
                <w:szCs w:val="20"/>
              </w:rPr>
              <w:t>检验方法</w:t>
            </w:r>
          </w:p>
        </w:tc>
      </w:tr>
      <w:tr w14:paraId="595287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787" w:type="dxa"/>
            <w:vAlign w:val="top"/>
          </w:tcPr>
          <w:p w14:paraId="2ADBFCCB">
            <w:pPr>
              <w:spacing w:before="81" w:line="271" w:lineRule="exact"/>
              <w:ind w:left="362"/>
              <w:rPr>
                <w:rFonts w:ascii="宋体" w:hAnsi="宋体" w:eastAsia="宋体" w:cs="宋体"/>
                <w:sz w:val="20"/>
                <w:szCs w:val="20"/>
              </w:rPr>
            </w:pPr>
            <w:r>
              <w:rPr>
                <w:rFonts w:ascii="宋体" w:hAnsi="宋体" w:eastAsia="宋体" w:cs="宋体"/>
                <w:position w:val="1"/>
                <w:sz w:val="20"/>
                <w:szCs w:val="20"/>
              </w:rPr>
              <w:t>1</w:t>
            </w:r>
          </w:p>
        </w:tc>
        <w:tc>
          <w:tcPr>
            <w:tcW w:w="4906" w:type="dxa"/>
            <w:vAlign w:val="top"/>
          </w:tcPr>
          <w:p w14:paraId="57E6C928">
            <w:pPr>
              <w:spacing w:before="151" w:line="229" w:lineRule="auto"/>
              <w:ind w:left="2145"/>
              <w:rPr>
                <w:rFonts w:ascii="宋体" w:hAnsi="宋体" w:eastAsia="宋体" w:cs="宋体"/>
                <w:sz w:val="20"/>
                <w:szCs w:val="20"/>
              </w:rPr>
            </w:pPr>
            <w:r>
              <w:rPr>
                <w:rFonts w:ascii="宋体" w:hAnsi="宋体" w:eastAsia="宋体" w:cs="宋体"/>
                <w:spacing w:val="5"/>
                <w:sz w:val="20"/>
                <w:szCs w:val="20"/>
              </w:rPr>
              <w:t>互换性</w:t>
            </w:r>
          </w:p>
        </w:tc>
        <w:tc>
          <w:tcPr>
            <w:tcW w:w="2589" w:type="dxa"/>
            <w:vAlign w:val="top"/>
          </w:tcPr>
          <w:p w14:paraId="310AD28B">
            <w:pPr>
              <w:pStyle w:val="6"/>
              <w:spacing w:line="258" w:lineRule="exact"/>
              <w:ind w:left="642"/>
            </w:pPr>
            <w:r>
              <w:rPr>
                <w:position w:val="1"/>
              </w:rPr>
              <w:t>GB</w:t>
            </w:r>
            <w:r>
              <w:rPr>
                <w:spacing w:val="19"/>
                <w:position w:val="1"/>
              </w:rPr>
              <w:t xml:space="preserve"> </w:t>
            </w:r>
            <w:r>
              <w:rPr>
                <w:spacing w:val="3"/>
                <w:position w:val="1"/>
              </w:rPr>
              <w:t>24906-2010</w:t>
            </w:r>
          </w:p>
          <w:p w14:paraId="466C2C9E">
            <w:pPr>
              <w:pStyle w:val="6"/>
              <w:spacing w:line="248" w:lineRule="exact"/>
              <w:ind w:left="551"/>
            </w:pPr>
            <w:r>
              <w:rPr>
                <w:position w:val="2"/>
              </w:rPr>
              <w:t>GB</w:t>
            </w:r>
            <w:r>
              <w:rPr>
                <w:spacing w:val="4"/>
                <w:position w:val="2"/>
              </w:rPr>
              <w:t>/T 24906-2023</w:t>
            </w:r>
          </w:p>
        </w:tc>
      </w:tr>
      <w:tr w14:paraId="1565BF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787" w:type="dxa"/>
            <w:vAlign w:val="top"/>
          </w:tcPr>
          <w:p w14:paraId="5DA4C453">
            <w:pPr>
              <w:spacing w:before="83" w:line="270" w:lineRule="exact"/>
              <w:ind w:left="349"/>
              <w:rPr>
                <w:rFonts w:ascii="宋体" w:hAnsi="宋体" w:eastAsia="宋体" w:cs="宋体"/>
                <w:sz w:val="20"/>
                <w:szCs w:val="20"/>
              </w:rPr>
            </w:pPr>
            <w:r>
              <w:rPr>
                <w:rFonts w:ascii="宋体" w:hAnsi="宋体" w:eastAsia="宋体" w:cs="宋体"/>
                <w:position w:val="1"/>
                <w:sz w:val="20"/>
                <w:szCs w:val="20"/>
              </w:rPr>
              <w:t>2</w:t>
            </w:r>
          </w:p>
        </w:tc>
        <w:tc>
          <w:tcPr>
            <w:tcW w:w="4906" w:type="dxa"/>
            <w:vAlign w:val="top"/>
          </w:tcPr>
          <w:p w14:paraId="27538516">
            <w:pPr>
              <w:spacing w:before="150" w:line="228" w:lineRule="auto"/>
              <w:ind w:left="1310"/>
              <w:rPr>
                <w:rFonts w:ascii="宋体" w:hAnsi="宋体" w:eastAsia="宋体" w:cs="宋体"/>
                <w:sz w:val="20"/>
                <w:szCs w:val="20"/>
              </w:rPr>
            </w:pPr>
            <w:r>
              <w:rPr>
                <w:rFonts w:ascii="宋体" w:hAnsi="宋体" w:eastAsia="宋体" w:cs="宋体"/>
                <w:spacing w:val="8"/>
                <w:sz w:val="20"/>
                <w:szCs w:val="20"/>
              </w:rPr>
              <w:t>意外接触带电部件的防护</w:t>
            </w:r>
          </w:p>
        </w:tc>
        <w:tc>
          <w:tcPr>
            <w:tcW w:w="2589" w:type="dxa"/>
            <w:vAlign w:val="top"/>
          </w:tcPr>
          <w:p w14:paraId="302E3723">
            <w:pPr>
              <w:pStyle w:val="6"/>
              <w:spacing w:line="260" w:lineRule="exact"/>
              <w:ind w:left="642"/>
            </w:pPr>
            <w:r>
              <w:rPr>
                <w:position w:val="1"/>
              </w:rPr>
              <w:t>GB</w:t>
            </w:r>
            <w:r>
              <w:rPr>
                <w:spacing w:val="19"/>
                <w:position w:val="1"/>
              </w:rPr>
              <w:t xml:space="preserve"> </w:t>
            </w:r>
            <w:r>
              <w:rPr>
                <w:spacing w:val="3"/>
                <w:position w:val="1"/>
              </w:rPr>
              <w:t>24906-2010</w:t>
            </w:r>
          </w:p>
          <w:p w14:paraId="44E7F614">
            <w:pPr>
              <w:pStyle w:val="6"/>
              <w:spacing w:line="242" w:lineRule="auto"/>
              <w:ind w:left="551"/>
            </w:pPr>
            <w:r>
              <w:t>GB</w:t>
            </w:r>
            <w:r>
              <w:rPr>
                <w:spacing w:val="4"/>
              </w:rPr>
              <w:t>/T 24906-2023</w:t>
            </w:r>
          </w:p>
        </w:tc>
      </w:tr>
      <w:tr w14:paraId="2F4978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787" w:type="dxa"/>
            <w:vAlign w:val="top"/>
          </w:tcPr>
          <w:p w14:paraId="19F4C46D">
            <w:pPr>
              <w:spacing w:before="84" w:line="269" w:lineRule="exact"/>
              <w:ind w:left="351"/>
              <w:rPr>
                <w:rFonts w:ascii="宋体" w:hAnsi="宋体" w:eastAsia="宋体" w:cs="宋体"/>
                <w:sz w:val="20"/>
                <w:szCs w:val="20"/>
              </w:rPr>
            </w:pPr>
            <w:r>
              <w:rPr>
                <w:rFonts w:ascii="宋体" w:hAnsi="宋体" w:eastAsia="宋体" w:cs="宋体"/>
                <w:position w:val="1"/>
                <w:sz w:val="20"/>
                <w:szCs w:val="20"/>
              </w:rPr>
              <w:t>3</w:t>
            </w:r>
          </w:p>
        </w:tc>
        <w:tc>
          <w:tcPr>
            <w:tcW w:w="4906" w:type="dxa"/>
            <w:vAlign w:val="top"/>
          </w:tcPr>
          <w:p w14:paraId="736CB887">
            <w:pPr>
              <w:spacing w:before="151" w:line="228" w:lineRule="auto"/>
              <w:ind w:left="883"/>
              <w:rPr>
                <w:rFonts w:ascii="宋体" w:hAnsi="宋体" w:eastAsia="宋体" w:cs="宋体"/>
                <w:sz w:val="20"/>
                <w:szCs w:val="20"/>
              </w:rPr>
            </w:pPr>
            <w:r>
              <w:rPr>
                <w:rFonts w:ascii="宋体" w:hAnsi="宋体" w:eastAsia="宋体" w:cs="宋体"/>
                <w:spacing w:val="9"/>
                <w:sz w:val="20"/>
                <w:szCs w:val="20"/>
              </w:rPr>
              <w:t>潮湿处理后的绝缘电阻和介电强度</w:t>
            </w:r>
          </w:p>
        </w:tc>
        <w:tc>
          <w:tcPr>
            <w:tcW w:w="2589" w:type="dxa"/>
            <w:vAlign w:val="top"/>
          </w:tcPr>
          <w:p w14:paraId="5C5CDFAA">
            <w:pPr>
              <w:pStyle w:val="6"/>
              <w:spacing w:line="260" w:lineRule="exact"/>
              <w:ind w:left="642"/>
            </w:pPr>
            <w:r>
              <w:rPr>
                <w:position w:val="1"/>
              </w:rPr>
              <w:t>GB</w:t>
            </w:r>
            <w:r>
              <w:rPr>
                <w:spacing w:val="19"/>
                <w:position w:val="1"/>
              </w:rPr>
              <w:t xml:space="preserve"> </w:t>
            </w:r>
            <w:r>
              <w:rPr>
                <w:spacing w:val="3"/>
                <w:position w:val="1"/>
              </w:rPr>
              <w:t>24906-2010</w:t>
            </w:r>
          </w:p>
          <w:p w14:paraId="4CBB7A57">
            <w:pPr>
              <w:pStyle w:val="6"/>
              <w:spacing w:line="242" w:lineRule="auto"/>
              <w:ind w:left="551"/>
            </w:pPr>
            <w:r>
              <w:t>GB</w:t>
            </w:r>
            <w:r>
              <w:rPr>
                <w:spacing w:val="4"/>
              </w:rPr>
              <w:t>/T 24906-2023</w:t>
            </w:r>
          </w:p>
        </w:tc>
      </w:tr>
      <w:tr w14:paraId="5C9679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787" w:type="dxa"/>
            <w:vAlign w:val="top"/>
          </w:tcPr>
          <w:p w14:paraId="0925DC5B">
            <w:pPr>
              <w:spacing w:before="85" w:line="271" w:lineRule="exact"/>
              <w:ind w:left="346"/>
              <w:rPr>
                <w:rFonts w:ascii="宋体" w:hAnsi="宋体" w:eastAsia="宋体" w:cs="宋体"/>
                <w:sz w:val="20"/>
                <w:szCs w:val="20"/>
              </w:rPr>
            </w:pPr>
            <w:r>
              <w:rPr>
                <w:rFonts w:ascii="宋体" w:hAnsi="宋体" w:eastAsia="宋体" w:cs="宋体"/>
                <w:position w:val="1"/>
                <w:sz w:val="20"/>
                <w:szCs w:val="20"/>
              </w:rPr>
              <w:t>4</w:t>
            </w:r>
          </w:p>
        </w:tc>
        <w:tc>
          <w:tcPr>
            <w:tcW w:w="4906" w:type="dxa"/>
            <w:vAlign w:val="top"/>
          </w:tcPr>
          <w:p w14:paraId="300E1CE8">
            <w:pPr>
              <w:spacing w:before="153" w:line="228" w:lineRule="auto"/>
              <w:ind w:left="2035"/>
              <w:rPr>
                <w:rFonts w:ascii="宋体" w:hAnsi="宋体" w:eastAsia="宋体" w:cs="宋体"/>
                <w:sz w:val="20"/>
                <w:szCs w:val="20"/>
              </w:rPr>
            </w:pPr>
            <w:r>
              <w:rPr>
                <w:rFonts w:ascii="宋体" w:hAnsi="宋体" w:eastAsia="宋体" w:cs="宋体"/>
                <w:spacing w:val="7"/>
                <w:sz w:val="20"/>
                <w:szCs w:val="20"/>
              </w:rPr>
              <w:t>灯头温升</w:t>
            </w:r>
          </w:p>
        </w:tc>
        <w:tc>
          <w:tcPr>
            <w:tcW w:w="2589" w:type="dxa"/>
            <w:vAlign w:val="top"/>
          </w:tcPr>
          <w:p w14:paraId="605C4585">
            <w:pPr>
              <w:pStyle w:val="6"/>
              <w:spacing w:before="1" w:line="260" w:lineRule="exact"/>
              <w:ind w:left="642"/>
            </w:pPr>
            <w:r>
              <w:rPr>
                <w:position w:val="1"/>
              </w:rPr>
              <w:t>GB</w:t>
            </w:r>
            <w:r>
              <w:rPr>
                <w:spacing w:val="19"/>
                <w:position w:val="1"/>
              </w:rPr>
              <w:t xml:space="preserve"> </w:t>
            </w:r>
            <w:r>
              <w:rPr>
                <w:spacing w:val="3"/>
                <w:position w:val="1"/>
              </w:rPr>
              <w:t>24906-2010</w:t>
            </w:r>
          </w:p>
          <w:p w14:paraId="0765208B">
            <w:pPr>
              <w:pStyle w:val="6"/>
              <w:spacing w:line="241" w:lineRule="auto"/>
              <w:ind w:left="551"/>
            </w:pPr>
            <w:r>
              <w:t>GB</w:t>
            </w:r>
            <w:r>
              <w:rPr>
                <w:spacing w:val="4"/>
              </w:rPr>
              <w:t>/T 24906-2023</w:t>
            </w:r>
          </w:p>
        </w:tc>
      </w:tr>
      <w:tr w14:paraId="3EBE9D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787" w:type="dxa"/>
            <w:vAlign w:val="top"/>
          </w:tcPr>
          <w:p w14:paraId="37C986BC">
            <w:pPr>
              <w:spacing w:before="84" w:line="269" w:lineRule="exact"/>
              <w:ind w:left="351"/>
              <w:rPr>
                <w:rFonts w:ascii="宋体" w:hAnsi="宋体" w:eastAsia="宋体" w:cs="宋体"/>
                <w:sz w:val="20"/>
                <w:szCs w:val="20"/>
              </w:rPr>
            </w:pPr>
            <w:r>
              <w:rPr>
                <w:rFonts w:ascii="宋体" w:hAnsi="宋体" w:eastAsia="宋体" w:cs="宋体"/>
                <w:position w:val="1"/>
                <w:sz w:val="20"/>
                <w:szCs w:val="20"/>
              </w:rPr>
              <w:t>5</w:t>
            </w:r>
          </w:p>
        </w:tc>
        <w:tc>
          <w:tcPr>
            <w:tcW w:w="4906" w:type="dxa"/>
            <w:vAlign w:val="top"/>
          </w:tcPr>
          <w:p w14:paraId="7B579FDA">
            <w:pPr>
              <w:spacing w:before="153" w:line="230" w:lineRule="auto"/>
              <w:ind w:left="2144"/>
              <w:rPr>
                <w:rFonts w:ascii="宋体" w:hAnsi="宋体" w:eastAsia="宋体" w:cs="宋体"/>
                <w:sz w:val="20"/>
                <w:szCs w:val="20"/>
              </w:rPr>
            </w:pPr>
            <w:r>
              <w:rPr>
                <w:rFonts w:ascii="宋体" w:hAnsi="宋体" w:eastAsia="宋体" w:cs="宋体"/>
                <w:spacing w:val="6"/>
                <w:sz w:val="20"/>
                <w:szCs w:val="20"/>
              </w:rPr>
              <w:t>耐热性</w:t>
            </w:r>
          </w:p>
        </w:tc>
        <w:tc>
          <w:tcPr>
            <w:tcW w:w="2589" w:type="dxa"/>
            <w:vAlign w:val="top"/>
          </w:tcPr>
          <w:p w14:paraId="6465BA9A">
            <w:pPr>
              <w:pStyle w:val="6"/>
              <w:spacing w:before="2" w:line="260" w:lineRule="exact"/>
              <w:ind w:left="642"/>
            </w:pPr>
            <w:r>
              <w:rPr>
                <w:position w:val="1"/>
              </w:rPr>
              <w:t>GB</w:t>
            </w:r>
            <w:r>
              <w:rPr>
                <w:spacing w:val="19"/>
                <w:position w:val="1"/>
              </w:rPr>
              <w:t xml:space="preserve"> </w:t>
            </w:r>
            <w:r>
              <w:rPr>
                <w:spacing w:val="3"/>
                <w:position w:val="1"/>
              </w:rPr>
              <w:t>24906-2010</w:t>
            </w:r>
          </w:p>
          <w:p w14:paraId="6C5F7AC4">
            <w:pPr>
              <w:pStyle w:val="6"/>
              <w:ind w:left="551"/>
            </w:pPr>
            <w:r>
              <w:t>GB</w:t>
            </w:r>
            <w:r>
              <w:rPr>
                <w:spacing w:val="4"/>
              </w:rPr>
              <w:t>/T 24906-2023</w:t>
            </w:r>
          </w:p>
        </w:tc>
      </w:tr>
      <w:tr w14:paraId="0A2277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787" w:type="dxa"/>
            <w:vAlign w:val="top"/>
          </w:tcPr>
          <w:p w14:paraId="10666711">
            <w:pPr>
              <w:spacing w:before="85" w:line="269" w:lineRule="exact"/>
              <w:ind w:left="348"/>
              <w:rPr>
                <w:rFonts w:ascii="宋体" w:hAnsi="宋体" w:eastAsia="宋体" w:cs="宋体"/>
                <w:sz w:val="20"/>
                <w:szCs w:val="20"/>
              </w:rPr>
            </w:pPr>
            <w:r>
              <w:rPr>
                <w:rFonts w:ascii="宋体" w:hAnsi="宋体" w:eastAsia="宋体" w:cs="宋体"/>
                <w:position w:val="1"/>
                <w:sz w:val="20"/>
                <w:szCs w:val="20"/>
              </w:rPr>
              <w:t>6</w:t>
            </w:r>
          </w:p>
        </w:tc>
        <w:tc>
          <w:tcPr>
            <w:tcW w:w="4906" w:type="dxa"/>
            <w:vAlign w:val="top"/>
          </w:tcPr>
          <w:p w14:paraId="7DD7DC54">
            <w:pPr>
              <w:spacing w:before="155" w:line="228" w:lineRule="auto"/>
              <w:ind w:left="1946"/>
              <w:rPr>
                <w:rFonts w:ascii="宋体" w:hAnsi="宋体" w:eastAsia="宋体" w:cs="宋体"/>
                <w:sz w:val="20"/>
                <w:szCs w:val="20"/>
              </w:rPr>
            </w:pPr>
            <w:r>
              <w:rPr>
                <w:rFonts w:ascii="宋体" w:hAnsi="宋体" w:eastAsia="宋体" w:cs="宋体"/>
                <w:spacing w:val="5"/>
                <w:sz w:val="20"/>
                <w:szCs w:val="20"/>
              </w:rPr>
              <w:t>防火与防燃</w:t>
            </w:r>
          </w:p>
        </w:tc>
        <w:tc>
          <w:tcPr>
            <w:tcW w:w="2589" w:type="dxa"/>
            <w:vAlign w:val="top"/>
          </w:tcPr>
          <w:p w14:paraId="78A597D9">
            <w:pPr>
              <w:pStyle w:val="6"/>
              <w:spacing w:before="3" w:line="260" w:lineRule="exact"/>
              <w:ind w:left="642"/>
            </w:pPr>
            <w:r>
              <w:rPr>
                <w:position w:val="1"/>
              </w:rPr>
              <w:t>GB</w:t>
            </w:r>
            <w:r>
              <w:rPr>
                <w:spacing w:val="19"/>
                <w:position w:val="1"/>
              </w:rPr>
              <w:t xml:space="preserve"> </w:t>
            </w:r>
            <w:r>
              <w:rPr>
                <w:spacing w:val="3"/>
                <w:position w:val="1"/>
              </w:rPr>
              <w:t>24906-2010</w:t>
            </w:r>
          </w:p>
          <w:p w14:paraId="13612A9F">
            <w:pPr>
              <w:pStyle w:val="6"/>
              <w:spacing w:line="239" w:lineRule="auto"/>
              <w:ind w:left="551"/>
            </w:pPr>
            <w:r>
              <w:t>GB</w:t>
            </w:r>
            <w:r>
              <w:rPr>
                <w:spacing w:val="4"/>
              </w:rPr>
              <w:t>/T 24906-2023</w:t>
            </w:r>
          </w:p>
        </w:tc>
      </w:tr>
      <w:tr w14:paraId="60417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787" w:type="dxa"/>
            <w:vAlign w:val="top"/>
          </w:tcPr>
          <w:p w14:paraId="75E5E4CD">
            <w:pPr>
              <w:spacing w:before="36" w:line="269" w:lineRule="exact"/>
              <w:ind w:left="351"/>
              <w:rPr>
                <w:rFonts w:ascii="宋体" w:hAnsi="宋体" w:eastAsia="宋体" w:cs="宋体"/>
                <w:sz w:val="20"/>
                <w:szCs w:val="20"/>
              </w:rPr>
            </w:pPr>
            <w:r>
              <w:rPr>
                <w:rFonts w:ascii="宋体" w:hAnsi="宋体" w:eastAsia="宋体" w:cs="宋体"/>
                <w:position w:val="1"/>
                <w:sz w:val="20"/>
                <w:szCs w:val="20"/>
              </w:rPr>
              <w:t>7</w:t>
            </w:r>
          </w:p>
        </w:tc>
        <w:tc>
          <w:tcPr>
            <w:tcW w:w="4906" w:type="dxa"/>
            <w:vAlign w:val="top"/>
          </w:tcPr>
          <w:p w14:paraId="3D909D4B">
            <w:pPr>
              <w:spacing w:before="103" w:line="229" w:lineRule="auto"/>
              <w:ind w:left="2037"/>
              <w:rPr>
                <w:rFonts w:ascii="宋体" w:hAnsi="宋体" w:eastAsia="宋体" w:cs="宋体"/>
                <w:sz w:val="20"/>
                <w:szCs w:val="20"/>
              </w:rPr>
            </w:pPr>
            <w:r>
              <w:rPr>
                <w:rFonts w:hint="eastAsia" w:ascii="宋体" w:hAnsi="宋体" w:eastAsia="宋体" w:cs="宋体"/>
                <w:spacing w:val="7"/>
                <w:sz w:val="20"/>
                <w:szCs w:val="20"/>
              </w:rPr>
              <w:t>一般要求</w:t>
            </w:r>
          </w:p>
        </w:tc>
        <w:tc>
          <w:tcPr>
            <w:tcW w:w="2589" w:type="dxa"/>
            <w:vAlign w:val="top"/>
          </w:tcPr>
          <w:p w14:paraId="06334F38">
            <w:pPr>
              <w:pStyle w:val="6"/>
              <w:spacing w:before="76" w:line="266" w:lineRule="exact"/>
              <w:ind w:left="563"/>
            </w:pPr>
            <w:r>
              <w:rPr>
                <w:position w:val="2"/>
              </w:rPr>
              <w:t>GB</w:t>
            </w:r>
            <w:r>
              <w:rPr>
                <w:spacing w:val="19"/>
                <w:w w:val="101"/>
                <w:position w:val="2"/>
              </w:rPr>
              <w:t xml:space="preserve"> </w:t>
            </w:r>
            <w:r>
              <w:rPr>
                <w:spacing w:val="3"/>
                <w:position w:val="2"/>
              </w:rPr>
              <w:t>17625.1-2022</w:t>
            </w:r>
          </w:p>
        </w:tc>
      </w:tr>
    </w:tbl>
    <w:p w14:paraId="486B22FE">
      <w:pPr>
        <w:widowControl w:val="0"/>
        <w:kinsoku/>
        <w:autoSpaceDE/>
        <w:autoSpaceDN/>
        <w:adjustRightInd/>
        <w:snapToGrid w:val="0"/>
        <w:spacing w:line="440" w:lineRule="exact"/>
        <w:ind w:firstLine="359" w:firstLineChars="171"/>
        <w:jc w:val="both"/>
        <w:textAlignment w:val="auto"/>
        <w:rPr>
          <w:rFonts w:ascii="Times New Roman" w:hAnsi="Times New Roman" w:eastAsia="宋体" w:cs="Times New Roman"/>
          <w:snapToGrid/>
          <w:color w:val="000000"/>
          <w:kern w:val="2"/>
          <w:szCs w:val="21"/>
          <w:lang w:eastAsia="zh-CN"/>
        </w:rPr>
      </w:pPr>
      <w:r>
        <w:rPr>
          <w:rFonts w:ascii="Times New Roman" w:hAnsi="Times New Roman" w:eastAsia="宋体" w:cs="Times New Roman"/>
          <w:snapToGrid/>
          <w:color w:val="000000"/>
          <w:kern w:val="2"/>
          <w:szCs w:val="21"/>
          <w:lang w:eastAsia="zh-CN"/>
        </w:rPr>
        <w:t>执行企业标准、团体标准、地方标准的产品，检验项目参照上述内容执行。</w:t>
      </w:r>
    </w:p>
    <w:p w14:paraId="161E14CA">
      <w:pPr>
        <w:widowControl w:val="0"/>
        <w:kinsoku/>
        <w:autoSpaceDE/>
        <w:autoSpaceDN/>
        <w:adjustRightInd/>
        <w:snapToGrid w:val="0"/>
        <w:spacing w:line="440" w:lineRule="exact"/>
        <w:ind w:firstLine="359" w:firstLineChars="171"/>
        <w:jc w:val="both"/>
        <w:textAlignment w:val="auto"/>
        <w:rPr>
          <w:rFonts w:ascii="Times New Roman" w:hAnsi="Times New Roman" w:eastAsia="宋体" w:cs="Times New Roman"/>
          <w:snapToGrid/>
          <w:color w:val="000000"/>
          <w:kern w:val="2"/>
          <w:szCs w:val="21"/>
          <w:lang w:eastAsia="zh-CN"/>
        </w:rPr>
      </w:pPr>
      <w:r>
        <w:rPr>
          <w:rFonts w:ascii="Times New Roman" w:hAnsi="Times New Roman" w:eastAsia="宋体" w:cs="Times New Roman"/>
          <w:snapToGrid/>
          <w:color w:val="000000"/>
          <w:kern w:val="2"/>
          <w:szCs w:val="21"/>
          <w:lang w:eastAsia="zh-CN"/>
        </w:rPr>
        <w:t>凡是注日期的文件，其随后所有的修改单（不包括勘误的内容）或修订版不适用于本细则。凡是不注日期的文件，其最新版本适用于本细则。</w:t>
      </w:r>
    </w:p>
    <w:p w14:paraId="19364C0B">
      <w:pPr>
        <w:spacing w:before="140" w:line="230" w:lineRule="auto"/>
        <w:ind w:left="1"/>
        <w:rPr>
          <w:rFonts w:ascii="黑体" w:hAnsi="黑体" w:eastAsia="黑体" w:cs="黑体"/>
          <w:sz w:val="21"/>
          <w:szCs w:val="21"/>
        </w:rPr>
      </w:pPr>
      <w:r>
        <w:rPr>
          <w:rFonts w:ascii="黑体" w:hAnsi="黑体" w:eastAsia="黑体" w:cs="黑体"/>
          <w:spacing w:val="5"/>
          <w:sz w:val="21"/>
          <w:szCs w:val="21"/>
        </w:rPr>
        <w:t>3</w:t>
      </w:r>
      <w:r>
        <w:rPr>
          <w:rFonts w:ascii="黑体" w:hAnsi="黑体" w:eastAsia="黑体" w:cs="黑体"/>
          <w:spacing w:val="9"/>
          <w:sz w:val="21"/>
          <w:szCs w:val="21"/>
        </w:rPr>
        <w:t xml:space="preserve">  </w:t>
      </w:r>
      <w:r>
        <w:rPr>
          <w:rFonts w:ascii="黑体" w:hAnsi="黑体" w:eastAsia="黑体" w:cs="黑体"/>
          <w:spacing w:val="5"/>
          <w:sz w:val="21"/>
          <w:szCs w:val="21"/>
        </w:rPr>
        <w:t>判定规则</w:t>
      </w:r>
    </w:p>
    <w:p w14:paraId="3CB74E13">
      <w:pPr>
        <w:pStyle w:val="2"/>
        <w:spacing w:before="158" w:line="228" w:lineRule="auto"/>
        <w:ind w:left="5"/>
        <w:rPr>
          <w:rFonts w:hint="eastAsia" w:ascii="宋体" w:hAnsi="宋体" w:eastAsia="宋体" w:cs="宋体"/>
          <w:sz w:val="21"/>
          <w:szCs w:val="21"/>
        </w:rPr>
      </w:pPr>
      <w:r>
        <w:rPr>
          <w:rFonts w:hint="eastAsia" w:ascii="宋体" w:hAnsi="宋体" w:eastAsia="宋体" w:cs="宋体"/>
          <w:spacing w:val="5"/>
          <w:sz w:val="21"/>
          <w:szCs w:val="21"/>
        </w:rPr>
        <w:t>3.1  依据标准</w:t>
      </w:r>
    </w:p>
    <w:p w14:paraId="619766CD">
      <w:pPr>
        <w:pStyle w:val="2"/>
        <w:spacing w:before="162" w:line="228" w:lineRule="auto"/>
        <w:ind w:left="419"/>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6"/>
          <w:sz w:val="21"/>
          <w:szCs w:val="21"/>
        </w:rPr>
        <w:t xml:space="preserve"> 24906—2010 普通照明用</w:t>
      </w:r>
      <w:r>
        <w:rPr>
          <w:rFonts w:hint="eastAsia" w:ascii="宋体" w:hAnsi="宋体" w:eastAsia="宋体" w:cs="宋体"/>
          <w:spacing w:val="-31"/>
          <w:sz w:val="21"/>
          <w:szCs w:val="21"/>
        </w:rPr>
        <w:t xml:space="preserve"> </w:t>
      </w:r>
      <w:r>
        <w:rPr>
          <w:rFonts w:hint="eastAsia" w:ascii="宋体" w:hAnsi="宋体" w:eastAsia="宋体" w:cs="宋体"/>
          <w:spacing w:val="6"/>
          <w:sz w:val="21"/>
          <w:szCs w:val="21"/>
        </w:rPr>
        <w:t>50V</w:t>
      </w:r>
      <w:r>
        <w:rPr>
          <w:rFonts w:hint="eastAsia" w:ascii="宋体" w:hAnsi="宋体" w:eastAsia="宋体" w:cs="宋体"/>
          <w:spacing w:val="-16"/>
          <w:sz w:val="21"/>
          <w:szCs w:val="21"/>
        </w:rPr>
        <w:t xml:space="preserve"> </w:t>
      </w:r>
      <w:r>
        <w:rPr>
          <w:rFonts w:hint="eastAsia" w:ascii="宋体" w:hAnsi="宋体" w:eastAsia="宋体" w:cs="宋体"/>
          <w:spacing w:val="6"/>
          <w:sz w:val="21"/>
          <w:szCs w:val="21"/>
        </w:rPr>
        <w:t>以上自镇流</w:t>
      </w:r>
      <w:r>
        <w:rPr>
          <w:rFonts w:hint="eastAsia" w:ascii="宋体" w:hAnsi="宋体" w:eastAsia="宋体" w:cs="宋体"/>
          <w:spacing w:val="-41"/>
          <w:sz w:val="21"/>
          <w:szCs w:val="21"/>
        </w:rPr>
        <w:t xml:space="preserve"> </w:t>
      </w:r>
      <w:r>
        <w:rPr>
          <w:rFonts w:hint="eastAsia" w:ascii="宋体" w:hAnsi="宋体" w:eastAsia="宋体" w:cs="宋体"/>
          <w:sz w:val="21"/>
          <w:szCs w:val="21"/>
        </w:rPr>
        <w:t>LED</w:t>
      </w:r>
      <w:r>
        <w:rPr>
          <w:rFonts w:hint="eastAsia" w:ascii="宋体" w:hAnsi="宋体" w:eastAsia="宋体" w:cs="宋体"/>
          <w:spacing w:val="-41"/>
          <w:sz w:val="21"/>
          <w:szCs w:val="21"/>
        </w:rPr>
        <w:t xml:space="preserve"> </w:t>
      </w:r>
      <w:r>
        <w:rPr>
          <w:rFonts w:hint="eastAsia" w:ascii="宋体" w:hAnsi="宋体" w:eastAsia="宋体" w:cs="宋体"/>
          <w:spacing w:val="6"/>
          <w:sz w:val="21"/>
          <w:szCs w:val="21"/>
        </w:rPr>
        <w:t>灯  安全要求</w:t>
      </w:r>
    </w:p>
    <w:p w14:paraId="5B68E295">
      <w:pPr>
        <w:pStyle w:val="2"/>
        <w:spacing w:before="161" w:line="228" w:lineRule="auto"/>
        <w:ind w:left="419"/>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6"/>
          <w:sz w:val="21"/>
          <w:szCs w:val="21"/>
        </w:rPr>
        <w:t>/T 24906-2023</w:t>
      </w:r>
      <w:r>
        <w:rPr>
          <w:rFonts w:hint="eastAsia" w:ascii="宋体" w:hAnsi="宋体" w:eastAsia="宋体" w:cs="宋体"/>
          <w:spacing w:val="-41"/>
          <w:sz w:val="21"/>
          <w:szCs w:val="21"/>
        </w:rPr>
        <w:t xml:space="preserve"> </w:t>
      </w:r>
      <w:r>
        <w:rPr>
          <w:rFonts w:hint="eastAsia" w:ascii="宋体" w:hAnsi="宋体" w:eastAsia="宋体" w:cs="宋体"/>
          <w:spacing w:val="6"/>
          <w:sz w:val="21"/>
          <w:szCs w:val="21"/>
        </w:rPr>
        <w:t>普通照明用</w:t>
      </w:r>
      <w:r>
        <w:rPr>
          <w:rFonts w:hint="eastAsia" w:ascii="宋体" w:hAnsi="宋体" w:eastAsia="宋体" w:cs="宋体"/>
          <w:spacing w:val="-35"/>
          <w:sz w:val="21"/>
          <w:szCs w:val="21"/>
        </w:rPr>
        <w:t xml:space="preserve"> </w:t>
      </w:r>
      <w:r>
        <w:rPr>
          <w:rFonts w:hint="eastAsia" w:ascii="宋体" w:hAnsi="宋体" w:eastAsia="宋体" w:cs="宋体"/>
          <w:spacing w:val="6"/>
          <w:sz w:val="21"/>
          <w:szCs w:val="21"/>
        </w:rPr>
        <w:t>50V</w:t>
      </w:r>
      <w:r>
        <w:rPr>
          <w:rFonts w:hint="eastAsia" w:ascii="宋体" w:hAnsi="宋体" w:eastAsia="宋体" w:cs="宋体"/>
          <w:spacing w:val="-17"/>
          <w:sz w:val="21"/>
          <w:szCs w:val="21"/>
        </w:rPr>
        <w:t xml:space="preserve"> </w:t>
      </w:r>
      <w:r>
        <w:rPr>
          <w:rFonts w:hint="eastAsia" w:ascii="宋体" w:hAnsi="宋体" w:eastAsia="宋体" w:cs="宋体"/>
          <w:spacing w:val="6"/>
          <w:sz w:val="21"/>
          <w:szCs w:val="21"/>
        </w:rPr>
        <w:t>以</w:t>
      </w:r>
      <w:r>
        <w:rPr>
          <w:rFonts w:hint="eastAsia" w:ascii="宋体" w:hAnsi="宋体" w:eastAsia="宋体" w:cs="宋体"/>
          <w:spacing w:val="5"/>
          <w:sz w:val="21"/>
          <w:szCs w:val="21"/>
        </w:rPr>
        <w:t>上自镇流</w:t>
      </w:r>
      <w:r>
        <w:rPr>
          <w:rFonts w:hint="eastAsia" w:ascii="宋体" w:hAnsi="宋体" w:eastAsia="宋体" w:cs="宋体"/>
          <w:spacing w:val="-40"/>
          <w:sz w:val="21"/>
          <w:szCs w:val="21"/>
        </w:rPr>
        <w:t xml:space="preserve"> </w:t>
      </w:r>
      <w:r>
        <w:rPr>
          <w:rFonts w:hint="eastAsia" w:ascii="宋体" w:hAnsi="宋体" w:eastAsia="宋体" w:cs="宋体"/>
          <w:sz w:val="21"/>
          <w:szCs w:val="21"/>
        </w:rPr>
        <w:t>LED</w:t>
      </w:r>
      <w:r>
        <w:rPr>
          <w:rFonts w:hint="eastAsia" w:ascii="宋体" w:hAnsi="宋体" w:eastAsia="宋体" w:cs="宋体"/>
          <w:spacing w:val="-39"/>
          <w:sz w:val="21"/>
          <w:szCs w:val="21"/>
        </w:rPr>
        <w:t xml:space="preserve"> </w:t>
      </w:r>
      <w:r>
        <w:rPr>
          <w:rFonts w:hint="eastAsia" w:ascii="宋体" w:hAnsi="宋体" w:eastAsia="宋体" w:cs="宋体"/>
          <w:spacing w:val="5"/>
          <w:sz w:val="21"/>
          <w:szCs w:val="21"/>
        </w:rPr>
        <w:t>灯 安全规范</w:t>
      </w:r>
    </w:p>
    <w:p w14:paraId="1E34BF87">
      <w:pPr>
        <w:pStyle w:val="2"/>
        <w:spacing w:before="160" w:line="378" w:lineRule="auto"/>
        <w:ind w:left="423" w:right="1" w:hanging="4"/>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7"/>
          <w:sz w:val="21"/>
          <w:szCs w:val="21"/>
        </w:rPr>
        <w:t xml:space="preserve"> 17625.1—2022</w:t>
      </w:r>
      <w:r>
        <w:rPr>
          <w:rFonts w:hint="eastAsia" w:ascii="宋体" w:hAnsi="宋体" w:eastAsia="宋体" w:cs="宋体"/>
          <w:spacing w:val="37"/>
          <w:sz w:val="21"/>
          <w:szCs w:val="21"/>
        </w:rPr>
        <w:t xml:space="preserve"> </w:t>
      </w:r>
      <w:r>
        <w:rPr>
          <w:rFonts w:hint="eastAsia" w:ascii="宋体" w:hAnsi="宋体" w:eastAsia="宋体" w:cs="宋体"/>
          <w:spacing w:val="7"/>
          <w:sz w:val="21"/>
          <w:szCs w:val="21"/>
        </w:rPr>
        <w:t>电磁兼容  限</w:t>
      </w:r>
      <w:r>
        <w:rPr>
          <w:rFonts w:hint="eastAsia" w:ascii="宋体" w:hAnsi="宋体" w:eastAsia="宋体" w:cs="宋体"/>
          <w:spacing w:val="6"/>
          <w:sz w:val="21"/>
          <w:szCs w:val="21"/>
        </w:rPr>
        <w:t>值  第</w:t>
      </w:r>
      <w:r>
        <w:rPr>
          <w:rFonts w:hint="eastAsia" w:ascii="宋体" w:hAnsi="宋体" w:eastAsia="宋体" w:cs="宋体"/>
          <w:spacing w:val="-23"/>
          <w:sz w:val="21"/>
          <w:szCs w:val="21"/>
        </w:rPr>
        <w:t xml:space="preserve"> </w:t>
      </w:r>
      <w:r>
        <w:rPr>
          <w:rFonts w:hint="eastAsia" w:ascii="宋体" w:hAnsi="宋体" w:eastAsia="宋体" w:cs="宋体"/>
          <w:spacing w:val="6"/>
          <w:sz w:val="21"/>
          <w:szCs w:val="21"/>
        </w:rPr>
        <w:t>1</w:t>
      </w:r>
      <w:r>
        <w:rPr>
          <w:rFonts w:hint="eastAsia" w:ascii="宋体" w:hAnsi="宋体" w:eastAsia="宋体" w:cs="宋体"/>
          <w:spacing w:val="-36"/>
          <w:sz w:val="21"/>
          <w:szCs w:val="21"/>
        </w:rPr>
        <w:t xml:space="preserve"> </w:t>
      </w:r>
      <w:r>
        <w:rPr>
          <w:rFonts w:hint="eastAsia" w:ascii="宋体" w:hAnsi="宋体" w:eastAsia="宋体" w:cs="宋体"/>
          <w:spacing w:val="6"/>
          <w:sz w:val="21"/>
          <w:szCs w:val="21"/>
        </w:rPr>
        <w:t>部分：谐波电流发射限值(设备每相输入电流≤16A)</w:t>
      </w:r>
      <w:r>
        <w:rPr>
          <w:rFonts w:hint="eastAsia" w:ascii="宋体" w:hAnsi="宋体" w:eastAsia="宋体" w:cs="宋体"/>
          <w:spacing w:val="9"/>
          <w:sz w:val="21"/>
          <w:szCs w:val="21"/>
        </w:rPr>
        <w:t>现行有效的企业标准、团体标准、地方标准及产品明示质量要求。</w:t>
      </w:r>
    </w:p>
    <w:p w14:paraId="71C6C934">
      <w:pPr>
        <w:pStyle w:val="2"/>
        <w:spacing w:line="229" w:lineRule="auto"/>
        <w:ind w:left="5"/>
        <w:rPr>
          <w:rFonts w:hint="eastAsia" w:ascii="宋体" w:hAnsi="宋体" w:eastAsia="宋体" w:cs="宋体"/>
          <w:sz w:val="21"/>
          <w:szCs w:val="21"/>
        </w:rPr>
      </w:pPr>
      <w:r>
        <w:rPr>
          <w:rFonts w:hint="eastAsia" w:ascii="宋体" w:hAnsi="宋体" w:eastAsia="宋体" w:cs="宋体"/>
          <w:spacing w:val="5"/>
          <w:sz w:val="21"/>
          <w:szCs w:val="21"/>
        </w:rPr>
        <w:t>3.2  判定原则</w:t>
      </w:r>
    </w:p>
    <w:p w14:paraId="6FBD84F7">
      <w:pPr>
        <w:widowControl w:val="0"/>
        <w:kinsoku/>
        <w:autoSpaceDE/>
        <w:autoSpaceDN/>
        <w:adjustRightInd/>
        <w:snapToGrid w:val="0"/>
        <w:spacing w:line="440" w:lineRule="exact"/>
        <w:ind w:firstLine="420" w:firstLineChars="200"/>
        <w:jc w:val="both"/>
        <w:textAlignment w:val="auto"/>
        <w:rPr>
          <w:rFonts w:hint="default" w:ascii="宋体" w:hAnsi="宋体" w:eastAsia="宋体" w:cs="宋体"/>
          <w:snapToGrid/>
          <w:color w:val="000000"/>
          <w:kern w:val="2"/>
          <w:sz w:val="21"/>
          <w:szCs w:val="21"/>
          <w:lang w:val="en-US" w:eastAsia="zh-CN"/>
        </w:rPr>
      </w:pPr>
      <w:r>
        <w:rPr>
          <w:rFonts w:hint="eastAsia" w:ascii="宋体" w:hAnsi="宋体" w:eastAsia="宋体" w:cs="宋体"/>
          <w:snapToGrid/>
          <w:color w:val="000000"/>
          <w:kern w:val="2"/>
          <w:sz w:val="21"/>
          <w:szCs w:val="21"/>
          <w:lang w:eastAsia="zh-CN"/>
        </w:rPr>
        <w:t>经检验，检验项目全部合格，判定为被抽查产品所检项目未发现不合格；检验项目中任一项或一项以上不合格，判定为被抽查产品不合格。</w:t>
      </w:r>
      <w:bookmarkStart w:id="0" w:name="_GoBack"/>
      <w:bookmarkEnd w:id="0"/>
    </w:p>
    <w:p w14:paraId="17EC5443">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若被检产品明示的质量要求高于本细则中检验项目依据的标准要求时，应按被检产品明示的质量要求判定。</w:t>
      </w:r>
    </w:p>
    <w:p w14:paraId="5FCEB3BF">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若被检产品明示的质量要求低于本细则中检验项目依据的强制性标准要求时，应按照强制性标准要求判定。</w:t>
      </w:r>
    </w:p>
    <w:p w14:paraId="75E57A2D">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若被检产品明示的质量要求低于或包含本细则中检验项目依据的推荐性标准要求时，应以被检产品明示的质量要求判定。</w:t>
      </w:r>
    </w:p>
    <w:p w14:paraId="2CE9FC31">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若被检产品明示的质量要求缺少本细则中检验项目依据的强制性标准要求时，应按照强制性标准要求判定。</w:t>
      </w:r>
    </w:p>
    <w:p w14:paraId="07C7E870">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若被检产品明示的质量要求缺少本细则中检验项目依据的推荐性标准要求时，该项目不参与判定。</w:t>
      </w:r>
    </w:p>
    <w:p w14:paraId="34DE27F7">
      <w:pPr>
        <w:pStyle w:val="2"/>
        <w:spacing w:before="159" w:line="228" w:lineRule="auto"/>
        <w:jc w:val="right"/>
      </w:pPr>
    </w:p>
    <w:sectPr>
      <w:footerReference r:id="rId5" w:type="default"/>
      <w:pgSz w:w="11906" w:h="16839"/>
      <w:pgMar w:top="1406" w:right="1108" w:bottom="1518" w:left="1704" w:header="0" w:footer="124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11B61E4-7291-4528-BCEF-6DEA9810F3D1}"/>
  </w:font>
  <w:font w:name="黑体">
    <w:panose1 w:val="02010609060101010101"/>
    <w:charset w:val="86"/>
    <w:family w:val="auto"/>
    <w:pitch w:val="default"/>
    <w:sig w:usb0="800002BF" w:usb1="38CF7CFA" w:usb2="00000016" w:usb3="00000000" w:csb0="00040001" w:csb1="00000000"/>
    <w:embedRegular r:id="rId2" w:fontKey="{305A38D7-452E-43BB-BE08-B22FCF9739F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B0E636B0-FDA3-4D9B-9D7F-4C63B706CE22}"/>
  </w:font>
  <w:font w:name="方正小标宋简体">
    <w:panose1 w:val="02000000000000000000"/>
    <w:charset w:val="86"/>
    <w:family w:val="auto"/>
    <w:pitch w:val="default"/>
    <w:sig w:usb0="00000001" w:usb1="08000000" w:usb2="00000000" w:usb3="00000000" w:csb0="00040000" w:csb1="00000000"/>
    <w:embedRegular r:id="rId4" w:fontKey="{07B96A30-D360-4795-A0C3-42E71404C95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9A56A">
    <w:pPr>
      <w:spacing w:line="266" w:lineRule="exact"/>
      <w:ind w:left="4497"/>
      <w:rPr>
        <w:rFonts w:ascii="Calibri" w:hAnsi="Calibri" w:eastAsia="Calibri" w:cs="Calibri"/>
        <w:sz w:val="18"/>
        <w:szCs w:val="18"/>
      </w:rPr>
    </w:pPr>
    <w:r>
      <w:rPr>
        <w:rFonts w:ascii="Calibri" w:hAnsi="Calibri" w:eastAsia="Calibri" w:cs="Calibri"/>
        <w:position w:val="2"/>
        <w:sz w:val="18"/>
        <w:szCs w:val="18"/>
      </w:rPr>
      <w:t>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01D5FB4"/>
    <w:rsid w:val="044E2BE0"/>
    <w:rsid w:val="0BA92DF2"/>
    <w:rsid w:val="0EE95F3F"/>
    <w:rsid w:val="1441006B"/>
    <w:rsid w:val="16930926"/>
    <w:rsid w:val="21A34113"/>
    <w:rsid w:val="22C32593"/>
    <w:rsid w:val="231A4E15"/>
    <w:rsid w:val="2B34402E"/>
    <w:rsid w:val="2C707434"/>
    <w:rsid w:val="2D510EC7"/>
    <w:rsid w:val="2DC07DFB"/>
    <w:rsid w:val="330B2C8D"/>
    <w:rsid w:val="34E24AFB"/>
    <w:rsid w:val="3C37397E"/>
    <w:rsid w:val="401A15ED"/>
    <w:rsid w:val="42DF08CC"/>
    <w:rsid w:val="44F4235B"/>
    <w:rsid w:val="45036AF3"/>
    <w:rsid w:val="4933371F"/>
    <w:rsid w:val="4C7C0B81"/>
    <w:rsid w:val="4DAE15C6"/>
    <w:rsid w:val="537B019D"/>
    <w:rsid w:val="553E76D4"/>
    <w:rsid w:val="58313520"/>
    <w:rsid w:val="5C5B6DBD"/>
    <w:rsid w:val="619D39D4"/>
    <w:rsid w:val="685B3E0C"/>
    <w:rsid w:val="68B97BB8"/>
    <w:rsid w:val="6ED22F0F"/>
    <w:rsid w:val="74FA4F6E"/>
    <w:rsid w:val="7EBA7AD9"/>
    <w:rsid w:val="7ED06D3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0"/>
      <w:szCs w:val="20"/>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Calibri" w:hAnsi="Calibri" w:eastAsia="Calibri" w:cs="Calibri"/>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729</Words>
  <Characters>925</Characters>
  <TotalTime>0</TotalTime>
  <ScaleCrop>false</ScaleCrop>
  <LinksUpToDate>false</LinksUpToDate>
  <CharactersWithSpaces>983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2026-06-26T16:17:00Z</dcterms:created>
  <dc:creator>Windows 用户</dc:creator>
  <cp:lastModifiedBy>。</cp:lastModifiedBy>
  <dcterms:modified xsi:type="dcterms:W3CDTF">2026-10-09T04:00:49Z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2026-09-30T17:11:07Z</vt:filetime>
  </property>
  <property fmtid="{D5CDD505-2E9C-101B-9397-08002B2CF9AE}" pid="4" name="KSOTemplateDocerSaveRecord">
    <vt:lpwstr>eyJoZGlkIjoiNjBmMGY0NDRhMDljNjM3ZmM0MTNlYjhjZjBkMmNlYjEiLCJ1c2VySWQiOiIyMTM2ODQxMzIifQ==</vt:lpwstr>
  </property>
  <property fmtid="{D5CDD505-2E9C-101B-9397-08002B2CF9AE}" pid="5" name="KSOProductBuildVer">
    <vt:lpwstr>2052-12.1.0.28505</vt:lpwstr>
  </property>
  <property fmtid="{D5CDD505-2E9C-101B-9397-08002B2CF9AE}" pid="6" name="ICV">
    <vt:lpwstr>754500F8336E4EA7A4B0AAC16BA99911_12</vt:lpwstr>
  </property>
</Properties>
</file>