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F4A92">
      <w:pPr>
        <w:adjustRightInd w:val="0"/>
        <w:snapToGrid w:val="0"/>
        <w:spacing w:line="440" w:lineRule="exact"/>
        <w:jc w:val="center"/>
        <w:rPr>
          <w:rFonts w:eastAsia="方正小标宋简体"/>
          <w:color w:val="000000"/>
          <w:sz w:val="32"/>
          <w:szCs w:val="32"/>
        </w:rPr>
      </w:pPr>
      <w:r>
        <w:rPr>
          <w:rFonts w:hint="eastAsia" w:eastAsia="方正小标宋简体"/>
          <w:color w:val="000000"/>
          <w:sz w:val="32"/>
          <w:szCs w:val="32"/>
          <w:lang w:val="en-US" w:eastAsia="zh-CN"/>
        </w:rPr>
        <w:t>攀枝花市成人纸尿裤</w:t>
      </w:r>
      <w:r>
        <w:rPr>
          <w:rFonts w:eastAsia="方正小标宋简体"/>
          <w:color w:val="000000"/>
          <w:sz w:val="32"/>
          <w:szCs w:val="32"/>
        </w:rPr>
        <w:t>产品质量监督抽查实施细则</w:t>
      </w:r>
    </w:p>
    <w:p w14:paraId="6518876E">
      <w:pPr>
        <w:adjustRightInd w:val="0"/>
        <w:snapToGrid w:val="0"/>
        <w:spacing w:line="440" w:lineRule="exact"/>
        <w:jc w:val="center"/>
        <w:rPr>
          <w:rFonts w:eastAsia="方正小标宋简体"/>
          <w:color w:val="000000"/>
          <w:sz w:val="32"/>
          <w:szCs w:val="32"/>
        </w:rPr>
      </w:pPr>
      <w:r>
        <w:rPr>
          <w:rFonts w:eastAsia="方正小标宋简体"/>
          <w:color w:val="000000"/>
          <w:sz w:val="32"/>
          <w:szCs w:val="32"/>
        </w:rPr>
        <w:t>（202</w:t>
      </w:r>
      <w:r>
        <w:rPr>
          <w:rFonts w:hint="eastAsia" w:eastAsia="方正小标宋简体"/>
          <w:color w:val="000000"/>
          <w:sz w:val="32"/>
          <w:szCs w:val="32"/>
          <w:lang w:val="en-US" w:eastAsia="zh-CN"/>
        </w:rPr>
        <w:t>6</w:t>
      </w:r>
      <w:r>
        <w:rPr>
          <w:rFonts w:eastAsia="方正小标宋简体"/>
          <w:color w:val="000000"/>
          <w:sz w:val="32"/>
          <w:szCs w:val="32"/>
        </w:rPr>
        <w:t>年版）</w:t>
      </w:r>
    </w:p>
    <w:p w14:paraId="3C4D8530">
      <w:pPr>
        <w:snapToGrid w:val="0"/>
        <w:spacing w:line="440" w:lineRule="exact"/>
        <w:rPr>
          <w:rFonts w:eastAsia="黑体"/>
          <w:color w:val="000000"/>
          <w:szCs w:val="21"/>
        </w:rPr>
      </w:pPr>
      <w:r>
        <w:rPr>
          <w:rFonts w:eastAsia="黑体"/>
          <w:color w:val="000000"/>
          <w:szCs w:val="21"/>
        </w:rPr>
        <w:t>1 抽样方法</w:t>
      </w:r>
    </w:p>
    <w:p w14:paraId="6BC2BC87">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5CF57E5A">
      <w:pPr>
        <w:snapToGrid w:val="0"/>
        <w:spacing w:line="440" w:lineRule="exact"/>
        <w:ind w:firstLine="420" w:firstLineChars="200"/>
        <w:rPr>
          <w:color w:val="000000"/>
          <w:szCs w:val="21"/>
        </w:rPr>
      </w:pPr>
      <w:r>
        <w:rPr>
          <w:color w:val="000000"/>
          <w:szCs w:val="21"/>
        </w:rPr>
        <w:t>随机数一般可使用随机数表等方法产生。</w:t>
      </w:r>
    </w:p>
    <w:p w14:paraId="7C9CB25F">
      <w:pPr>
        <w:snapToGrid w:val="0"/>
        <w:spacing w:line="440" w:lineRule="exact"/>
        <w:ind w:firstLine="420" w:firstLineChars="200"/>
        <w:rPr>
          <w:color w:val="000000"/>
          <w:szCs w:val="21"/>
        </w:rPr>
      </w:pPr>
      <w:r>
        <w:rPr>
          <w:rFonts w:hint="eastAsia" w:eastAsia="宋体"/>
          <w:color w:val="000000"/>
          <w:szCs w:val="21"/>
        </w:rPr>
        <w:t>以最小销售包装（包）为样本，共计抽取样品</w:t>
      </w:r>
      <w:r>
        <w:rPr>
          <w:rFonts w:hint="eastAsia" w:eastAsia="宋体"/>
          <w:color w:val="000000"/>
          <w:szCs w:val="21"/>
          <w:lang w:val="en-US" w:eastAsia="zh-CN"/>
        </w:rPr>
        <w:t>3</w:t>
      </w:r>
      <w:r>
        <w:rPr>
          <w:rFonts w:hint="eastAsia" w:eastAsia="宋体"/>
          <w:color w:val="000000"/>
          <w:szCs w:val="21"/>
        </w:rPr>
        <w:t>包（每包以10片计），单包不足10片的按实际包装数计算。其中</w:t>
      </w:r>
      <w:r>
        <w:rPr>
          <w:rFonts w:hint="eastAsia" w:eastAsia="宋体"/>
          <w:color w:val="000000"/>
          <w:szCs w:val="21"/>
          <w:lang w:val="en-US" w:eastAsia="zh-CN"/>
        </w:rPr>
        <w:t>2</w:t>
      </w:r>
      <w:r>
        <w:rPr>
          <w:rFonts w:hint="eastAsia" w:eastAsia="宋体"/>
          <w:color w:val="000000"/>
          <w:szCs w:val="21"/>
        </w:rPr>
        <w:t>包作为检验样品，</w:t>
      </w:r>
      <w:r>
        <w:rPr>
          <w:rFonts w:hint="eastAsia" w:eastAsia="宋体"/>
          <w:color w:val="000000"/>
          <w:szCs w:val="21"/>
          <w:lang w:val="en-US" w:eastAsia="zh-CN"/>
        </w:rPr>
        <w:t>1</w:t>
      </w:r>
      <w:r>
        <w:rPr>
          <w:rFonts w:hint="eastAsia" w:eastAsia="宋体"/>
          <w:color w:val="000000"/>
          <w:szCs w:val="21"/>
        </w:rPr>
        <w:t>包作为备用样品（包装量少的适当增加抽样数量）。</w:t>
      </w:r>
    </w:p>
    <w:p w14:paraId="476493A6">
      <w:pPr>
        <w:snapToGrid w:val="0"/>
        <w:spacing w:line="440" w:lineRule="exact"/>
        <w:rPr>
          <w:rFonts w:hint="eastAsia"/>
          <w:szCs w:val="21"/>
        </w:rPr>
      </w:pPr>
      <w:r>
        <w:rPr>
          <w:rFonts w:eastAsia="黑体"/>
          <w:color w:val="000000"/>
          <w:szCs w:val="21"/>
        </w:rPr>
        <w:t>2 检验依据</w:t>
      </w:r>
    </w:p>
    <w:p w14:paraId="76EB063C">
      <w:pPr>
        <w:snapToGrid w:val="0"/>
        <w:spacing w:line="440" w:lineRule="exact"/>
        <w:jc w:val="center"/>
        <w:rPr>
          <w:rFonts w:hint="eastAsia"/>
          <w:szCs w:val="21"/>
        </w:rPr>
      </w:pPr>
      <w:r>
        <w:rPr>
          <w:rFonts w:hint="eastAsia"/>
          <w:szCs w:val="21"/>
        </w:rPr>
        <w:t>表</w:t>
      </w:r>
      <w:r>
        <w:rPr>
          <w:rFonts w:hint="eastAsia"/>
          <w:szCs w:val="21"/>
          <w:lang w:val="en-US" w:eastAsia="zh-CN"/>
        </w:rPr>
        <w:t>3</w:t>
      </w:r>
      <w:r>
        <w:rPr>
          <w:rFonts w:hint="eastAsia"/>
          <w:szCs w:val="21"/>
        </w:rPr>
        <w:t xml:space="preserve"> </w:t>
      </w:r>
      <w:r>
        <w:rPr>
          <w:rFonts w:hint="eastAsia"/>
          <w:szCs w:val="21"/>
          <w:lang w:val="en-US" w:eastAsia="zh-CN"/>
        </w:rPr>
        <w:t>成人</w:t>
      </w:r>
      <w:r>
        <w:rPr>
          <w:rFonts w:hint="eastAsia"/>
          <w:szCs w:val="21"/>
        </w:rPr>
        <w:t>纸尿裤（GB 15979-20</w:t>
      </w:r>
      <w:r>
        <w:rPr>
          <w:szCs w:val="21"/>
        </w:rPr>
        <w:t>02</w:t>
      </w:r>
      <w:r>
        <w:rPr>
          <w:rFonts w:hint="eastAsia"/>
          <w:szCs w:val="21"/>
        </w:rPr>
        <w:t>、GB/T 28004.</w:t>
      </w:r>
      <w:r>
        <w:rPr>
          <w:rFonts w:hint="eastAsia"/>
          <w:szCs w:val="21"/>
          <w:lang w:val="en-US" w:eastAsia="zh-CN"/>
        </w:rPr>
        <w:t>2</w:t>
      </w:r>
      <w:r>
        <w:rPr>
          <w:rFonts w:hint="eastAsia"/>
          <w:szCs w:val="21"/>
        </w:rPr>
        <w:t>-2021）</w:t>
      </w:r>
    </w:p>
    <w:tbl>
      <w:tblPr>
        <w:tblStyle w:val="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919"/>
        <w:gridCol w:w="2979"/>
        <w:gridCol w:w="4099"/>
      </w:tblGrid>
      <w:tr w14:paraId="65C0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noWrap w:val="0"/>
            <w:vAlign w:val="center"/>
          </w:tcPr>
          <w:p w14:paraId="465D6B37">
            <w:pPr>
              <w:jc w:val="center"/>
              <w:rPr>
                <w:szCs w:val="21"/>
              </w:rPr>
            </w:pPr>
            <w:r>
              <w:rPr>
                <w:szCs w:val="21"/>
              </w:rPr>
              <w:t>序号</w:t>
            </w:r>
          </w:p>
        </w:tc>
        <w:tc>
          <w:tcPr>
            <w:tcW w:w="2126" w:type="pct"/>
            <w:gridSpan w:val="2"/>
            <w:noWrap w:val="0"/>
            <w:vAlign w:val="center"/>
          </w:tcPr>
          <w:p w14:paraId="59C873E8">
            <w:pPr>
              <w:jc w:val="center"/>
              <w:rPr>
                <w:szCs w:val="21"/>
              </w:rPr>
            </w:pPr>
            <w:r>
              <w:rPr>
                <w:szCs w:val="21"/>
              </w:rPr>
              <w:t>检验项目</w:t>
            </w:r>
          </w:p>
        </w:tc>
        <w:tc>
          <w:tcPr>
            <w:tcW w:w="2235" w:type="pct"/>
            <w:noWrap w:val="0"/>
            <w:vAlign w:val="center"/>
          </w:tcPr>
          <w:p w14:paraId="33FA4F40">
            <w:pPr>
              <w:jc w:val="center"/>
              <w:rPr>
                <w:szCs w:val="21"/>
              </w:rPr>
            </w:pPr>
            <w:r>
              <w:rPr>
                <w:szCs w:val="21"/>
              </w:rPr>
              <w:t>检验方法</w:t>
            </w:r>
          </w:p>
        </w:tc>
      </w:tr>
      <w:tr w14:paraId="54DA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pct"/>
            <w:noWrap w:val="0"/>
            <w:vAlign w:val="center"/>
          </w:tcPr>
          <w:p w14:paraId="5BB15E22">
            <w:pPr>
              <w:jc w:val="center"/>
              <w:rPr>
                <w:szCs w:val="21"/>
              </w:rPr>
            </w:pPr>
            <w:r>
              <w:rPr>
                <w:rFonts w:hint="eastAsia"/>
                <w:szCs w:val="21"/>
              </w:rPr>
              <w:t>1</w:t>
            </w:r>
          </w:p>
        </w:tc>
        <w:tc>
          <w:tcPr>
            <w:tcW w:w="501" w:type="pct"/>
            <w:vMerge w:val="restart"/>
            <w:noWrap w:val="0"/>
            <w:vAlign w:val="center"/>
          </w:tcPr>
          <w:p w14:paraId="0E7CC6B4">
            <w:pPr>
              <w:spacing w:line="240" w:lineRule="atLeast"/>
              <w:jc w:val="center"/>
              <w:rPr>
                <w:szCs w:val="21"/>
              </w:rPr>
            </w:pPr>
            <w:r>
              <w:rPr>
                <w:rFonts w:hint="eastAsia"/>
                <w:szCs w:val="21"/>
              </w:rPr>
              <w:t>微生物学指标</w:t>
            </w:r>
          </w:p>
        </w:tc>
        <w:tc>
          <w:tcPr>
            <w:tcW w:w="1624" w:type="pct"/>
            <w:noWrap w:val="0"/>
            <w:vAlign w:val="center"/>
          </w:tcPr>
          <w:p w14:paraId="271671C9">
            <w:pPr>
              <w:spacing w:line="400" w:lineRule="exact"/>
              <w:jc w:val="center"/>
              <w:rPr>
                <w:szCs w:val="21"/>
              </w:rPr>
            </w:pPr>
            <w:r>
              <w:rPr>
                <w:szCs w:val="21"/>
              </w:rPr>
              <w:t>细菌菌落总数</w:t>
            </w:r>
          </w:p>
        </w:tc>
        <w:tc>
          <w:tcPr>
            <w:tcW w:w="2235" w:type="pct"/>
            <w:noWrap w:val="0"/>
            <w:vAlign w:val="center"/>
          </w:tcPr>
          <w:p w14:paraId="5141A4FB">
            <w:pPr>
              <w:adjustRightInd w:val="0"/>
              <w:snapToGrid w:val="0"/>
              <w:jc w:val="center"/>
              <w:rPr>
                <w:rFonts w:hint="eastAsia"/>
                <w:szCs w:val="21"/>
              </w:rPr>
            </w:pPr>
            <w:r>
              <w:rPr>
                <w:szCs w:val="21"/>
              </w:rPr>
              <w:t>GB 15979-2002</w:t>
            </w:r>
          </w:p>
        </w:tc>
      </w:tr>
      <w:tr w14:paraId="0CF0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pct"/>
            <w:noWrap w:val="0"/>
            <w:vAlign w:val="center"/>
          </w:tcPr>
          <w:p w14:paraId="68A2DC52">
            <w:pPr>
              <w:jc w:val="center"/>
              <w:rPr>
                <w:szCs w:val="21"/>
              </w:rPr>
            </w:pPr>
            <w:r>
              <w:rPr>
                <w:rFonts w:hint="eastAsia"/>
                <w:szCs w:val="21"/>
              </w:rPr>
              <w:t>2</w:t>
            </w:r>
          </w:p>
        </w:tc>
        <w:tc>
          <w:tcPr>
            <w:tcW w:w="501" w:type="pct"/>
            <w:vMerge w:val="continue"/>
            <w:noWrap w:val="0"/>
            <w:vAlign w:val="center"/>
          </w:tcPr>
          <w:p w14:paraId="3791C863">
            <w:pPr>
              <w:spacing w:line="400" w:lineRule="exact"/>
              <w:jc w:val="center"/>
              <w:rPr>
                <w:szCs w:val="21"/>
              </w:rPr>
            </w:pPr>
          </w:p>
        </w:tc>
        <w:tc>
          <w:tcPr>
            <w:tcW w:w="1624" w:type="pct"/>
            <w:noWrap w:val="0"/>
            <w:vAlign w:val="center"/>
          </w:tcPr>
          <w:p w14:paraId="4EDC7585">
            <w:pPr>
              <w:spacing w:line="400" w:lineRule="exact"/>
              <w:jc w:val="center"/>
              <w:rPr>
                <w:szCs w:val="21"/>
              </w:rPr>
            </w:pPr>
            <w:r>
              <w:rPr>
                <w:szCs w:val="21"/>
              </w:rPr>
              <w:t>大肠菌群</w:t>
            </w:r>
          </w:p>
        </w:tc>
        <w:tc>
          <w:tcPr>
            <w:tcW w:w="2235" w:type="pct"/>
            <w:noWrap w:val="0"/>
            <w:vAlign w:val="center"/>
          </w:tcPr>
          <w:p w14:paraId="595D056C">
            <w:pPr>
              <w:adjustRightInd w:val="0"/>
              <w:snapToGrid w:val="0"/>
              <w:jc w:val="center"/>
              <w:rPr>
                <w:rFonts w:hint="eastAsia"/>
                <w:szCs w:val="21"/>
              </w:rPr>
            </w:pPr>
            <w:r>
              <w:rPr>
                <w:szCs w:val="21"/>
              </w:rPr>
              <w:t>GB 15979-2002</w:t>
            </w:r>
          </w:p>
        </w:tc>
      </w:tr>
      <w:tr w14:paraId="63B5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pct"/>
            <w:noWrap w:val="0"/>
            <w:vAlign w:val="center"/>
          </w:tcPr>
          <w:p w14:paraId="1ABBA3C9">
            <w:pPr>
              <w:jc w:val="center"/>
              <w:rPr>
                <w:szCs w:val="21"/>
              </w:rPr>
            </w:pPr>
            <w:r>
              <w:rPr>
                <w:rFonts w:hint="eastAsia"/>
                <w:szCs w:val="21"/>
              </w:rPr>
              <w:t>3</w:t>
            </w:r>
          </w:p>
        </w:tc>
        <w:tc>
          <w:tcPr>
            <w:tcW w:w="501" w:type="pct"/>
            <w:vMerge w:val="continue"/>
            <w:noWrap w:val="0"/>
            <w:vAlign w:val="center"/>
          </w:tcPr>
          <w:p w14:paraId="16DD2BB6">
            <w:pPr>
              <w:jc w:val="center"/>
              <w:rPr>
                <w:szCs w:val="21"/>
              </w:rPr>
            </w:pPr>
          </w:p>
        </w:tc>
        <w:tc>
          <w:tcPr>
            <w:tcW w:w="1624" w:type="pct"/>
            <w:noWrap w:val="0"/>
            <w:vAlign w:val="center"/>
          </w:tcPr>
          <w:p w14:paraId="3BF5AEA5">
            <w:pPr>
              <w:jc w:val="center"/>
              <w:rPr>
                <w:szCs w:val="21"/>
              </w:rPr>
            </w:pPr>
            <w:r>
              <w:rPr>
                <w:szCs w:val="21"/>
              </w:rPr>
              <w:t>致病性化脓菌</w:t>
            </w:r>
            <w:r>
              <w:rPr>
                <w:rFonts w:hint="eastAsia"/>
                <w:szCs w:val="21"/>
              </w:rPr>
              <w:t>（铜绿假单胞菌、</w:t>
            </w:r>
            <w:r>
              <w:rPr>
                <w:szCs w:val="21"/>
              </w:rPr>
              <w:t>金黄色葡萄球菌</w:t>
            </w:r>
            <w:r>
              <w:rPr>
                <w:rFonts w:hint="eastAsia"/>
                <w:szCs w:val="21"/>
              </w:rPr>
              <w:t>、</w:t>
            </w:r>
            <w:r>
              <w:rPr>
                <w:szCs w:val="21"/>
              </w:rPr>
              <w:t>溶血性链球菌</w:t>
            </w:r>
            <w:r>
              <w:rPr>
                <w:rFonts w:hint="eastAsia"/>
                <w:szCs w:val="21"/>
              </w:rPr>
              <w:t>）</w:t>
            </w:r>
          </w:p>
        </w:tc>
        <w:tc>
          <w:tcPr>
            <w:tcW w:w="2235" w:type="pct"/>
            <w:noWrap w:val="0"/>
            <w:vAlign w:val="center"/>
          </w:tcPr>
          <w:p w14:paraId="6E1C1150">
            <w:pPr>
              <w:adjustRightInd w:val="0"/>
              <w:snapToGrid w:val="0"/>
              <w:jc w:val="center"/>
              <w:rPr>
                <w:rFonts w:hint="eastAsia"/>
                <w:szCs w:val="21"/>
              </w:rPr>
            </w:pPr>
            <w:r>
              <w:rPr>
                <w:szCs w:val="21"/>
              </w:rPr>
              <w:t>GB 15979-2002</w:t>
            </w:r>
          </w:p>
        </w:tc>
      </w:tr>
      <w:tr w14:paraId="07887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38" w:type="pct"/>
            <w:noWrap w:val="0"/>
            <w:vAlign w:val="center"/>
          </w:tcPr>
          <w:p w14:paraId="780CD1B8">
            <w:pPr>
              <w:jc w:val="center"/>
              <w:rPr>
                <w:szCs w:val="21"/>
              </w:rPr>
            </w:pPr>
            <w:r>
              <w:rPr>
                <w:rFonts w:hint="eastAsia"/>
                <w:szCs w:val="21"/>
              </w:rPr>
              <w:t>4</w:t>
            </w:r>
          </w:p>
        </w:tc>
        <w:tc>
          <w:tcPr>
            <w:tcW w:w="501" w:type="pct"/>
            <w:vMerge w:val="continue"/>
            <w:noWrap w:val="0"/>
            <w:vAlign w:val="center"/>
          </w:tcPr>
          <w:p w14:paraId="51339EA3">
            <w:pPr>
              <w:spacing w:line="400" w:lineRule="exact"/>
              <w:jc w:val="center"/>
              <w:rPr>
                <w:szCs w:val="21"/>
              </w:rPr>
            </w:pPr>
          </w:p>
        </w:tc>
        <w:tc>
          <w:tcPr>
            <w:tcW w:w="1624" w:type="pct"/>
            <w:noWrap w:val="0"/>
            <w:vAlign w:val="center"/>
          </w:tcPr>
          <w:p w14:paraId="351C59BB">
            <w:pPr>
              <w:spacing w:line="240" w:lineRule="atLeast"/>
              <w:jc w:val="center"/>
              <w:rPr>
                <w:szCs w:val="21"/>
              </w:rPr>
            </w:pPr>
            <w:r>
              <w:rPr>
                <w:szCs w:val="21"/>
              </w:rPr>
              <w:t>真菌菌落总数</w:t>
            </w:r>
          </w:p>
        </w:tc>
        <w:tc>
          <w:tcPr>
            <w:tcW w:w="2235" w:type="pct"/>
            <w:noWrap w:val="0"/>
            <w:vAlign w:val="center"/>
          </w:tcPr>
          <w:p w14:paraId="02720CDF">
            <w:pPr>
              <w:adjustRightInd w:val="0"/>
              <w:snapToGrid w:val="0"/>
              <w:jc w:val="center"/>
              <w:rPr>
                <w:rFonts w:hint="eastAsia"/>
                <w:szCs w:val="21"/>
              </w:rPr>
            </w:pPr>
            <w:r>
              <w:rPr>
                <w:szCs w:val="21"/>
              </w:rPr>
              <w:t>GB 15979-2002</w:t>
            </w:r>
          </w:p>
        </w:tc>
      </w:tr>
      <w:tr w14:paraId="79D7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638" w:type="pct"/>
            <w:vMerge w:val="restart"/>
            <w:noWrap w:val="0"/>
            <w:vAlign w:val="center"/>
          </w:tcPr>
          <w:p w14:paraId="208D4308">
            <w:pPr>
              <w:jc w:val="center"/>
              <w:rPr>
                <w:rFonts w:hint="eastAsia" w:eastAsia="宋体"/>
                <w:szCs w:val="21"/>
                <w:lang w:val="en-US" w:eastAsia="zh-CN"/>
              </w:rPr>
            </w:pPr>
            <w:r>
              <w:rPr>
                <w:rFonts w:hint="eastAsia"/>
                <w:szCs w:val="21"/>
                <w:lang w:val="en-US" w:eastAsia="zh-CN"/>
              </w:rPr>
              <w:t>5</w:t>
            </w:r>
          </w:p>
        </w:tc>
        <w:tc>
          <w:tcPr>
            <w:tcW w:w="501" w:type="pct"/>
            <w:vMerge w:val="restart"/>
            <w:noWrap w:val="0"/>
            <w:vAlign w:val="center"/>
          </w:tcPr>
          <w:p w14:paraId="0B8EB8E2">
            <w:pPr>
              <w:spacing w:line="400" w:lineRule="exact"/>
              <w:jc w:val="center"/>
              <w:rPr>
                <w:szCs w:val="21"/>
              </w:rPr>
            </w:pPr>
            <w:r>
              <w:rPr>
                <w:szCs w:val="21"/>
              </w:rPr>
              <w:t>渗透性能</w:t>
            </w:r>
          </w:p>
        </w:tc>
        <w:tc>
          <w:tcPr>
            <w:tcW w:w="2979" w:type="dxa"/>
            <w:noWrap w:val="0"/>
            <w:vAlign w:val="center"/>
          </w:tcPr>
          <w:p w14:paraId="2BEAED4B">
            <w:pPr>
              <w:spacing w:line="400" w:lineRule="exact"/>
              <w:jc w:val="center"/>
              <w:rPr>
                <w:szCs w:val="21"/>
              </w:rPr>
            </w:pPr>
            <w:r>
              <w:rPr>
                <w:rFonts w:hint="default" w:ascii="Times New Roman" w:hAnsi="Times New Roman" w:cs="Times New Roman"/>
                <w:color w:val="000000"/>
                <w:sz w:val="21"/>
                <w:szCs w:val="21"/>
              </w:rPr>
              <w:t>吸收速度</w:t>
            </w:r>
          </w:p>
        </w:tc>
        <w:tc>
          <w:tcPr>
            <w:tcW w:w="4099" w:type="dxa"/>
            <w:noWrap w:val="0"/>
            <w:vAlign w:val="center"/>
          </w:tcPr>
          <w:p w14:paraId="3C887A8C">
            <w:pPr>
              <w:adjustRightInd w:val="0"/>
              <w:snapToGrid w:val="0"/>
              <w:jc w:val="center"/>
              <w:rPr>
                <w:szCs w:val="21"/>
              </w:rPr>
            </w:pPr>
            <w:r>
              <w:rPr>
                <w:rFonts w:hint="default" w:ascii="Times New Roman" w:hAnsi="Times New Roman" w:cs="Times New Roman"/>
                <w:color w:val="000000"/>
                <w:sz w:val="21"/>
                <w:szCs w:val="21"/>
              </w:rPr>
              <w:t>GB/T 28004.</w:t>
            </w:r>
            <w:r>
              <w:rPr>
                <w:rFonts w:hint="eastAsia" w:ascii="Times New Roman" w:hAnsi="Times New Roman" w:cs="Times New Roman"/>
                <w:color w:val="000000"/>
                <w:sz w:val="21"/>
                <w:szCs w:val="21"/>
                <w:lang w:val="en-US" w:eastAsia="zh-CN"/>
              </w:rPr>
              <w:t>2</w:t>
            </w:r>
            <w:r>
              <w:rPr>
                <w:rFonts w:hint="default" w:ascii="Times New Roman" w:hAnsi="Times New Roman" w:cs="Times New Roman"/>
                <w:color w:val="000000"/>
                <w:sz w:val="21"/>
                <w:szCs w:val="21"/>
              </w:rPr>
              <w:t>-2021</w:t>
            </w:r>
          </w:p>
        </w:tc>
      </w:tr>
      <w:tr w14:paraId="5BF9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638" w:type="pct"/>
            <w:vMerge w:val="continue"/>
            <w:noWrap w:val="0"/>
            <w:vAlign w:val="center"/>
          </w:tcPr>
          <w:p w14:paraId="7C401379">
            <w:pPr>
              <w:jc w:val="center"/>
              <w:rPr>
                <w:szCs w:val="21"/>
              </w:rPr>
            </w:pPr>
          </w:p>
        </w:tc>
        <w:tc>
          <w:tcPr>
            <w:tcW w:w="501" w:type="pct"/>
            <w:vMerge w:val="continue"/>
            <w:noWrap w:val="0"/>
            <w:vAlign w:val="center"/>
          </w:tcPr>
          <w:p w14:paraId="13BE5F70">
            <w:pPr>
              <w:spacing w:line="400" w:lineRule="exact"/>
              <w:jc w:val="center"/>
              <w:rPr>
                <w:szCs w:val="21"/>
              </w:rPr>
            </w:pPr>
          </w:p>
        </w:tc>
        <w:tc>
          <w:tcPr>
            <w:tcW w:w="2979" w:type="dxa"/>
            <w:noWrap w:val="0"/>
            <w:vAlign w:val="center"/>
          </w:tcPr>
          <w:p w14:paraId="56F3DCBB">
            <w:pPr>
              <w:spacing w:line="400" w:lineRule="exact"/>
              <w:jc w:val="center"/>
              <w:rPr>
                <w:szCs w:val="21"/>
              </w:rPr>
            </w:pPr>
            <w:r>
              <w:rPr>
                <w:rFonts w:hint="default" w:ascii="Times New Roman" w:hAnsi="Times New Roman" w:cs="Times New Roman"/>
                <w:color w:val="000000"/>
                <w:sz w:val="21"/>
                <w:szCs w:val="21"/>
              </w:rPr>
              <w:t>回渗量</w:t>
            </w:r>
          </w:p>
        </w:tc>
        <w:tc>
          <w:tcPr>
            <w:tcW w:w="4099" w:type="dxa"/>
            <w:noWrap w:val="0"/>
            <w:vAlign w:val="center"/>
          </w:tcPr>
          <w:p w14:paraId="3A854B0A">
            <w:pPr>
              <w:adjustRightInd w:val="0"/>
              <w:snapToGrid w:val="0"/>
              <w:jc w:val="center"/>
              <w:rPr>
                <w:szCs w:val="21"/>
              </w:rPr>
            </w:pPr>
            <w:r>
              <w:rPr>
                <w:rFonts w:hint="default" w:ascii="Times New Roman" w:hAnsi="Times New Roman" w:cs="Times New Roman"/>
                <w:color w:val="000000"/>
                <w:sz w:val="21"/>
                <w:szCs w:val="21"/>
              </w:rPr>
              <w:t>GB/T 28004.</w:t>
            </w:r>
            <w:r>
              <w:rPr>
                <w:rFonts w:hint="eastAsia" w:ascii="Times New Roman" w:hAnsi="Times New Roman" w:cs="Times New Roman"/>
                <w:color w:val="000000"/>
                <w:sz w:val="21"/>
                <w:szCs w:val="21"/>
                <w:lang w:val="en-US" w:eastAsia="zh-CN"/>
              </w:rPr>
              <w:t>2</w:t>
            </w:r>
            <w:r>
              <w:rPr>
                <w:rFonts w:hint="default" w:ascii="Times New Roman" w:hAnsi="Times New Roman" w:cs="Times New Roman"/>
                <w:color w:val="000000"/>
                <w:sz w:val="21"/>
                <w:szCs w:val="21"/>
              </w:rPr>
              <w:t>-2021</w:t>
            </w:r>
          </w:p>
        </w:tc>
      </w:tr>
      <w:tr w14:paraId="69E78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638" w:type="pct"/>
            <w:vMerge w:val="continue"/>
            <w:noWrap w:val="0"/>
            <w:vAlign w:val="center"/>
          </w:tcPr>
          <w:p w14:paraId="51A1B6F9">
            <w:pPr>
              <w:jc w:val="center"/>
              <w:rPr>
                <w:szCs w:val="21"/>
              </w:rPr>
            </w:pPr>
          </w:p>
        </w:tc>
        <w:tc>
          <w:tcPr>
            <w:tcW w:w="501" w:type="pct"/>
            <w:vMerge w:val="continue"/>
            <w:noWrap w:val="0"/>
            <w:vAlign w:val="center"/>
          </w:tcPr>
          <w:p w14:paraId="54CA4301">
            <w:pPr>
              <w:spacing w:line="400" w:lineRule="exact"/>
              <w:jc w:val="center"/>
              <w:rPr>
                <w:szCs w:val="21"/>
              </w:rPr>
            </w:pPr>
          </w:p>
        </w:tc>
        <w:tc>
          <w:tcPr>
            <w:tcW w:w="2979" w:type="dxa"/>
            <w:noWrap w:val="0"/>
            <w:vAlign w:val="center"/>
          </w:tcPr>
          <w:p w14:paraId="0670C9AD">
            <w:pPr>
              <w:spacing w:line="400" w:lineRule="exact"/>
              <w:jc w:val="center"/>
              <w:rPr>
                <w:szCs w:val="21"/>
              </w:rPr>
            </w:pPr>
            <w:r>
              <w:rPr>
                <w:rFonts w:hint="default" w:ascii="Times New Roman" w:hAnsi="Times New Roman" w:cs="Times New Roman"/>
                <w:color w:val="000000"/>
                <w:sz w:val="21"/>
                <w:szCs w:val="21"/>
              </w:rPr>
              <w:t>渗漏量</w:t>
            </w:r>
          </w:p>
        </w:tc>
        <w:tc>
          <w:tcPr>
            <w:tcW w:w="4099" w:type="dxa"/>
            <w:noWrap w:val="0"/>
            <w:vAlign w:val="center"/>
          </w:tcPr>
          <w:p w14:paraId="738DE0C2">
            <w:pPr>
              <w:adjustRightInd w:val="0"/>
              <w:snapToGrid w:val="0"/>
              <w:jc w:val="center"/>
              <w:rPr>
                <w:szCs w:val="21"/>
              </w:rPr>
            </w:pPr>
            <w:r>
              <w:rPr>
                <w:rFonts w:hint="default" w:ascii="Times New Roman" w:hAnsi="Times New Roman" w:cs="Times New Roman"/>
                <w:color w:val="000000"/>
                <w:sz w:val="21"/>
                <w:szCs w:val="21"/>
              </w:rPr>
              <w:t>GB/T 28004.</w:t>
            </w:r>
            <w:r>
              <w:rPr>
                <w:rFonts w:hint="eastAsia" w:ascii="Times New Roman" w:hAnsi="Times New Roman" w:cs="Times New Roman"/>
                <w:color w:val="000000"/>
                <w:sz w:val="21"/>
                <w:szCs w:val="21"/>
                <w:lang w:val="en-US" w:eastAsia="zh-CN"/>
              </w:rPr>
              <w:t>2</w:t>
            </w:r>
            <w:r>
              <w:rPr>
                <w:rFonts w:hint="default" w:ascii="Times New Roman" w:hAnsi="Times New Roman" w:cs="Times New Roman"/>
                <w:color w:val="000000"/>
                <w:sz w:val="21"/>
                <w:szCs w:val="21"/>
              </w:rPr>
              <w:t>-2021</w:t>
            </w:r>
          </w:p>
        </w:tc>
      </w:tr>
      <w:tr w14:paraId="6695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pct"/>
            <w:noWrap w:val="0"/>
            <w:vAlign w:val="center"/>
          </w:tcPr>
          <w:p w14:paraId="0F17D676">
            <w:pPr>
              <w:jc w:val="center"/>
              <w:rPr>
                <w:rFonts w:hint="eastAsia" w:eastAsia="宋体"/>
                <w:szCs w:val="21"/>
                <w:lang w:val="en-US" w:eastAsia="zh-CN"/>
              </w:rPr>
            </w:pPr>
            <w:r>
              <w:rPr>
                <w:rFonts w:hint="eastAsia"/>
                <w:szCs w:val="21"/>
                <w:lang w:val="en-US" w:eastAsia="zh-CN"/>
              </w:rPr>
              <w:t>6</w:t>
            </w:r>
          </w:p>
        </w:tc>
        <w:tc>
          <w:tcPr>
            <w:tcW w:w="2126" w:type="pct"/>
            <w:gridSpan w:val="2"/>
            <w:noWrap w:val="0"/>
            <w:vAlign w:val="center"/>
          </w:tcPr>
          <w:p w14:paraId="4F700605">
            <w:pPr>
              <w:spacing w:line="400" w:lineRule="exact"/>
              <w:jc w:val="center"/>
              <w:rPr>
                <w:szCs w:val="21"/>
              </w:rPr>
            </w:pPr>
            <w:r>
              <w:rPr>
                <w:szCs w:val="21"/>
              </w:rPr>
              <w:t>pH值</w:t>
            </w:r>
          </w:p>
        </w:tc>
        <w:tc>
          <w:tcPr>
            <w:tcW w:w="2235" w:type="pct"/>
            <w:noWrap w:val="0"/>
            <w:vAlign w:val="center"/>
          </w:tcPr>
          <w:p w14:paraId="372B403F">
            <w:pPr>
              <w:adjustRightInd w:val="0"/>
              <w:snapToGrid w:val="0"/>
              <w:jc w:val="center"/>
              <w:rPr>
                <w:szCs w:val="21"/>
              </w:rPr>
            </w:pPr>
            <w:r>
              <w:rPr>
                <w:rFonts w:hint="default" w:ascii="Times New Roman" w:hAnsi="Times New Roman" w:cs="Times New Roman"/>
                <w:color w:val="000000"/>
                <w:sz w:val="21"/>
                <w:szCs w:val="21"/>
              </w:rPr>
              <w:t>GB/T 28004.</w:t>
            </w:r>
            <w:r>
              <w:rPr>
                <w:rFonts w:hint="eastAsia" w:ascii="Times New Roman" w:hAnsi="Times New Roman" w:cs="Times New Roman"/>
                <w:color w:val="000000"/>
                <w:sz w:val="21"/>
                <w:szCs w:val="21"/>
                <w:lang w:val="en-US" w:eastAsia="zh-CN"/>
              </w:rPr>
              <w:t>2</w:t>
            </w:r>
            <w:r>
              <w:rPr>
                <w:rFonts w:hint="default" w:ascii="Times New Roman" w:hAnsi="Times New Roman" w:cs="Times New Roman"/>
                <w:color w:val="000000"/>
                <w:sz w:val="21"/>
                <w:szCs w:val="21"/>
              </w:rPr>
              <w:t>-2021</w:t>
            </w:r>
          </w:p>
        </w:tc>
      </w:tr>
      <w:tr w14:paraId="56AB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center"/>
          </w:tcPr>
          <w:p w14:paraId="3C138E04">
            <w:pPr>
              <w:adjustRightInd w:val="0"/>
              <w:snapToGrid w:val="0"/>
              <w:jc w:val="center"/>
              <w:rPr>
                <w:szCs w:val="21"/>
              </w:rPr>
            </w:pPr>
            <w:r>
              <w:rPr>
                <w:rFonts w:hint="eastAsia"/>
                <w:szCs w:val="21"/>
                <w:highlight w:val="none"/>
              </w:rPr>
              <w:t>注：依据卫健委“卫监督发〔2005〕515号”《健康相关产品国家卫生监督抽检规定》第十九条“产品微生物指标超标的不予复检”的规定，微生物学指标项目（第</w:t>
            </w:r>
            <w:r>
              <w:rPr>
                <w:rFonts w:hint="eastAsia"/>
                <w:szCs w:val="21"/>
                <w:highlight w:val="none"/>
                <w:lang w:val="en-US" w:eastAsia="zh-CN"/>
              </w:rPr>
              <w:t>1、2、3</w:t>
            </w:r>
            <w:r>
              <w:rPr>
                <w:rFonts w:hint="eastAsia"/>
                <w:szCs w:val="21"/>
                <w:highlight w:val="none"/>
              </w:rPr>
              <w:t>、</w:t>
            </w:r>
            <w:r>
              <w:rPr>
                <w:rFonts w:hint="eastAsia"/>
                <w:szCs w:val="21"/>
                <w:highlight w:val="none"/>
                <w:lang w:val="en-US" w:eastAsia="zh-CN"/>
              </w:rPr>
              <w:t>4</w:t>
            </w:r>
            <w:r>
              <w:rPr>
                <w:rFonts w:hint="eastAsia"/>
                <w:szCs w:val="21"/>
                <w:highlight w:val="none"/>
              </w:rPr>
              <w:t>项）不予复检。</w:t>
            </w:r>
          </w:p>
        </w:tc>
      </w:tr>
    </w:tbl>
    <w:p w14:paraId="245209E0">
      <w:pPr>
        <w:snapToGrid w:val="0"/>
        <w:spacing w:line="440" w:lineRule="exact"/>
        <w:ind w:firstLine="420" w:firstLineChars="200"/>
        <w:rPr>
          <w:szCs w:val="21"/>
        </w:rPr>
      </w:pPr>
    </w:p>
    <w:p w14:paraId="1C961DD3">
      <w:pPr>
        <w:snapToGrid w:val="0"/>
        <w:spacing w:line="440" w:lineRule="exact"/>
        <w:jc w:val="center"/>
        <w:rPr>
          <w:rFonts w:hint="eastAsia"/>
          <w:szCs w:val="21"/>
        </w:rPr>
      </w:pPr>
      <w:r>
        <w:rPr>
          <w:rFonts w:hint="eastAsia"/>
          <w:szCs w:val="21"/>
        </w:rPr>
        <w:t>表</w:t>
      </w:r>
      <w:r>
        <w:rPr>
          <w:rFonts w:hint="eastAsia"/>
          <w:szCs w:val="21"/>
          <w:lang w:val="en-US" w:eastAsia="zh-CN"/>
        </w:rPr>
        <w:t>4</w:t>
      </w:r>
      <w:r>
        <w:rPr>
          <w:rFonts w:hint="eastAsia"/>
          <w:szCs w:val="21"/>
        </w:rPr>
        <w:t xml:space="preserve"> </w:t>
      </w:r>
      <w:r>
        <w:rPr>
          <w:rFonts w:hint="eastAsia"/>
          <w:szCs w:val="21"/>
          <w:lang w:val="en-US" w:eastAsia="zh-CN"/>
        </w:rPr>
        <w:t>成人</w:t>
      </w:r>
      <w:r>
        <w:rPr>
          <w:rFonts w:hint="eastAsia"/>
          <w:szCs w:val="21"/>
        </w:rPr>
        <w:t>纸尿裤（GB 15979-2024、GB/T 28004.</w:t>
      </w:r>
      <w:r>
        <w:rPr>
          <w:rFonts w:hint="eastAsia"/>
          <w:szCs w:val="21"/>
          <w:lang w:val="en-US" w:eastAsia="zh-CN"/>
        </w:rPr>
        <w:t>2</w:t>
      </w:r>
      <w:r>
        <w:rPr>
          <w:rFonts w:hint="eastAsia"/>
          <w:szCs w:val="21"/>
        </w:rPr>
        <w:t>-2021）</w:t>
      </w:r>
    </w:p>
    <w:tbl>
      <w:tblPr>
        <w:tblStyle w:val="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919"/>
        <w:gridCol w:w="2979"/>
        <w:gridCol w:w="4099"/>
      </w:tblGrid>
      <w:tr w14:paraId="4C3B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638" w:type="pct"/>
            <w:noWrap w:val="0"/>
            <w:vAlign w:val="center"/>
          </w:tcPr>
          <w:p w14:paraId="00A11876">
            <w:pPr>
              <w:jc w:val="center"/>
              <w:rPr>
                <w:szCs w:val="21"/>
              </w:rPr>
            </w:pPr>
            <w:r>
              <w:rPr>
                <w:szCs w:val="21"/>
              </w:rPr>
              <w:t>序号</w:t>
            </w:r>
          </w:p>
        </w:tc>
        <w:tc>
          <w:tcPr>
            <w:tcW w:w="2126" w:type="pct"/>
            <w:gridSpan w:val="2"/>
            <w:noWrap w:val="0"/>
            <w:vAlign w:val="center"/>
          </w:tcPr>
          <w:p w14:paraId="3B844607">
            <w:pPr>
              <w:jc w:val="center"/>
              <w:rPr>
                <w:szCs w:val="21"/>
              </w:rPr>
            </w:pPr>
            <w:r>
              <w:rPr>
                <w:szCs w:val="21"/>
              </w:rPr>
              <w:t>检验项目</w:t>
            </w:r>
          </w:p>
        </w:tc>
        <w:tc>
          <w:tcPr>
            <w:tcW w:w="2235" w:type="pct"/>
            <w:noWrap w:val="0"/>
            <w:vAlign w:val="center"/>
          </w:tcPr>
          <w:p w14:paraId="21F7BFB0">
            <w:pPr>
              <w:jc w:val="center"/>
              <w:rPr>
                <w:szCs w:val="21"/>
              </w:rPr>
            </w:pPr>
            <w:r>
              <w:rPr>
                <w:szCs w:val="21"/>
              </w:rPr>
              <w:t>检验方法</w:t>
            </w:r>
          </w:p>
        </w:tc>
      </w:tr>
      <w:tr w14:paraId="42A77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pct"/>
            <w:noWrap w:val="0"/>
            <w:vAlign w:val="center"/>
          </w:tcPr>
          <w:p w14:paraId="582559DB">
            <w:pPr>
              <w:jc w:val="center"/>
              <w:rPr>
                <w:szCs w:val="21"/>
              </w:rPr>
            </w:pPr>
            <w:r>
              <w:rPr>
                <w:rFonts w:hint="eastAsia"/>
                <w:szCs w:val="21"/>
              </w:rPr>
              <w:t>1</w:t>
            </w:r>
          </w:p>
        </w:tc>
        <w:tc>
          <w:tcPr>
            <w:tcW w:w="501" w:type="pct"/>
            <w:vMerge w:val="restart"/>
            <w:noWrap w:val="0"/>
            <w:vAlign w:val="center"/>
          </w:tcPr>
          <w:p w14:paraId="21961E91">
            <w:pPr>
              <w:spacing w:line="240" w:lineRule="atLeast"/>
              <w:jc w:val="center"/>
              <w:rPr>
                <w:szCs w:val="21"/>
              </w:rPr>
            </w:pPr>
            <w:r>
              <w:rPr>
                <w:rFonts w:hint="eastAsia"/>
                <w:szCs w:val="21"/>
              </w:rPr>
              <w:t>微生物学指标</w:t>
            </w:r>
          </w:p>
        </w:tc>
        <w:tc>
          <w:tcPr>
            <w:tcW w:w="1624" w:type="pct"/>
            <w:noWrap w:val="0"/>
            <w:vAlign w:val="center"/>
          </w:tcPr>
          <w:p w14:paraId="058AD8BA">
            <w:pPr>
              <w:spacing w:line="400" w:lineRule="exact"/>
              <w:jc w:val="center"/>
              <w:rPr>
                <w:szCs w:val="21"/>
              </w:rPr>
            </w:pPr>
            <w:r>
              <w:rPr>
                <w:szCs w:val="21"/>
              </w:rPr>
              <w:t>细菌菌落总数</w:t>
            </w:r>
          </w:p>
        </w:tc>
        <w:tc>
          <w:tcPr>
            <w:tcW w:w="2235" w:type="pct"/>
            <w:noWrap w:val="0"/>
            <w:vAlign w:val="center"/>
          </w:tcPr>
          <w:p w14:paraId="113CABB3">
            <w:pPr>
              <w:adjustRightInd w:val="0"/>
              <w:snapToGrid w:val="0"/>
              <w:jc w:val="center"/>
              <w:rPr>
                <w:rFonts w:hint="eastAsia"/>
                <w:szCs w:val="21"/>
              </w:rPr>
            </w:pPr>
            <w:r>
              <w:rPr>
                <w:szCs w:val="21"/>
              </w:rPr>
              <w:t>GB 15979-2024</w:t>
            </w:r>
          </w:p>
        </w:tc>
      </w:tr>
      <w:tr w14:paraId="67B1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pct"/>
            <w:noWrap w:val="0"/>
            <w:vAlign w:val="center"/>
          </w:tcPr>
          <w:p w14:paraId="3627ABF5">
            <w:pPr>
              <w:jc w:val="center"/>
              <w:rPr>
                <w:szCs w:val="21"/>
              </w:rPr>
            </w:pPr>
            <w:r>
              <w:rPr>
                <w:rFonts w:hint="eastAsia"/>
                <w:szCs w:val="21"/>
              </w:rPr>
              <w:t>2</w:t>
            </w:r>
          </w:p>
        </w:tc>
        <w:tc>
          <w:tcPr>
            <w:tcW w:w="501" w:type="pct"/>
            <w:vMerge w:val="continue"/>
            <w:noWrap w:val="0"/>
            <w:vAlign w:val="center"/>
          </w:tcPr>
          <w:p w14:paraId="03490376">
            <w:pPr>
              <w:jc w:val="center"/>
              <w:rPr>
                <w:szCs w:val="21"/>
              </w:rPr>
            </w:pPr>
          </w:p>
        </w:tc>
        <w:tc>
          <w:tcPr>
            <w:tcW w:w="1624" w:type="pct"/>
            <w:noWrap w:val="0"/>
            <w:vAlign w:val="center"/>
          </w:tcPr>
          <w:p w14:paraId="07B22E08">
            <w:pPr>
              <w:spacing w:line="240" w:lineRule="atLeast"/>
              <w:jc w:val="center"/>
              <w:rPr>
                <w:szCs w:val="21"/>
              </w:rPr>
            </w:pPr>
            <w:r>
              <w:rPr>
                <w:rFonts w:hint="eastAsia"/>
                <w:szCs w:val="21"/>
              </w:rPr>
              <w:t>特定微生物（</w:t>
            </w:r>
            <w:r>
              <w:rPr>
                <w:rFonts w:hint="eastAsia" w:ascii="宋体" w:hAnsi="宋体"/>
                <w:kern w:val="0"/>
                <w:szCs w:val="21"/>
              </w:rPr>
              <w:t>大肠菌群、</w:t>
            </w:r>
            <w:r>
              <w:rPr>
                <w:rFonts w:hint="eastAsia"/>
                <w:szCs w:val="21"/>
              </w:rPr>
              <w:t>铜绿假单胞菌、金黄色葡萄球菌、溶血性链球菌）</w:t>
            </w:r>
          </w:p>
        </w:tc>
        <w:tc>
          <w:tcPr>
            <w:tcW w:w="2235" w:type="pct"/>
            <w:noWrap w:val="0"/>
            <w:vAlign w:val="center"/>
          </w:tcPr>
          <w:p w14:paraId="39A64908">
            <w:pPr>
              <w:adjustRightInd w:val="0"/>
              <w:snapToGrid w:val="0"/>
              <w:jc w:val="center"/>
              <w:rPr>
                <w:rFonts w:hint="eastAsia"/>
                <w:szCs w:val="21"/>
              </w:rPr>
            </w:pPr>
            <w:r>
              <w:rPr>
                <w:szCs w:val="21"/>
              </w:rPr>
              <w:t>GB 15979-2024</w:t>
            </w:r>
          </w:p>
        </w:tc>
      </w:tr>
      <w:tr w14:paraId="23C7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pct"/>
            <w:noWrap w:val="0"/>
            <w:vAlign w:val="center"/>
          </w:tcPr>
          <w:p w14:paraId="30319F43">
            <w:pPr>
              <w:jc w:val="center"/>
              <w:rPr>
                <w:rFonts w:hint="eastAsia"/>
                <w:szCs w:val="21"/>
              </w:rPr>
            </w:pPr>
            <w:r>
              <w:rPr>
                <w:rFonts w:hint="eastAsia"/>
                <w:szCs w:val="21"/>
              </w:rPr>
              <w:t>3</w:t>
            </w:r>
          </w:p>
        </w:tc>
        <w:tc>
          <w:tcPr>
            <w:tcW w:w="501" w:type="pct"/>
            <w:vMerge w:val="continue"/>
            <w:noWrap w:val="0"/>
            <w:vAlign w:val="center"/>
          </w:tcPr>
          <w:p w14:paraId="233EAB16">
            <w:pPr>
              <w:jc w:val="center"/>
              <w:rPr>
                <w:szCs w:val="21"/>
              </w:rPr>
            </w:pPr>
          </w:p>
        </w:tc>
        <w:tc>
          <w:tcPr>
            <w:tcW w:w="1624" w:type="pct"/>
            <w:noWrap w:val="0"/>
            <w:vAlign w:val="center"/>
          </w:tcPr>
          <w:p w14:paraId="1A567C08">
            <w:pPr>
              <w:jc w:val="center"/>
              <w:rPr>
                <w:szCs w:val="21"/>
              </w:rPr>
            </w:pPr>
            <w:r>
              <w:rPr>
                <w:szCs w:val="21"/>
              </w:rPr>
              <w:t>真菌菌落总数</w:t>
            </w:r>
          </w:p>
        </w:tc>
        <w:tc>
          <w:tcPr>
            <w:tcW w:w="2235" w:type="pct"/>
            <w:noWrap w:val="0"/>
            <w:vAlign w:val="center"/>
          </w:tcPr>
          <w:p w14:paraId="55CC3EDB">
            <w:pPr>
              <w:adjustRightInd w:val="0"/>
              <w:snapToGrid w:val="0"/>
              <w:jc w:val="center"/>
              <w:rPr>
                <w:rFonts w:hint="eastAsia"/>
                <w:szCs w:val="21"/>
              </w:rPr>
            </w:pPr>
            <w:r>
              <w:rPr>
                <w:szCs w:val="21"/>
              </w:rPr>
              <w:t>GB 15979-2024</w:t>
            </w:r>
          </w:p>
        </w:tc>
      </w:tr>
      <w:tr w14:paraId="2B1D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638" w:type="pct"/>
            <w:vMerge w:val="restart"/>
            <w:noWrap w:val="0"/>
            <w:vAlign w:val="center"/>
          </w:tcPr>
          <w:p w14:paraId="0DD56A02">
            <w:pPr>
              <w:jc w:val="center"/>
              <w:rPr>
                <w:rFonts w:hint="eastAsia" w:eastAsia="宋体"/>
                <w:szCs w:val="21"/>
                <w:lang w:val="en-US" w:eastAsia="zh-CN"/>
              </w:rPr>
            </w:pPr>
            <w:r>
              <w:rPr>
                <w:rFonts w:hint="eastAsia"/>
                <w:szCs w:val="21"/>
                <w:lang w:val="en-US" w:eastAsia="zh-CN"/>
              </w:rPr>
              <w:t>4</w:t>
            </w:r>
          </w:p>
        </w:tc>
        <w:tc>
          <w:tcPr>
            <w:tcW w:w="501" w:type="pct"/>
            <w:vMerge w:val="restart"/>
            <w:noWrap w:val="0"/>
            <w:vAlign w:val="center"/>
          </w:tcPr>
          <w:p w14:paraId="6C6D3F80">
            <w:pPr>
              <w:spacing w:line="400" w:lineRule="exact"/>
              <w:jc w:val="center"/>
              <w:rPr>
                <w:szCs w:val="21"/>
              </w:rPr>
            </w:pPr>
            <w:r>
              <w:rPr>
                <w:szCs w:val="21"/>
              </w:rPr>
              <w:t>渗透性能</w:t>
            </w:r>
          </w:p>
        </w:tc>
        <w:tc>
          <w:tcPr>
            <w:tcW w:w="1624" w:type="pct"/>
            <w:noWrap w:val="0"/>
            <w:vAlign w:val="center"/>
          </w:tcPr>
          <w:p w14:paraId="54BC920B">
            <w:pPr>
              <w:spacing w:line="400" w:lineRule="exact"/>
              <w:jc w:val="center"/>
              <w:rPr>
                <w:szCs w:val="21"/>
              </w:rPr>
            </w:pPr>
            <w:r>
              <w:rPr>
                <w:szCs w:val="21"/>
              </w:rPr>
              <w:t>吸收速度</w:t>
            </w:r>
          </w:p>
        </w:tc>
        <w:tc>
          <w:tcPr>
            <w:tcW w:w="2235" w:type="pct"/>
            <w:noWrap w:val="0"/>
            <w:vAlign w:val="center"/>
          </w:tcPr>
          <w:p w14:paraId="1205A74C">
            <w:pPr>
              <w:adjustRightInd w:val="0"/>
              <w:snapToGrid w:val="0"/>
              <w:jc w:val="center"/>
              <w:rPr>
                <w:szCs w:val="21"/>
              </w:rPr>
            </w:pPr>
            <w:r>
              <w:rPr>
                <w:rFonts w:hint="default" w:ascii="Times New Roman" w:hAnsi="Times New Roman" w:cs="Times New Roman"/>
                <w:color w:val="000000"/>
                <w:sz w:val="21"/>
                <w:szCs w:val="21"/>
              </w:rPr>
              <w:t>GB/T 28004.</w:t>
            </w:r>
            <w:r>
              <w:rPr>
                <w:rFonts w:hint="eastAsia" w:ascii="Times New Roman" w:hAnsi="Times New Roman" w:cs="Times New Roman"/>
                <w:color w:val="000000"/>
                <w:sz w:val="21"/>
                <w:szCs w:val="21"/>
                <w:lang w:val="en-US" w:eastAsia="zh-CN"/>
              </w:rPr>
              <w:t>2</w:t>
            </w:r>
            <w:r>
              <w:rPr>
                <w:rFonts w:hint="default" w:ascii="Times New Roman" w:hAnsi="Times New Roman" w:cs="Times New Roman"/>
                <w:color w:val="000000"/>
                <w:sz w:val="21"/>
                <w:szCs w:val="21"/>
              </w:rPr>
              <w:t>-2021</w:t>
            </w:r>
          </w:p>
        </w:tc>
      </w:tr>
      <w:tr w14:paraId="4F16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638" w:type="pct"/>
            <w:vMerge w:val="continue"/>
            <w:noWrap w:val="0"/>
            <w:vAlign w:val="center"/>
          </w:tcPr>
          <w:p w14:paraId="4A28246E">
            <w:pPr>
              <w:jc w:val="center"/>
              <w:rPr>
                <w:szCs w:val="21"/>
              </w:rPr>
            </w:pPr>
          </w:p>
        </w:tc>
        <w:tc>
          <w:tcPr>
            <w:tcW w:w="501" w:type="pct"/>
            <w:vMerge w:val="continue"/>
            <w:noWrap w:val="0"/>
            <w:vAlign w:val="center"/>
          </w:tcPr>
          <w:p w14:paraId="0788F6EA">
            <w:pPr>
              <w:spacing w:line="400" w:lineRule="exact"/>
              <w:jc w:val="center"/>
              <w:rPr>
                <w:szCs w:val="21"/>
              </w:rPr>
            </w:pPr>
          </w:p>
        </w:tc>
        <w:tc>
          <w:tcPr>
            <w:tcW w:w="1624" w:type="pct"/>
            <w:noWrap w:val="0"/>
            <w:vAlign w:val="center"/>
          </w:tcPr>
          <w:p w14:paraId="058182C8">
            <w:pPr>
              <w:spacing w:line="400" w:lineRule="exact"/>
              <w:jc w:val="center"/>
              <w:rPr>
                <w:szCs w:val="21"/>
              </w:rPr>
            </w:pPr>
            <w:r>
              <w:rPr>
                <w:szCs w:val="21"/>
              </w:rPr>
              <w:t>回渗量</w:t>
            </w:r>
          </w:p>
        </w:tc>
        <w:tc>
          <w:tcPr>
            <w:tcW w:w="2235" w:type="pct"/>
            <w:noWrap w:val="0"/>
            <w:vAlign w:val="center"/>
          </w:tcPr>
          <w:p w14:paraId="7FDA365E">
            <w:pPr>
              <w:adjustRightInd w:val="0"/>
              <w:snapToGrid w:val="0"/>
              <w:jc w:val="center"/>
              <w:rPr>
                <w:szCs w:val="21"/>
              </w:rPr>
            </w:pPr>
            <w:r>
              <w:rPr>
                <w:rFonts w:hint="default" w:ascii="Times New Roman" w:hAnsi="Times New Roman" w:cs="Times New Roman"/>
                <w:color w:val="000000"/>
                <w:sz w:val="21"/>
                <w:szCs w:val="21"/>
              </w:rPr>
              <w:t>GB/T 28004.</w:t>
            </w:r>
            <w:r>
              <w:rPr>
                <w:rFonts w:hint="eastAsia" w:ascii="Times New Roman" w:hAnsi="Times New Roman" w:cs="Times New Roman"/>
                <w:color w:val="000000"/>
                <w:sz w:val="21"/>
                <w:szCs w:val="21"/>
                <w:lang w:val="en-US" w:eastAsia="zh-CN"/>
              </w:rPr>
              <w:t>2</w:t>
            </w:r>
            <w:r>
              <w:rPr>
                <w:rFonts w:hint="default" w:ascii="Times New Roman" w:hAnsi="Times New Roman" w:cs="Times New Roman"/>
                <w:color w:val="000000"/>
                <w:sz w:val="21"/>
                <w:szCs w:val="21"/>
              </w:rPr>
              <w:t>-2021</w:t>
            </w:r>
          </w:p>
        </w:tc>
      </w:tr>
      <w:tr w14:paraId="66A8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638" w:type="pct"/>
            <w:vMerge w:val="continue"/>
            <w:noWrap w:val="0"/>
            <w:vAlign w:val="center"/>
          </w:tcPr>
          <w:p w14:paraId="329335F6">
            <w:pPr>
              <w:jc w:val="center"/>
              <w:rPr>
                <w:szCs w:val="21"/>
              </w:rPr>
            </w:pPr>
          </w:p>
        </w:tc>
        <w:tc>
          <w:tcPr>
            <w:tcW w:w="501" w:type="pct"/>
            <w:vMerge w:val="continue"/>
            <w:noWrap w:val="0"/>
            <w:vAlign w:val="center"/>
          </w:tcPr>
          <w:p w14:paraId="0B4C0A9F">
            <w:pPr>
              <w:spacing w:line="400" w:lineRule="exact"/>
              <w:jc w:val="center"/>
              <w:rPr>
                <w:szCs w:val="21"/>
              </w:rPr>
            </w:pPr>
          </w:p>
        </w:tc>
        <w:tc>
          <w:tcPr>
            <w:tcW w:w="1624" w:type="pct"/>
            <w:noWrap w:val="0"/>
            <w:vAlign w:val="center"/>
          </w:tcPr>
          <w:p w14:paraId="3BA4E9F5">
            <w:pPr>
              <w:spacing w:line="400" w:lineRule="exact"/>
              <w:jc w:val="center"/>
              <w:rPr>
                <w:szCs w:val="21"/>
              </w:rPr>
            </w:pPr>
            <w:r>
              <w:rPr>
                <w:szCs w:val="21"/>
              </w:rPr>
              <w:t>渗漏量</w:t>
            </w:r>
          </w:p>
        </w:tc>
        <w:tc>
          <w:tcPr>
            <w:tcW w:w="2235" w:type="pct"/>
            <w:noWrap w:val="0"/>
            <w:vAlign w:val="center"/>
          </w:tcPr>
          <w:p w14:paraId="59B9AC70">
            <w:pPr>
              <w:adjustRightInd w:val="0"/>
              <w:snapToGrid w:val="0"/>
              <w:jc w:val="center"/>
              <w:rPr>
                <w:szCs w:val="21"/>
              </w:rPr>
            </w:pPr>
            <w:r>
              <w:rPr>
                <w:rFonts w:hint="default" w:ascii="Times New Roman" w:hAnsi="Times New Roman" w:cs="Times New Roman"/>
                <w:color w:val="000000"/>
                <w:sz w:val="21"/>
                <w:szCs w:val="21"/>
              </w:rPr>
              <w:t>GB/T 28004.</w:t>
            </w:r>
            <w:r>
              <w:rPr>
                <w:rFonts w:hint="eastAsia" w:ascii="Times New Roman" w:hAnsi="Times New Roman" w:cs="Times New Roman"/>
                <w:color w:val="000000"/>
                <w:sz w:val="21"/>
                <w:szCs w:val="21"/>
                <w:lang w:val="en-US" w:eastAsia="zh-CN"/>
              </w:rPr>
              <w:t>2</w:t>
            </w:r>
            <w:r>
              <w:rPr>
                <w:rFonts w:hint="default" w:ascii="Times New Roman" w:hAnsi="Times New Roman" w:cs="Times New Roman"/>
                <w:color w:val="000000"/>
                <w:sz w:val="21"/>
                <w:szCs w:val="21"/>
              </w:rPr>
              <w:t>-2021</w:t>
            </w:r>
          </w:p>
        </w:tc>
      </w:tr>
      <w:tr w14:paraId="5FF9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pct"/>
            <w:noWrap w:val="0"/>
            <w:vAlign w:val="center"/>
          </w:tcPr>
          <w:p w14:paraId="36D88EBD">
            <w:pPr>
              <w:jc w:val="center"/>
              <w:rPr>
                <w:rFonts w:hint="eastAsia" w:eastAsia="宋体"/>
                <w:szCs w:val="21"/>
                <w:lang w:val="en-US" w:eastAsia="zh-CN"/>
              </w:rPr>
            </w:pPr>
            <w:r>
              <w:rPr>
                <w:rFonts w:hint="eastAsia"/>
                <w:szCs w:val="21"/>
                <w:lang w:val="en-US" w:eastAsia="zh-CN"/>
              </w:rPr>
              <w:t>5</w:t>
            </w:r>
          </w:p>
        </w:tc>
        <w:tc>
          <w:tcPr>
            <w:tcW w:w="2126" w:type="pct"/>
            <w:gridSpan w:val="2"/>
            <w:noWrap w:val="0"/>
            <w:vAlign w:val="center"/>
          </w:tcPr>
          <w:p w14:paraId="02495B5A">
            <w:pPr>
              <w:spacing w:line="400" w:lineRule="exact"/>
              <w:jc w:val="center"/>
              <w:rPr>
                <w:szCs w:val="21"/>
              </w:rPr>
            </w:pPr>
            <w:r>
              <w:rPr>
                <w:szCs w:val="21"/>
              </w:rPr>
              <w:t>pH值</w:t>
            </w:r>
          </w:p>
        </w:tc>
        <w:tc>
          <w:tcPr>
            <w:tcW w:w="2235" w:type="pct"/>
            <w:noWrap w:val="0"/>
            <w:vAlign w:val="center"/>
          </w:tcPr>
          <w:p w14:paraId="5F1C02FC">
            <w:pPr>
              <w:adjustRightInd w:val="0"/>
              <w:snapToGrid w:val="0"/>
              <w:jc w:val="center"/>
              <w:rPr>
                <w:szCs w:val="21"/>
              </w:rPr>
            </w:pPr>
            <w:r>
              <w:rPr>
                <w:szCs w:val="21"/>
              </w:rPr>
              <w:t>GB/T 28004.1-2021</w:t>
            </w:r>
          </w:p>
        </w:tc>
      </w:tr>
      <w:tr w14:paraId="63F7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center"/>
          </w:tcPr>
          <w:p w14:paraId="6D4C329B">
            <w:pPr>
              <w:adjustRightInd w:val="0"/>
              <w:snapToGrid w:val="0"/>
              <w:jc w:val="center"/>
              <w:rPr>
                <w:szCs w:val="21"/>
              </w:rPr>
            </w:pPr>
            <w:r>
              <w:rPr>
                <w:rFonts w:hint="eastAsia"/>
                <w:szCs w:val="21"/>
                <w:highlight w:val="none"/>
              </w:rPr>
              <w:t>注：依据卫健委“卫监督发〔2005〕515号”《健康相关产品国家卫生监督抽检规定》第十九条“产品微生物指标超标的不予复检”的规定，微生物学指标项目（第</w:t>
            </w:r>
            <w:r>
              <w:rPr>
                <w:rFonts w:hint="eastAsia"/>
                <w:szCs w:val="21"/>
                <w:highlight w:val="none"/>
                <w:lang w:val="en-US" w:eastAsia="zh-CN"/>
              </w:rPr>
              <w:t>1、2、3</w:t>
            </w:r>
            <w:r>
              <w:rPr>
                <w:rFonts w:hint="eastAsia"/>
                <w:szCs w:val="21"/>
                <w:highlight w:val="none"/>
              </w:rPr>
              <w:t>项）不予复检。</w:t>
            </w:r>
          </w:p>
        </w:tc>
      </w:tr>
    </w:tbl>
    <w:p w14:paraId="4D58887A">
      <w:pPr>
        <w:adjustRightInd w:val="0"/>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03D874AA">
      <w:pPr>
        <w:snapToGrid w:val="0"/>
        <w:spacing w:line="440" w:lineRule="exact"/>
        <w:ind w:firstLine="420" w:firstLineChars="200"/>
        <w:rPr>
          <w:color w:val="auto"/>
          <w:szCs w:val="21"/>
        </w:rPr>
      </w:pPr>
      <w:r>
        <w:rPr>
          <w:rFonts w:hint="eastAsia"/>
          <w:color w:val="auto"/>
          <w:szCs w:val="21"/>
        </w:rPr>
        <w:t>凡是注日期的文件，其随后所有的修改单（不包括勘误的内容）或修订版不适用于本细则。凡是不注日期的文件，其最新版本适用于本细则。</w:t>
      </w:r>
    </w:p>
    <w:p w14:paraId="09B4AC06">
      <w:pPr>
        <w:pStyle w:val="2"/>
      </w:pPr>
    </w:p>
    <w:p w14:paraId="789D9ACC">
      <w:pPr>
        <w:spacing w:beforeLines="50" w:line="360" w:lineRule="auto"/>
        <w:rPr>
          <w:rFonts w:eastAsia="黑体"/>
          <w:color w:val="auto"/>
          <w:szCs w:val="21"/>
        </w:rPr>
      </w:pPr>
      <w:r>
        <w:rPr>
          <w:rFonts w:eastAsia="黑体"/>
          <w:color w:val="auto"/>
          <w:szCs w:val="21"/>
        </w:rPr>
        <w:t>3 判定规则</w:t>
      </w:r>
    </w:p>
    <w:p w14:paraId="187EA471">
      <w:pPr>
        <w:snapToGrid w:val="0"/>
        <w:spacing w:line="440" w:lineRule="exact"/>
        <w:rPr>
          <w:rFonts w:hint="eastAsia" w:eastAsia="宋体"/>
          <w:color w:val="auto"/>
          <w:szCs w:val="21"/>
          <w:lang w:val="en-US" w:eastAsia="zh-CN"/>
        </w:rPr>
      </w:pPr>
      <w:r>
        <w:rPr>
          <w:color w:val="auto"/>
          <w:szCs w:val="21"/>
        </w:rPr>
        <w:t>3.1依据标准</w:t>
      </w:r>
    </w:p>
    <w:p w14:paraId="7DEEB7A6">
      <w:pPr>
        <w:snapToGrid w:val="0"/>
        <w:spacing w:line="440" w:lineRule="exact"/>
        <w:ind w:firstLine="420" w:firstLineChars="200"/>
        <w:rPr>
          <w:rFonts w:hint="eastAsia"/>
          <w:szCs w:val="21"/>
        </w:rPr>
      </w:pPr>
      <w:r>
        <w:rPr>
          <w:szCs w:val="21"/>
        </w:rPr>
        <w:t>GB 15979-2002 一次性使用</w:t>
      </w:r>
      <w:r>
        <w:rPr>
          <w:rFonts w:hint="eastAsia"/>
          <w:szCs w:val="21"/>
        </w:rPr>
        <w:t>卫生用品卫生标准</w:t>
      </w:r>
    </w:p>
    <w:p w14:paraId="30B4418D">
      <w:pPr>
        <w:snapToGrid w:val="0"/>
        <w:spacing w:line="440" w:lineRule="exact"/>
        <w:ind w:firstLine="420" w:firstLineChars="200"/>
        <w:rPr>
          <w:rFonts w:hint="eastAsia"/>
          <w:szCs w:val="21"/>
        </w:rPr>
      </w:pPr>
      <w:r>
        <w:rPr>
          <w:szCs w:val="21"/>
        </w:rPr>
        <w:t>GB 15979-20</w:t>
      </w:r>
      <w:r>
        <w:rPr>
          <w:rFonts w:hint="eastAsia"/>
          <w:szCs w:val="21"/>
        </w:rPr>
        <w:t>24</w:t>
      </w:r>
      <w:r>
        <w:rPr>
          <w:szCs w:val="21"/>
        </w:rPr>
        <w:t xml:space="preserve"> 一次性使用</w:t>
      </w:r>
      <w:r>
        <w:rPr>
          <w:rFonts w:hint="eastAsia"/>
          <w:szCs w:val="21"/>
        </w:rPr>
        <w:t>卫生用品卫生要求</w:t>
      </w:r>
    </w:p>
    <w:p w14:paraId="4FA2C5C2">
      <w:pPr>
        <w:snapToGrid w:val="0"/>
        <w:spacing w:line="440" w:lineRule="exact"/>
        <w:ind w:firstLine="420" w:firstLineChars="200"/>
      </w:pPr>
      <w:r>
        <w:rPr>
          <w:rFonts w:hint="default" w:ascii="Times New Roman" w:hAnsi="Times New Roman" w:eastAsia="宋体" w:cs="Times New Roman"/>
        </w:rPr>
        <w:t>GB/T 28004.</w:t>
      </w:r>
      <w:r>
        <w:rPr>
          <w:rFonts w:hint="eastAsia" w:ascii="Times New Roman" w:hAnsi="Times New Roman" w:eastAsia="宋体" w:cs="Times New Roman"/>
          <w:lang w:val="en-US" w:eastAsia="zh-CN"/>
        </w:rPr>
        <w:t>2</w:t>
      </w:r>
      <w:r>
        <w:rPr>
          <w:rFonts w:hint="default" w:ascii="Times New Roman" w:hAnsi="Times New Roman" w:eastAsia="宋体" w:cs="Times New Roman"/>
        </w:rPr>
        <w:t>-2021 纸尿裤 第</w:t>
      </w:r>
      <w:r>
        <w:rPr>
          <w:rFonts w:hint="eastAsia" w:ascii="Times New Roman" w:hAnsi="Times New Roman" w:eastAsia="宋体" w:cs="Times New Roman"/>
          <w:lang w:val="en-US" w:eastAsia="zh-CN"/>
        </w:rPr>
        <w:t>2</w:t>
      </w:r>
      <w:r>
        <w:rPr>
          <w:rFonts w:hint="default" w:ascii="Times New Roman" w:hAnsi="Times New Roman" w:eastAsia="宋体" w:cs="Times New Roman"/>
        </w:rPr>
        <w:t>部分：</w:t>
      </w:r>
      <w:r>
        <w:rPr>
          <w:rFonts w:hint="eastAsia" w:ascii="Times New Roman" w:hAnsi="Times New Roman" w:eastAsia="宋体" w:cs="Times New Roman"/>
          <w:lang w:val="en-US" w:eastAsia="zh-CN"/>
        </w:rPr>
        <w:t>成人</w:t>
      </w:r>
      <w:r>
        <w:rPr>
          <w:rFonts w:hint="default" w:ascii="Times New Roman" w:hAnsi="Times New Roman" w:eastAsia="宋体" w:cs="Times New Roman"/>
        </w:rPr>
        <w:t>纸尿裤</w:t>
      </w:r>
    </w:p>
    <w:p w14:paraId="05177A7A">
      <w:pPr>
        <w:snapToGrid w:val="0"/>
        <w:spacing w:line="440" w:lineRule="exact"/>
        <w:ind w:firstLine="363" w:firstLineChars="173"/>
        <w:rPr>
          <w:rFonts w:ascii="Times New Roman" w:hAnsi="Times New Roman" w:cs="Times New Roman"/>
          <w:color w:val="000000"/>
          <w:szCs w:val="21"/>
        </w:rPr>
      </w:pPr>
      <w:r>
        <w:rPr>
          <w:rFonts w:ascii="Times New Roman" w:hAnsi="Times New Roman" w:cs="Times New Roman"/>
          <w:color w:val="000000"/>
          <w:szCs w:val="21"/>
        </w:rPr>
        <w:t>现行有效的企业标准、团体标准、地方标准及产品明示质量要求</w:t>
      </w:r>
    </w:p>
    <w:p w14:paraId="3BD03274">
      <w:pPr>
        <w:snapToGrid w:val="0"/>
        <w:spacing w:line="440" w:lineRule="exact"/>
        <w:rPr>
          <w:rFonts w:ascii="Times New Roman" w:hAnsi="Times New Roman" w:cs="Times New Roman"/>
          <w:color w:val="000000"/>
          <w:szCs w:val="21"/>
        </w:rPr>
      </w:pPr>
      <w:r>
        <w:rPr>
          <w:rFonts w:ascii="Times New Roman" w:hAnsi="Times New Roman" w:cs="Times New Roman"/>
          <w:color w:val="000000"/>
          <w:szCs w:val="21"/>
        </w:rPr>
        <w:t>3.2判定原则</w:t>
      </w:r>
    </w:p>
    <w:p w14:paraId="46BEBBFF">
      <w:pPr>
        <w:snapToGrid w:val="0"/>
        <w:spacing w:line="440" w:lineRule="exact"/>
        <w:ind w:firstLine="420" w:firstLineChars="200"/>
        <w:rPr>
          <w:rFonts w:ascii="Times New Roman" w:hAnsi="Times New Roman" w:cs="Times New Roman"/>
          <w:color w:val="000000"/>
          <w:szCs w:val="21"/>
        </w:rPr>
      </w:pPr>
      <w:r>
        <w:rPr>
          <w:rFonts w:ascii="Times New Roman" w:hAnsi="Times New Roman" w:cs="Times New Roman"/>
          <w:color w:val="000000"/>
          <w:szCs w:val="21"/>
        </w:rPr>
        <w:t>经检验，检验项目全部合格，判定为被抽查产品所检项目未发现不合格；检验项目中任一项或一项以上不合格，判定为被抽查产品不合格。</w:t>
      </w:r>
    </w:p>
    <w:p w14:paraId="4C4FB2B9">
      <w:pPr>
        <w:snapToGrid w:val="0"/>
        <w:spacing w:line="440" w:lineRule="exact"/>
        <w:ind w:firstLine="417" w:firstLineChars="199"/>
        <w:rPr>
          <w:rFonts w:ascii="Times New Roman" w:hAnsi="Times New Roman" w:cs="Times New Roman"/>
          <w:color w:val="000000"/>
          <w:szCs w:val="21"/>
        </w:rPr>
      </w:pPr>
      <w:r>
        <w:rPr>
          <w:rFonts w:ascii="Times New Roman" w:hAnsi="Times New Roman" w:cs="Times New Roman"/>
          <w:color w:val="000000"/>
          <w:szCs w:val="21"/>
        </w:rPr>
        <w:t>若被检产品明示的质量要求高于本细则中检验项目依据的标准要求时，应按被检产品明示的质量要求判定。</w:t>
      </w:r>
    </w:p>
    <w:p w14:paraId="57FFFF74">
      <w:pPr>
        <w:snapToGrid w:val="0"/>
        <w:spacing w:line="440" w:lineRule="exact"/>
        <w:ind w:firstLine="417" w:firstLineChars="199"/>
        <w:rPr>
          <w:rFonts w:ascii="Times New Roman" w:hAnsi="Times New Roman" w:cs="Times New Roman"/>
          <w:color w:val="000000"/>
          <w:szCs w:val="21"/>
        </w:rPr>
      </w:pPr>
      <w:r>
        <w:rPr>
          <w:rFonts w:ascii="Times New Roman" w:hAnsi="Times New Roman" w:cs="Times New Roman"/>
          <w:color w:val="000000"/>
          <w:szCs w:val="21"/>
        </w:rPr>
        <w:t>若被检产品明示的质量要求低于本细则中检验项目依据的强制性标准要求时，应按照强制性标准要求判定。</w:t>
      </w:r>
    </w:p>
    <w:p w14:paraId="49E459A0">
      <w:pPr>
        <w:snapToGrid w:val="0"/>
        <w:spacing w:line="440" w:lineRule="exact"/>
        <w:ind w:firstLine="417" w:firstLineChars="199"/>
        <w:rPr>
          <w:rFonts w:ascii="Times New Roman" w:hAnsi="Times New Roman" w:cs="Times New Roman"/>
          <w:color w:val="000000"/>
          <w:szCs w:val="21"/>
        </w:rPr>
      </w:pPr>
      <w:r>
        <w:rPr>
          <w:rFonts w:ascii="Times New Roman" w:hAnsi="Times New Roman" w:cs="Times New Roman"/>
          <w:color w:val="000000"/>
          <w:szCs w:val="21"/>
        </w:rPr>
        <w:t>若被检产品明示的质量要求低于或包含本细则中检验项目依据的推荐性标准要求时，应以被检产品明示的质量要求判定。</w:t>
      </w:r>
    </w:p>
    <w:p w14:paraId="20989A94">
      <w:pPr>
        <w:snapToGrid w:val="0"/>
        <w:spacing w:line="440" w:lineRule="exact"/>
        <w:ind w:firstLine="417" w:firstLineChars="199"/>
        <w:rPr>
          <w:rFonts w:ascii="Times New Roman" w:hAnsi="Times New Roman" w:cs="Times New Roman"/>
          <w:color w:val="000000"/>
          <w:szCs w:val="21"/>
        </w:rPr>
      </w:pPr>
      <w:r>
        <w:rPr>
          <w:rFonts w:ascii="Times New Roman" w:hAnsi="Times New Roman" w:cs="Times New Roman"/>
          <w:color w:val="000000"/>
          <w:szCs w:val="21"/>
        </w:rPr>
        <w:t>若被检产品明示的质量要求缺少本细则中检验项目依据的强制性标准要求时，应按照强制性标准要求判定。</w:t>
      </w:r>
    </w:p>
    <w:p w14:paraId="2D53C604">
      <w:pPr>
        <w:snapToGrid w:val="0"/>
        <w:spacing w:line="440" w:lineRule="exact"/>
        <w:ind w:firstLine="417" w:firstLineChars="199"/>
        <w:rPr>
          <w:rFonts w:ascii="Times New Roman" w:hAnsi="Times New Roman" w:cs="Times New Roman"/>
          <w:color w:val="000000"/>
          <w:szCs w:val="21"/>
        </w:rPr>
      </w:pPr>
      <w:r>
        <w:rPr>
          <w:rFonts w:ascii="Times New Roman" w:hAnsi="Times New Roman" w:cs="Times New Roman"/>
          <w:color w:val="000000"/>
          <w:szCs w:val="21"/>
        </w:rPr>
        <w:t>若被检产品明示的质量要求缺少本细则中检验项目依据的推荐性标准要求时，该项目不参与判定。</w:t>
      </w:r>
    </w:p>
    <w:p w14:paraId="0CEC70CE">
      <w:pPr>
        <w:spacing w:line="440" w:lineRule="exact"/>
        <w:rPr>
          <w:rFonts w:ascii="Times New Roman" w:hAnsi="Times New Roman" w:cs="Times New Roman"/>
          <w:color w:val="FF0000"/>
          <w:szCs w:val="21"/>
        </w:rPr>
      </w:pPr>
    </w:p>
    <w:p w14:paraId="60F44DF8">
      <w:pPr>
        <w:widowControl/>
        <w:shd w:val="clear" w:color="auto" w:fill="FFFFFF"/>
        <w:spacing w:before="0" w:beforeAutospacing="0" w:after="0" w:afterAutospacing="0" w:line="420" w:lineRule="atLeast"/>
        <w:ind w:firstLine="420" w:firstLineChars="200"/>
        <w:jc w:val="both"/>
        <w:rPr>
          <w:rFonts w:ascii="Times New Roman" w:hAnsi="Times New Roman" w:eastAsia="宋体" w:cs="Times New Roman"/>
          <w:color w:val="000000"/>
          <w:kern w:val="2"/>
          <w:sz w:val="21"/>
          <w:szCs w:val="21"/>
          <w:lang w:val="en-US" w:eastAsia="zh-CN" w:bidi="ar-SA"/>
        </w:rPr>
      </w:pPr>
    </w:p>
    <w:p w14:paraId="620625AE">
      <w:pPr>
        <w:rPr>
          <w:rFonts w:hint="eastAsia"/>
        </w:rPr>
      </w:pPr>
      <w:bookmarkStart w:id="0" w:name="_GoBack"/>
      <w:bookmarkEnd w:id="0"/>
    </w:p>
    <w:sectPr>
      <w:headerReference r:id="rId3" w:type="default"/>
      <w:footerReference r:id="rId4" w:type="default"/>
      <w:footerReference r:id="rId5" w:type="even"/>
      <w:pgSz w:w="11906" w:h="16838"/>
      <w:pgMar w:top="1984" w:right="1474" w:bottom="164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2CED30-D0A6-4CF5-9C31-2B67E6C9EC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A295D6C7-4F7A-4047-8652-C6A73248A0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F5D64">
    <w:pPr>
      <w:pStyle w:val="5"/>
      <w:jc w:val="center"/>
    </w:pPr>
    <w:r>
      <w:rPr>
        <w:lang w:val="zh-CN"/>
      </w:rPr>
      <w:fldChar w:fldCharType="begin"/>
    </w:r>
    <w:r>
      <w:rPr>
        <w:lang w:val="zh-CN"/>
      </w:rPr>
      <w:instrText xml:space="preserve"> PAGE   \* MERGEFORMAT </w:instrText>
    </w:r>
    <w:r>
      <w:rPr>
        <w:lang w:val="zh-CN"/>
      </w:rPr>
      <w:fldChar w:fldCharType="separate"/>
    </w:r>
    <w:r>
      <w:t>2</w:t>
    </w:r>
    <w:r>
      <w:rPr>
        <w:lang w:val="zh-CN"/>
      </w:rPr>
      <w:fldChar w:fldCharType="end"/>
    </w:r>
  </w:p>
  <w:p w14:paraId="5B14F090">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04F1B">
    <w:pPr>
      <w:pStyle w:val="5"/>
      <w:framePr w:wrap="around" w:vAnchor="text" w:hAnchor="margin" w:xAlign="center" w:y="1"/>
      <w:rPr>
        <w:rStyle w:val="9"/>
      </w:rPr>
    </w:pPr>
    <w:r>
      <w:fldChar w:fldCharType="begin"/>
    </w:r>
    <w:r>
      <w:rPr>
        <w:rStyle w:val="9"/>
      </w:rPr>
      <w:instrText xml:space="preserve">PAGE  </w:instrText>
    </w:r>
    <w:r>
      <w:fldChar w:fldCharType="separate"/>
    </w:r>
    <w:r>
      <w:rPr>
        <w:rStyle w:val="9"/>
      </w:rPr>
      <w:t>2</w:t>
    </w:r>
    <w:r>
      <w:fldChar w:fldCharType="end"/>
    </w:r>
  </w:p>
  <w:p w14:paraId="27F1C94B">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97B11">
    <w:pPr>
      <w:pStyle w:val="6"/>
      <w:pBdr>
        <w:bottom w:val="none" w:color="auto" w:sz="0" w:space="0"/>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isplayHorizontalDrawingGridEvery w:val="1"/>
  <w:displayVerticalDrawingGridEvery w:val="1"/>
  <w:noPunctuationKerning w:val="1"/>
  <w:characterSpacingControl w:val="compressPunctuation"/>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2NWU1ZjA0OTUxNmI4MGE2YmNkNWNmMTIyOTYzNzMifQ=="/>
  </w:docVars>
  <w:rsids>
    <w:rsidRoot w:val="00000000"/>
    <w:rsid w:val="02175E3E"/>
    <w:rsid w:val="052A133F"/>
    <w:rsid w:val="05732808"/>
    <w:rsid w:val="05EE2D05"/>
    <w:rsid w:val="077774EF"/>
    <w:rsid w:val="0AD05879"/>
    <w:rsid w:val="0FE117FC"/>
    <w:rsid w:val="18702CCD"/>
    <w:rsid w:val="1C1954D7"/>
    <w:rsid w:val="230B75C6"/>
    <w:rsid w:val="44ED3220"/>
    <w:rsid w:val="453855CF"/>
    <w:rsid w:val="47626EC8"/>
    <w:rsid w:val="479C1EB2"/>
    <w:rsid w:val="575E66F8"/>
    <w:rsid w:val="62920DCA"/>
    <w:rsid w:val="642301C1"/>
    <w:rsid w:val="6469057F"/>
    <w:rsid w:val="71166A31"/>
    <w:rsid w:val="7BD320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ind w:firstLine="420" w:firstLineChars="200"/>
    </w:pPr>
  </w:style>
  <w:style w:type="paragraph" w:styleId="3">
    <w:name w:val="Body Text Indent"/>
    <w:basedOn w:val="1"/>
    <w:unhideWhenUsed/>
    <w:qFormat/>
    <w:uiPriority w:val="99"/>
    <w:pPr>
      <w:ind w:left="420" w:leftChars="200"/>
    </w:pPr>
  </w:style>
  <w:style w:type="paragraph" w:styleId="4">
    <w:name w:val="Plain Text"/>
    <w:basedOn w:val="1"/>
    <w:qFormat/>
    <w:uiPriority w:val="0"/>
    <w:rPr>
      <w:rFonts w:ascii="宋体" w:hAnsi="Courier New"/>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page number"/>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1034</Words>
  <Characters>1319</Characters>
  <TotalTime>0</TotalTime>
  <ScaleCrop>false</ScaleCrop>
  <LinksUpToDate>false</LinksUpToDate>
  <CharactersWithSpaces>1350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2024-04-19T06:37:00Z</dcterms:created>
  <dc:creator>EDZ</dc:creator>
  <cp:lastModifiedBy>。</cp:lastModifiedBy>
  <dcterms:modified xsi:type="dcterms:W3CDTF">2026-10-09T05:48:04Z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7243C39D95AF4F6BB5A9B74FF2641B37_13</vt:lpwstr>
  </property>
  <property fmtid="{D5CDD505-2E9C-101B-9397-08002B2CF9AE}" pid="4" name="KSOTemplateDocerSaveRecord">
    <vt:lpwstr>eyJoZGlkIjoiNjBmMGY0NDRhMDljNjM3ZmM0MTNlYjhjZjBkMmNlYjEiLCJ1c2VySWQiOiIyMTM2ODQxMzIifQ==</vt:lpwstr>
  </property>
</Properties>
</file>