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before="93"/>
        <w:jc w:val="center"/>
        <w:rPr>
          <w:rFonts w:hint="default" w:ascii="Times New Roman" w:hAnsi="Times New Roman" w:eastAsia="方正小标宋简体" w:cs="Times New Roman"/>
          <w:kern w:val="2"/>
          <w:sz w:val="44"/>
          <w:szCs w:val="44"/>
          <w:lang w:val="en-US" w:eastAsia="zh-CN"/>
        </w:rPr>
      </w:pPr>
    </w:p>
    <w:p>
      <w:pPr>
        <w:pStyle w:val="7"/>
        <w:spacing w:before="93"/>
        <w:jc w:val="center"/>
        <w:rPr>
          <w:rFonts w:hint="default" w:ascii="Times New Roman" w:hAnsi="Times New Roman" w:eastAsia="方正小标宋简体" w:cs="Times New Roman"/>
          <w:kern w:val="2"/>
          <w:sz w:val="44"/>
          <w:szCs w:val="44"/>
          <w:lang w:val="en-US" w:eastAsia="zh-CN"/>
        </w:rPr>
      </w:pPr>
    </w:p>
    <w:p>
      <w:pPr>
        <w:pStyle w:val="7"/>
        <w:spacing w:before="93"/>
        <w:jc w:val="center"/>
        <w:rPr>
          <w:rFonts w:hint="default" w:ascii="Times New Roman" w:hAnsi="Times New Roman" w:eastAsia="方正小标宋简体" w:cs="Times New Roman"/>
          <w:kern w:val="2"/>
          <w:sz w:val="44"/>
          <w:szCs w:val="44"/>
          <w:lang w:val="en-US" w:eastAsia="zh-CN"/>
        </w:rPr>
      </w:pPr>
    </w:p>
    <w:p>
      <w:pPr>
        <w:pStyle w:val="7"/>
        <w:spacing w:before="93"/>
        <w:jc w:val="center"/>
        <w:rPr>
          <w:rFonts w:hint="default" w:ascii="Times New Roman" w:hAnsi="Times New Roman" w:eastAsia="方正小标宋简体" w:cs="Times New Roman"/>
          <w:kern w:val="2"/>
          <w:sz w:val="44"/>
          <w:szCs w:val="44"/>
          <w:lang w:val="en-US" w:eastAsia="zh-CN"/>
        </w:rPr>
      </w:pPr>
    </w:p>
    <w:p>
      <w:pPr>
        <w:pStyle w:val="7"/>
        <w:spacing w:before="93"/>
        <w:jc w:val="center"/>
        <w:rPr>
          <w:rFonts w:hint="default" w:ascii="Times New Roman" w:hAnsi="Times New Roman" w:eastAsia="方正小标宋简体" w:cs="Times New Roman"/>
          <w:kern w:val="2"/>
          <w:sz w:val="44"/>
          <w:szCs w:val="44"/>
          <w:lang w:val="en-US" w:eastAsia="zh-CN"/>
        </w:rPr>
      </w:pPr>
    </w:p>
    <w:p>
      <w:pPr>
        <w:pStyle w:val="7"/>
        <w:spacing w:before="93"/>
        <w:jc w:val="center"/>
        <w:rPr>
          <w:rFonts w:hint="default" w:ascii="Times New Roman" w:hAnsi="Times New Roman" w:eastAsia="方正小标宋简体" w:cs="Times New Roman"/>
          <w:kern w:val="2"/>
          <w:sz w:val="44"/>
          <w:szCs w:val="44"/>
          <w:lang w:val="en-US" w:eastAsia="zh-CN"/>
        </w:rPr>
      </w:pPr>
    </w:p>
    <w:p>
      <w:pPr>
        <w:pStyle w:val="7"/>
        <w:spacing w:before="93"/>
        <w:jc w:val="center"/>
        <w:rPr>
          <w:rFonts w:hint="default" w:ascii="Times New Roman" w:hAnsi="Times New Roman" w:eastAsia="方正小标宋简体" w:cs="Times New Roman"/>
          <w:kern w:val="2"/>
          <w:sz w:val="44"/>
          <w:szCs w:val="44"/>
          <w:lang w:val="en-US" w:eastAsia="zh-CN"/>
        </w:rPr>
      </w:pPr>
      <w:r>
        <w:rPr>
          <w:rFonts w:hint="default" w:ascii="Times New Roman" w:hAnsi="Times New Roman" w:eastAsia="方正小标宋简体" w:cs="Times New Roman"/>
          <w:kern w:val="2"/>
          <w:sz w:val="44"/>
          <w:szCs w:val="44"/>
          <w:lang w:val="en-US" w:eastAsia="zh-CN"/>
        </w:rPr>
        <w:t>攀枝花市西区人民法院</w:t>
      </w:r>
    </w:p>
    <w:p>
      <w:pPr>
        <w:pStyle w:val="7"/>
        <w:spacing w:before="93"/>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2025年度</w:t>
      </w:r>
      <w:r>
        <w:rPr>
          <w:rFonts w:hint="default" w:ascii="Times New Roman" w:hAnsi="Times New Roman" w:eastAsia="方正小标宋简体" w:cs="Times New Roman"/>
          <w:kern w:val="2"/>
          <w:sz w:val="44"/>
          <w:szCs w:val="44"/>
          <w:lang w:val="en-US" w:eastAsia="zh-CN"/>
        </w:rPr>
        <w:t>部门</w:t>
      </w:r>
      <w:r>
        <w:rPr>
          <w:rFonts w:hint="default" w:ascii="Times New Roman" w:hAnsi="Times New Roman" w:eastAsia="方正小标宋简体" w:cs="Times New Roman"/>
          <w:kern w:val="2"/>
          <w:sz w:val="44"/>
          <w:szCs w:val="44"/>
        </w:rPr>
        <w:t>决算公开编制说明</w:t>
      </w:r>
    </w:p>
    <w:p>
      <w:pPr>
        <w:pStyle w:val="14"/>
        <w:rPr>
          <w:rFonts w:hint="default" w:ascii="Times New Roman" w:hAnsi="Times New Roman" w:cs="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425" w:num="1"/>
          <w:titlePg/>
          <w:docGrid w:type="lines" w:linePitch="312" w:charSpace="0"/>
        </w:sectPr>
      </w:pPr>
    </w:p>
    <w:p>
      <w:pPr>
        <w:pStyle w:val="7"/>
        <w:spacing w:before="93"/>
        <w:jc w:val="center"/>
        <w:rPr>
          <w:rFonts w:hint="default" w:ascii="Times New Roman" w:hAnsi="Times New Roman" w:eastAsia="方正小标宋简体" w:cs="Times New Roman"/>
          <w:kern w:val="2"/>
          <w:sz w:val="44"/>
          <w:szCs w:val="44"/>
        </w:rPr>
      </w:pPr>
      <w:bookmarkStart w:id="0" w:name="_Toc15377426"/>
      <w:bookmarkStart w:id="1" w:name="_Toc15377194"/>
      <w:bookmarkStart w:id="2" w:name="_Toc15396476"/>
      <w:bookmarkStart w:id="3" w:name="_Toc15396598"/>
      <w:bookmarkStart w:id="4" w:name="_Toc15378442"/>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lang w:val="en-US" w:eastAsia="zh-CN"/>
        </w:rPr>
      </w:pPr>
      <w:r>
        <w:rPr>
          <w:rFonts w:hint="default" w:ascii="Times New Roman" w:hAnsi="Times New Roman" w:eastAsia="方正小标宋简体" w:cs="Times New Roman"/>
          <w:kern w:val="2"/>
          <w:sz w:val="44"/>
          <w:szCs w:val="44"/>
        </w:rPr>
        <w:t>2025年度攀枝花市</w:t>
      </w:r>
      <w:bookmarkStart w:id="5" w:name="_Toc15306268"/>
      <w:r>
        <w:rPr>
          <w:rFonts w:hint="default" w:ascii="Times New Roman" w:hAnsi="Times New Roman" w:eastAsia="方正小标宋简体" w:cs="Times New Roman"/>
          <w:kern w:val="2"/>
          <w:sz w:val="44"/>
          <w:szCs w:val="44"/>
          <w:lang w:val="en-US" w:eastAsia="zh-CN"/>
        </w:rPr>
        <w:t>西区人民法院</w:t>
      </w:r>
    </w:p>
    <w:p>
      <w:pPr>
        <w:pStyle w:val="7"/>
        <w:spacing w:before="93"/>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部门决算</w:t>
      </w:r>
      <w:bookmarkEnd w:id="0"/>
      <w:bookmarkEnd w:id="1"/>
      <w:bookmarkEnd w:id="2"/>
      <w:bookmarkEnd w:id="3"/>
      <w:bookmarkEnd w:id="4"/>
      <w:bookmarkEnd w:id="5"/>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center"/>
        <w:rPr>
          <w:rFonts w:hint="default" w:ascii="Times New Roman" w:hAnsi="Times New Roman" w:eastAsia="方正小标宋简体" w:cs="Times New Roman"/>
          <w:kern w:val="2"/>
          <w:sz w:val="44"/>
          <w:szCs w:val="44"/>
        </w:rPr>
      </w:pPr>
    </w:p>
    <w:p>
      <w:pPr>
        <w:pStyle w:val="7"/>
        <w:spacing w:before="93"/>
        <w:jc w:val="both"/>
        <w:rPr>
          <w:rFonts w:hint="default" w:ascii="Times New Roman" w:hAnsi="Times New Roman" w:eastAsia="方正小标宋简体" w:cs="Times New Roman"/>
          <w:kern w:val="2"/>
          <w:sz w:val="44"/>
          <w:szCs w:val="44"/>
        </w:rPr>
      </w:pPr>
    </w:p>
    <w:p>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pPr>
        <w:widowControl/>
        <w:jc w:val="center"/>
        <w:rPr>
          <w:rFonts w:hint="default" w:ascii="Times New Roman" w:hAnsi="Times New Roman" w:eastAsia="黑体" w:cs="Times New Roman"/>
          <w:sz w:val="28"/>
          <w:szCs w:val="28"/>
        </w:rPr>
      </w:pPr>
    </w:p>
    <w:p>
      <w:pPr>
        <w:pStyle w:val="1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 xml:space="preserve">月 </w:t>
      </w:r>
      <w:r>
        <w:rPr>
          <w:rFonts w:hint="default" w:ascii="Times New Roman" w:hAnsi="Times New Roman" w:eastAsia="仿宋_GB2312" w:cs="Times New Roman"/>
          <w:sz w:val="32"/>
          <w:szCs w:val="32"/>
          <w:lang w:val="en"/>
        </w:rPr>
        <w:t>16</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日</w:t>
      </w:r>
      <w:bookmarkStart w:id="62" w:name="_GoBack"/>
      <w:bookmarkEnd w:id="62"/>
    </w:p>
    <w:p>
      <w:pPr>
        <w:rPr>
          <w:rFonts w:hint="default" w:ascii="Times New Roman" w:hAnsi="Times New Roman" w:cs="Times New Roman"/>
        </w:rPr>
      </w:pPr>
    </w:p>
    <w:p>
      <w:pPr>
        <w:pStyle w:val="10"/>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第一部分 部门概况</w:t>
      </w:r>
      <w:r>
        <w:rPr>
          <w:rFonts w:hint="default" w:ascii="Times New Roman" w:hAnsi="Times New Roman" w:eastAsia="黑体" w:cs="Times New Roman"/>
          <w:sz w:val="32"/>
          <w:szCs w:val="32"/>
          <w:lang w:val="en-US" w:eastAsia="zh-CN"/>
        </w:rPr>
        <w:t>.................................................................1</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一、部门职责</w:t>
      </w:r>
      <w:r>
        <w:rPr>
          <w:rFonts w:hint="default" w:ascii="Times New Roman" w:hAnsi="Times New Roman" w:eastAsia="仿宋_GB2312" w:cs="Times New Roman"/>
          <w:sz w:val="32"/>
          <w:szCs w:val="32"/>
          <w:lang w:val="en-US" w:eastAsia="zh-CN"/>
        </w:rPr>
        <w:t>...................................................................1</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二、机构设置</w:t>
      </w:r>
      <w:r>
        <w:rPr>
          <w:rFonts w:hint="default" w:ascii="Times New Roman" w:hAnsi="Times New Roman" w:eastAsia="仿宋_GB2312" w:cs="Times New Roman"/>
          <w:sz w:val="32"/>
          <w:szCs w:val="32"/>
          <w:lang w:val="en-US" w:eastAsia="zh-CN"/>
        </w:rPr>
        <w:t>...................................................................1</w:t>
      </w:r>
    </w:p>
    <w:p>
      <w:pPr>
        <w:pStyle w:val="10"/>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第二部分 2025年度部门决算情况说明</w:t>
      </w:r>
      <w:r>
        <w:rPr>
          <w:rFonts w:hint="default" w:ascii="Times New Roman" w:hAnsi="Times New Roman" w:eastAsia="黑体" w:cs="Times New Roman"/>
          <w:sz w:val="32"/>
          <w:szCs w:val="32"/>
          <w:lang w:val="en-US" w:eastAsia="zh-CN"/>
        </w:rPr>
        <w:t>.................................3</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一、收入支出决算总体情况说明</w:t>
      </w:r>
      <w:r>
        <w:rPr>
          <w:rFonts w:hint="default" w:ascii="Times New Roman" w:hAnsi="Times New Roman" w:eastAsia="仿宋_GB2312" w:cs="Times New Roman"/>
          <w:sz w:val="32"/>
          <w:szCs w:val="32"/>
          <w:lang w:val="en-US" w:eastAsia="zh-CN"/>
        </w:rPr>
        <w:t>....................................3</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二、收入决算情况说明</w:t>
      </w:r>
      <w:r>
        <w:rPr>
          <w:rFonts w:hint="default" w:ascii="Times New Roman" w:hAnsi="Times New Roman" w:eastAsia="仿宋_GB2312" w:cs="Times New Roman"/>
          <w:sz w:val="32"/>
          <w:szCs w:val="32"/>
          <w:lang w:val="en-US" w:eastAsia="zh-CN"/>
        </w:rPr>
        <w:t>....................................................3</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三、支出决算情况说明</w:t>
      </w:r>
      <w:r>
        <w:rPr>
          <w:rFonts w:hint="default" w:ascii="Times New Roman" w:hAnsi="Times New Roman" w:eastAsia="仿宋_GB2312" w:cs="Times New Roman"/>
          <w:sz w:val="32"/>
          <w:szCs w:val="32"/>
          <w:lang w:val="en-US" w:eastAsia="zh-CN"/>
        </w:rPr>
        <w:t>....................................................4</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四、财政拨款收入支出决算总体情况说明</w:t>
      </w:r>
      <w:r>
        <w:rPr>
          <w:rFonts w:hint="default" w:ascii="Times New Roman" w:hAnsi="Times New Roman" w:eastAsia="仿宋_GB2312" w:cs="Times New Roman"/>
          <w:sz w:val="32"/>
          <w:szCs w:val="32"/>
          <w:lang w:val="en-US" w:eastAsia="zh-CN"/>
        </w:rPr>
        <w:t>....................5</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五、一般公共预算财政拨款支出决算情况说明</w:t>
      </w:r>
      <w:r>
        <w:rPr>
          <w:rFonts w:hint="default" w:ascii="Times New Roman" w:hAnsi="Times New Roman" w:eastAsia="仿宋_GB2312" w:cs="Times New Roman"/>
          <w:sz w:val="32"/>
          <w:szCs w:val="32"/>
          <w:lang w:val="en-US" w:eastAsia="zh-CN"/>
        </w:rPr>
        <w:t>............5</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六、一般公共预算财政拨款基本支出决算情况说明</w:t>
      </w:r>
      <w:r>
        <w:rPr>
          <w:rFonts w:hint="default" w:ascii="Times New Roman" w:hAnsi="Times New Roman" w:eastAsia="仿宋_GB2312" w:cs="Times New Roman"/>
          <w:sz w:val="32"/>
          <w:szCs w:val="32"/>
          <w:lang w:val="en-US" w:eastAsia="zh-CN"/>
        </w:rPr>
        <w:t>.....7</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七、财政拨款“三公”经费支出决算情况说明</w:t>
      </w:r>
      <w:r>
        <w:rPr>
          <w:rFonts w:hint="default" w:ascii="Times New Roman" w:hAnsi="Times New Roman" w:eastAsia="仿宋_GB2312" w:cs="Times New Roman"/>
          <w:sz w:val="32"/>
          <w:szCs w:val="32"/>
          <w:lang w:val="en-US" w:eastAsia="zh-CN"/>
        </w:rPr>
        <w:t>.............8</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八、政府性基金预算支出决算情况说明</w:t>
      </w:r>
      <w:r>
        <w:rPr>
          <w:rFonts w:hint="default" w:ascii="Times New Roman" w:hAnsi="Times New Roman" w:eastAsia="仿宋_GB2312" w:cs="Times New Roman"/>
          <w:sz w:val="32"/>
          <w:szCs w:val="32"/>
          <w:lang w:val="en-US" w:eastAsia="zh-CN"/>
        </w:rPr>
        <w:t>........................10</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九、国有资本经营预算支出决算情况说明</w:t>
      </w:r>
      <w:r>
        <w:rPr>
          <w:rFonts w:hint="default" w:ascii="Times New Roman" w:hAnsi="Times New Roman" w:eastAsia="仿宋_GB2312" w:cs="Times New Roman"/>
          <w:sz w:val="32"/>
          <w:szCs w:val="32"/>
          <w:lang w:val="en-US" w:eastAsia="zh-CN"/>
        </w:rPr>
        <w:t>.....................10</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十、其他重要事项的情况说明</w:t>
      </w:r>
      <w:r>
        <w:rPr>
          <w:rFonts w:hint="default" w:ascii="Times New Roman" w:hAnsi="Times New Roman" w:eastAsia="仿宋_GB2312" w:cs="Times New Roman"/>
          <w:sz w:val="32"/>
          <w:szCs w:val="32"/>
          <w:lang w:val="en-US" w:eastAsia="zh-CN"/>
        </w:rPr>
        <w:t>.......................................10</w:t>
      </w:r>
    </w:p>
    <w:p>
      <w:pPr>
        <w:pStyle w:val="10"/>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第三部分 名词解释</w:t>
      </w:r>
      <w:r>
        <w:rPr>
          <w:rFonts w:hint="default" w:ascii="Times New Roman" w:hAnsi="Times New Roman" w:eastAsia="黑体" w:cs="Times New Roman"/>
          <w:sz w:val="32"/>
          <w:szCs w:val="32"/>
          <w:lang w:val="en-US" w:eastAsia="zh-CN"/>
        </w:rPr>
        <w:t>.................................................................13</w:t>
      </w:r>
    </w:p>
    <w:p>
      <w:pPr>
        <w:pStyle w:val="10"/>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第四部分 附件</w:t>
      </w:r>
      <w:r>
        <w:rPr>
          <w:rFonts w:hint="default" w:ascii="Times New Roman" w:hAnsi="Times New Roman" w:eastAsia="黑体" w:cs="Times New Roman"/>
          <w:sz w:val="32"/>
          <w:szCs w:val="32"/>
          <w:lang w:val="en-US" w:eastAsia="zh-CN"/>
        </w:rPr>
        <w:t>.........................................................................16</w:t>
      </w:r>
    </w:p>
    <w:p>
      <w:pPr>
        <w:pStyle w:val="10"/>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第五部分 附表</w:t>
      </w:r>
      <w:r>
        <w:rPr>
          <w:rFonts w:hint="default" w:ascii="Times New Roman" w:hAnsi="Times New Roman" w:eastAsia="黑体" w:cs="Times New Roman"/>
          <w:sz w:val="32"/>
          <w:szCs w:val="32"/>
          <w:lang w:val="en-US" w:eastAsia="zh-CN"/>
        </w:rPr>
        <w:t>.........................................................................21</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五、财政拨款支出决算明细表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七、一般公共预算财政拨款支出决算明细表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八、一般公共预算财政拨款基本支出决算明细表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九、一般公共预算财政拨款项目支出决算表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十、政府性基金预算财政拨款收入支出决算表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十一、国有资本经营预算财政拨款收入支出决算表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十二、国有资本经营预算财政拨款支出决算表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十三、财政拨款“三公”经费支出决算表</w:t>
      </w:r>
    </w:p>
    <w:p>
      <w:pPr>
        <w:widowControl/>
        <w:spacing w:line="560" w:lineRule="exact"/>
        <w:jc w:val="left"/>
        <w:rPr>
          <w:rFonts w:hint="default" w:ascii="Times New Roman" w:hAnsi="Times New Roman" w:eastAsia="仿宋_GB2312" w:cs="Times New Roman"/>
          <w:bCs/>
          <w:kern w:val="44"/>
          <w:sz w:val="32"/>
          <w:szCs w:val="32"/>
        </w:rPr>
      </w:pPr>
      <w:bookmarkStart w:id="6" w:name="_Toc15396599"/>
      <w:bookmarkStart w:id="7" w:name="_Toc15377196"/>
      <w:r>
        <w:rPr>
          <w:rFonts w:hint="default" w:ascii="Times New Roman" w:hAnsi="Times New Roman" w:eastAsia="仿宋_GB2312" w:cs="Times New Roman"/>
          <w:b/>
          <w:sz w:val="32"/>
          <w:szCs w:val="32"/>
        </w:rPr>
        <w:br w:type="page"/>
      </w:r>
    </w:p>
    <w:p>
      <w:pPr>
        <w:pStyle w:val="5"/>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方正小标宋简体" w:cs="Times New Roman"/>
          <w:b w:val="0"/>
        </w:rPr>
        <w:t xml:space="preserve">第一部分  </w:t>
      </w:r>
      <w:r>
        <w:rPr>
          <w:rStyle w:val="15"/>
          <w:rFonts w:hint="default" w:ascii="Times New Roman" w:hAnsi="Times New Roman" w:eastAsia="方正小标宋简体" w:cs="Times New Roman"/>
          <w:b w:val="0"/>
          <w:bCs w:val="0"/>
        </w:rPr>
        <w:t>部门概况</w:t>
      </w:r>
      <w:bookmarkEnd w:id="6"/>
      <w:bookmarkEnd w:id="7"/>
    </w:p>
    <w:p>
      <w:pPr>
        <w:pStyle w:val="6"/>
        <w:pageBreakBefore w:val="0"/>
        <w:numPr>
          <w:ilvl w:val="0"/>
          <w:numId w:val="1"/>
        </w:numPr>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rPr>
      </w:pPr>
      <w:r>
        <w:rPr>
          <w:rFonts w:hint="default" w:ascii="Times New Roman" w:hAnsi="Times New Roman" w:eastAsia="黑体" w:cs="Times New Roman"/>
          <w:b w:val="0"/>
        </w:rPr>
        <w:t>部门职责</w:t>
      </w:r>
    </w:p>
    <w:p>
      <w:pPr>
        <w:pStyle w:val="16"/>
        <w:pageBreakBefore w:val="0"/>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1.依法审判法律规定由本级人民法院管辖的第一审刑事、民事、行政案件。</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2.受理不服本院已经发生法律效力的判决、裁定的申诉和申请再审案件以及本院审判委员会讨论决定的再审案件。</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3.接受上级法院指令再审和交办的案件。</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4.依法行使司法执行权和司法决定权。</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5.对案件审理中发现的问题提出司法建议。</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6.组织本院法官与其他法院间的司法交流活动。</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7.抓好本院的思想政治、教育培训工作；按照权限管理本院法官和其他工作人员。</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8.管理本院的经费、物质装备。</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9.结合审判业务，开展法制宣传，教育公民自觉遵守宪法、法律。</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10.对人民调解组织和镇、街道司法助理员进行业务指导。</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11.承办其他应由本院负责的工作。</w:t>
      </w:r>
    </w:p>
    <w:p>
      <w:pPr>
        <w:pageBreakBefore w:val="0"/>
        <w:numPr>
          <w:ilvl w:val="0"/>
          <w:numId w:val="0"/>
        </w:numPr>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p>
      <w:pPr>
        <w:pStyle w:val="6"/>
        <w:pageBreakBefore w:val="0"/>
        <w:kinsoku/>
        <w:wordWrap/>
        <w:overflowPunct/>
        <w:topLinePunct w:val="0"/>
        <w:autoSpaceDE/>
        <w:autoSpaceDN/>
        <w:bidi w:val="0"/>
        <w:adjustRightInd/>
        <w:snapToGrid/>
        <w:spacing w:line="560" w:lineRule="exact"/>
        <w:textAlignment w:val="auto"/>
        <w:rPr>
          <w:rStyle w:val="17"/>
          <w:rFonts w:hint="default" w:ascii="Times New Roman" w:hAnsi="Times New Roman" w:cs="Times New Roman"/>
          <w:b w:val="0"/>
          <w:bCs w:val="0"/>
        </w:rPr>
      </w:pPr>
      <w:bookmarkStart w:id="8" w:name="_Toc15377200"/>
      <w:bookmarkStart w:id="9" w:name="_Toc15396601"/>
      <w:r>
        <w:rPr>
          <w:rFonts w:hint="default" w:ascii="Times New Roman" w:hAnsi="Times New Roman" w:eastAsia="黑体" w:cs="Times New Roman"/>
          <w:b w:val="0"/>
        </w:rPr>
        <w:t>二、机</w:t>
      </w:r>
      <w:r>
        <w:rPr>
          <w:rStyle w:val="17"/>
          <w:rFonts w:hint="default" w:ascii="Times New Roman" w:hAnsi="Times New Roman" w:eastAsia="黑体" w:cs="Times New Roman"/>
          <w:b w:val="0"/>
          <w:bCs w:val="0"/>
        </w:rPr>
        <w:t>构设置</w:t>
      </w:r>
      <w:bookmarkEnd w:id="8"/>
      <w:bookmarkEnd w:id="9"/>
    </w:p>
    <w:p>
      <w:pPr>
        <w:pStyle w:val="16"/>
        <w:pageBreakBefore w:val="0"/>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西区法院无下属二级单位。现有9个内设机构和1个派出机构，即：综合办公室、政治部（督察室）、立案庭（诉讼服务中心）、刑事审判庭、民事审判庭（未成年人与家事案件审判庭）、行政审判庭（综合审判庭）、执行局、审判管理办公室（研究室）、司法警察大队和派出机构格里坪人民法庭，其中司法警察大队和格里坪人民法庭未纳入内设机构改革。</w:t>
      </w:r>
    </w:p>
    <w:p>
      <w:pPr>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pPr>
        <w:pStyle w:val="5"/>
        <w:jc w:val="center"/>
        <w:rPr>
          <w:rFonts w:hint="default" w:ascii="Times New Roman" w:hAnsi="Times New Roman" w:eastAsia="方正小标宋简体" w:cs="Times New Roman"/>
          <w:b w:val="0"/>
        </w:rPr>
      </w:pPr>
      <w:bookmarkStart w:id="10" w:name="_Toc15396602"/>
      <w:bookmarkStart w:id="11" w:name="_Toc15377204"/>
      <w:r>
        <w:rPr>
          <w:rFonts w:hint="default" w:ascii="Times New Roman" w:hAnsi="Times New Roman" w:eastAsia="方正小标宋简体" w:cs="Times New Roman"/>
          <w:b w:val="0"/>
        </w:rPr>
        <w:t>第二部分  2025年度部门决算情况说明</w:t>
      </w:r>
      <w:bookmarkEnd w:id="10"/>
      <w:bookmarkEnd w:id="11"/>
    </w:p>
    <w:p>
      <w:pPr>
        <w:rPr>
          <w:rFonts w:hint="default" w:ascii="Times New Roman" w:hAnsi="Times New Roman" w:cs="Times New Roman"/>
        </w:rPr>
      </w:pPr>
    </w:p>
    <w:p>
      <w:pPr>
        <w:pStyle w:val="16"/>
        <w:spacing w:line="600" w:lineRule="exact"/>
        <w:ind w:firstLine="640"/>
        <w:outlineLvl w:val="1"/>
        <w:rPr>
          <w:rStyle w:val="17"/>
          <w:rFonts w:hint="default" w:ascii="Times New Roman" w:hAnsi="Times New Roman" w:eastAsia="黑体" w:cs="Times New Roman"/>
          <w:b w:val="0"/>
        </w:rPr>
      </w:pPr>
      <w:bookmarkStart w:id="12" w:name="_Toc15377205"/>
      <w:bookmarkStart w:id="13" w:name="_Toc15396603"/>
      <w:r>
        <w:rPr>
          <w:rFonts w:hint="default" w:ascii="Times New Roman" w:hAnsi="Times New Roman" w:eastAsia="黑体" w:cs="Times New Roman"/>
          <w:sz w:val="32"/>
          <w:szCs w:val="32"/>
        </w:rPr>
        <w:t>一、收</w:t>
      </w:r>
      <w:r>
        <w:rPr>
          <w:rStyle w:val="17"/>
          <w:rFonts w:hint="default" w:ascii="Times New Roman" w:hAnsi="Times New Roman" w:eastAsia="黑体" w:cs="Times New Roman"/>
          <w:b w:val="0"/>
        </w:rPr>
        <w:t>入支出决算总体情况说明</w:t>
      </w:r>
      <w:bookmarkEnd w:id="12"/>
      <w:bookmarkEnd w:id="13"/>
    </w:p>
    <w:p>
      <w:pPr>
        <w:pStyle w:val="16"/>
        <w:spacing w:line="600" w:lineRule="exact"/>
        <w:ind w:firstLine="640"/>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2025年度收入、支出总计均为</w:t>
      </w:r>
      <w:r>
        <w:rPr>
          <w:rFonts w:hint="default" w:ascii="Times New Roman" w:hAnsi="Times New Roman" w:eastAsia="仿宋_GB2312" w:cs="Times New Roman"/>
          <w:sz w:val="32"/>
          <w:szCs w:val="32"/>
          <w:lang w:val="en-US" w:eastAsia="zh-CN"/>
        </w:rPr>
        <w:t>1833.04</w:t>
      </w:r>
      <w:r>
        <w:rPr>
          <w:rFonts w:hint="default" w:ascii="Times New Roman" w:hAnsi="Times New Roman" w:eastAsia="仿宋_GB2312" w:cs="Times New Roman"/>
          <w:sz w:val="32"/>
          <w:szCs w:val="32"/>
        </w:rPr>
        <w:t>万元。与上年度相比，收入、支出总计各增加</w:t>
      </w:r>
      <w:r>
        <w:rPr>
          <w:rFonts w:hint="default" w:ascii="Times New Roman" w:hAnsi="Times New Roman" w:eastAsia="仿宋_GB2312" w:cs="Times New Roman"/>
          <w:sz w:val="32"/>
          <w:szCs w:val="32"/>
          <w:lang w:val="en-US" w:eastAsia="zh-CN"/>
        </w:rPr>
        <w:t>147.1</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8.73</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人员、公用、项目等经费均有所上升。</w:t>
      </w:r>
    </w:p>
    <w:p>
      <w:pPr>
        <w:pStyle w:val="16"/>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（图1：收入、支出决算总计变动情况图）（柱状图）</w:t>
      </w:r>
    </w:p>
    <w:p>
      <w:pPr>
        <w:pStyle w:val="7"/>
        <w:rPr>
          <w:rFonts w:hint="default" w:ascii="Times New Roman" w:hAnsi="Times New Roman" w:eastAsia="仿宋_GB2312" w:cs="Times New Roman"/>
          <w:sz w:val="32"/>
          <w:szCs w:val="32"/>
        </w:rPr>
      </w:pPr>
      <w:r>
        <w:rPr>
          <w:rFonts w:hint="default" w:ascii="Times New Roman" w:hAnsi="Times New Roman" w:cs="Times New Roman"/>
        </w:rPr>
        <w:drawing>
          <wp:inline distT="0" distB="0" distL="114300" distR="114300">
            <wp:extent cx="4826000" cy="2743200"/>
            <wp:effectExtent l="4445" t="4445" r="8255" b="14605"/>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16"/>
        <w:spacing w:line="600" w:lineRule="exact"/>
        <w:ind w:firstLine="640"/>
        <w:outlineLvl w:val="1"/>
        <w:rPr>
          <w:rFonts w:hint="default" w:ascii="Times New Roman" w:hAnsi="Times New Roman" w:eastAsia="黑体" w:cs="Times New Roman"/>
          <w:sz w:val="32"/>
          <w:szCs w:val="32"/>
        </w:rPr>
      </w:pPr>
      <w:bookmarkStart w:id="14" w:name="_Toc15377206"/>
      <w:bookmarkStart w:id="15" w:name="_Toc15396604"/>
      <w:r>
        <w:rPr>
          <w:rFonts w:hint="default" w:ascii="Times New Roman" w:hAnsi="Times New Roman" w:eastAsia="黑体" w:cs="Times New Roman"/>
          <w:sz w:val="32"/>
          <w:szCs w:val="32"/>
        </w:rPr>
        <w:t>二、收入决算情况说明</w:t>
      </w:r>
      <w:bookmarkEnd w:id="14"/>
      <w:bookmarkEnd w:id="15"/>
    </w:p>
    <w:p>
      <w:pPr>
        <w:pStyle w:val="16"/>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2025年度本年收入合计</w:t>
      </w:r>
      <w:r>
        <w:rPr>
          <w:rFonts w:hint="default" w:ascii="Times New Roman" w:hAnsi="Times New Roman" w:eastAsia="仿宋_GB2312" w:cs="Times New Roman"/>
          <w:sz w:val="32"/>
          <w:szCs w:val="32"/>
          <w:lang w:val="en-US" w:eastAsia="zh-CN"/>
        </w:rPr>
        <w:t>1833.04</w:t>
      </w:r>
      <w:r>
        <w:rPr>
          <w:rFonts w:hint="default" w:ascii="Times New Roman" w:hAnsi="Times New Roman" w:eastAsia="仿宋_GB2312" w:cs="Times New Roman"/>
          <w:sz w:val="32"/>
          <w:szCs w:val="32"/>
        </w:rPr>
        <w:t>万元，其中：一般公共预算财政拨款收入</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83.46</w:t>
      </w:r>
      <w:r>
        <w:rPr>
          <w:rFonts w:hint="default" w:ascii="Times New Roman" w:hAnsi="Times New Roman" w:eastAsia="仿宋_GB2312" w:cs="Times New Roman"/>
          <w:sz w:val="32"/>
          <w:szCs w:val="32"/>
        </w:rPr>
        <w:t>%；政府性基金预算财政拨款收入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%；国有资本经营预算财政拨款收入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%；上级补助收入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%；事业收入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%；经营收入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%；附属单位上缴收入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%；其他收入</w:t>
      </w:r>
      <w:r>
        <w:rPr>
          <w:rFonts w:hint="default" w:ascii="Times New Roman" w:hAnsi="Times New Roman" w:eastAsia="仿宋_GB2312" w:cs="Times New Roman"/>
          <w:sz w:val="32"/>
          <w:szCs w:val="32"/>
          <w:lang w:val="en-US" w:eastAsia="zh-CN"/>
        </w:rPr>
        <w:t>303.1</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16.54</w:t>
      </w:r>
      <w:r>
        <w:rPr>
          <w:rFonts w:hint="default" w:ascii="Times New Roman" w:hAnsi="Times New Roman" w:eastAsia="仿宋_GB2312" w:cs="Times New Roman"/>
          <w:sz w:val="32"/>
          <w:szCs w:val="32"/>
        </w:rPr>
        <w:t>%。</w:t>
      </w:r>
    </w:p>
    <w:p>
      <w:pPr>
        <w:rPr>
          <w:rFonts w:hint="default" w:ascii="Times New Roman" w:hAnsi="Times New Roman" w:cs="Times New Roman"/>
        </w:rPr>
      </w:pPr>
      <w:r>
        <w:rPr>
          <w:rFonts w:hint="default" w:ascii="Times New Roman" w:hAnsi="Times New Roman" w:eastAsia="仿宋_GB2312" w:cs="Times New Roman"/>
          <w:sz w:val="32"/>
          <w:szCs w:val="32"/>
        </w:rPr>
        <w:t>（图2：收入决算结构图）（饼状图）</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rPr>
          <w:rFonts w:hint="default" w:ascii="Times New Roman" w:hAnsi="Times New Roman" w:cs="Times New Roman"/>
        </w:rPr>
      </w:pPr>
    </w:p>
    <w:p>
      <w:pPr>
        <w:pStyle w:val="16"/>
        <w:spacing w:line="600" w:lineRule="exact"/>
        <w:ind w:firstLine="640"/>
        <w:outlineLvl w:val="1"/>
        <w:rPr>
          <w:rStyle w:val="17"/>
          <w:rFonts w:hint="default" w:ascii="Times New Roman" w:hAnsi="Times New Roman" w:eastAsia="黑体" w:cs="Times New Roman"/>
          <w:b w:val="0"/>
        </w:rPr>
      </w:pPr>
      <w:bookmarkStart w:id="16" w:name="_Toc15377207"/>
      <w:bookmarkStart w:id="17" w:name="_Toc15396605"/>
      <w:r>
        <w:rPr>
          <w:rFonts w:hint="default" w:ascii="Times New Roman" w:hAnsi="Times New Roman" w:eastAsia="黑体" w:cs="Times New Roman"/>
          <w:sz w:val="32"/>
          <w:szCs w:val="32"/>
        </w:rPr>
        <w:t>三、支</w:t>
      </w:r>
      <w:r>
        <w:rPr>
          <w:rStyle w:val="17"/>
          <w:rFonts w:hint="default" w:ascii="Times New Roman" w:hAnsi="Times New Roman" w:eastAsia="黑体" w:cs="Times New Roman"/>
          <w:b w:val="0"/>
        </w:rPr>
        <w:t>出决算情况说明</w:t>
      </w:r>
      <w:bookmarkEnd w:id="16"/>
      <w:bookmarkEnd w:id="17"/>
    </w:p>
    <w:p>
      <w:pPr>
        <w:pStyle w:val="16"/>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2025年度本年支出合计</w:t>
      </w:r>
      <w:r>
        <w:rPr>
          <w:rFonts w:hint="default" w:ascii="Times New Roman" w:hAnsi="Times New Roman" w:eastAsia="仿宋_GB2312" w:cs="Times New Roman"/>
          <w:sz w:val="32"/>
          <w:szCs w:val="32"/>
          <w:lang w:val="en-US" w:eastAsia="zh-CN"/>
        </w:rPr>
        <w:t>1833.04</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1509.76</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82.36</w:t>
      </w:r>
      <w:r>
        <w:rPr>
          <w:rFonts w:hint="default"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eastAsia="zh-CN"/>
        </w:rPr>
        <w:t>323.28</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17.64</w:t>
      </w:r>
      <w:r>
        <w:rPr>
          <w:rFonts w:hint="default" w:ascii="Times New Roman" w:hAnsi="Times New Roman" w:eastAsia="仿宋_GB2312" w:cs="Times New Roman"/>
          <w:sz w:val="32"/>
          <w:szCs w:val="32"/>
        </w:rPr>
        <w:t>%；上缴上级支出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%；经营支出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%；对附属单位补助支出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p>
    <w:p>
      <w:pPr>
        <w:pStyle w:val="16"/>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（图3：支出决算结构图）（饼状图）</w: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outlineLvl w:val="1"/>
        <w:rPr>
          <w:rStyle w:val="17"/>
          <w:rFonts w:hint="default" w:ascii="Times New Roman" w:hAnsi="Times New Roman" w:eastAsia="黑体" w:cs="Times New Roman"/>
          <w:b w:val="0"/>
        </w:rPr>
      </w:pPr>
      <w:bookmarkStart w:id="18" w:name="_Toc15396606"/>
      <w:bookmarkStart w:id="19" w:name="_Toc15377208"/>
      <w:r>
        <w:rPr>
          <w:rFonts w:hint="default" w:ascii="Times New Roman" w:hAnsi="Times New Roman" w:eastAsia="黑体" w:cs="Times New Roman"/>
          <w:sz w:val="32"/>
          <w:szCs w:val="32"/>
        </w:rPr>
        <w:t>四、财</w:t>
      </w:r>
      <w:r>
        <w:rPr>
          <w:rStyle w:val="17"/>
          <w:rFonts w:hint="default" w:ascii="Times New Roman" w:hAnsi="Times New Roman" w:eastAsia="黑体" w:cs="Times New Roman"/>
          <w:b w:val="0"/>
        </w:rPr>
        <w:t>政拨款收入支出决算总体情况说明</w:t>
      </w:r>
      <w:bookmarkEnd w:id="18"/>
      <w:bookmarkEnd w:id="19"/>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2025年度财政拨款收入、支出总计均为</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万元。与上年度相比，财政拨款收入、支出总计各增加</w:t>
      </w:r>
      <w:r>
        <w:rPr>
          <w:rFonts w:hint="default" w:ascii="Times New Roman" w:hAnsi="Times New Roman" w:eastAsia="仿宋_GB2312" w:cs="Times New Roman"/>
          <w:sz w:val="32"/>
          <w:szCs w:val="32"/>
          <w:lang w:val="en-US" w:eastAsia="zh-CN"/>
        </w:rPr>
        <w:t>251.43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19.67</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人员、公用、项目等经费均有所上升。</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（图4：财政拨款收、支决算总计变动情况）（柱状图）</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rPr>
          <w:rFonts w:hint="default" w:ascii="Times New Roman" w:hAnsi="Times New Roman" w:cs="Times New Roman"/>
        </w:rPr>
      </w:pPr>
    </w:p>
    <w:p>
      <w:pPr>
        <w:spacing w:line="600" w:lineRule="exact"/>
        <w:ind w:firstLine="640" w:firstLineChars="200"/>
        <w:outlineLvl w:val="1"/>
        <w:rPr>
          <w:rStyle w:val="17"/>
          <w:rFonts w:hint="default" w:ascii="Times New Roman" w:hAnsi="Times New Roman" w:eastAsia="黑体" w:cs="Times New Roman"/>
          <w:b w:val="0"/>
        </w:rPr>
      </w:pPr>
      <w:bookmarkStart w:id="20" w:name="_Toc15396607"/>
      <w:bookmarkStart w:id="21" w:name="_Toc15377209"/>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17"/>
          <w:rFonts w:hint="default" w:ascii="Times New Roman" w:hAnsi="Times New Roman" w:eastAsia="黑体" w:cs="Times New Roman"/>
          <w:b w:val="0"/>
        </w:rPr>
        <w:t>般公共预算财政拨款支出决算情况说明</w:t>
      </w:r>
      <w:bookmarkEnd w:id="20"/>
      <w:bookmarkEnd w:id="21"/>
    </w:p>
    <w:p>
      <w:pPr>
        <w:spacing w:line="600" w:lineRule="exact"/>
        <w:ind w:firstLine="642" w:firstLineChars="200"/>
        <w:outlineLvl w:val="2"/>
        <w:rPr>
          <w:rFonts w:hint="default" w:ascii="Times New Roman" w:hAnsi="Times New Roman" w:eastAsia="楷体_GB2312" w:cs="Times New Roman"/>
          <w:b/>
          <w:sz w:val="32"/>
          <w:szCs w:val="32"/>
        </w:rPr>
      </w:pPr>
      <w:bookmarkStart w:id="22" w:name="_Toc15377210"/>
      <w:r>
        <w:rPr>
          <w:rFonts w:hint="default" w:ascii="Times New Roman" w:hAnsi="Times New Roman" w:eastAsia="楷体_GB2312" w:cs="Times New Roman"/>
          <w:b/>
          <w:sz w:val="32"/>
          <w:szCs w:val="32"/>
        </w:rPr>
        <w:t>（一）一般公共预算财政拨款支出决算总体情况</w:t>
      </w:r>
      <w:bookmarkEnd w:id="22"/>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2025年度一般公共预算财政拨款支出</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%。与上年度相比，一般公共预算财政拨款支出增加</w:t>
      </w:r>
      <w:r>
        <w:rPr>
          <w:rFonts w:hint="default" w:ascii="Times New Roman" w:hAnsi="Times New Roman" w:eastAsia="仿宋_GB2312" w:cs="Times New Roman"/>
          <w:sz w:val="32"/>
          <w:szCs w:val="32"/>
          <w:lang w:val="en-US" w:eastAsia="zh-CN"/>
        </w:rPr>
        <w:t>251.43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19.67</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人员、公用、项目等经费均有所上升。</w:t>
      </w:r>
    </w:p>
    <w:p>
      <w:pPr>
        <w:spacing w:line="600" w:lineRule="exact"/>
        <w:ind w:firstLine="640"/>
        <w:rPr>
          <w:rFonts w:hint="default" w:ascii="Times New Roman" w:hAnsi="Times New Roman" w:cs="Times New Roman"/>
        </w:rPr>
      </w:pPr>
      <w:r>
        <w:rPr>
          <w:rFonts w:hint="default" w:ascii="Times New Roman" w:hAnsi="Times New Roman" w:eastAsia="仿宋_GB2312" w:cs="Times New Roman"/>
          <w:sz w:val="32"/>
          <w:szCs w:val="32"/>
        </w:rPr>
        <w:t>（图5：一般公共预算财政拨款支出决算变动情况）（柱状图）</w: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rPr>
          <w:rFonts w:hint="default" w:ascii="Times New Roman" w:hAnsi="Times New Roman" w:cs="Times New Roman"/>
        </w:rPr>
      </w:pPr>
    </w:p>
    <w:p>
      <w:pPr>
        <w:spacing w:line="600" w:lineRule="exact"/>
        <w:ind w:firstLine="642" w:firstLineChars="200"/>
        <w:outlineLvl w:val="2"/>
        <w:rPr>
          <w:rFonts w:hint="default" w:ascii="Times New Roman" w:hAnsi="Times New Roman" w:eastAsia="楷体_GB2312" w:cs="Times New Roman"/>
          <w:b/>
          <w:sz w:val="32"/>
          <w:szCs w:val="32"/>
        </w:rPr>
      </w:pPr>
      <w:bookmarkStart w:id="23" w:name="_Toc15377211"/>
      <w:r>
        <w:rPr>
          <w:rFonts w:hint="default" w:ascii="Times New Roman" w:hAnsi="Times New Roman" w:eastAsia="楷体_GB2312" w:cs="Times New Roman"/>
          <w:b/>
          <w:sz w:val="32"/>
          <w:szCs w:val="32"/>
        </w:rPr>
        <w:t>（二）一般公共预算财政拨款支出决算结构情况</w:t>
      </w:r>
      <w:bookmarkEnd w:id="23"/>
    </w:p>
    <w:p>
      <w:pPr>
        <w:spacing w:line="600" w:lineRule="exact"/>
        <w:ind w:firstLine="640"/>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sz w:val="32"/>
          <w:szCs w:val="32"/>
        </w:rPr>
        <w:t>2025年度一般公共预算财政拨款支出</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万元，主要用于以下方面：一般公共服务支出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%；教育支出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%；科学技术支出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%；文化旅游体育与传媒支出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%；社会保障和就业支出</w:t>
      </w:r>
      <w:r>
        <w:rPr>
          <w:rFonts w:hint="default" w:ascii="Times New Roman" w:hAnsi="Times New Roman" w:eastAsia="仿宋_GB2312" w:cs="Times New Roman"/>
          <w:sz w:val="32"/>
          <w:szCs w:val="32"/>
          <w:lang w:val="en-US" w:eastAsia="zh-CN"/>
        </w:rPr>
        <w:t>117.78</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7.7</w:t>
      </w:r>
      <w:r>
        <w:rPr>
          <w:rFonts w:hint="default" w:ascii="Times New Roman" w:hAnsi="Times New Roman" w:eastAsia="仿宋_GB2312" w:cs="Times New Roman"/>
          <w:sz w:val="32"/>
          <w:szCs w:val="32"/>
        </w:rPr>
        <w:t>%；卫生健康支出</w:t>
      </w:r>
      <w:r>
        <w:rPr>
          <w:rFonts w:hint="default" w:ascii="Times New Roman" w:hAnsi="Times New Roman" w:eastAsia="仿宋_GB2312" w:cs="Times New Roman"/>
          <w:sz w:val="32"/>
          <w:szCs w:val="32"/>
          <w:lang w:val="en-US" w:eastAsia="zh-CN"/>
        </w:rPr>
        <w:t>78.41</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5.12</w:t>
      </w:r>
      <w:r>
        <w:rPr>
          <w:rFonts w:hint="default" w:ascii="Times New Roman" w:hAnsi="Times New Roman" w:eastAsia="仿宋_GB2312" w:cs="Times New Roman"/>
          <w:sz w:val="32"/>
          <w:szCs w:val="32"/>
        </w:rPr>
        <w:t>%；住房保障支出</w:t>
      </w:r>
      <w:r>
        <w:rPr>
          <w:rFonts w:hint="default" w:ascii="Times New Roman" w:hAnsi="Times New Roman" w:eastAsia="仿宋_GB2312" w:cs="Times New Roman"/>
          <w:sz w:val="32"/>
          <w:szCs w:val="32"/>
          <w:lang w:val="en-US" w:eastAsia="zh-CN"/>
        </w:rPr>
        <w:t>91.65</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5.99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公共安全支出1242.09万元，占81.19%。</w:t>
      </w:r>
    </w:p>
    <w:p>
      <w:pPr>
        <w:spacing w:line="600" w:lineRule="exact"/>
        <w:rPr>
          <w:rFonts w:hint="default" w:ascii="Times New Roman" w:hAnsi="Times New Roman" w:cs="Times New Roman"/>
        </w:rPr>
      </w:pPr>
      <w:r>
        <w:rPr>
          <w:rFonts w:hint="default" w:ascii="Times New Roman" w:hAnsi="Times New Roman" w:eastAsia="仿宋_GB2312" w:cs="Times New Roman"/>
          <w:sz w:val="32"/>
          <w:szCs w:val="32"/>
        </w:rPr>
        <w:t>（图6：一般公共预算财政拨款支出决算结构）（饼状图）</w:t>
      </w: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rPr>
          <w:rFonts w:hint="default" w:ascii="Times New Roman" w:hAnsi="Times New Roman" w:cs="Times New Roman"/>
        </w:rPr>
      </w:pPr>
    </w:p>
    <w:p>
      <w:pPr>
        <w:spacing w:line="600" w:lineRule="exact"/>
        <w:ind w:firstLine="642" w:firstLineChars="200"/>
        <w:outlineLvl w:val="2"/>
        <w:rPr>
          <w:rFonts w:hint="default" w:ascii="Times New Roman" w:hAnsi="Times New Roman" w:eastAsia="楷体_GB2312" w:cs="Times New Roman"/>
          <w:b/>
          <w:sz w:val="32"/>
          <w:szCs w:val="32"/>
        </w:rPr>
      </w:pPr>
      <w:bookmarkStart w:id="24" w:name="_Toc15377212"/>
      <w:r>
        <w:rPr>
          <w:rFonts w:hint="default" w:ascii="Times New Roman" w:hAnsi="Times New Roman" w:eastAsia="楷体_GB2312" w:cs="Times New Roman"/>
          <w:b/>
          <w:sz w:val="32"/>
          <w:szCs w:val="32"/>
        </w:rPr>
        <w:t>（三）一般公共预算财政拨款支出决算具体情况</w:t>
      </w:r>
      <w:bookmarkEnd w:id="24"/>
    </w:p>
    <w:p>
      <w:pPr>
        <w:spacing w:line="600" w:lineRule="exact"/>
        <w:ind w:firstLine="640"/>
        <w:rPr>
          <w:rFonts w:hint="default" w:ascii="Times New Roman" w:hAnsi="Times New Roman" w:eastAsia="仿宋_GB2312" w:cs="Times New Roman"/>
          <w:sz w:val="32"/>
          <w:szCs w:val="32"/>
        </w:rPr>
      </w:pPr>
      <w:bookmarkStart w:id="25" w:name="_Toc15377444"/>
      <w:bookmarkStart w:id="26" w:name="_Toc15378460"/>
      <w:bookmarkStart w:id="27" w:name="_Toc15377213"/>
      <w:r>
        <w:rPr>
          <w:rFonts w:hint="default" w:ascii="Times New Roman" w:hAnsi="Times New Roman" w:eastAsia="仿宋_GB2312" w:cs="Times New Roman"/>
          <w:sz w:val="32"/>
          <w:szCs w:val="32"/>
        </w:rPr>
        <w:t>2025年度一般公共预算支出决算数为</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w:t>
      </w:r>
      <w:bookmarkEnd w:id="25"/>
      <w:bookmarkEnd w:id="26"/>
      <w:bookmarkEnd w:id="27"/>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1.公共安全支出204（类）05（款）01、02、50、99（项）：支出决算为</w:t>
      </w:r>
      <w:r>
        <w:rPr>
          <w:rFonts w:hint="default" w:ascii="Times New Roman" w:hAnsi="Times New Roman" w:eastAsia="仿宋_GB2312" w:cs="Times New Roman"/>
          <w:sz w:val="32"/>
          <w:szCs w:val="32"/>
          <w:lang w:val="en-US" w:eastAsia="zh-CN"/>
        </w:rPr>
        <w:t>1242.09</w:t>
      </w:r>
      <w:r>
        <w:rPr>
          <w:rFonts w:hint="default" w:ascii="Times New Roman" w:hAnsi="Times New Roman" w:eastAsia="仿宋_GB2312" w:cs="Times New Roman"/>
          <w:sz w:val="32"/>
          <w:szCs w:val="32"/>
        </w:rPr>
        <w:t>万元，完成预算100%。</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社会保障和就业支出208（类）05（款）01、05（项）: 支出决算为</w:t>
      </w:r>
      <w:r>
        <w:rPr>
          <w:rFonts w:hint="default" w:ascii="Times New Roman" w:hAnsi="Times New Roman" w:eastAsia="仿宋_GB2312" w:cs="Times New Roman"/>
          <w:sz w:val="32"/>
          <w:szCs w:val="32"/>
          <w:lang w:val="en-US" w:eastAsia="zh-CN"/>
        </w:rPr>
        <w:t>117.78</w:t>
      </w:r>
      <w:r>
        <w:rPr>
          <w:rFonts w:hint="default" w:ascii="Times New Roman" w:hAnsi="Times New Roman" w:eastAsia="仿宋_GB2312" w:cs="Times New Roman"/>
          <w:sz w:val="32"/>
          <w:szCs w:val="32"/>
        </w:rPr>
        <w:t>万元，完成预算100%。</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卫生健康支出210（类）11（款）01、03（项）：支出决算为</w:t>
      </w:r>
      <w:r>
        <w:rPr>
          <w:rFonts w:hint="default" w:ascii="Times New Roman" w:hAnsi="Times New Roman" w:eastAsia="仿宋_GB2312" w:cs="Times New Roman"/>
          <w:sz w:val="32"/>
          <w:szCs w:val="32"/>
          <w:lang w:val="en-US" w:eastAsia="zh-CN"/>
        </w:rPr>
        <w:t>78.41</w:t>
      </w:r>
      <w:r>
        <w:rPr>
          <w:rFonts w:hint="default" w:ascii="Times New Roman" w:hAnsi="Times New Roman" w:eastAsia="仿宋_GB2312" w:cs="Times New Roman"/>
          <w:sz w:val="32"/>
          <w:szCs w:val="32"/>
        </w:rPr>
        <w:t>万元，完成预算100%。</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 住房保障支出221（类）02（款）01（项）：支出决算为</w:t>
      </w:r>
      <w:r>
        <w:rPr>
          <w:rFonts w:hint="default" w:ascii="Times New Roman" w:hAnsi="Times New Roman" w:eastAsia="仿宋_GB2312" w:cs="Times New Roman"/>
          <w:sz w:val="32"/>
          <w:szCs w:val="32"/>
          <w:lang w:val="en-US" w:eastAsia="zh-CN"/>
        </w:rPr>
        <w:t>91.65</w:t>
      </w:r>
      <w:r>
        <w:rPr>
          <w:rFonts w:hint="default" w:ascii="Times New Roman" w:hAnsi="Times New Roman" w:eastAsia="仿宋_GB2312" w:cs="Times New Roman"/>
          <w:sz w:val="32"/>
          <w:szCs w:val="32"/>
        </w:rPr>
        <w:t>万元，完成预算100%。</w:t>
      </w:r>
    </w:p>
    <w:p>
      <w:pPr>
        <w:tabs>
          <w:tab w:val="right" w:pos="8306"/>
        </w:tabs>
        <w:spacing w:line="600" w:lineRule="exact"/>
        <w:ind w:firstLine="640"/>
        <w:outlineLvl w:val="1"/>
        <w:rPr>
          <w:rStyle w:val="17"/>
          <w:rFonts w:hint="default" w:ascii="Times New Roman" w:hAnsi="Times New Roman" w:cs="Times New Roman"/>
        </w:rPr>
      </w:pPr>
      <w:bookmarkStart w:id="28" w:name="_Toc15377214"/>
      <w:bookmarkStart w:id="29" w:name="_Toc15396608"/>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17"/>
          <w:rFonts w:hint="default" w:ascii="Times New Roman" w:hAnsi="Times New Roman" w:eastAsia="黑体" w:cs="Times New Roman"/>
          <w:b w:val="0"/>
        </w:rPr>
        <w:t>般公共预算财政拨款基本支出决算情况说明</w:t>
      </w:r>
      <w:bookmarkEnd w:id="28"/>
      <w:bookmarkEnd w:id="29"/>
      <w:r>
        <w:rPr>
          <w:rStyle w:val="17"/>
          <w:rFonts w:hint="default" w:ascii="Times New Roman" w:hAnsi="Times New Roman" w:eastAsia="黑体" w:cs="Times New Roman"/>
          <w:b w:val="0"/>
        </w:rPr>
        <w:tab/>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2025年度一般公共预算财政拨款基本支出</w:t>
      </w:r>
      <w:r>
        <w:rPr>
          <w:rFonts w:hint="default" w:ascii="Times New Roman" w:hAnsi="Times New Roman" w:eastAsia="仿宋_GB2312" w:cs="Times New Roman"/>
          <w:sz w:val="32"/>
          <w:szCs w:val="32"/>
          <w:lang w:val="en-US" w:eastAsia="zh-CN"/>
        </w:rPr>
        <w:t>1209.66</w:t>
      </w:r>
      <w:r>
        <w:rPr>
          <w:rFonts w:hint="default" w:ascii="Times New Roman" w:hAnsi="Times New Roman" w:eastAsia="仿宋_GB2312" w:cs="Times New Roman"/>
          <w:sz w:val="32"/>
          <w:szCs w:val="32"/>
        </w:rPr>
        <w:t>万元，其中：</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人员经费</w:t>
      </w:r>
      <w:r>
        <w:rPr>
          <w:rFonts w:hint="default" w:ascii="Times New Roman" w:hAnsi="Times New Roman" w:eastAsia="仿宋_GB2312" w:cs="Times New Roman"/>
          <w:sz w:val="32"/>
          <w:szCs w:val="32"/>
          <w:lang w:val="en-US" w:eastAsia="zh-CN"/>
        </w:rPr>
        <w:t>1072.06</w:t>
      </w:r>
      <w:r>
        <w:rPr>
          <w:rFonts w:hint="default" w:ascii="Times New Roman" w:hAnsi="Times New Roman" w:eastAsia="仿宋_GB2312" w:cs="Times New Roman"/>
          <w:sz w:val="32"/>
          <w:szCs w:val="32"/>
        </w:rPr>
        <w:t>万元，主要包括：基本工资、津贴补贴、奖金、机关事业单位基本养老保险缴费、职工基本医疗保险缴费、公务员医疗补助缴费、他社会保障缴费、住房公积金、其他工资福利支出、生活补助、奖励金等。</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rPr>
        <w:t>　　公用经费</w:t>
      </w:r>
      <w:r>
        <w:rPr>
          <w:rFonts w:hint="default" w:ascii="Times New Roman" w:hAnsi="Times New Roman" w:eastAsia="仿宋_GB2312" w:cs="Times New Roman"/>
          <w:sz w:val="32"/>
          <w:szCs w:val="32"/>
          <w:lang w:val="en-US" w:eastAsia="zh-CN"/>
        </w:rPr>
        <w:t>137.59</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主要包括：</w:t>
      </w:r>
      <w:r>
        <w:rPr>
          <w:rFonts w:hint="default" w:ascii="Times New Roman" w:hAnsi="Times New Roman" w:eastAsia="仿宋_GB2312" w:cs="Times New Roman"/>
          <w:sz w:val="32"/>
          <w:szCs w:val="32"/>
        </w:rPr>
        <w:t>办公费、水费、电费、邮电费、差旅费、维修（护）费、培训费、公务接待费、劳务费、工会经费、福利费、公务用车运行维护费、其他交通费、其他商品和服务支出</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w:t>
      </w:r>
    </w:p>
    <w:p>
      <w:pPr>
        <w:spacing w:line="600" w:lineRule="exact"/>
        <w:ind w:firstLine="640"/>
        <w:outlineLvl w:val="1"/>
        <w:rPr>
          <w:rStyle w:val="17"/>
          <w:rFonts w:hint="default" w:ascii="Times New Roman" w:hAnsi="Times New Roman" w:eastAsia="黑体" w:cs="Times New Roman"/>
          <w:b w:val="0"/>
        </w:rPr>
      </w:pPr>
      <w:bookmarkStart w:id="30" w:name="_Toc15377215"/>
      <w:bookmarkStart w:id="31" w:name="_Toc15396609"/>
      <w:r>
        <w:rPr>
          <w:rFonts w:hint="default" w:ascii="Times New Roman" w:hAnsi="Times New Roman" w:eastAsia="黑体" w:cs="Times New Roman"/>
          <w:sz w:val="32"/>
          <w:szCs w:val="32"/>
        </w:rPr>
        <w:t>七、</w:t>
      </w:r>
      <w:r>
        <w:rPr>
          <w:rStyle w:val="17"/>
          <w:rFonts w:hint="default" w:ascii="Times New Roman" w:hAnsi="Times New Roman" w:eastAsia="黑体" w:cs="Times New Roman"/>
          <w:b w:val="0"/>
        </w:rPr>
        <w:t>财政拨款</w:t>
      </w:r>
      <w:r>
        <w:rPr>
          <w:rStyle w:val="17"/>
          <w:rFonts w:hint="default" w:ascii="Times New Roman" w:hAnsi="Times New Roman" w:eastAsia="黑体" w:cs="Times New Roman"/>
        </w:rPr>
        <w:t>“</w:t>
      </w:r>
      <w:r>
        <w:rPr>
          <w:rStyle w:val="17"/>
          <w:rFonts w:hint="default" w:ascii="Times New Roman" w:hAnsi="Times New Roman" w:eastAsia="黑体" w:cs="Times New Roman"/>
          <w:b w:val="0"/>
        </w:rPr>
        <w:t>三公”经费支出决算情况说明</w:t>
      </w:r>
      <w:bookmarkEnd w:id="30"/>
      <w:bookmarkEnd w:id="31"/>
    </w:p>
    <w:p>
      <w:pPr>
        <w:spacing w:line="600" w:lineRule="exact"/>
        <w:ind w:firstLine="642" w:firstLineChars="200"/>
        <w:outlineLvl w:val="2"/>
        <w:rPr>
          <w:rFonts w:hint="default" w:ascii="Times New Roman" w:hAnsi="Times New Roman" w:eastAsia="楷体_GB2312" w:cs="Times New Roman"/>
          <w:b/>
          <w:sz w:val="32"/>
          <w:szCs w:val="32"/>
        </w:rPr>
      </w:pPr>
      <w:bookmarkStart w:id="32" w:name="_Toc15377216"/>
      <w:r>
        <w:rPr>
          <w:rFonts w:hint="default" w:ascii="Times New Roman" w:hAnsi="Times New Roman" w:eastAsia="楷体_GB2312" w:cs="Times New Roman"/>
          <w:b/>
          <w:sz w:val="32"/>
          <w:szCs w:val="32"/>
        </w:rPr>
        <w:t>（一）财政拨款“三公”经费支出决算总体情况说明</w:t>
      </w:r>
      <w:bookmarkEnd w:id="32"/>
    </w:p>
    <w:p>
      <w:pPr>
        <w:spacing w:line="600" w:lineRule="exact"/>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highlight w:val="none"/>
        </w:rPr>
        <w:t>2025年度财政拨款“三公”经费</w:t>
      </w:r>
      <w:r>
        <w:rPr>
          <w:rFonts w:hint="eastAsia" w:ascii="Times New Roman" w:hAnsi="Times New Roman" w:eastAsia="仿宋_GB2312" w:cs="Times New Roman"/>
          <w:sz w:val="32"/>
          <w:szCs w:val="32"/>
          <w:highlight w:val="none"/>
          <w:lang w:val="en-US" w:eastAsia="zh-CN"/>
        </w:rPr>
        <w:t>年初预算12.51万元，</w:t>
      </w:r>
      <w:r>
        <w:rPr>
          <w:rFonts w:hint="default" w:ascii="Times New Roman" w:hAnsi="Times New Roman" w:eastAsia="仿宋_GB2312" w:cs="Times New Roman"/>
          <w:sz w:val="32"/>
          <w:szCs w:val="32"/>
          <w:highlight w:val="none"/>
        </w:rPr>
        <w:t>支出决算为</w:t>
      </w:r>
      <w:r>
        <w:rPr>
          <w:rFonts w:hint="default" w:ascii="Times New Roman" w:hAnsi="Times New Roman" w:eastAsia="仿宋_GB2312" w:cs="Times New Roman"/>
          <w:sz w:val="32"/>
          <w:szCs w:val="32"/>
          <w:highlight w:val="none"/>
          <w:lang w:val="en-US" w:eastAsia="zh-CN"/>
        </w:rPr>
        <w:t>12.22</w:t>
      </w:r>
      <w:r>
        <w:rPr>
          <w:rFonts w:hint="default" w:ascii="Times New Roman" w:hAnsi="Times New Roman" w:eastAsia="仿宋_GB2312" w:cs="Times New Roman"/>
          <w:sz w:val="32"/>
          <w:szCs w:val="32"/>
          <w:highlight w:val="none"/>
        </w:rPr>
        <w:t>万元，完成</w:t>
      </w:r>
      <w:r>
        <w:rPr>
          <w:rFonts w:hint="eastAsia" w:ascii="Times New Roman" w:hAnsi="Times New Roman" w:eastAsia="仿宋_GB2312" w:cs="Times New Roman"/>
          <w:sz w:val="32"/>
          <w:szCs w:val="32"/>
          <w:highlight w:val="none"/>
          <w:lang w:val="en-US" w:eastAsia="zh-CN"/>
        </w:rPr>
        <w:t>年初</w:t>
      </w:r>
      <w:r>
        <w:rPr>
          <w:rFonts w:hint="default" w:ascii="Times New Roman" w:hAnsi="Times New Roman" w:eastAsia="仿宋_GB2312" w:cs="Times New Roman"/>
          <w:sz w:val="32"/>
          <w:szCs w:val="32"/>
          <w:highlight w:val="none"/>
        </w:rPr>
        <w:t>预算</w:t>
      </w:r>
      <w:r>
        <w:rPr>
          <w:rFonts w:hint="eastAsia" w:ascii="Times New Roman" w:hAnsi="Times New Roman" w:eastAsia="仿宋_GB2312" w:cs="Times New Roman"/>
          <w:sz w:val="32"/>
          <w:szCs w:val="32"/>
          <w:highlight w:val="none"/>
          <w:lang w:val="en-US" w:eastAsia="zh-CN"/>
        </w:rPr>
        <w:t>97.68</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rPr>
        <w:t>较上年度减少</w:t>
      </w:r>
      <w:r>
        <w:rPr>
          <w:rFonts w:hint="default" w:ascii="Times New Roman" w:hAnsi="Times New Roman" w:eastAsia="仿宋_GB2312" w:cs="Times New Roman"/>
          <w:sz w:val="32"/>
          <w:szCs w:val="32"/>
          <w:lang w:val="en-US" w:eastAsia="zh-CN"/>
        </w:rPr>
        <w:t>1.27</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9.41</w:t>
      </w:r>
      <w:r>
        <w:rPr>
          <w:rFonts w:hint="default" w:ascii="Times New Roman" w:hAnsi="Times New Roman" w:eastAsia="仿宋_GB2312" w:cs="Times New Roman"/>
          <w:sz w:val="32"/>
          <w:szCs w:val="32"/>
        </w:rPr>
        <w:t>%。</w:t>
      </w:r>
    </w:p>
    <w:p>
      <w:pPr>
        <w:spacing w:line="600" w:lineRule="exact"/>
        <w:ind w:firstLine="642" w:firstLineChars="200"/>
        <w:outlineLvl w:val="2"/>
        <w:rPr>
          <w:rFonts w:hint="default" w:ascii="Times New Roman" w:hAnsi="Times New Roman" w:eastAsia="楷体_GB2312" w:cs="Times New Roman"/>
          <w:b/>
          <w:sz w:val="32"/>
          <w:szCs w:val="32"/>
        </w:rPr>
      </w:pPr>
      <w:bookmarkStart w:id="33" w:name="_Toc15377217"/>
      <w:r>
        <w:rPr>
          <w:rFonts w:hint="default" w:ascii="Times New Roman" w:hAnsi="Times New Roman" w:eastAsia="楷体_GB2312" w:cs="Times New Roman"/>
          <w:b/>
          <w:sz w:val="32"/>
          <w:szCs w:val="32"/>
        </w:rPr>
        <w:t>（二）财政拨款“三公”经费支出决算具体情况说明</w:t>
      </w:r>
      <w:bookmarkEnd w:id="33"/>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2025年度财政拨款“三公”经费支出决算中，因公出国（境）费支出决算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%；公务用车购置及运行维护费支出决算</w:t>
      </w:r>
      <w:r>
        <w:rPr>
          <w:rFonts w:hint="default" w:ascii="Times New Roman" w:hAnsi="Times New Roman" w:eastAsia="仿宋_GB2312" w:cs="Times New Roman"/>
          <w:sz w:val="32"/>
          <w:szCs w:val="32"/>
          <w:lang w:val="en-US" w:eastAsia="zh-CN"/>
        </w:rPr>
        <w:t>11.75</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96.15</w:t>
      </w:r>
      <w:r>
        <w:rPr>
          <w:rFonts w:hint="default" w:ascii="Times New Roman" w:hAnsi="Times New Roman" w:eastAsia="仿宋_GB2312" w:cs="Times New Roman"/>
          <w:sz w:val="32"/>
          <w:szCs w:val="32"/>
        </w:rPr>
        <w:t>%；公务接待费支出决算</w:t>
      </w:r>
      <w:r>
        <w:rPr>
          <w:rFonts w:hint="default" w:ascii="Times New Roman" w:hAnsi="Times New Roman" w:eastAsia="仿宋_GB2312" w:cs="Times New Roman"/>
          <w:sz w:val="32"/>
          <w:szCs w:val="32"/>
          <w:lang w:val="en-US" w:eastAsia="zh-CN"/>
        </w:rPr>
        <w:t>0.47</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3.85</w:t>
      </w:r>
      <w:r>
        <w:rPr>
          <w:rFonts w:hint="default" w:ascii="Times New Roman" w:hAnsi="Times New Roman" w:eastAsia="仿宋_GB2312" w:cs="Times New Roman"/>
          <w:sz w:val="32"/>
          <w:szCs w:val="32"/>
        </w:rPr>
        <w:t>%。具体情况如下：</w:t>
      </w:r>
    </w:p>
    <w:p>
      <w:pPr>
        <w:spacing w:line="600" w:lineRule="exact"/>
        <w:ind w:firstLine="640"/>
        <w:rPr>
          <w:rFonts w:hint="default" w:ascii="Times New Roman" w:hAnsi="Times New Roman" w:cs="Times New Roman"/>
        </w:rPr>
      </w:pPr>
      <w:r>
        <w:rPr>
          <w:rFonts w:hint="default" w:ascii="Times New Roman" w:hAnsi="Times New Roman" w:eastAsia="仿宋_GB2312" w:cs="Times New Roman"/>
          <w:sz w:val="32"/>
          <w:szCs w:val="32"/>
        </w:rPr>
        <w:t>（图7：财政拨款“三公”经费支出结构）（饼状图）</w:t>
      </w: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numPr>
          <w:ilvl w:val="0"/>
          <w:numId w:val="0"/>
        </w:numPr>
        <w:spacing w:line="600" w:lineRule="exact"/>
        <w:ind w:firstLine="64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因公出国（境）经费支出</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全年安排因公出国（境）团组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次，出国（境）</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与202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年持平</w:t>
      </w:r>
      <w:r>
        <w:rPr>
          <w:rFonts w:hint="default" w:ascii="Times New Roman" w:hAnsi="Times New Roman" w:eastAsia="仿宋_GB2312" w:cs="Times New Roman"/>
          <w:sz w:val="32"/>
          <w:szCs w:val="32"/>
          <w:lang w:eastAsia="zh-CN"/>
        </w:rPr>
        <w:t>。</w:t>
      </w:r>
    </w:p>
    <w:p>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2.公务用车购置及运行维护费支出</w:t>
      </w:r>
      <w:r>
        <w:rPr>
          <w:rFonts w:hint="default" w:ascii="Times New Roman" w:hAnsi="Times New Roman" w:eastAsia="仿宋_GB2312" w:cs="Times New Roman"/>
          <w:b/>
          <w:bCs/>
          <w:sz w:val="32"/>
          <w:szCs w:val="32"/>
          <w:lang w:val="en-US" w:eastAsia="zh-CN"/>
        </w:rPr>
        <w:t>11.75</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公务用车购置及运行维护费支出决算比上年度减少</w:t>
      </w:r>
      <w:r>
        <w:rPr>
          <w:rFonts w:hint="default" w:ascii="Times New Roman" w:hAnsi="Times New Roman" w:eastAsia="仿宋_GB2312" w:cs="Times New Roman"/>
          <w:sz w:val="32"/>
          <w:szCs w:val="32"/>
          <w:lang w:val="en-US" w:eastAsia="zh-CN"/>
        </w:rPr>
        <w:t>1.16</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8.98</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节约经费，减少了车辆的维修费等支持。</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其中：公务用车购置支出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万元。全年按规定更新购置公务用车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万元。截至2025年12月31日，单位共有公务用车</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公务用车运行维护费支出</w:t>
      </w:r>
      <w:r>
        <w:rPr>
          <w:rFonts w:hint="default" w:ascii="Times New Roman" w:hAnsi="Times New Roman" w:eastAsia="仿宋_GB2312" w:cs="Times New Roman"/>
          <w:sz w:val="32"/>
          <w:szCs w:val="32"/>
          <w:lang w:val="en-US" w:eastAsia="zh-CN"/>
        </w:rPr>
        <w:t>11.75</w:t>
      </w:r>
      <w:r>
        <w:rPr>
          <w:rFonts w:hint="default" w:ascii="Times New Roman" w:hAnsi="Times New Roman" w:eastAsia="仿宋_GB2312" w:cs="Times New Roman"/>
          <w:sz w:val="32"/>
          <w:szCs w:val="32"/>
        </w:rPr>
        <w:t>万元。主要用于审判办案所需的公务用车燃料费、维修费、过路过桥费、保险费等支出。</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3.公务接待费支出</w:t>
      </w:r>
      <w:r>
        <w:rPr>
          <w:rFonts w:hint="default" w:ascii="Times New Roman" w:hAnsi="Times New Roman" w:eastAsia="仿宋_GB2312" w:cs="Times New Roman"/>
          <w:b/>
          <w:bCs/>
          <w:sz w:val="32"/>
          <w:szCs w:val="32"/>
          <w:lang w:val="en-US" w:eastAsia="zh-CN"/>
        </w:rPr>
        <w:t>0.47</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公务接待费支出决算比上年度减少</w:t>
      </w:r>
      <w:r>
        <w:rPr>
          <w:rFonts w:hint="default" w:ascii="Times New Roman" w:hAnsi="Times New Roman" w:eastAsia="仿宋_GB2312" w:cs="Times New Roman"/>
          <w:sz w:val="32"/>
          <w:szCs w:val="32"/>
          <w:lang w:val="en-US" w:eastAsia="zh-CN"/>
        </w:rPr>
        <w:t>0.03</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节约经费，减少了公务接待费的开支</w:t>
      </w:r>
      <w:r>
        <w:rPr>
          <w:rFonts w:hint="default" w:ascii="Times New Roman" w:hAnsi="Times New Roman" w:eastAsia="仿宋_GB2312" w:cs="Times New Roman"/>
          <w:sz w:val="32"/>
          <w:szCs w:val="32"/>
        </w:rPr>
        <w:t>。其中：</w:t>
      </w:r>
    </w:p>
    <w:p>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国内公务接待支出</w:t>
      </w:r>
      <w:r>
        <w:rPr>
          <w:rFonts w:hint="default" w:ascii="Times New Roman" w:hAnsi="Times New Roman" w:eastAsia="仿宋_GB2312" w:cs="Times New Roman"/>
          <w:sz w:val="32"/>
          <w:szCs w:val="32"/>
          <w:lang w:val="en-US" w:eastAsia="zh-CN"/>
        </w:rPr>
        <w:t>0.47</w:t>
      </w:r>
      <w:r>
        <w:rPr>
          <w:rFonts w:hint="default" w:ascii="Times New Roman" w:hAnsi="Times New Roman" w:eastAsia="仿宋_GB2312" w:cs="Times New Roman"/>
          <w:sz w:val="32"/>
          <w:szCs w:val="32"/>
        </w:rPr>
        <w:t>万元，主要用于执行公务</w:t>
      </w:r>
      <w:r>
        <w:rPr>
          <w:rFonts w:hint="default" w:ascii="Times New Roman" w:hAnsi="Times New Roman" w:eastAsia="仿宋_GB2312" w:cs="Times New Roman"/>
          <w:sz w:val="32"/>
          <w:szCs w:val="32"/>
          <w:lang w:val="en-US" w:eastAsia="zh-CN"/>
        </w:rPr>
        <w:t>接待</w:t>
      </w:r>
      <w:r>
        <w:rPr>
          <w:rFonts w:hint="default" w:ascii="Times New Roman" w:hAnsi="Times New Roman" w:eastAsia="仿宋_GB2312" w:cs="Times New Roman"/>
          <w:sz w:val="32"/>
          <w:szCs w:val="32"/>
        </w:rPr>
        <w:t>。国内公务接待</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43</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0.47</w:t>
      </w:r>
      <w:r>
        <w:rPr>
          <w:rFonts w:hint="default" w:ascii="Times New Roman" w:hAnsi="Times New Roman" w:eastAsia="仿宋_GB2312" w:cs="Times New Roman"/>
          <w:sz w:val="32"/>
          <w:szCs w:val="32"/>
        </w:rPr>
        <w:t>万元，具体内容包括：</w:t>
      </w:r>
      <w:r>
        <w:rPr>
          <w:rFonts w:hint="default" w:ascii="Times New Roman" w:hAnsi="Times New Roman" w:eastAsia="仿宋_GB2312" w:cs="Times New Roman"/>
          <w:sz w:val="32"/>
          <w:szCs w:val="32"/>
          <w:lang w:val="en-US" w:eastAsia="zh-CN"/>
        </w:rPr>
        <w:t>接待云南华坪法院考察学习法庭建设10人花费0.12万元；接待省法院调研“三说会堂”8人花费0.11万元；接待广安区法院审判管理</w:t>
      </w:r>
      <w:r>
        <w:rPr>
          <w:rFonts w:hint="eastAsia"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val="en-US" w:eastAsia="zh-CN"/>
        </w:rPr>
        <w:t>6人花费0.1万元；接待云南华坪法院考察学习诉服中心建设7人花费0.12万元。</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外事接待支出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万元，外事接待</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bookmarkStart w:id="34" w:name="_Toc15396610"/>
      <w:bookmarkStart w:id="35" w:name="_Toc15377218"/>
    </w:p>
    <w:p>
      <w:pPr>
        <w:spacing w:line="600" w:lineRule="exact"/>
        <w:ind w:firstLine="640"/>
        <w:outlineLvl w:val="1"/>
        <w:rPr>
          <w:rStyle w:val="17"/>
          <w:rFonts w:hint="default" w:ascii="Times New Roman" w:hAnsi="Times New Roman" w:eastAsia="黑体" w:cs="Times New Roman"/>
        </w:rPr>
      </w:pPr>
      <w:r>
        <w:rPr>
          <w:rFonts w:hint="default" w:ascii="Times New Roman" w:hAnsi="Times New Roman" w:eastAsia="黑体" w:cs="Times New Roman"/>
          <w:sz w:val="32"/>
          <w:szCs w:val="32"/>
        </w:rPr>
        <w:t>八、</w:t>
      </w:r>
      <w:r>
        <w:rPr>
          <w:rStyle w:val="17"/>
          <w:rFonts w:hint="default" w:ascii="Times New Roman" w:hAnsi="Times New Roman" w:eastAsia="黑体" w:cs="Times New Roman"/>
          <w:b w:val="0"/>
        </w:rPr>
        <w:t>政府性基金预算支出决算情况说明</w:t>
      </w:r>
      <w:bookmarkEnd w:id="34"/>
      <w:bookmarkEnd w:id="35"/>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2025年度政府性基金预算财政拨款支出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w:t>
      </w:r>
      <w:r>
        <w:rPr>
          <w:rFonts w:hint="default" w:ascii="Times New Roman" w:hAnsi="Times New Roman" w:eastAsia="仿宋_GB2312" w:cs="Times New Roman"/>
          <w:sz w:val="32"/>
          <w:szCs w:val="32"/>
          <w:lang w:val="en-US" w:eastAsia="zh-CN"/>
        </w:rPr>
        <w:t>数据持平</w:t>
      </w:r>
      <w:r>
        <w:rPr>
          <w:rFonts w:hint="default" w:ascii="Times New Roman" w:hAnsi="Times New Roman" w:eastAsia="仿宋_GB2312" w:cs="Times New Roman"/>
          <w:sz w:val="32"/>
          <w:szCs w:val="32"/>
        </w:rPr>
        <w:t>。</w:t>
      </w:r>
    </w:p>
    <w:p>
      <w:pPr>
        <w:spacing w:line="600" w:lineRule="exact"/>
        <w:ind w:left="630"/>
        <w:outlineLvl w:val="1"/>
        <w:rPr>
          <w:rStyle w:val="17"/>
          <w:rFonts w:hint="default" w:ascii="Times New Roman" w:hAnsi="Times New Roman" w:eastAsia="黑体" w:cs="Times New Roman"/>
          <w:b w:val="0"/>
        </w:rPr>
      </w:pPr>
      <w:bookmarkStart w:id="36" w:name="_Toc15377219"/>
      <w:bookmarkStart w:id="37" w:name="_Toc15396611"/>
      <w:r>
        <w:rPr>
          <w:rStyle w:val="17"/>
          <w:rFonts w:hint="default" w:ascii="Times New Roman" w:hAnsi="Times New Roman" w:eastAsia="黑体" w:cs="Times New Roman"/>
          <w:b w:val="0"/>
        </w:rPr>
        <w:t>九、国有资本经营预算支出决算情况说明</w:t>
      </w:r>
      <w:bookmarkEnd w:id="36"/>
      <w:bookmarkEnd w:id="37"/>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w:t>
      </w:r>
      <w:r>
        <w:rPr>
          <w:rFonts w:hint="default" w:ascii="Times New Roman" w:hAnsi="Times New Roman" w:eastAsia="仿宋_GB2312" w:cs="Times New Roman"/>
          <w:sz w:val="32"/>
          <w:szCs w:val="32"/>
          <w:lang w:val="en-US" w:eastAsia="zh-CN"/>
        </w:rPr>
        <w:t>数据持平</w:t>
      </w:r>
      <w:r>
        <w:rPr>
          <w:rFonts w:hint="default" w:ascii="Times New Roman" w:hAnsi="Times New Roman" w:eastAsia="仿宋_GB2312" w:cs="Times New Roman"/>
          <w:sz w:val="32"/>
          <w:szCs w:val="32"/>
        </w:rPr>
        <w:t>。</w:t>
      </w:r>
    </w:p>
    <w:p>
      <w:pPr>
        <w:spacing w:line="600" w:lineRule="exact"/>
        <w:ind w:left="630"/>
        <w:outlineLvl w:val="1"/>
        <w:rPr>
          <w:rStyle w:val="17"/>
          <w:rFonts w:hint="default" w:ascii="Times New Roman" w:hAnsi="Times New Roman" w:eastAsia="黑体" w:cs="Times New Roman"/>
          <w:b w:val="0"/>
        </w:rPr>
      </w:pPr>
      <w:bookmarkStart w:id="38" w:name="_Toc15377221"/>
      <w:bookmarkStart w:id="39" w:name="_Toc15396612"/>
      <w:r>
        <w:rPr>
          <w:rStyle w:val="17"/>
          <w:rFonts w:hint="default" w:ascii="Times New Roman" w:hAnsi="Times New Roman" w:eastAsia="黑体" w:cs="Times New Roman"/>
          <w:b w:val="0"/>
        </w:rPr>
        <w:t>十、其他重要事项的情况说明</w:t>
      </w:r>
      <w:bookmarkEnd w:id="38"/>
      <w:bookmarkEnd w:id="39"/>
    </w:p>
    <w:p>
      <w:pPr>
        <w:spacing w:line="600" w:lineRule="exact"/>
        <w:ind w:firstLine="642" w:firstLineChars="200"/>
        <w:outlineLvl w:val="2"/>
        <w:rPr>
          <w:rFonts w:hint="default" w:ascii="Times New Roman" w:hAnsi="Times New Roman" w:eastAsia="楷体_GB2312" w:cs="Times New Roman"/>
          <w:b/>
          <w:sz w:val="32"/>
          <w:szCs w:val="32"/>
        </w:rPr>
      </w:pPr>
      <w:bookmarkStart w:id="40" w:name="_Toc15377222"/>
      <w:r>
        <w:rPr>
          <w:rFonts w:hint="default" w:ascii="Times New Roman" w:hAnsi="Times New Roman" w:eastAsia="楷体_GB2312" w:cs="Times New Roman"/>
          <w:b/>
          <w:sz w:val="32"/>
          <w:szCs w:val="32"/>
        </w:rPr>
        <w:t>（一）机关运行经费支出情况</w:t>
      </w:r>
      <w:bookmarkEnd w:id="40"/>
    </w:p>
    <w:p>
      <w:pPr>
        <w:spacing w:line="600" w:lineRule="exact"/>
        <w:ind w:firstLine="640"/>
        <w:rPr>
          <w:rFonts w:hint="default" w:ascii="Times New Roman" w:hAnsi="Times New Roman" w:eastAsia="仿宋_GB2312" w:cs="Times New Roman"/>
          <w:color w:val="0000FF"/>
          <w:sz w:val="32"/>
          <w:szCs w:val="32"/>
          <w:highlight w:val="none"/>
        </w:rPr>
      </w:pPr>
      <w:r>
        <w:rPr>
          <w:rFonts w:hint="default" w:ascii="Times New Roman" w:hAnsi="Times New Roman" w:eastAsia="仿宋_GB2312" w:cs="Times New Roman"/>
          <w:sz w:val="32"/>
          <w:szCs w:val="32"/>
        </w:rPr>
        <w:t>2025年度，</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机关运行经费支出</w:t>
      </w:r>
      <w:r>
        <w:rPr>
          <w:rFonts w:hint="default" w:ascii="Times New Roman" w:hAnsi="Times New Roman" w:eastAsia="仿宋_GB2312" w:cs="Times New Roman"/>
          <w:sz w:val="32"/>
          <w:szCs w:val="32"/>
          <w:lang w:val="en-US" w:eastAsia="zh-CN"/>
        </w:rPr>
        <w:t>141.8</w:t>
      </w:r>
      <w:r>
        <w:rPr>
          <w:rFonts w:hint="default" w:ascii="Times New Roman" w:hAnsi="Times New Roman" w:eastAsia="仿宋_GB2312" w:cs="Times New Roman"/>
          <w:sz w:val="32"/>
          <w:szCs w:val="32"/>
        </w:rPr>
        <w:t>万元，比上年度增加</w:t>
      </w:r>
      <w:r>
        <w:rPr>
          <w:rFonts w:hint="default" w:ascii="Times New Roman" w:hAnsi="Times New Roman" w:eastAsia="仿宋_GB2312" w:cs="Times New Roman"/>
          <w:sz w:val="32"/>
          <w:szCs w:val="32"/>
          <w:lang w:val="en-US" w:eastAsia="zh-CN"/>
        </w:rPr>
        <w:t>1.63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1.16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主要原因是</w:t>
      </w:r>
      <w:r>
        <w:rPr>
          <w:rFonts w:hint="eastAsia" w:ascii="Times New Roman" w:hAnsi="Times New Roman" w:eastAsia="仿宋_GB2312" w:cs="Times New Roman"/>
          <w:sz w:val="32"/>
          <w:szCs w:val="32"/>
          <w:highlight w:val="none"/>
          <w:lang w:val="en-US" w:eastAsia="zh-CN"/>
        </w:rPr>
        <w:t>人员增加，公用经费相应增加</w:t>
      </w:r>
      <w:r>
        <w:rPr>
          <w:rFonts w:hint="default" w:ascii="Times New Roman" w:hAnsi="Times New Roman" w:eastAsia="仿宋_GB2312" w:cs="Times New Roman"/>
          <w:sz w:val="32"/>
          <w:szCs w:val="32"/>
          <w:highlight w:val="none"/>
          <w:lang w:val="en-US" w:eastAsia="zh-CN"/>
        </w:rPr>
        <w:t>。</w:t>
      </w:r>
    </w:p>
    <w:p>
      <w:pPr>
        <w:spacing w:line="600" w:lineRule="exact"/>
        <w:ind w:firstLine="642" w:firstLineChars="200"/>
        <w:outlineLvl w:val="2"/>
        <w:rPr>
          <w:rFonts w:hint="default" w:ascii="Times New Roman" w:hAnsi="Times New Roman" w:eastAsia="楷体_GB2312" w:cs="Times New Roman"/>
          <w:b/>
          <w:sz w:val="32"/>
          <w:szCs w:val="32"/>
        </w:rPr>
      </w:pPr>
      <w:bookmarkStart w:id="41" w:name="_Toc15377223"/>
      <w:r>
        <w:rPr>
          <w:rFonts w:hint="default" w:ascii="Times New Roman" w:hAnsi="Times New Roman" w:eastAsia="楷体_GB2312" w:cs="Times New Roman"/>
          <w:b/>
          <w:sz w:val="32"/>
          <w:szCs w:val="32"/>
        </w:rPr>
        <w:t>（二）政府采购支出情况</w:t>
      </w:r>
      <w:bookmarkEnd w:id="41"/>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政府采购支出总额</w:t>
      </w:r>
      <w:r>
        <w:rPr>
          <w:rFonts w:hint="default" w:ascii="Times New Roman" w:hAnsi="Times New Roman" w:eastAsia="仿宋_GB2312" w:cs="Times New Roman"/>
          <w:sz w:val="32"/>
          <w:szCs w:val="32"/>
          <w:lang w:val="en-US" w:eastAsia="zh-CN"/>
        </w:rPr>
        <w:t>5.73</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lang w:val="en-US" w:eastAsia="zh-CN"/>
        </w:rPr>
        <w:t>5.73</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val="en-US" w:eastAsia="zh-CN"/>
        </w:rPr>
        <w:t>车辆保险和加油费</w:t>
      </w:r>
      <w:r>
        <w:rPr>
          <w:rFonts w:hint="default" w:ascii="Times New Roman" w:hAnsi="Times New Roman" w:eastAsia="仿宋_GB2312" w:cs="Times New Roman"/>
          <w:sz w:val="32"/>
          <w:szCs w:val="32"/>
        </w:rPr>
        <w:t>。授予中小企业合同金额</w:t>
      </w:r>
      <w:r>
        <w:rPr>
          <w:rFonts w:hint="default" w:ascii="Times New Roman" w:hAnsi="Times New Roman" w:eastAsia="仿宋_GB2312" w:cs="Times New Roman"/>
          <w:sz w:val="32"/>
          <w:szCs w:val="32"/>
          <w:lang w:val="en-US" w:eastAsia="zh-CN"/>
        </w:rPr>
        <w:t>5.73</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%，其中：授予小微企业合同金额</w:t>
      </w:r>
      <w:r>
        <w:rPr>
          <w:rFonts w:hint="default" w:ascii="Times New Roman" w:hAnsi="Times New Roman" w:eastAsia="仿宋_GB2312" w:cs="Times New Roman"/>
          <w:sz w:val="32"/>
          <w:szCs w:val="32"/>
          <w:lang w:val="en-US" w:eastAsia="zh-CN"/>
        </w:rPr>
        <w:t>5.73</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p>
    <w:p>
      <w:pPr>
        <w:spacing w:line="600" w:lineRule="exact"/>
        <w:ind w:firstLine="642" w:firstLineChars="200"/>
        <w:outlineLvl w:val="2"/>
        <w:rPr>
          <w:rFonts w:hint="default" w:ascii="Times New Roman" w:hAnsi="Times New Roman" w:eastAsia="楷体_GB2312" w:cs="Times New Roman"/>
          <w:b/>
          <w:sz w:val="32"/>
          <w:szCs w:val="32"/>
        </w:rPr>
      </w:pPr>
      <w:bookmarkStart w:id="42" w:name="_Toc15377224"/>
      <w:r>
        <w:rPr>
          <w:rFonts w:hint="default" w:ascii="Times New Roman" w:hAnsi="Times New Roman" w:eastAsia="楷体_GB2312" w:cs="Times New Roman"/>
          <w:b/>
          <w:sz w:val="32"/>
          <w:szCs w:val="32"/>
        </w:rPr>
        <w:t>（三）国有资产占有使用情况</w:t>
      </w:r>
      <w:bookmarkEnd w:id="42"/>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截至2025年12月31日，</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共有车辆</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辆，其中：副部（省）级及以上领导用车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辆、主要负责人用车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辆、执法执勤用车</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辆、特种专业技术用车</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辆、离退休干部服务用车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辆、其他用车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辆。单价100万元（含）以上设备（不含车辆）</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w:t>
      </w:r>
    </w:p>
    <w:p>
      <w:pPr>
        <w:spacing w:line="600" w:lineRule="exact"/>
        <w:ind w:firstLine="642"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在2025年度，组织对人民陪审员、司法救助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办案业务费3</w:t>
      </w:r>
      <w:r>
        <w:rPr>
          <w:rFonts w:hint="default" w:ascii="Times New Roman" w:hAnsi="Times New Roman" w:eastAsia="仿宋_GB2312" w:cs="Times New Roman"/>
          <w:sz w:val="32"/>
          <w:szCs w:val="32"/>
        </w:rPr>
        <w:t>个项目涉及金额</w:t>
      </w:r>
      <w:r>
        <w:rPr>
          <w:rFonts w:hint="default"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rPr>
        <w:t>万元开展了事前绩效评估，对</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个项目编制了绩效目标，预算执行过程中，选取</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个项目开展绩效监控。</w:t>
      </w:r>
    </w:p>
    <w:p>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组织对2025年度一般公共预算全面开展绩效自评，形成</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部门预算（含部门预算项目）绩效自评报告，其中，</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部门预算（含部门预算项目）绩效自评得分为</w:t>
      </w:r>
      <w:r>
        <w:rPr>
          <w:rFonts w:hint="default" w:ascii="Times New Roman" w:hAnsi="Times New Roman" w:eastAsia="仿宋_GB2312" w:cs="Times New Roman"/>
          <w:sz w:val="32"/>
          <w:szCs w:val="32"/>
          <w:lang w:val="en-US" w:eastAsia="zh-CN"/>
        </w:rPr>
        <w:t>94.53</w:t>
      </w:r>
      <w:r>
        <w:rPr>
          <w:rFonts w:hint="default" w:ascii="Times New Roman" w:hAnsi="Times New Roman" w:eastAsia="仿宋_GB2312" w:cs="Times New Roman"/>
          <w:sz w:val="32"/>
          <w:szCs w:val="32"/>
        </w:rPr>
        <w:t>分，</w:t>
      </w:r>
      <w:r>
        <w:rPr>
          <w:rFonts w:hint="default" w:ascii="Times New Roman" w:hAnsi="Times New Roman" w:eastAsia="仿宋_GB2312" w:cs="Times New Roman"/>
          <w:sz w:val="32"/>
          <w:szCs w:val="32"/>
          <w:lang w:val="en-US" w:eastAsia="zh-CN"/>
        </w:rPr>
        <w:t>结果良好，</w:t>
      </w:r>
      <w:r>
        <w:rPr>
          <w:rFonts w:hint="default" w:ascii="Times New Roman" w:hAnsi="Times New Roman" w:eastAsia="仿宋_GB2312" w:cs="Times New Roman"/>
          <w:sz w:val="32"/>
          <w:szCs w:val="32"/>
          <w:lang w:eastAsia="zh-CN"/>
        </w:rPr>
        <w:t>202</w:t>
      </w:r>
      <w:r>
        <w:rPr>
          <w:rFonts w:hint="default" w:ascii="Times New Roman" w:hAnsi="Times New Roman" w:eastAsia="仿宋_GB2312" w:cs="Times New Roman"/>
          <w:sz w:val="32"/>
          <w:szCs w:val="32"/>
          <w:lang w:val="en-US" w:eastAsia="zh-CN"/>
        </w:rPr>
        <w:t>5年度</w:t>
      </w:r>
      <w:r>
        <w:rPr>
          <w:rFonts w:hint="default" w:ascii="Times New Roman" w:hAnsi="Times New Roman" w:eastAsia="仿宋_GB2312" w:cs="Times New Roman"/>
          <w:sz w:val="32"/>
          <w:szCs w:val="32"/>
          <w:lang w:eastAsia="zh-CN"/>
        </w:rPr>
        <w:t>整体支出在年初预算范围内，项目均严格按照财政下拨数合理安排使用，无超标准、超预算等情况发生，预算完成情况良好，</w:t>
      </w:r>
      <w:r>
        <w:rPr>
          <w:rFonts w:hint="default" w:ascii="Times New Roman" w:hAnsi="Times New Roman" w:eastAsia="仿宋_GB2312" w:cs="Times New Roman"/>
          <w:sz w:val="32"/>
          <w:szCs w:val="32"/>
        </w:rPr>
        <w:t>为</w:t>
      </w: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sz w:val="32"/>
          <w:szCs w:val="32"/>
        </w:rPr>
        <w:t>院的审判</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执行、办案等</w:t>
      </w:r>
      <w:r>
        <w:rPr>
          <w:rFonts w:hint="default" w:ascii="Times New Roman" w:hAnsi="Times New Roman" w:eastAsia="仿宋_GB2312" w:cs="Times New Roman"/>
          <w:sz w:val="32"/>
          <w:szCs w:val="32"/>
        </w:rPr>
        <w:t>工作提供了有力保障</w:t>
      </w:r>
      <w:r>
        <w:rPr>
          <w:rFonts w:hint="default" w:ascii="Times New Roman" w:hAnsi="Times New Roman" w:eastAsia="仿宋_GB2312" w:cs="Times New Roman"/>
          <w:sz w:val="32"/>
          <w:szCs w:val="32"/>
          <w:lang w:val="en-US" w:eastAsia="zh-CN"/>
        </w:rPr>
        <w:t>。</w:t>
      </w:r>
    </w:p>
    <w:p>
      <w:pPr>
        <w:pStyle w:val="2"/>
        <w:rPr>
          <w:rFonts w:hint="default" w:ascii="Times New Roman" w:hAnsi="Times New Roman" w:eastAsia="仿宋_GB2312" w:cs="Times New Roman"/>
          <w:sz w:val="32"/>
          <w:szCs w:val="32"/>
          <w:lang w:val="en-US" w:eastAsia="zh-CN"/>
        </w:rPr>
      </w:pPr>
    </w:p>
    <w:p>
      <w:pPr>
        <w:pStyle w:val="3"/>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3"/>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3"/>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3"/>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3"/>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cs="Times New Roman"/>
        </w:rPr>
      </w:pPr>
    </w:p>
    <w:p>
      <w:pPr>
        <w:pStyle w:val="3"/>
        <w:rPr>
          <w:rFonts w:hint="default" w:ascii="Times New Roman" w:hAnsi="Times New Roman" w:cs="Times New Roman"/>
        </w:rPr>
      </w:pPr>
    </w:p>
    <w:p>
      <w:pPr>
        <w:rPr>
          <w:rFonts w:hint="default" w:ascii="Times New Roman" w:hAnsi="Times New Roman" w:cs="Times New Roman"/>
        </w:rPr>
      </w:pPr>
    </w:p>
    <w:p>
      <w:pPr>
        <w:pStyle w:val="2"/>
        <w:rPr>
          <w:rFonts w:hint="default" w:ascii="Times New Roman" w:hAnsi="Times New Roman" w:cs="Times New Roman"/>
        </w:rPr>
      </w:pPr>
    </w:p>
    <w:p>
      <w:pPr>
        <w:spacing w:line="600" w:lineRule="exact"/>
        <w:ind w:firstLine="640"/>
        <w:rPr>
          <w:rFonts w:hint="default" w:ascii="Times New Roman" w:hAnsi="Times New Roman" w:eastAsia="仿宋_GB2312" w:cs="Times New Roman"/>
          <w:sz w:val="32"/>
          <w:szCs w:val="32"/>
        </w:rPr>
      </w:pPr>
    </w:p>
    <w:p>
      <w:pPr>
        <w:spacing w:line="600" w:lineRule="exact"/>
        <w:jc w:val="center"/>
        <w:outlineLvl w:val="0"/>
        <w:rPr>
          <w:rFonts w:hint="default" w:ascii="Times New Roman" w:hAnsi="Times New Roman" w:eastAsia="黑体" w:cs="Times New Roman"/>
          <w:sz w:val="44"/>
          <w:szCs w:val="44"/>
        </w:rPr>
      </w:pPr>
      <w:bookmarkStart w:id="43" w:name="_Toc15377225"/>
      <w:bookmarkStart w:id="44" w:name="_Toc15396613"/>
    </w:p>
    <w:p>
      <w:pPr>
        <w:spacing w:line="600" w:lineRule="exact"/>
        <w:jc w:val="center"/>
        <w:outlineLvl w:val="0"/>
        <w:rPr>
          <w:rFonts w:hint="default" w:ascii="Times New Roman" w:hAnsi="Times New Roman" w:eastAsia="黑体" w:cs="Times New Roman"/>
          <w:sz w:val="44"/>
          <w:szCs w:val="44"/>
        </w:rPr>
      </w:pPr>
    </w:p>
    <w:p>
      <w:pPr>
        <w:spacing w:line="600" w:lineRule="exact"/>
        <w:jc w:val="center"/>
        <w:outlineLvl w:val="0"/>
        <w:rPr>
          <w:rFonts w:hint="default" w:ascii="Times New Roman" w:hAnsi="Times New Roman" w:eastAsia="方正小标宋简体" w:cs="Times New Roman"/>
          <w:b w:val="0"/>
          <w:bCs/>
          <w:kern w:val="44"/>
          <w:sz w:val="44"/>
          <w:szCs w:val="44"/>
          <w:lang w:val="en-US" w:eastAsia="zh-CN" w:bidi="ar-SA"/>
        </w:rPr>
      </w:pPr>
      <w:r>
        <w:rPr>
          <w:rFonts w:hint="default" w:ascii="Times New Roman" w:hAnsi="Times New Roman" w:eastAsia="方正小标宋简体" w:cs="Times New Roman"/>
          <w:b w:val="0"/>
          <w:bCs/>
          <w:kern w:val="44"/>
          <w:sz w:val="44"/>
          <w:szCs w:val="44"/>
          <w:lang w:val="en-US" w:eastAsia="zh-CN" w:bidi="ar-SA"/>
        </w:rPr>
        <w:t>第三部分  名词解释</w:t>
      </w:r>
      <w:bookmarkEnd w:id="43"/>
      <w:bookmarkEnd w:id="44"/>
    </w:p>
    <w:p>
      <w:pPr>
        <w:spacing w:line="600" w:lineRule="exact"/>
        <w:jc w:val="left"/>
        <w:rPr>
          <w:rFonts w:hint="default" w:ascii="Times New Roman" w:hAnsi="Times New Roman" w:cs="Times New Roman"/>
          <w:b/>
          <w:sz w:val="44"/>
          <w:szCs w:val="44"/>
        </w:rPr>
      </w:pP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bookmarkStart w:id="45" w:name="_Toc15377226"/>
      <w:r>
        <w:rPr>
          <w:rFonts w:hint="default" w:ascii="Times New Roman" w:hAnsi="Times New Roman" w:eastAsia="仿宋_GB2312" w:cs="Times New Roman"/>
          <w:color w:val="000000"/>
          <w:kern w:val="0"/>
          <w:sz w:val="32"/>
          <w:szCs w:val="32"/>
        </w:rPr>
        <w:t>1. 财政拨款收入：指单位从同级财政部门取得的财政预算资金。</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 其他收入：指单位取得的除上述收入以外的各项收入。主要是银行存款利息等。</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 年初结转和结余：指以前年度尚未完成、结转到本年按有关规定继续使用的资金。</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 年末结转和结余：指单位按有关规定结转到下年或以后年度继续使用的资金。</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 公共安全204（类）05（款）01（项）：指行政单位的基本支出。</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cs="Times New Roman"/>
          <w:color w:val="000000"/>
          <w:sz w:val="32"/>
          <w:szCs w:val="32"/>
        </w:rPr>
        <w:t xml:space="preserve">6. </w:t>
      </w:r>
      <w:r>
        <w:rPr>
          <w:rFonts w:hint="default" w:ascii="Times New Roman" w:hAnsi="Times New Roman" w:eastAsia="仿宋_GB2312" w:cs="Times New Roman"/>
          <w:color w:val="000000"/>
          <w:sz w:val="32"/>
          <w:szCs w:val="32"/>
        </w:rPr>
        <w:t>公共安全204（类）05（款）02（项）：指行政单位的项目支出。</w:t>
      </w:r>
    </w:p>
    <w:p>
      <w:pPr>
        <w:ind w:firstLine="640" w:firstLineChars="200"/>
        <w:rPr>
          <w:rFonts w:hint="default" w:ascii="Times New Roman" w:hAnsi="Times New Roman" w:eastAsia="仿宋_GB2312" w:cs="Times New Roman"/>
        </w:rPr>
      </w:pPr>
      <w:r>
        <w:rPr>
          <w:rFonts w:hint="default" w:ascii="Times New Roman" w:hAnsi="Times New Roman" w:cs="Times New Roman"/>
          <w:color w:val="000000"/>
          <w:sz w:val="32"/>
          <w:szCs w:val="32"/>
        </w:rPr>
        <w:t xml:space="preserve">7. </w:t>
      </w:r>
      <w:r>
        <w:rPr>
          <w:rFonts w:hint="default" w:ascii="Times New Roman" w:hAnsi="Times New Roman" w:eastAsia="仿宋_GB2312" w:cs="Times New Roman"/>
          <w:color w:val="000000"/>
          <w:sz w:val="32"/>
          <w:szCs w:val="32"/>
        </w:rPr>
        <w:t>公共安全204（类）05（款）99（项）：指行政单位的其他项目支出。</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8. 社会保障和就业208（类）05（款）01（项）：指实行归口管理的行政单位开支的退休费。</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9. 社会保障和就业208（类）05（款）05（项）：指反映机关事业单位实施养老保险制度由单位缴纳的基本养老保险。</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 社会保障和就业208（类）05（款）06（项）：指反映机关事业单位缴纳的职业年金。</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11. 卫生健康210（类）11（款）01（项）：指财政部门集中安排的行政单位的基本医疗保险缴费经费。</w:t>
      </w:r>
    </w:p>
    <w:p>
      <w:pPr>
        <w:numPr>
          <w:ilvl w:val="0"/>
          <w:numId w:val="2"/>
        </w:num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卫生健康210（类）11（款）03（项）：指财政部门集中安排的行政单位的公务员医疗补助缴费。</w:t>
      </w:r>
    </w:p>
    <w:p>
      <w:pPr>
        <w:pStyle w:val="7"/>
        <w:numPr>
          <w:ilvl w:val="0"/>
          <w:numId w:val="2"/>
        </w:numPr>
        <w:spacing w:before="93"/>
        <w:ind w:firstLine="640" w:firstLineChars="200"/>
        <w:rPr>
          <w:rFonts w:hint="default" w:ascii="Times New Roman" w:hAnsi="Times New Roman" w:cs="Times New Roman"/>
          <w:color w:val="000000"/>
          <w:sz w:val="32"/>
          <w:szCs w:val="32"/>
        </w:rPr>
      </w:pPr>
      <w:r>
        <w:rPr>
          <w:rFonts w:hint="default" w:ascii="Times New Roman" w:hAnsi="Times New Roman" w:cs="Times New Roman"/>
          <w:color w:val="000000"/>
          <w:sz w:val="32"/>
          <w:szCs w:val="32"/>
        </w:rPr>
        <w:t>城乡社区212（类）08（款）02（项）：指反映不含计提和划转部分的国有土地使用权出让收入及对应专项债务收入安排的支出。</w:t>
      </w:r>
    </w:p>
    <w:p>
      <w:pPr>
        <w:pStyle w:val="7"/>
        <w:numPr>
          <w:ilvl w:val="0"/>
          <w:numId w:val="2"/>
        </w:numPr>
        <w:spacing w:before="93"/>
        <w:ind w:firstLine="640" w:firstLineChars="200"/>
        <w:rPr>
          <w:rFonts w:hint="default" w:ascii="Times New Roman" w:hAnsi="Times New Roman" w:cs="Times New Roman"/>
          <w:color w:val="000000"/>
          <w:sz w:val="32"/>
          <w:szCs w:val="32"/>
        </w:rPr>
      </w:pPr>
      <w:r>
        <w:rPr>
          <w:rFonts w:hint="default" w:ascii="Times New Roman" w:hAnsi="Times New Roman" w:cs="Times New Roman"/>
          <w:color w:val="000000"/>
          <w:sz w:val="32"/>
          <w:szCs w:val="32"/>
        </w:rPr>
        <w:t>住房保障支出221（类）02（款）01（项）：指住房改革支出—住房公积金支出。</w:t>
      </w:r>
    </w:p>
    <w:p>
      <w:pPr>
        <w:numPr>
          <w:ilvl w:val="0"/>
          <w:numId w:val="2"/>
        </w:numPr>
        <w:suppressAutoHyphens/>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基本支出：指为保障机构正常运转、完成日常工作任务而发生的人员支出和公用支出。</w:t>
      </w:r>
    </w:p>
    <w:p>
      <w:pPr>
        <w:numPr>
          <w:ilvl w:val="0"/>
          <w:numId w:val="2"/>
        </w:numPr>
        <w:suppressAutoHyphens/>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pPr>
        <w:numPr>
          <w:ilvl w:val="0"/>
          <w:numId w:val="2"/>
        </w:numPr>
        <w:suppressAutoHyphens/>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经营支出：指事业单位在专业业务活动及其辅助活动之外开展非独立核算经营活动发生的支出。</w:t>
      </w:r>
    </w:p>
    <w:p>
      <w:pPr>
        <w:pStyle w:val="18"/>
        <w:numPr>
          <w:ilvl w:val="0"/>
          <w:numId w:val="2"/>
        </w:num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8"/>
        <w:numPr>
          <w:ilvl w:val="0"/>
          <w:numId w:val="2"/>
        </w:num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default" w:ascii="Times New Roman" w:hAnsi="Times New Roman" w:eastAsia="黑体" w:cs="Times New Roman"/>
          <w:color w:val="FF0000"/>
          <w:sz w:val="32"/>
          <w:szCs w:val="32"/>
        </w:rPr>
      </w:pPr>
      <w:r>
        <w:rPr>
          <w:rFonts w:hint="default" w:ascii="Times New Roman" w:hAnsi="Times New Roman" w:eastAsia="仿宋_GB2312" w:cs="Times New Roman"/>
          <w:sz w:val="32"/>
          <w:szCs w:val="32"/>
        </w:rPr>
        <w:br w:type="page"/>
      </w:r>
      <w:bookmarkStart w:id="46" w:name="_Toc15396614"/>
      <w:r>
        <w:rPr>
          <w:rFonts w:hint="default" w:ascii="Times New Roman" w:hAnsi="Times New Roman" w:eastAsia="黑体" w:cs="Times New Roman"/>
          <w:sz w:val="44"/>
          <w:szCs w:val="44"/>
        </w:rPr>
        <w:t>第四部分  附件</w:t>
      </w:r>
      <w:bookmarkEnd w:id="46"/>
    </w:p>
    <w:p>
      <w:pPr>
        <w:pStyle w:val="2"/>
        <w:rPr>
          <w:rFonts w:hint="default" w:ascii="Times New Roman" w:hAnsi="Times New Roman" w:cs="Times New Roman"/>
        </w:rPr>
      </w:pPr>
    </w:p>
    <w:p>
      <w:pPr>
        <w:spacing w:line="572" w:lineRule="exact"/>
        <w:jc w:val="left"/>
        <w:outlineLvl w:val="0"/>
        <w:rPr>
          <w:rFonts w:hint="default" w:ascii="Times New Roman" w:hAnsi="Times New Roman" w:eastAsia="黑体" w:cs="Times New Roman"/>
          <w:sz w:val="44"/>
          <w:szCs w:val="44"/>
        </w:rPr>
      </w:pPr>
      <w:r>
        <w:rPr>
          <w:rFonts w:hint="default" w:ascii="Times New Roman" w:hAnsi="Times New Roman" w:eastAsia="黑体" w:cs="Times New Roman"/>
          <w:sz w:val="32"/>
          <w:szCs w:val="32"/>
        </w:rPr>
        <w:t>附件1</w:t>
      </w:r>
    </w:p>
    <w:p>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p>
    <w:p>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攀枝花市西区人民法院</w:t>
      </w:r>
    </w:p>
    <w:p>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部门预算绩效自评报告</w:t>
      </w:r>
    </w:p>
    <w:p>
      <w:pPr>
        <w:widowControl/>
        <w:adjustRightInd w:val="0"/>
        <w:snapToGrid w:val="0"/>
        <w:spacing w:line="578" w:lineRule="exact"/>
        <w:ind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zh-CN" w:eastAsia="zh-CN"/>
        </w:rPr>
        <w:t>一、部门（单位）基本情况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（一）机构组成</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末，我院共有9个内设机构和1个派出机构。即：综合办公室、政治部（督察室）、立案庭（诉讼服务中心）、刑事审判庭、民事审判庭（未成年人与家事案件审判庭）、行政审判庭（综合审判庭）、执行局、审判管理办公室（研究室）、司法警察大队和派出机构格里坪人民法庭。</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（二）机构职能</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根据宪法和法律的规定，我院作为国家的审判机关，负责审判辖区的刑事、民事、经济、行政案件，办理执行案件，维护社会稳定，为辖区的经济建设提供法律保证和法制服务。</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（三）人员概况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zh-CN" w:eastAsia="zh-CN"/>
        </w:rPr>
        <w:t>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年末，全院共有在职员工8</w:t>
      </w:r>
      <w:r>
        <w:rPr>
          <w:rFonts w:hint="default"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lang w:val="zh-CN" w:eastAsia="zh-CN"/>
        </w:rPr>
        <w:t>人，其中在职干警</w:t>
      </w:r>
      <w:r>
        <w:rPr>
          <w:rFonts w:hint="default" w:ascii="Times New Roman" w:hAnsi="Times New Roman" w:eastAsia="仿宋_GB2312" w:cs="Times New Roman"/>
          <w:color w:val="000000"/>
          <w:kern w:val="0"/>
          <w:sz w:val="32"/>
          <w:szCs w:val="32"/>
          <w:lang w:val="en-US" w:eastAsia="zh-CN"/>
        </w:rPr>
        <w:t>54</w:t>
      </w:r>
      <w:r>
        <w:rPr>
          <w:rFonts w:hint="default" w:ascii="Times New Roman" w:hAnsi="Times New Roman" w:eastAsia="仿宋_GB2312" w:cs="Times New Roman"/>
          <w:color w:val="000000"/>
          <w:kern w:val="0"/>
          <w:sz w:val="32"/>
          <w:szCs w:val="32"/>
          <w:lang w:val="zh-CN" w:eastAsia="zh-CN"/>
        </w:rPr>
        <w:t>人、区临聘人员</w:t>
      </w:r>
      <w:r>
        <w:rPr>
          <w:rFonts w:hint="default" w:ascii="Times New Roman" w:hAnsi="Times New Roman" w:eastAsia="仿宋_GB2312" w:cs="Times New Roman"/>
          <w:color w:val="000000"/>
          <w:kern w:val="0"/>
          <w:sz w:val="32"/>
          <w:szCs w:val="32"/>
          <w:lang w:val="en-US" w:eastAsia="zh-CN"/>
        </w:rPr>
        <w:t>7</w:t>
      </w:r>
      <w:r>
        <w:rPr>
          <w:rFonts w:hint="default" w:ascii="Times New Roman" w:hAnsi="Times New Roman" w:eastAsia="仿宋_GB2312" w:cs="Times New Roman"/>
          <w:color w:val="000000"/>
          <w:kern w:val="0"/>
          <w:sz w:val="32"/>
          <w:szCs w:val="32"/>
          <w:lang w:val="zh-CN" w:eastAsia="zh-CN"/>
        </w:rPr>
        <w:t>人、聘用制书记员19人、劳务派遣人员</w:t>
      </w:r>
      <w:r>
        <w:rPr>
          <w:rFonts w:hint="default"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lang w:val="zh-CN" w:eastAsia="zh-CN"/>
        </w:rPr>
        <w:t>人。</w:t>
      </w:r>
      <w:r>
        <w:rPr>
          <w:rFonts w:hint="default" w:ascii="Times New Roman" w:hAnsi="Times New Roman" w:eastAsia="仿宋_GB2312" w:cs="Times New Roman"/>
          <w:color w:val="000000"/>
          <w:kern w:val="0"/>
          <w:sz w:val="32"/>
          <w:szCs w:val="32"/>
          <w:lang w:val="en-US" w:eastAsia="zh-CN"/>
        </w:rPr>
        <w:t>院领导班子成员6人，审判委员会委员9人，部门负责人10人，党员37人，法官18人。</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二、部门资金收支情况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（一）收入情况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攀枝花市西区人民法院202</w:t>
      </w:r>
      <w:r>
        <w:rPr>
          <w:rFonts w:hint="default" w:ascii="Times New Roman" w:hAnsi="Times New Roman" w:eastAsia="仿宋_GB2312" w:cs="Times New Roman"/>
          <w:color w:val="000000"/>
          <w:kern w:val="0"/>
          <w:sz w:val="32"/>
          <w:szCs w:val="32"/>
          <w:lang w:val="en-US" w:eastAsia="zh-CN"/>
        </w:rPr>
        <w:t>5年年初预算收入1248.04万元，决算报表收入1833.04万元，决算收入较预算收入增长585万元，增幅31.81%。</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（二）支出情况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zh-CN" w:eastAsia="zh-CN"/>
        </w:rPr>
        <w:t>攀枝花市西区人民法院202</w:t>
      </w:r>
      <w:r>
        <w:rPr>
          <w:rFonts w:hint="default" w:ascii="Times New Roman" w:hAnsi="Times New Roman" w:eastAsia="仿宋_GB2312" w:cs="Times New Roman"/>
          <w:color w:val="000000"/>
          <w:kern w:val="0"/>
          <w:sz w:val="32"/>
          <w:szCs w:val="32"/>
          <w:lang w:val="en-US" w:eastAsia="zh-CN"/>
        </w:rPr>
        <w:t>5年年初预算支出1248.04万元，决算报表支出1833.04万元，决算支出较预算支出增长585万元，增31.81%。2025年财政预算资金保障了我院各项工作的经费开支，为各项工作提供了重要保障。一年来，我院狠抓审判执行第一要务，受理案件3972件，结案3704件，分别同比上升8.08%、6.93%，审判质量管理指标达标率100%，55个集体和个人荣获市级以上表彰表扬。我院围绕“努力让人民群众在每一个司法案件中感受到公平正义”的目标，做实为大局服务、为人民司法，以高质量司法支撑和服务共同富裕试验区建设。</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（三）结余分配和结转结余情况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攀枝花市西区人民法院202</w:t>
      </w:r>
      <w:r>
        <w:rPr>
          <w:rFonts w:hint="default" w:ascii="Times New Roman" w:hAnsi="Times New Roman" w:eastAsia="仿宋_GB2312" w:cs="Times New Roman"/>
          <w:color w:val="000000"/>
          <w:kern w:val="0"/>
          <w:sz w:val="32"/>
          <w:szCs w:val="32"/>
          <w:lang w:val="en-US" w:eastAsia="zh-CN"/>
        </w:rPr>
        <w:t>5年决算报表无结转结余情况。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三、部门预算绩效分析</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（一）部门预算总体绩效分析</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1.履职效能。我院绩效评价开展严格按照区财政有关规定执行，年初设定可考核的目标值并努力完成各项指标。一是数量指标：202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年受理诉讼案件</w:t>
      </w:r>
      <w:r>
        <w:rPr>
          <w:rFonts w:hint="default" w:ascii="Times New Roman" w:hAnsi="Times New Roman" w:eastAsia="仿宋_GB2312" w:cs="Times New Roman"/>
          <w:color w:val="000000"/>
          <w:kern w:val="0"/>
          <w:sz w:val="32"/>
          <w:szCs w:val="32"/>
          <w:lang w:val="en-US" w:eastAsia="zh-CN"/>
        </w:rPr>
        <w:t>3972</w:t>
      </w:r>
      <w:r>
        <w:rPr>
          <w:rFonts w:hint="default" w:ascii="Times New Roman" w:hAnsi="Times New Roman" w:eastAsia="仿宋_GB2312" w:cs="Times New Roman"/>
          <w:color w:val="000000"/>
          <w:kern w:val="0"/>
          <w:sz w:val="32"/>
          <w:szCs w:val="32"/>
          <w:lang w:val="zh-CN" w:eastAsia="zh-CN"/>
        </w:rPr>
        <w:t>件、诉讼案件结案数量</w:t>
      </w:r>
      <w:r>
        <w:rPr>
          <w:rFonts w:hint="default" w:ascii="Times New Roman" w:hAnsi="Times New Roman" w:eastAsia="仿宋_GB2312" w:cs="Times New Roman"/>
          <w:color w:val="000000"/>
          <w:kern w:val="0"/>
          <w:sz w:val="32"/>
          <w:szCs w:val="32"/>
          <w:lang w:val="en-US" w:eastAsia="zh-CN"/>
        </w:rPr>
        <w:t>3704件</w:t>
      </w:r>
      <w:r>
        <w:rPr>
          <w:rFonts w:hint="default" w:ascii="Times New Roman" w:hAnsi="Times New Roman" w:eastAsia="仿宋_GB2312" w:cs="Times New Roman"/>
          <w:color w:val="000000"/>
          <w:kern w:val="0"/>
          <w:sz w:val="32"/>
          <w:szCs w:val="32"/>
          <w:lang w:val="zh-CN" w:eastAsia="zh-CN"/>
        </w:rPr>
        <w:t>、受理执行案件</w:t>
      </w:r>
      <w:r>
        <w:rPr>
          <w:rFonts w:hint="default" w:ascii="Times New Roman" w:hAnsi="Times New Roman" w:eastAsia="仿宋_GB2312" w:cs="Times New Roman"/>
          <w:color w:val="000000"/>
          <w:kern w:val="0"/>
          <w:sz w:val="32"/>
          <w:szCs w:val="32"/>
          <w:lang w:val="en-US" w:eastAsia="zh-CN"/>
        </w:rPr>
        <w:t>1443件</w:t>
      </w:r>
      <w:r>
        <w:rPr>
          <w:rFonts w:hint="default" w:ascii="Times New Roman" w:hAnsi="Times New Roman" w:eastAsia="仿宋_GB2312" w:cs="Times New Roman"/>
          <w:color w:val="000000"/>
          <w:kern w:val="0"/>
          <w:sz w:val="32"/>
          <w:szCs w:val="32"/>
          <w:lang w:val="zh-CN" w:eastAsia="zh-CN"/>
        </w:rPr>
        <w:t>、办结执行案件</w:t>
      </w:r>
      <w:r>
        <w:rPr>
          <w:rFonts w:hint="default" w:ascii="Times New Roman" w:hAnsi="Times New Roman" w:eastAsia="仿宋_GB2312" w:cs="Times New Roman"/>
          <w:color w:val="000000"/>
          <w:kern w:val="0"/>
          <w:sz w:val="32"/>
          <w:szCs w:val="32"/>
          <w:lang w:val="en-US" w:eastAsia="zh-CN"/>
        </w:rPr>
        <w:t>1315件</w:t>
      </w:r>
      <w:r>
        <w:rPr>
          <w:rFonts w:hint="default" w:ascii="Times New Roman" w:hAnsi="Times New Roman" w:eastAsia="仿宋_GB2312" w:cs="Times New Roman"/>
          <w:color w:val="000000"/>
          <w:kern w:val="0"/>
          <w:sz w:val="32"/>
          <w:szCs w:val="32"/>
          <w:lang w:val="zh-CN" w:eastAsia="zh-CN"/>
        </w:rPr>
        <w:t>、法官人均结案数</w:t>
      </w:r>
      <w:r>
        <w:rPr>
          <w:rFonts w:hint="default" w:ascii="Times New Roman" w:hAnsi="Times New Roman" w:eastAsia="仿宋_GB2312" w:cs="Times New Roman"/>
          <w:color w:val="000000"/>
          <w:kern w:val="0"/>
          <w:sz w:val="32"/>
          <w:szCs w:val="32"/>
          <w:lang w:val="en-US" w:eastAsia="zh-CN"/>
        </w:rPr>
        <w:t>328件</w:t>
      </w:r>
      <w:r>
        <w:rPr>
          <w:rFonts w:hint="default" w:ascii="Times New Roman" w:hAnsi="Times New Roman" w:eastAsia="仿宋_GB2312" w:cs="Times New Roman"/>
          <w:color w:val="000000"/>
          <w:kern w:val="0"/>
          <w:sz w:val="32"/>
          <w:szCs w:val="32"/>
          <w:lang w:val="zh-CN" w:eastAsia="zh-CN"/>
        </w:rPr>
        <w:t>。二是质量指标：首执案件执行</w:t>
      </w:r>
      <w:r>
        <w:rPr>
          <w:rFonts w:hint="default" w:ascii="Times New Roman" w:hAnsi="Times New Roman" w:eastAsia="仿宋_GB2312" w:cs="Times New Roman"/>
          <w:color w:val="000000"/>
          <w:kern w:val="0"/>
          <w:sz w:val="32"/>
          <w:szCs w:val="32"/>
          <w:lang w:val="en-US" w:eastAsia="zh-CN"/>
        </w:rPr>
        <w:t>到位率57.02%、一审裁判被改判率0.79%、一审裁判被发回重审率0.18%。</w:t>
      </w:r>
      <w:r>
        <w:rPr>
          <w:rFonts w:hint="default" w:ascii="Times New Roman" w:hAnsi="Times New Roman" w:eastAsia="仿宋_GB2312" w:cs="Times New Roman"/>
          <w:color w:val="000000"/>
          <w:kern w:val="0"/>
          <w:sz w:val="32"/>
          <w:szCs w:val="32"/>
          <w:lang w:val="zh-CN" w:eastAsia="zh-CN"/>
        </w:rPr>
        <w:t>三是时效指标：数量指标完成时限202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年内、审限内结案率</w:t>
      </w:r>
      <w:r>
        <w:rPr>
          <w:rFonts w:hint="default" w:ascii="Times New Roman" w:hAnsi="Times New Roman" w:eastAsia="仿宋_GB2312" w:cs="Times New Roman"/>
          <w:color w:val="000000"/>
          <w:kern w:val="0"/>
          <w:sz w:val="32"/>
          <w:szCs w:val="32"/>
          <w:lang w:val="en-US" w:eastAsia="zh-CN"/>
        </w:rPr>
        <w:t>96.44</w:t>
      </w:r>
      <w:r>
        <w:rPr>
          <w:rFonts w:hint="default" w:ascii="Times New Roman" w:hAnsi="Times New Roman" w:eastAsia="仿宋_GB2312" w:cs="Times New Roman"/>
          <w:color w:val="000000"/>
          <w:kern w:val="0"/>
          <w:sz w:val="32"/>
          <w:szCs w:val="32"/>
          <w:lang w:val="zh-CN" w:eastAsia="zh-CN"/>
        </w:rPr>
        <w:t>%、平均</w:t>
      </w:r>
      <w:r>
        <w:rPr>
          <w:rFonts w:hint="default" w:ascii="Times New Roman" w:hAnsi="Times New Roman" w:eastAsia="仿宋_GB2312" w:cs="Times New Roman"/>
          <w:color w:val="000000"/>
          <w:kern w:val="0"/>
          <w:sz w:val="32"/>
          <w:szCs w:val="32"/>
          <w:lang w:val="en-US" w:eastAsia="zh-CN"/>
        </w:rPr>
        <w:t>结案时间47.46</w:t>
      </w:r>
      <w:r>
        <w:rPr>
          <w:rFonts w:hint="default" w:ascii="Times New Roman" w:hAnsi="Times New Roman" w:eastAsia="仿宋_GB2312" w:cs="Times New Roman"/>
          <w:color w:val="000000"/>
          <w:kern w:val="0"/>
          <w:sz w:val="32"/>
          <w:szCs w:val="32"/>
          <w:lang w:val="zh-CN" w:eastAsia="zh-CN"/>
        </w:rPr>
        <w:t>天。四是服务对象满意度指标：</w:t>
      </w:r>
      <w:r>
        <w:rPr>
          <w:rFonts w:hint="default" w:ascii="Times New Roman" w:hAnsi="Times New Roman" w:eastAsia="仿宋_GB2312" w:cs="Times New Roman"/>
          <w:color w:val="000000"/>
          <w:kern w:val="0"/>
          <w:sz w:val="32"/>
          <w:szCs w:val="32"/>
          <w:lang w:val="en-US" w:eastAsia="zh-CN"/>
        </w:rPr>
        <w:t>服</w:t>
      </w:r>
      <w:r>
        <w:rPr>
          <w:rFonts w:hint="default" w:ascii="Times New Roman" w:hAnsi="Times New Roman" w:eastAsia="仿宋_GB2312" w:cs="Times New Roman"/>
          <w:color w:val="000000"/>
          <w:kern w:val="0"/>
          <w:sz w:val="32"/>
          <w:szCs w:val="32"/>
          <w:lang w:val="zh-CN" w:eastAsia="zh-CN"/>
        </w:rPr>
        <w:t>判息诉率</w:t>
      </w:r>
      <w:r>
        <w:rPr>
          <w:rFonts w:hint="default" w:ascii="Times New Roman" w:hAnsi="Times New Roman" w:eastAsia="仿宋_GB2312" w:cs="Times New Roman"/>
          <w:color w:val="000000"/>
          <w:kern w:val="0"/>
          <w:sz w:val="32"/>
          <w:szCs w:val="32"/>
          <w:lang w:val="en-US" w:eastAsia="zh-CN"/>
        </w:rPr>
        <w:t>92.68</w:t>
      </w:r>
      <w:r>
        <w:rPr>
          <w:rFonts w:hint="default" w:ascii="Times New Roman" w:hAnsi="Times New Roman" w:eastAsia="仿宋_GB2312" w:cs="Times New Roman"/>
          <w:color w:val="000000"/>
          <w:kern w:val="0"/>
          <w:sz w:val="32"/>
          <w:szCs w:val="32"/>
          <w:lang w:val="zh-CN" w:eastAsia="zh-CN"/>
        </w:rPr>
        <w:t>%以上，社会满意度测评-总体满意度90%以上。</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lang w:val="zh-CN" w:eastAsia="zh-CN"/>
        </w:rPr>
        <w:t>预算管理。</w:t>
      </w:r>
      <w:r>
        <w:rPr>
          <w:rFonts w:hint="default" w:ascii="Times New Roman" w:hAnsi="Times New Roman" w:eastAsia="仿宋_GB2312" w:cs="Times New Roman"/>
          <w:color w:val="000000"/>
          <w:kern w:val="0"/>
          <w:sz w:val="32"/>
          <w:szCs w:val="32"/>
          <w:lang w:val="en-US" w:eastAsia="zh-CN"/>
        </w:rPr>
        <w:t>2025年度我院保质保量的完成了预算编制工作，年初根据单位每年各项支出统筹细化科目。在执行预算过程中，严格各项经费开支，特别是严控“三公经费”等支出。一年来及时申请计划、录入支付，在市财政保障的支付额度中尽量提升支出执行进度，年末无结转结余资金。</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zh-CN" w:eastAsia="zh-CN"/>
        </w:rPr>
        <w:t>财务管理。</w:t>
      </w:r>
      <w:r>
        <w:rPr>
          <w:rFonts w:hint="default" w:ascii="Times New Roman" w:hAnsi="Times New Roman" w:eastAsia="仿宋_GB2312" w:cs="Times New Roman"/>
          <w:color w:val="000000"/>
          <w:kern w:val="0"/>
          <w:sz w:val="32"/>
          <w:szCs w:val="32"/>
          <w:lang w:val="en-US" w:eastAsia="zh-CN"/>
        </w:rPr>
        <w:t>遵守《会计法》，维护财经纪律，遵守职业道德，做到廉洁奉公、坚持原则、实事求是、一丝不苟。财务人员能够熟悉掌握财务制度、会计制度和有关法律法规，遵守各项收费制度、费用开支范围和开支标准，保证专款专用。按照会计制度，审核各类凭证，做到凭证合法、内容真实、数据准确、手续完备；账目健全、及时记账算账、按时结账、如期报账、定期对账，保证所提供的会计信息合法、真实、准确、及时、完整。</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4.</w:t>
      </w:r>
      <w:r>
        <w:rPr>
          <w:rFonts w:hint="default" w:ascii="Times New Roman" w:hAnsi="Times New Roman" w:eastAsia="仿宋_GB2312" w:cs="Times New Roman"/>
          <w:color w:val="000000"/>
          <w:kern w:val="0"/>
          <w:sz w:val="32"/>
          <w:szCs w:val="32"/>
          <w:lang w:val="zh-CN" w:eastAsia="zh-CN"/>
        </w:rPr>
        <w:t>资产管理。</w:t>
      </w:r>
      <w:r>
        <w:rPr>
          <w:rFonts w:hint="default" w:ascii="Times New Roman" w:hAnsi="Times New Roman" w:eastAsia="仿宋_GB2312" w:cs="Times New Roman"/>
          <w:color w:val="000000"/>
          <w:kern w:val="0"/>
          <w:sz w:val="32"/>
          <w:szCs w:val="32"/>
          <w:lang w:val="en-US" w:eastAsia="zh-CN"/>
        </w:rPr>
        <w:t>依据《行政事业性国有资产管理条例》，依托信息化系统，明确资产管理部门，实行“谁使用、谁负责”，实行台账式管理各项资产。</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采购管理。</w:t>
      </w:r>
      <w:r>
        <w:rPr>
          <w:rFonts w:hint="default" w:ascii="Times New Roman" w:hAnsi="Times New Roman" w:eastAsia="仿宋_GB2312" w:cs="Times New Roman"/>
          <w:color w:val="000000"/>
          <w:kern w:val="0"/>
          <w:sz w:val="32"/>
          <w:szCs w:val="32"/>
          <w:lang w:val="en-US" w:eastAsia="zh-CN"/>
        </w:rPr>
        <w:t>我院严格按照固定资产采购程序及要求完成采购工作，流程规范，紧扣“合规、高效、实用”原则，严禁超预算、超规格采购。</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（二）部门预算项目绩效分析。</w:t>
      </w:r>
      <w:r>
        <w:rPr>
          <w:rFonts w:hint="default" w:ascii="Times New Roman" w:hAnsi="Times New Roman" w:eastAsia="仿宋_GB2312" w:cs="Times New Roman"/>
          <w:color w:val="000000"/>
          <w:kern w:val="0"/>
          <w:sz w:val="32"/>
          <w:szCs w:val="32"/>
          <w:lang w:val="en-US" w:eastAsia="zh-CN"/>
        </w:rPr>
        <w:t>常年项目绩效分析。</w:t>
      </w:r>
      <w:r>
        <w:rPr>
          <w:rFonts w:hint="default" w:ascii="Times New Roman" w:hAnsi="Times New Roman" w:eastAsia="仿宋_GB2312" w:cs="Times New Roman"/>
          <w:color w:val="000000"/>
          <w:kern w:val="0"/>
          <w:sz w:val="32"/>
          <w:szCs w:val="32"/>
          <w:lang w:val="zh-CN" w:eastAsia="zh-CN"/>
        </w:rPr>
        <w:t>该类项目总数</w:t>
      </w: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zh-CN" w:eastAsia="zh-CN"/>
        </w:rPr>
        <w:t>个，涉及预算总金额</w:t>
      </w:r>
      <w:r>
        <w:rPr>
          <w:rFonts w:hint="default" w:ascii="Times New Roman" w:hAnsi="Times New Roman" w:eastAsia="仿宋_GB2312" w:cs="Times New Roman"/>
          <w:color w:val="000000"/>
          <w:kern w:val="0"/>
          <w:sz w:val="32"/>
          <w:szCs w:val="32"/>
          <w:lang w:val="en-US" w:eastAsia="zh-CN"/>
        </w:rPr>
        <w:t>25</w:t>
      </w:r>
      <w:r>
        <w:rPr>
          <w:rFonts w:hint="default" w:ascii="Times New Roman" w:hAnsi="Times New Roman" w:eastAsia="仿宋_GB2312" w:cs="Times New Roman"/>
          <w:color w:val="000000"/>
          <w:kern w:val="0"/>
          <w:sz w:val="32"/>
          <w:szCs w:val="32"/>
          <w:lang w:val="zh-CN" w:eastAsia="zh-CN"/>
        </w:rPr>
        <w:t>万元，1—1</w:t>
      </w: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lang w:val="zh-CN" w:eastAsia="zh-CN"/>
        </w:rPr>
        <w:t>月预算执行总体进度为</w:t>
      </w:r>
      <w:r>
        <w:rPr>
          <w:rFonts w:hint="default" w:ascii="Times New Roman" w:hAnsi="Times New Roman" w:eastAsia="仿宋_GB2312" w:cs="Times New Roman"/>
          <w:color w:val="000000"/>
          <w:kern w:val="0"/>
          <w:sz w:val="32"/>
          <w:szCs w:val="32"/>
          <w:lang w:val="en-US" w:eastAsia="zh-CN"/>
        </w:rPr>
        <w:t>94.4</w:t>
      </w:r>
      <w:r>
        <w:rPr>
          <w:rFonts w:hint="default" w:ascii="Times New Roman" w:hAnsi="Times New Roman" w:eastAsia="仿宋_GB2312" w:cs="Times New Roman"/>
          <w:color w:val="000000"/>
          <w:kern w:val="0"/>
          <w:sz w:val="32"/>
          <w:szCs w:val="32"/>
          <w:lang w:val="zh-CN" w:eastAsia="zh-CN"/>
        </w:rPr>
        <w:t>%，其中：预算结余率大于</w:t>
      </w:r>
      <w:r>
        <w:rPr>
          <w:rFonts w:hint="default" w:ascii="Times New Roman" w:hAnsi="Times New Roman" w:eastAsia="仿宋_GB2312" w:cs="Times New Roman"/>
          <w:color w:val="000000"/>
          <w:kern w:val="0"/>
          <w:sz w:val="32"/>
          <w:szCs w:val="32"/>
          <w:lang w:val="en-US" w:eastAsia="zh-CN"/>
        </w:rPr>
        <w:t>100%</w:t>
      </w:r>
      <w:r>
        <w:rPr>
          <w:rFonts w:hint="default" w:ascii="Times New Roman" w:hAnsi="Times New Roman" w:eastAsia="仿宋_GB2312" w:cs="Times New Roman"/>
          <w:color w:val="000000"/>
          <w:kern w:val="0"/>
          <w:sz w:val="32"/>
          <w:szCs w:val="32"/>
          <w:lang w:val="zh-CN" w:eastAsia="zh-CN"/>
        </w:rPr>
        <w:t>的项目共计</w:t>
      </w:r>
      <w:r>
        <w:rPr>
          <w:rFonts w:hint="default" w:ascii="Times New Roman" w:hAnsi="Times New Roman" w:eastAsia="仿宋_GB2312" w:cs="Times New Roman"/>
          <w:color w:val="000000"/>
          <w:kern w:val="0"/>
          <w:sz w:val="32"/>
          <w:szCs w:val="32"/>
          <w:lang w:val="en-US" w:eastAsia="zh-CN"/>
        </w:rPr>
        <w:t>1</w:t>
      </w:r>
      <w:r>
        <w:rPr>
          <w:rFonts w:hint="default" w:ascii="Times New Roman" w:hAnsi="Times New Roman" w:eastAsia="仿宋_GB2312" w:cs="Times New Roman"/>
          <w:color w:val="000000"/>
          <w:kern w:val="0"/>
          <w:sz w:val="32"/>
          <w:szCs w:val="32"/>
          <w:lang w:val="zh-CN" w:eastAsia="zh-CN"/>
        </w:rPr>
        <w:t>个。</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阶段（含一次性）项目绩效分析。</w:t>
      </w:r>
      <w:r>
        <w:rPr>
          <w:rFonts w:hint="default" w:ascii="Times New Roman" w:hAnsi="Times New Roman" w:eastAsia="仿宋_GB2312" w:cs="Times New Roman"/>
          <w:color w:val="000000"/>
          <w:kern w:val="0"/>
          <w:sz w:val="32"/>
          <w:szCs w:val="32"/>
          <w:lang w:val="zh-CN" w:eastAsia="zh-CN"/>
        </w:rPr>
        <w:t>该类项目总数</w:t>
      </w:r>
      <w:r>
        <w:rPr>
          <w:rFonts w:hint="default" w:ascii="Times New Roman" w:hAnsi="Times New Roman" w:eastAsia="仿宋_GB2312" w:cs="Times New Roman"/>
          <w:color w:val="000000"/>
          <w:kern w:val="0"/>
          <w:sz w:val="32"/>
          <w:szCs w:val="32"/>
          <w:lang w:val="en-US" w:eastAsia="zh-CN"/>
        </w:rPr>
        <w:t>0</w:t>
      </w:r>
      <w:r>
        <w:rPr>
          <w:rFonts w:hint="default" w:ascii="Times New Roman" w:hAnsi="Times New Roman" w:eastAsia="仿宋_GB2312" w:cs="Times New Roman"/>
          <w:color w:val="000000"/>
          <w:kern w:val="0"/>
          <w:sz w:val="32"/>
          <w:szCs w:val="32"/>
          <w:lang w:val="zh-CN" w:eastAsia="zh-CN"/>
        </w:rPr>
        <w:t>个，涉及预算总金额</w:t>
      </w:r>
      <w:r>
        <w:rPr>
          <w:rFonts w:hint="default" w:ascii="Times New Roman" w:hAnsi="Times New Roman" w:eastAsia="仿宋_GB2312" w:cs="Times New Roman"/>
          <w:color w:val="000000"/>
          <w:kern w:val="0"/>
          <w:sz w:val="32"/>
          <w:szCs w:val="32"/>
          <w:lang w:val="en-US" w:eastAsia="zh-CN"/>
        </w:rPr>
        <w:t>0</w:t>
      </w:r>
      <w:r>
        <w:rPr>
          <w:rFonts w:hint="default" w:ascii="Times New Roman" w:hAnsi="Times New Roman" w:eastAsia="仿宋_GB2312" w:cs="Times New Roman"/>
          <w:color w:val="000000"/>
          <w:kern w:val="0"/>
          <w:sz w:val="32"/>
          <w:szCs w:val="32"/>
          <w:lang w:val="zh-CN" w:eastAsia="zh-CN"/>
        </w:rPr>
        <w:t>万元，1—1</w:t>
      </w: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lang w:val="zh-CN" w:eastAsia="zh-CN"/>
        </w:rPr>
        <w:t>月预算执行总体进度为</w:t>
      </w:r>
      <w:r>
        <w:rPr>
          <w:rFonts w:hint="default" w:ascii="Times New Roman" w:hAnsi="Times New Roman" w:eastAsia="仿宋_GB2312" w:cs="Times New Roman"/>
          <w:color w:val="000000"/>
          <w:kern w:val="0"/>
          <w:sz w:val="32"/>
          <w:szCs w:val="32"/>
          <w:lang w:val="en-US" w:eastAsia="zh-CN"/>
        </w:rPr>
        <w:t>0</w:t>
      </w:r>
      <w:r>
        <w:rPr>
          <w:rFonts w:hint="default" w:ascii="Times New Roman" w:hAnsi="Times New Roman" w:eastAsia="仿宋_GB2312" w:cs="Times New Roman"/>
          <w:color w:val="000000"/>
          <w:kern w:val="0"/>
          <w:sz w:val="32"/>
          <w:szCs w:val="32"/>
          <w:lang w:val="zh-CN" w:eastAsia="zh-CN"/>
        </w:rPr>
        <w:t>%，其中：预算结余率大于</w:t>
      </w:r>
      <w:r>
        <w:rPr>
          <w:rFonts w:hint="default" w:ascii="Times New Roman" w:hAnsi="Times New Roman" w:eastAsia="仿宋_GB2312" w:cs="Times New Roman"/>
          <w:color w:val="000000"/>
          <w:kern w:val="0"/>
          <w:sz w:val="32"/>
          <w:szCs w:val="32"/>
          <w:lang w:val="en-US" w:eastAsia="zh-CN"/>
        </w:rPr>
        <w:t>10%</w:t>
      </w:r>
      <w:r>
        <w:rPr>
          <w:rFonts w:hint="default" w:ascii="Times New Roman" w:hAnsi="Times New Roman" w:eastAsia="仿宋_GB2312" w:cs="Times New Roman"/>
          <w:color w:val="000000"/>
          <w:kern w:val="0"/>
          <w:sz w:val="32"/>
          <w:szCs w:val="32"/>
          <w:lang w:val="zh-CN" w:eastAsia="zh-CN"/>
        </w:rPr>
        <w:t>的项目共计</w:t>
      </w:r>
      <w:r>
        <w:rPr>
          <w:rFonts w:hint="default" w:ascii="Times New Roman" w:hAnsi="Times New Roman" w:eastAsia="仿宋_GB2312" w:cs="Times New Roman"/>
          <w:color w:val="000000"/>
          <w:kern w:val="0"/>
          <w:sz w:val="32"/>
          <w:szCs w:val="32"/>
          <w:lang w:val="en-US" w:eastAsia="zh-CN"/>
        </w:rPr>
        <w:t>0</w:t>
      </w:r>
      <w:r>
        <w:rPr>
          <w:rFonts w:hint="default" w:ascii="Times New Roman" w:hAnsi="Times New Roman" w:eastAsia="仿宋_GB2312" w:cs="Times New Roman"/>
          <w:color w:val="000000"/>
          <w:kern w:val="0"/>
          <w:sz w:val="32"/>
          <w:szCs w:val="32"/>
          <w:lang w:val="zh-CN" w:eastAsia="zh-CN"/>
        </w:rPr>
        <w:t>个。</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1.</w:t>
      </w:r>
      <w:r>
        <w:rPr>
          <w:rFonts w:hint="default" w:ascii="Times New Roman" w:hAnsi="Times New Roman" w:eastAsia="仿宋_GB2312" w:cs="Times New Roman"/>
          <w:color w:val="000000"/>
          <w:kern w:val="0"/>
          <w:sz w:val="32"/>
          <w:szCs w:val="32"/>
          <w:lang w:val="zh-CN" w:eastAsia="zh-CN"/>
        </w:rPr>
        <w:t>项目决策。</w:t>
      </w:r>
      <w:r>
        <w:rPr>
          <w:rFonts w:hint="default" w:ascii="Times New Roman" w:hAnsi="Times New Roman" w:eastAsia="仿宋_GB2312" w:cs="Times New Roman"/>
          <w:color w:val="000000"/>
          <w:kern w:val="0"/>
          <w:sz w:val="32"/>
          <w:szCs w:val="32"/>
          <w:lang w:val="en-US" w:eastAsia="zh-CN"/>
        </w:rPr>
        <w:t>常年项目根据我院每年使用情况向市财政局上报申请，根据市财政局最终下发金额进行预算申请，在预算一体化平台对项目进行入库</w:t>
      </w:r>
      <w:r>
        <w:rPr>
          <w:rFonts w:hint="default" w:ascii="Times New Roman" w:hAnsi="Times New Roman" w:eastAsia="仿宋_GB2312" w:cs="Times New Roman"/>
          <w:color w:val="000000"/>
          <w:kern w:val="0"/>
          <w:sz w:val="32"/>
          <w:szCs w:val="32"/>
          <w:lang w:val="zh-CN" w:eastAsia="zh-CN"/>
        </w:rPr>
        <w:t>。</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2.项目执行</w:t>
      </w:r>
      <w:r>
        <w:rPr>
          <w:rFonts w:hint="default" w:ascii="Times New Roman" w:hAnsi="Times New Roman" w:eastAsia="仿宋_GB2312" w:cs="Times New Roman"/>
          <w:color w:val="000000"/>
          <w:kern w:val="0"/>
          <w:sz w:val="32"/>
          <w:szCs w:val="32"/>
          <w:lang w:val="zh-CN" w:eastAsia="zh-CN"/>
        </w:rPr>
        <w:t>。</w:t>
      </w:r>
      <w:r>
        <w:rPr>
          <w:rFonts w:hint="default" w:ascii="Times New Roman" w:hAnsi="Times New Roman" w:eastAsia="仿宋_GB2312" w:cs="Times New Roman"/>
          <w:color w:val="000000"/>
          <w:kern w:val="0"/>
          <w:sz w:val="32"/>
          <w:szCs w:val="32"/>
          <w:lang w:val="en-US" w:eastAsia="zh-CN"/>
        </w:rPr>
        <w:t>严格按照预算项目进行资金使用，并采用事前、事中、事后评价方式，长期监控绩效情况，保障目标绩效均能在资金范围内按时间节点完成</w:t>
      </w:r>
      <w:r>
        <w:rPr>
          <w:rFonts w:hint="default" w:ascii="Times New Roman" w:hAnsi="Times New Roman" w:eastAsia="仿宋_GB2312" w:cs="Times New Roman"/>
          <w:color w:val="000000"/>
          <w:kern w:val="0"/>
          <w:sz w:val="32"/>
          <w:szCs w:val="32"/>
          <w:lang w:val="zh-CN" w:eastAsia="zh-CN"/>
        </w:rPr>
        <w:t>，</w:t>
      </w:r>
      <w:r>
        <w:rPr>
          <w:rFonts w:hint="default" w:ascii="Times New Roman" w:hAnsi="Times New Roman" w:eastAsia="仿宋_GB2312" w:cs="Times New Roman"/>
          <w:color w:val="000000"/>
          <w:kern w:val="0"/>
          <w:sz w:val="32"/>
          <w:szCs w:val="32"/>
          <w:lang w:val="en-US" w:eastAsia="zh-CN"/>
        </w:rPr>
        <w:t>使用期间未出现对项目的调整，因财政资金紧张，部分资金年底未及时支付，最终在规定时间内执行率为94.4%</w:t>
      </w:r>
      <w:r>
        <w:rPr>
          <w:rFonts w:hint="default" w:ascii="Times New Roman" w:hAnsi="Times New Roman" w:eastAsia="仿宋_GB2312" w:cs="Times New Roman"/>
          <w:color w:val="000000"/>
          <w:kern w:val="0"/>
          <w:sz w:val="32"/>
          <w:szCs w:val="32"/>
          <w:lang w:val="zh-CN" w:eastAsia="zh-CN"/>
        </w:rPr>
        <w:t>。</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zh-CN" w:eastAsia="zh-CN"/>
        </w:rPr>
        <w:t>目标实现。我院对</w:t>
      </w:r>
      <w:r>
        <w:rPr>
          <w:rFonts w:hint="default" w:ascii="Times New Roman" w:hAnsi="Times New Roman" w:eastAsia="仿宋_GB2312" w:cs="Times New Roman"/>
          <w:color w:val="000000"/>
          <w:kern w:val="0"/>
          <w:sz w:val="32"/>
          <w:szCs w:val="32"/>
          <w:lang w:val="en-US" w:eastAsia="zh-CN"/>
        </w:rPr>
        <w:t>2025年度一般公共预算项目进行了事前评估、事中监督、事后评价的方式，无违规实用资金情况，但存在部分资金未全部支付，对年底总目标有所影响。</w:t>
      </w:r>
      <w:r>
        <w:rPr>
          <w:rFonts w:hint="default" w:ascii="Times New Roman" w:hAnsi="Times New Roman" w:eastAsia="仿宋_GB2312" w:cs="Times New Roman"/>
          <w:color w:val="000000"/>
          <w:kern w:val="0"/>
          <w:sz w:val="32"/>
          <w:szCs w:val="32"/>
          <w:lang w:val="zh-CN" w:eastAsia="zh-CN"/>
        </w:rPr>
        <w:t>项目资金主要涉及</w:t>
      </w:r>
      <w:r>
        <w:rPr>
          <w:rFonts w:hint="default" w:ascii="Times New Roman" w:hAnsi="Times New Roman" w:eastAsia="仿宋_GB2312" w:cs="Times New Roman"/>
          <w:color w:val="000000"/>
          <w:kern w:val="0"/>
          <w:sz w:val="32"/>
          <w:szCs w:val="32"/>
          <w:lang w:val="en-US" w:eastAsia="zh-CN"/>
        </w:rPr>
        <w:t>3个项目。一是办案业务费，年初预算20万，因财政资金紧张，支付了19.32万，基本达到预期效果。二是司法救助金，年初预算4万元，已全部支付。三是人民陪审员，年初预算1万元，实际仅支付了0.28万元，未达到年初既定目标。</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（三）</w:t>
      </w:r>
      <w:r>
        <w:rPr>
          <w:rFonts w:hint="default" w:ascii="Times New Roman" w:hAnsi="Times New Roman" w:eastAsia="仿宋_GB2312" w:cs="Times New Roman"/>
          <w:color w:val="000000"/>
          <w:kern w:val="0"/>
          <w:sz w:val="32"/>
          <w:szCs w:val="32"/>
          <w:lang w:val="zh-CN" w:eastAsia="zh-CN"/>
        </w:rPr>
        <w:t>绩效结果应用情况。</w:t>
      </w:r>
      <w:r>
        <w:rPr>
          <w:rFonts w:hint="default" w:ascii="Times New Roman" w:hAnsi="Times New Roman" w:eastAsia="仿宋_GB2312" w:cs="Times New Roman"/>
          <w:color w:val="000000"/>
          <w:kern w:val="0"/>
          <w:sz w:val="32"/>
          <w:szCs w:val="32"/>
          <w:lang w:val="en-US" w:eastAsia="zh-CN"/>
        </w:rPr>
        <w:t>我院2025年度严格执行绩效评价相关制度，对项目资金进行长期监控，在规定时间内将绩效、预决算等信息按要求对外公开，主动接受社会监督，并及时完成自查、整改工作。</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四、评价结论及建议</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zh-CN" w:eastAsia="zh-CN"/>
        </w:rPr>
        <w:t>（一）评价结论。202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年，我院总体绩效评价较为理想，基本达到了年初设定的各种绩效目标，所有资金使用严格按照审批程序办理、操作规范，会计核算真实准确。自评得分</w:t>
      </w:r>
      <w:r>
        <w:rPr>
          <w:rFonts w:hint="default" w:ascii="Times New Roman" w:hAnsi="Times New Roman" w:eastAsia="仿宋_GB2312" w:cs="Times New Roman"/>
          <w:color w:val="000000"/>
          <w:kern w:val="0"/>
          <w:sz w:val="32"/>
          <w:szCs w:val="32"/>
          <w:lang w:val="en-US" w:eastAsia="zh-CN"/>
        </w:rPr>
        <w:t>94.53分。</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（二）存在问题。一是部分项目资金使用进度滞后。二是内控制度需进一步完善。</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（三）改进建议。</w:t>
      </w:r>
      <w:bookmarkStart w:id="47" w:name="_Hlk110546638"/>
      <w:r>
        <w:rPr>
          <w:rFonts w:hint="default" w:ascii="Times New Roman" w:hAnsi="Times New Roman" w:eastAsia="仿宋_GB2312" w:cs="Times New Roman"/>
          <w:color w:val="000000"/>
          <w:kern w:val="0"/>
          <w:sz w:val="32"/>
          <w:szCs w:val="32"/>
          <w:lang w:val="zh-CN" w:eastAsia="zh-CN"/>
        </w:rPr>
        <w:t>一是进一步加强项目资金管理，实现项目申报、实施、拨付、评价全流程监督与控制，规范专项资金管理，提高专项资金的使用效率。二是进一步完善内部控制管理制度，提升管理效能，更好地履行法院职能。</w:t>
      </w:r>
    </w:p>
    <w:bookmarkEnd w:id="47"/>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zh-CN"/>
        </w:rPr>
        <w:t>附表：</w:t>
      </w:r>
      <w:r>
        <w:rPr>
          <w:rFonts w:hint="default" w:ascii="Times New Roman" w:hAnsi="Times New Roman" w:eastAsia="仿宋_GB2312" w:cs="Times New Roman"/>
          <w:color w:val="000000"/>
          <w:kern w:val="0"/>
          <w:sz w:val="32"/>
          <w:szCs w:val="32"/>
        </w:rPr>
        <w:t>部门预算项目支出绩效自评表（2025年度）</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p>
    <w:p>
      <w:pPr>
        <w:rPr>
          <w:rFonts w:hint="default" w:ascii="Times New Roman" w:hAnsi="Times New Roman" w:eastAsia="仿宋_GB2312" w:cs="Times New Roman"/>
          <w:kern w:val="0"/>
          <w:sz w:val="32"/>
          <w:szCs w:val="32"/>
        </w:rPr>
      </w:pPr>
      <w:bookmarkStart w:id="48" w:name="_Toc15396618"/>
    </w:p>
    <w:p>
      <w:pPr>
        <w:pStyle w:val="2"/>
        <w:rPr>
          <w:rFonts w:hint="default" w:ascii="Times New Roman" w:hAnsi="Times New Roman" w:cs="Times New Roman"/>
        </w:rPr>
      </w:pPr>
    </w:p>
    <w:p>
      <w:pPr>
        <w:widowControl/>
        <w:jc w:val="center"/>
        <w:rPr>
          <w:rFonts w:hint="default" w:ascii="Times New Roman" w:hAnsi="Times New Roman" w:eastAsia="仿宋" w:cs="Times New Roman"/>
        </w:rPr>
      </w:pPr>
      <w:r>
        <w:rPr>
          <w:rFonts w:hint="default" w:ascii="Times New Roman" w:hAnsi="Times New Roman" w:eastAsia="黑体" w:cs="Times New Roman"/>
          <w:sz w:val="44"/>
          <w:szCs w:val="44"/>
        </w:rPr>
        <w:t>第</w:t>
      </w:r>
      <w:r>
        <w:rPr>
          <w:rStyle w:val="15"/>
          <w:rFonts w:hint="default" w:ascii="Times New Roman" w:hAnsi="Times New Roman" w:eastAsia="黑体" w:cs="Times New Roman"/>
          <w:b w:val="0"/>
        </w:rPr>
        <w:t>五部分 附表</w:t>
      </w:r>
      <w:bookmarkEnd w:id="45"/>
      <w:bookmarkEnd w:id="48"/>
      <w:bookmarkStart w:id="49" w:name="_Toc15396619"/>
    </w:p>
    <w:p>
      <w:pPr>
        <w:pStyle w:val="11"/>
        <w:adjustRightInd w:val="0"/>
        <w:snapToGrid w:val="0"/>
        <w:spacing w:line="560" w:lineRule="exact"/>
        <w:jc w:val="left"/>
        <w:rPr>
          <w:rFonts w:hint="default" w:ascii="Times New Roman" w:hAnsi="Times New Roman" w:eastAsia="仿宋_GB2312" w:cs="Times New Roman"/>
          <w:sz w:val="32"/>
          <w:szCs w:val="32"/>
        </w:rPr>
      </w:pPr>
    </w:p>
    <w:p>
      <w:pPr>
        <w:pStyle w:val="11"/>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49"/>
    </w:p>
    <w:p>
      <w:pPr>
        <w:pStyle w:val="11"/>
        <w:adjustRightInd w:val="0"/>
        <w:snapToGrid w:val="0"/>
        <w:spacing w:line="560" w:lineRule="exact"/>
        <w:jc w:val="left"/>
        <w:rPr>
          <w:rFonts w:hint="default" w:ascii="Times New Roman" w:hAnsi="Times New Roman" w:eastAsia="仿宋_GB2312" w:cs="Times New Roman"/>
          <w:sz w:val="32"/>
          <w:szCs w:val="32"/>
        </w:rPr>
      </w:pPr>
      <w:bookmarkStart w:id="50" w:name="_Toc15396620"/>
      <w:r>
        <w:rPr>
          <w:rFonts w:hint="default" w:ascii="Times New Roman" w:hAnsi="Times New Roman" w:eastAsia="仿宋_GB2312" w:cs="Times New Roman"/>
          <w:sz w:val="32"/>
          <w:szCs w:val="32"/>
        </w:rPr>
        <w:t>二、收入决算表</w:t>
      </w:r>
      <w:bookmarkEnd w:id="50"/>
    </w:p>
    <w:p>
      <w:pPr>
        <w:pStyle w:val="11"/>
        <w:adjustRightInd w:val="0"/>
        <w:snapToGrid w:val="0"/>
        <w:spacing w:line="560" w:lineRule="exact"/>
        <w:jc w:val="left"/>
        <w:rPr>
          <w:rFonts w:hint="default" w:ascii="Times New Roman" w:hAnsi="Times New Roman" w:eastAsia="仿宋_GB2312" w:cs="Times New Roman"/>
          <w:sz w:val="32"/>
          <w:szCs w:val="32"/>
        </w:rPr>
      </w:pPr>
      <w:bookmarkStart w:id="51" w:name="_Toc15396621"/>
      <w:r>
        <w:rPr>
          <w:rFonts w:hint="default" w:ascii="Times New Roman" w:hAnsi="Times New Roman" w:eastAsia="仿宋_GB2312" w:cs="Times New Roman"/>
          <w:sz w:val="32"/>
          <w:szCs w:val="32"/>
        </w:rPr>
        <w:t>三、支出决算表</w:t>
      </w:r>
      <w:bookmarkEnd w:id="51"/>
    </w:p>
    <w:p>
      <w:pPr>
        <w:pStyle w:val="11"/>
        <w:adjustRightInd w:val="0"/>
        <w:snapToGrid w:val="0"/>
        <w:spacing w:line="560" w:lineRule="exact"/>
        <w:jc w:val="left"/>
        <w:rPr>
          <w:rFonts w:hint="default" w:ascii="Times New Roman" w:hAnsi="Times New Roman" w:eastAsia="仿宋_GB2312" w:cs="Times New Roman"/>
          <w:sz w:val="32"/>
          <w:szCs w:val="32"/>
        </w:rPr>
      </w:pPr>
      <w:bookmarkStart w:id="52" w:name="_Toc15396622"/>
      <w:r>
        <w:rPr>
          <w:rFonts w:hint="default" w:ascii="Times New Roman" w:hAnsi="Times New Roman" w:eastAsia="仿宋_GB2312" w:cs="Times New Roman"/>
          <w:sz w:val="32"/>
          <w:szCs w:val="32"/>
        </w:rPr>
        <w:t>四、财政拨款收入支出决算总表</w:t>
      </w:r>
      <w:bookmarkEnd w:id="52"/>
    </w:p>
    <w:p>
      <w:pPr>
        <w:pStyle w:val="11"/>
        <w:adjustRightInd w:val="0"/>
        <w:snapToGrid w:val="0"/>
        <w:spacing w:line="560" w:lineRule="exact"/>
        <w:jc w:val="left"/>
        <w:rPr>
          <w:rFonts w:hint="default" w:ascii="Times New Roman" w:hAnsi="Times New Roman" w:eastAsia="仿宋_GB2312" w:cs="Times New Roman"/>
          <w:sz w:val="32"/>
          <w:szCs w:val="32"/>
        </w:rPr>
      </w:pPr>
      <w:bookmarkStart w:id="53" w:name="_Toc15396623"/>
      <w:r>
        <w:rPr>
          <w:rFonts w:hint="default" w:ascii="Times New Roman" w:hAnsi="Times New Roman" w:eastAsia="仿宋_GB2312" w:cs="Times New Roman"/>
          <w:sz w:val="32"/>
          <w:szCs w:val="32"/>
        </w:rPr>
        <w:t>五、财政拨款支出决算明细表</w:t>
      </w:r>
      <w:bookmarkEnd w:id="53"/>
      <w:bookmarkStart w:id="54" w:name="_Toc15396624"/>
    </w:p>
    <w:p>
      <w:pPr>
        <w:pStyle w:val="11"/>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54"/>
    </w:p>
    <w:p>
      <w:pPr>
        <w:pStyle w:val="11"/>
        <w:adjustRightInd w:val="0"/>
        <w:snapToGrid w:val="0"/>
        <w:spacing w:line="560" w:lineRule="exact"/>
        <w:jc w:val="left"/>
        <w:rPr>
          <w:rFonts w:hint="default" w:ascii="Times New Roman" w:hAnsi="Times New Roman" w:eastAsia="仿宋_GB2312" w:cs="Times New Roman"/>
          <w:sz w:val="32"/>
          <w:szCs w:val="32"/>
        </w:rPr>
      </w:pPr>
      <w:bookmarkStart w:id="55" w:name="_Toc15396625"/>
      <w:r>
        <w:rPr>
          <w:rFonts w:hint="default" w:ascii="Times New Roman" w:hAnsi="Times New Roman" w:eastAsia="仿宋_GB2312" w:cs="Times New Roman"/>
          <w:sz w:val="32"/>
          <w:szCs w:val="32"/>
        </w:rPr>
        <w:t>七、一般公共预算财政拨款支出决算明细表</w:t>
      </w:r>
      <w:bookmarkEnd w:id="55"/>
    </w:p>
    <w:p>
      <w:pPr>
        <w:pStyle w:val="11"/>
        <w:adjustRightInd w:val="0"/>
        <w:snapToGrid w:val="0"/>
        <w:spacing w:line="560" w:lineRule="exact"/>
        <w:jc w:val="left"/>
        <w:rPr>
          <w:rFonts w:hint="default" w:ascii="Times New Roman" w:hAnsi="Times New Roman" w:eastAsia="仿宋_GB2312" w:cs="Times New Roman"/>
          <w:sz w:val="32"/>
          <w:szCs w:val="32"/>
        </w:rPr>
      </w:pPr>
      <w:bookmarkStart w:id="56" w:name="_Toc15396626"/>
      <w:r>
        <w:rPr>
          <w:rFonts w:hint="default" w:ascii="Times New Roman" w:hAnsi="Times New Roman" w:eastAsia="仿宋_GB2312" w:cs="Times New Roman"/>
          <w:sz w:val="32"/>
          <w:szCs w:val="32"/>
        </w:rPr>
        <w:t>八、一般公共预算财政拨款基本支出决算表</w:t>
      </w:r>
      <w:bookmarkEnd w:id="56"/>
    </w:p>
    <w:p>
      <w:pPr>
        <w:pStyle w:val="11"/>
        <w:adjustRightInd w:val="0"/>
        <w:snapToGrid w:val="0"/>
        <w:spacing w:line="560" w:lineRule="exact"/>
        <w:jc w:val="left"/>
        <w:rPr>
          <w:rFonts w:hint="default" w:ascii="Times New Roman" w:hAnsi="Times New Roman" w:eastAsia="仿宋_GB2312" w:cs="Times New Roman"/>
          <w:sz w:val="32"/>
          <w:szCs w:val="32"/>
        </w:rPr>
      </w:pPr>
      <w:bookmarkStart w:id="57" w:name="_Toc15396627"/>
      <w:r>
        <w:rPr>
          <w:rFonts w:hint="default" w:ascii="Times New Roman" w:hAnsi="Times New Roman" w:eastAsia="仿宋_GB2312" w:cs="Times New Roman"/>
          <w:sz w:val="32"/>
          <w:szCs w:val="32"/>
        </w:rPr>
        <w:t>九、一般公共预算财政拨款项目支出决算表</w:t>
      </w:r>
      <w:bookmarkEnd w:id="57"/>
    </w:p>
    <w:p>
      <w:pPr>
        <w:pStyle w:val="11"/>
        <w:adjustRightInd w:val="0"/>
        <w:snapToGrid w:val="0"/>
        <w:spacing w:line="560" w:lineRule="exact"/>
        <w:jc w:val="left"/>
        <w:rPr>
          <w:rFonts w:hint="default" w:ascii="Times New Roman" w:hAnsi="Times New Roman" w:eastAsia="仿宋_GB2312" w:cs="Times New Roman"/>
          <w:sz w:val="32"/>
          <w:szCs w:val="32"/>
        </w:rPr>
      </w:pPr>
      <w:bookmarkStart w:id="58" w:name="_Toc15396628"/>
      <w:r>
        <w:rPr>
          <w:rFonts w:hint="default" w:ascii="Times New Roman" w:hAnsi="Times New Roman" w:eastAsia="仿宋_GB2312" w:cs="Times New Roman"/>
          <w:sz w:val="32"/>
          <w:szCs w:val="32"/>
        </w:rPr>
        <w:t>十、</w:t>
      </w:r>
      <w:bookmarkEnd w:id="58"/>
      <w:r>
        <w:rPr>
          <w:rFonts w:hint="default" w:ascii="Times New Roman" w:hAnsi="Times New Roman" w:eastAsia="仿宋_GB2312" w:cs="Times New Roman"/>
          <w:sz w:val="32"/>
          <w:szCs w:val="32"/>
        </w:rPr>
        <w:t>政府性基金预算财政拨款收入支出决算表</w:t>
      </w:r>
    </w:p>
    <w:p>
      <w:pPr>
        <w:pStyle w:val="11"/>
        <w:adjustRightInd w:val="0"/>
        <w:snapToGrid w:val="0"/>
        <w:spacing w:line="560" w:lineRule="exact"/>
        <w:jc w:val="left"/>
        <w:rPr>
          <w:rFonts w:hint="default" w:ascii="Times New Roman" w:hAnsi="Times New Roman" w:eastAsia="仿宋_GB2312" w:cs="Times New Roman"/>
          <w:sz w:val="32"/>
          <w:szCs w:val="32"/>
        </w:rPr>
      </w:pPr>
      <w:bookmarkStart w:id="59" w:name="_Toc15396629"/>
      <w:r>
        <w:rPr>
          <w:rFonts w:hint="default" w:ascii="Times New Roman" w:hAnsi="Times New Roman" w:eastAsia="仿宋_GB2312" w:cs="Times New Roman"/>
          <w:sz w:val="32"/>
          <w:szCs w:val="32"/>
        </w:rPr>
        <w:t>十一、</w:t>
      </w:r>
      <w:bookmarkEnd w:id="59"/>
      <w:r>
        <w:rPr>
          <w:rFonts w:hint="default" w:ascii="Times New Roman" w:hAnsi="Times New Roman" w:eastAsia="仿宋_GB2312" w:cs="Times New Roman"/>
          <w:sz w:val="32"/>
          <w:szCs w:val="32"/>
        </w:rPr>
        <w:t>国有资本经营预算财政拨款收入支出决算表</w:t>
      </w:r>
    </w:p>
    <w:p>
      <w:pPr>
        <w:pStyle w:val="11"/>
        <w:adjustRightInd w:val="0"/>
        <w:snapToGrid w:val="0"/>
        <w:spacing w:line="560" w:lineRule="exact"/>
        <w:jc w:val="left"/>
        <w:rPr>
          <w:rFonts w:hint="default" w:ascii="Times New Roman" w:hAnsi="Times New Roman" w:eastAsia="仿宋_GB2312" w:cs="Times New Roman"/>
          <w:sz w:val="32"/>
          <w:szCs w:val="32"/>
        </w:rPr>
      </w:pPr>
      <w:bookmarkStart w:id="60" w:name="_Toc15396630"/>
      <w:r>
        <w:rPr>
          <w:rFonts w:hint="default" w:ascii="Times New Roman" w:hAnsi="Times New Roman" w:eastAsia="仿宋_GB2312" w:cs="Times New Roman"/>
          <w:sz w:val="32"/>
          <w:szCs w:val="32"/>
        </w:rPr>
        <w:t>十二、</w:t>
      </w:r>
      <w:bookmarkEnd w:id="60"/>
      <w:r>
        <w:rPr>
          <w:rFonts w:hint="default" w:ascii="Times New Roman" w:hAnsi="Times New Roman" w:eastAsia="仿宋_GB2312" w:cs="Times New Roman"/>
          <w:sz w:val="32"/>
          <w:szCs w:val="32"/>
        </w:rPr>
        <w:t>国有资本经营预算财政拨款支出决算表</w:t>
      </w:r>
    </w:p>
    <w:p>
      <w:pPr>
        <w:pStyle w:val="11"/>
        <w:adjustRightInd w:val="0"/>
        <w:snapToGrid w:val="0"/>
        <w:spacing w:line="560" w:lineRule="exact"/>
        <w:jc w:val="left"/>
        <w:rPr>
          <w:rFonts w:hint="default" w:ascii="Times New Roman" w:hAnsi="Times New Roman" w:eastAsia="仿宋_GB2312" w:cs="Times New Roman"/>
          <w:sz w:val="32"/>
          <w:szCs w:val="32"/>
        </w:rPr>
      </w:pPr>
      <w:bookmarkStart w:id="61" w:name="_Toc15396631"/>
      <w:r>
        <w:rPr>
          <w:rFonts w:hint="default" w:ascii="Times New Roman" w:hAnsi="Times New Roman" w:eastAsia="仿宋_GB2312" w:cs="Times New Roman"/>
          <w:sz w:val="32"/>
          <w:szCs w:val="32"/>
        </w:rPr>
        <w:t>十三、</w:t>
      </w:r>
      <w:bookmarkEnd w:id="61"/>
      <w:r>
        <w:rPr>
          <w:rFonts w:hint="default" w:ascii="Times New Roman" w:hAnsi="Times New Roman" w:eastAsia="仿宋_GB2312" w:cs="Times New Roman"/>
          <w:sz w:val="32"/>
          <w:szCs w:val="32"/>
        </w:rPr>
        <w:t>财政拨款“三公”经费支出决算表</w:t>
      </w:r>
    </w:p>
    <w:p>
      <w:pPr>
        <w:rPr>
          <w:rFonts w:hint="default" w:ascii="Times New Roman" w:hAnsi="Times New Roman" w:cs="Times New Roman"/>
        </w:rPr>
      </w:pP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auto"/>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915EFA"/>
    <w:multiLevelType w:val="singleLevel"/>
    <w:tmpl w:val="1D915EFA"/>
    <w:lvl w:ilvl="0" w:tentative="0">
      <w:start w:val="1"/>
      <w:numFmt w:val="chineseCounting"/>
      <w:suff w:val="nothing"/>
      <w:lvlText w:val="%1、"/>
      <w:lvlJc w:val="left"/>
      <w:rPr>
        <w:rFonts w:hint="eastAsia"/>
      </w:rPr>
    </w:lvl>
  </w:abstractNum>
  <w:abstractNum w:abstractNumId="1">
    <w:nsid w:val="36CEBFA1"/>
    <w:multiLevelType w:val="singleLevel"/>
    <w:tmpl w:val="36CEBFA1"/>
    <w:lvl w:ilvl="0" w:tentative="0">
      <w:start w:val="1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EA0ADE"/>
    <w:rsid w:val="132311CD"/>
    <w:rsid w:val="1937380A"/>
    <w:rsid w:val="2C5A4592"/>
    <w:rsid w:val="3743052C"/>
    <w:rsid w:val="3BDD4881"/>
    <w:rsid w:val="4EEA0ADE"/>
    <w:rsid w:val="5CE4287C"/>
    <w:rsid w:val="6ABFF4F4"/>
    <w:rsid w:val="6B12168F"/>
    <w:rsid w:val="70CC5FCB"/>
    <w:rsid w:val="78EE5DF7"/>
    <w:rsid w:val="7AEDA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7">
    <w:name w:val="Body Text"/>
    <w:basedOn w:val="1"/>
    <w:qFormat/>
    <w:uiPriority w:val="99"/>
    <w:pPr>
      <w:spacing w:beforeLines="30"/>
    </w:pPr>
    <w:rPr>
      <w:rFonts w:ascii="仿宋_GB2312" w:eastAsia="仿宋_GB2312"/>
      <w:kern w:val="0"/>
      <w:sz w:val="30"/>
    </w:rPr>
  </w:style>
  <w:style w:type="paragraph" w:styleId="8">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customStyle="1" w:styleId="1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5">
    <w:name w:val="标题 1 Char"/>
    <w:basedOn w:val="13"/>
    <w:link w:val="5"/>
    <w:qFormat/>
    <w:uiPriority w:val="9"/>
    <w:rPr>
      <w:b/>
      <w:bCs/>
      <w:kern w:val="44"/>
      <w:sz w:val="44"/>
      <w:szCs w:val="44"/>
    </w:rPr>
  </w:style>
  <w:style w:type="paragraph" w:styleId="16">
    <w:name w:val="List Paragraph"/>
    <w:basedOn w:val="1"/>
    <w:qFormat/>
    <w:uiPriority w:val="34"/>
    <w:pPr>
      <w:ind w:firstLine="420" w:firstLineChars="200"/>
    </w:pPr>
  </w:style>
  <w:style w:type="character" w:customStyle="1" w:styleId="17">
    <w:name w:val="标题 2 Char"/>
    <w:basedOn w:val="13"/>
    <w:link w:val="6"/>
    <w:qFormat/>
    <w:uiPriority w:val="9"/>
    <w:rPr>
      <w:rFonts w:asciiTheme="majorHAnsi" w:hAnsiTheme="majorHAnsi" w:eastAsiaTheme="majorEastAsia" w:cstheme="majorBidi"/>
      <w:b/>
      <w:bCs/>
      <w:sz w:val="32"/>
      <w:szCs w:val="32"/>
    </w:rPr>
  </w:style>
  <w:style w:type="paragraph" w:customStyle="1" w:styleId="1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Desktop\20251117&#26700;&#38754;&#20869;&#23481;\2025&#24180;&#20915;&#31639;&#20844;&#24320;\&#20915;&#31639;&#20844;&#24320;&#22270;&#2663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Desktop\2025&#24180;&#20915;&#31639;&#20844;&#24320;\&#20915;&#31639;&#20844;&#24320;&#22270;&#2663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Desktop\2025&#24180;&#20915;&#31639;&#20844;&#24320;\&#20915;&#31639;&#20844;&#24320;&#22270;&#2663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Desktop\20251117&#26700;&#38754;&#20869;&#23481;\2025&#24180;&#20915;&#31639;&#20844;&#24320;\&#20915;&#31639;&#20844;&#24320;&#22270;&#2663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Desktop\2025&#24180;&#20915;&#31639;&#20844;&#24320;\&#20915;&#31639;&#20844;&#24320;&#22270;&#2663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Desktop\2025&#24180;&#20915;&#31639;&#20844;&#24320;\&#20915;&#31639;&#20844;&#24320;&#22270;&#26631;.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Desktop\2025&#24180;&#20915;&#31639;&#20844;&#24320;\&#20915;&#31639;&#20844;&#24320;&#22270;&#2663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[决算公开图标.xlsx]收支总计!$A$2</c:f>
              <c:strCache>
                <c:ptCount val="1"/>
                <c:pt idx="0">
                  <c:v>2025年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[决算公开图标.xlsx]收支总计!$B$1:$C$1</c:f>
              <c:strCache>
                <c:ptCount val="2"/>
                <c:pt idx="0">
                  <c:v>决算收入</c:v>
                </c:pt>
                <c:pt idx="1">
                  <c:v>决算支出</c:v>
                </c:pt>
              </c:strCache>
            </c:strRef>
          </c:cat>
          <c:val>
            <c:numRef>
              <c:f>[决算公开图标.xlsx]收支总计!$B$2:$C$2</c:f>
              <c:numCache>
                <c:formatCode>General</c:formatCode>
                <c:ptCount val="2"/>
                <c:pt idx="0">
                  <c:v>1833.04</c:v>
                </c:pt>
                <c:pt idx="1">
                  <c:v>1833.04</c:v>
                </c:pt>
              </c:numCache>
            </c:numRef>
          </c:val>
        </c:ser>
        <c:ser>
          <c:idx val="1"/>
          <c:order val="1"/>
          <c:tx>
            <c:strRef>
              <c:f>[决算公开图标.xlsx]收支总计!$A$3</c:f>
              <c:strCache>
                <c:ptCount val="1"/>
                <c:pt idx="0">
                  <c:v>2024年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[决算公开图标.xlsx]收支总计!$B$1:$C$1</c:f>
              <c:strCache>
                <c:ptCount val="2"/>
                <c:pt idx="0">
                  <c:v>决算收入</c:v>
                </c:pt>
                <c:pt idx="1">
                  <c:v>决算支出</c:v>
                </c:pt>
              </c:strCache>
            </c:strRef>
          </c:cat>
          <c:val>
            <c:numRef>
              <c:f>[决算公开图标.xlsx]收支总计!$B$3:$C$3</c:f>
              <c:numCache>
                <c:formatCode>General</c:formatCode>
                <c:ptCount val="2"/>
                <c:pt idx="0">
                  <c:v>1685.94</c:v>
                </c:pt>
                <c:pt idx="1">
                  <c:v>1685.94</c:v>
                </c:pt>
              </c:numCache>
            </c:numRef>
          </c:val>
        </c:ser>
        <c:dLbls>
          <c:showLegendKey val="false"/>
          <c:showVal val="true"/>
          <c:showCatName val="false"/>
          <c:showSerName val="false"/>
          <c:showPercent val="false"/>
          <c:showBubbleSize val="false"/>
        </c:dLbls>
        <c:gapWidth val="150"/>
        <c:overlap val="-25"/>
        <c:axId val="315939175"/>
        <c:axId val="201958011"/>
      </c:barChart>
      <c:catAx>
        <c:axId val="315939175"/>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201958011"/>
        <c:crosses val="autoZero"/>
        <c:auto val="true"/>
        <c:lblAlgn val="ctr"/>
        <c:lblOffset val="100"/>
        <c:noMultiLvlLbl val="false"/>
      </c:catAx>
      <c:valAx>
        <c:axId val="201958011"/>
        <c:scaling>
          <c:orientation val="minMax"/>
        </c:scaling>
        <c:delete val="true"/>
        <c:axPos val="l"/>
        <c:numFmt formatCode="General" sourceLinked="true"/>
        <c:majorTickMark val="none"/>
        <c:minorTickMark val="none"/>
        <c:tickLblPos val="nextTo"/>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315939175"/>
        <c:crosses val="autoZero"/>
        <c:crossBetween val="between"/>
      </c:valAx>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altLang="en-US"/>
              <a:t>图</a:t>
            </a:r>
            <a:r>
              <a:rPr lang="en-US" altLang="zh-CN"/>
              <a:t>2</a:t>
            </a:r>
            <a:r>
              <a:rPr altLang="en-US"/>
              <a:t>：收入决算结构图</a:t>
            </a:r>
            <a:endParaRPr lang="en-US" altLang="zh-CN"/>
          </a:p>
        </c:rich>
      </c:tx>
      <c:layout>
        <c:manualLayout>
          <c:xMode val="edge"/>
          <c:yMode val="edge"/>
          <c:x val="0.418421052631579"/>
          <c:y val="0.0243055555555556"/>
        </c:manualLayout>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Lbls>
            <c:dLbl>
              <c:idx val="0"/>
              <c:layout/>
              <c:dLblPos val="inEnd"/>
              <c:showLegendKey val="false"/>
              <c:showVal val="true"/>
              <c:showCatName val="false"/>
              <c:showSerName val="false"/>
              <c:showPercent val="false"/>
              <c:showBubbleSize val="false"/>
              <c:extLst>
                <c:ext xmlns:c15="http://schemas.microsoft.com/office/drawing/2012/chart" uri="{CE6537A1-D6FC-4f65-9D91-7224C49458BB}"/>
              </c:extLst>
            </c:dLbl>
            <c:dLbl>
              <c:idx val="1"/>
              <c:layout/>
              <c:dLblPos val="in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false"/>
            <c:showVal val="fals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[决算公开图标.xlsx]收入决算结构图!$A$1:$A$2</c:f>
              <c:strCache>
                <c:ptCount val="2"/>
                <c:pt idx="0">
                  <c:v>一般公共预算财政拨款收入</c:v>
                </c:pt>
                <c:pt idx="1">
                  <c:v>其他收入</c:v>
                </c:pt>
              </c:strCache>
            </c:strRef>
          </c:cat>
          <c:val>
            <c:numRef>
              <c:f>[决算公开图标.xlsx]收入决算结构图!$B$1:$B$2</c:f>
              <c:numCache>
                <c:formatCode>General</c:formatCode>
                <c:ptCount val="2"/>
                <c:pt idx="0">
                  <c:v>1529.94</c:v>
                </c:pt>
                <c:pt idx="1">
                  <c:v>303.1</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3</a:t>
            </a:r>
            <a:r>
              <a:rPr altLang="en-US"/>
              <a:t>：</a:t>
            </a:r>
            <a:r>
              <a:t>支出决算结构图</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[决算公开图标.xlsx]图3!$A$1:$A$2</c:f>
              <c:strCache>
                <c:ptCount val="2"/>
                <c:pt idx="0">
                  <c:v>基本支出</c:v>
                </c:pt>
                <c:pt idx="1">
                  <c:v>项目支出</c:v>
                </c:pt>
              </c:strCache>
            </c:strRef>
          </c:cat>
          <c:val>
            <c:numRef>
              <c:f>[决算公开图标.xlsx]图3!$B$1:$B$2</c:f>
              <c:numCache>
                <c:formatCode>General</c:formatCode>
                <c:ptCount val="2"/>
                <c:pt idx="0">
                  <c:v>1509.76</c:v>
                </c:pt>
                <c:pt idx="1">
                  <c:v>323.28</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[决算公开图标.xlsx]财政拨款收入支出总体情况表!$A$2</c:f>
              <c:strCache>
                <c:ptCount val="1"/>
                <c:pt idx="0">
                  <c:v>2025年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[决算公开图标.xlsx]财政拨款收入支出总体情况表!$B$1:$C$1</c:f>
              <c:strCache>
                <c:ptCount val="2"/>
                <c:pt idx="0">
                  <c:v>财政拨款收入</c:v>
                </c:pt>
                <c:pt idx="1">
                  <c:v>财政拨款支出</c:v>
                </c:pt>
              </c:strCache>
            </c:strRef>
          </c:cat>
          <c:val>
            <c:numRef>
              <c:f>[决算公开图标.xlsx]财政拨款收入支出总体情况表!$B$2:$C$2</c:f>
              <c:numCache>
                <c:formatCode>General</c:formatCode>
                <c:ptCount val="2"/>
                <c:pt idx="0">
                  <c:v>1529.94</c:v>
                </c:pt>
                <c:pt idx="1">
                  <c:v>1529.94</c:v>
                </c:pt>
              </c:numCache>
            </c:numRef>
          </c:val>
        </c:ser>
        <c:ser>
          <c:idx val="1"/>
          <c:order val="1"/>
          <c:tx>
            <c:strRef>
              <c:f>[决算公开图标.xlsx]财政拨款收入支出总体情况表!$A$3</c:f>
              <c:strCache>
                <c:ptCount val="1"/>
                <c:pt idx="0">
                  <c:v>2024年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[决算公开图标.xlsx]财政拨款收入支出总体情况表!$B$1:$C$1</c:f>
              <c:strCache>
                <c:ptCount val="2"/>
                <c:pt idx="0">
                  <c:v>财政拨款收入</c:v>
                </c:pt>
                <c:pt idx="1">
                  <c:v>财政拨款支出</c:v>
                </c:pt>
              </c:strCache>
            </c:strRef>
          </c:cat>
          <c:val>
            <c:numRef>
              <c:f>[决算公开图标.xlsx]财政拨款收入支出总体情况表!$B$3:$C$3</c:f>
              <c:numCache>
                <c:formatCode>General</c:formatCode>
                <c:ptCount val="2"/>
                <c:pt idx="0">
                  <c:v>1278.51</c:v>
                </c:pt>
                <c:pt idx="1">
                  <c:v>1278.51</c:v>
                </c:pt>
              </c:numCache>
            </c:numRef>
          </c:val>
        </c:ser>
        <c:dLbls>
          <c:showLegendKey val="false"/>
          <c:showVal val="true"/>
          <c:showCatName val="false"/>
          <c:showSerName val="false"/>
          <c:showPercent val="false"/>
          <c:showBubbleSize val="false"/>
        </c:dLbls>
        <c:gapWidth val="150"/>
        <c:overlap val="-25"/>
        <c:axId val="403553889"/>
        <c:axId val="669252687"/>
      </c:barChart>
      <c:catAx>
        <c:axId val="403553889"/>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69252687"/>
        <c:crosses val="autoZero"/>
        <c:auto val="true"/>
        <c:lblAlgn val="ctr"/>
        <c:lblOffset val="100"/>
        <c:noMultiLvlLbl val="false"/>
      </c:catAx>
      <c:valAx>
        <c:axId val="669252687"/>
        <c:scaling>
          <c:orientation val="minMax"/>
        </c:scaling>
        <c:delete val="true"/>
        <c:axPos val="l"/>
        <c:numFmt formatCode="General" sourceLinked="true"/>
        <c:majorTickMark val="none"/>
        <c:minorTickMark val="none"/>
        <c:tickLblPos val="nextTo"/>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03553889"/>
        <c:crosses val="autoZero"/>
        <c:crossBetween val="between"/>
      </c:valAx>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5</a:t>
            </a:r>
            <a:r>
              <a:rPr altLang="en-US"/>
              <a:t>：</a:t>
            </a:r>
            <a:r>
              <a:t>一般公共预算财政拨款支出决算变动情况</a:t>
            </a:r>
          </a:p>
        </c:rich>
      </c:tx>
      <c:layout>
        <c:manualLayout>
          <c:xMode val="edge"/>
          <c:yMode val="edge"/>
          <c:x val="0.173684210526316"/>
          <c:y val="0.0381944444444444"/>
        </c:manualLayout>
      </c:layout>
      <c:overlay val="false"/>
      <c:spPr>
        <a:noFill/>
        <a:ln>
          <a:noFill/>
        </a:ln>
        <a:effectLst/>
      </c:spPr>
    </c:title>
    <c:autoTitleDeleted val="false"/>
    <c:plotArea>
      <c:layout/>
      <c:barChart>
        <c:barDir val="col"/>
        <c:grouping val="clustered"/>
        <c:varyColors val="false"/>
        <c:ser>
          <c:idx val="0"/>
          <c:order val="0"/>
          <c:spPr>
            <a:solidFill>
              <a:schemeClr val="accent1"/>
            </a:solidFill>
            <a:ln>
              <a:noFill/>
            </a:ln>
            <a:effectLst/>
          </c:spPr>
          <c:invertIfNegative val="false"/>
          <c:dLbls>
            <c:delete val="true"/>
          </c:dLbls>
          <c:cat>
            <c:strRef>
              <c:f>[决算公开图标.xlsx]一般公共预算财政拨款支出决算变动情况!$A$1:$A$2</c:f>
              <c:strCache>
                <c:ptCount val="2"/>
                <c:pt idx="0">
                  <c:v>2025年</c:v>
                </c:pt>
                <c:pt idx="1">
                  <c:v>2024年</c:v>
                </c:pt>
              </c:strCache>
            </c:strRef>
          </c:cat>
          <c:val>
            <c:numRef>
              <c:f>[决算公开图标.xlsx]一般公共预算财政拨款支出决算变动情况!$B$1:$B$2</c:f>
              <c:numCache>
                <c:formatCode>General</c:formatCode>
                <c:ptCount val="2"/>
                <c:pt idx="0">
                  <c:v>1529.94</c:v>
                </c:pt>
                <c:pt idx="1">
                  <c:v>1278.51</c:v>
                </c:pt>
              </c:numCache>
            </c:numRef>
          </c:val>
        </c:ser>
        <c:dLbls>
          <c:showLegendKey val="false"/>
          <c:showVal val="false"/>
          <c:showCatName val="false"/>
          <c:showSerName val="false"/>
          <c:showPercent val="false"/>
          <c:showBubbleSize val="false"/>
        </c:dLbls>
        <c:gapWidth val="246"/>
        <c:overlap val="-28"/>
        <c:axId val="388578070"/>
        <c:axId val="607900283"/>
      </c:barChart>
      <c:catAx>
        <c:axId val="388578070"/>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07900283"/>
        <c:crosses val="autoZero"/>
        <c:auto val="true"/>
        <c:lblAlgn val="ctr"/>
        <c:lblOffset val="100"/>
        <c:noMultiLvlLbl val="false"/>
      </c:catAx>
      <c:valAx>
        <c:axId val="607900283"/>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388578070"/>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6</a:t>
            </a:r>
            <a:r>
              <a:rPr altLang="en-US"/>
              <a:t>：</a:t>
            </a:r>
            <a:r>
              <a:t>一般公共预算财政拨款支出</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[决算公开图标.xlsx]一般公共预算财政拨款支出!$A$1:$A$4</c:f>
              <c:strCache>
                <c:ptCount val="4"/>
                <c:pt idx="0">
                  <c:v>公共安全支出</c:v>
                </c:pt>
                <c:pt idx="1">
                  <c:v>社会保障和就业支出</c:v>
                </c:pt>
                <c:pt idx="2">
                  <c:v>卫生健康支出</c:v>
                </c:pt>
                <c:pt idx="3">
                  <c:v>住房保障支出</c:v>
                </c:pt>
              </c:strCache>
            </c:strRef>
          </c:cat>
          <c:val>
            <c:numRef>
              <c:f>[决算公开图标.xlsx]一般公共预算财政拨款支出!$B$1:$B$4</c:f>
              <c:numCache>
                <c:formatCode>General</c:formatCode>
                <c:ptCount val="4"/>
                <c:pt idx="0">
                  <c:v>1242.09</c:v>
                </c:pt>
                <c:pt idx="1">
                  <c:v>117.78</c:v>
                </c:pt>
                <c:pt idx="2">
                  <c:v>78.41</c:v>
                </c:pt>
                <c:pt idx="3">
                  <c:v>91.65</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7</a:t>
            </a:r>
            <a:r>
              <a:rPr altLang="en-US"/>
              <a:t>：</a:t>
            </a:r>
            <a:r>
              <a:t>“三公”经费财政拨款支出结构图</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[决算公开图标.xlsx]三公!$A$1:$A$2</c:f>
              <c:strCache>
                <c:ptCount val="2"/>
                <c:pt idx="0">
                  <c:v>公务接待费支出</c:v>
                </c:pt>
                <c:pt idx="1">
                  <c:v>公务用车购置及运行维护费支出</c:v>
                </c:pt>
              </c:strCache>
            </c:strRef>
          </c:cat>
          <c:val>
            <c:numRef>
              <c:f>[决算公开图标.xlsx]三公!$B$1:$B$2</c:f>
              <c:numCache>
                <c:formatCode>General</c:formatCode>
                <c:ptCount val="2"/>
                <c:pt idx="0">
                  <c:v>0.47</c:v>
                </c:pt>
                <c:pt idx="1">
                  <c:v>11.75</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2026-09-08T07:18:00Z</dcterms:created>
  <dc:creator>贾春燕</dc:creator>
  <cp:lastModifiedBy>user</cp:lastModifiedBy>
  <dcterms:modified xsi:type="dcterms:W3CDTF">2026-09-16T16:57:09Z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888B6A4506DA4603A51CD6EDBE2A1A0A_11</vt:lpwstr>
  </property>
</Properties>
</file>