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hint="eastAsia" w:ascii="Times New Roman" w:eastAsia="方正小标宋简体"/>
          <w:kern w:val="2"/>
          <w:sz w:val="72"/>
          <w:szCs w:val="72"/>
        </w:rPr>
      </w:pPr>
      <w:bookmarkStart w:id="0" w:name="_Toc15396475"/>
      <w:bookmarkStart w:id="1" w:name="_Toc15396597"/>
      <w:bookmarkStart w:id="2" w:name="_Toc15378441"/>
      <w:bookmarkStart w:id="3" w:name="_Toc15377425"/>
      <w:bookmarkStart w:id="4" w:name="_Toc15377193"/>
      <w:bookmarkStart w:id="5" w:name="_Toc15306267"/>
    </w:p>
    <w:p>
      <w:pPr>
        <w:pStyle w:val="5"/>
        <w:spacing w:before="93"/>
        <w:rPr>
          <w:rFonts w:ascii="Times New Roman" w:eastAsia="方正小标宋简体"/>
          <w:kern w:val="2"/>
          <w:sz w:val="72"/>
          <w:szCs w:val="72"/>
        </w:rPr>
      </w:pPr>
    </w:p>
    <w:p>
      <w:pPr>
        <w:pStyle w:val="5"/>
        <w:spacing w:before="93"/>
        <w:rPr>
          <w:rFonts w:hint="eastAsia" w:ascii="Times New Roman" w:eastAsia="方正小标宋简体"/>
          <w:kern w:val="2"/>
          <w:sz w:val="72"/>
          <w:szCs w:val="72"/>
        </w:rPr>
      </w:pP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2025年度市级单位决算公开</w:t>
      </w:r>
      <w:r>
        <w:rPr>
          <w:rFonts w:hint="eastAsia" w:ascii="Times New Roman" w:eastAsia="方正小标宋简体"/>
          <w:kern w:val="2"/>
          <w:sz w:val="44"/>
          <w:szCs w:val="44"/>
          <w:lang w:eastAsia="zh-CN"/>
        </w:rPr>
        <w:t>文字</w:t>
      </w:r>
      <w:r>
        <w:rPr>
          <w:rFonts w:hint="eastAsia" w:ascii="Times New Roman" w:eastAsia="方正小标宋简体"/>
          <w:kern w:val="2"/>
          <w:sz w:val="44"/>
          <w:szCs w:val="44"/>
        </w:rPr>
        <w:t>说明</w:t>
      </w:r>
    </w:p>
    <w:p>
      <w:pPr>
        <w:spacing w:line="600" w:lineRule="exact"/>
        <w:jc w:val="center"/>
        <w:outlineLvl w:val="9"/>
        <w:rPr>
          <w:rFonts w:eastAsia="方正小标宋简体"/>
          <w:sz w:val="72"/>
          <w:szCs w:val="72"/>
        </w:rPr>
      </w:pPr>
    </w:p>
    <w:p>
      <w:pPr>
        <w:pStyle w:val="20"/>
        <w:outlineLvl w:val="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bookmarkEnd w:id="0"/>
    <w:bookmarkEnd w:id="1"/>
    <w:bookmarkEnd w:id="2"/>
    <w:bookmarkEnd w:id="3"/>
    <w:bookmarkEnd w:id="4"/>
    <w:p>
      <w:pPr>
        <w:pStyle w:val="5"/>
        <w:spacing w:before="93"/>
        <w:jc w:val="center"/>
        <w:rPr>
          <w:rFonts w:ascii="Times New Roman" w:eastAsia="方正小标宋简体"/>
          <w:kern w:val="2"/>
          <w:sz w:val="44"/>
          <w:szCs w:val="44"/>
        </w:rPr>
      </w:pPr>
      <w:bookmarkStart w:id="6" w:name="_Toc15377426"/>
      <w:bookmarkStart w:id="7" w:name="_Toc15378442"/>
      <w:bookmarkStart w:id="8" w:name="_Toc15396598"/>
      <w:bookmarkStart w:id="9" w:name="_Toc15396476"/>
      <w:bookmarkStart w:id="10" w:name="_Toc15377194"/>
      <w:r>
        <w:rPr>
          <w:rFonts w:hint="eastAsia" w:ascii="Times New Roman" w:eastAsia="方正小标宋简体"/>
          <w:kern w:val="2"/>
          <w:sz w:val="44"/>
          <w:szCs w:val="44"/>
        </w:rPr>
        <w:t>2025年度攀枝花市</w:t>
      </w:r>
      <w:r>
        <w:rPr>
          <w:rFonts w:hint="eastAsia" w:ascii="Times New Roman" w:eastAsia="方正小标宋简体"/>
          <w:kern w:val="2"/>
          <w:sz w:val="44"/>
          <w:szCs w:val="44"/>
          <w:lang w:eastAsia="zh-CN"/>
        </w:rPr>
        <w:t>委党史研究室单位</w:t>
      </w:r>
      <w:bookmarkEnd w:id="5"/>
      <w:bookmarkStart w:id="11" w:name="_Toc15306268"/>
      <w:r>
        <w:rPr>
          <w:rFonts w:hint="eastAsia" w:ascii="Times New Roman" w:eastAsia="方正小标宋简体"/>
          <w:kern w:val="2"/>
          <w:sz w:val="44"/>
          <w:szCs w:val="44"/>
        </w:rPr>
        <w:t>决算</w:t>
      </w:r>
      <w:bookmarkEnd w:id="6"/>
      <w:bookmarkEnd w:id="7"/>
      <w:bookmarkEnd w:id="8"/>
      <w:bookmarkEnd w:id="9"/>
      <w:bookmarkEnd w:id="10"/>
      <w:bookmarkEnd w:id="11"/>
    </w:p>
    <w:p>
      <w:pPr>
        <w:pStyle w:val="15"/>
        <w:adjustRightInd w:val="0"/>
        <w:snapToGrid w:val="0"/>
        <w:spacing w:line="560" w:lineRule="exact"/>
        <w:jc w:val="left"/>
        <w:rPr>
          <w:rFonts w:eastAsia="仿宋_GB2312" w:cs="仿宋_GB2312"/>
          <w:sz w:val="32"/>
          <w:szCs w:val="32"/>
        </w:rPr>
      </w:pPr>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default" w:ascii="Times New Roman" w:hAnsi="Times New Roman" w:eastAsia="仿宋_GB2312" w:cs="仿宋_GB2312"/>
          <w:sz w:val="32"/>
          <w:szCs w:val="32"/>
          <w:lang w:val="en"/>
        </w:rPr>
        <w:t>9</w:t>
      </w:r>
      <w:r>
        <w:rPr>
          <w:rFonts w:hint="eastAsia" w:ascii="Times New Roman" w:hAnsi="Times New Roman" w:eastAsia="仿宋_GB2312" w:cs="仿宋_GB2312"/>
          <w:sz w:val="32"/>
          <w:szCs w:val="32"/>
        </w:rPr>
        <w:t xml:space="preserve"> 月 </w:t>
      </w:r>
      <w:r>
        <w:rPr>
          <w:rFonts w:hint="default" w:ascii="Times New Roman" w:hAnsi="Times New Roman" w:eastAsia="仿宋_GB2312" w:cs="仿宋_GB2312"/>
          <w:sz w:val="32"/>
          <w:szCs w:val="32"/>
          <w:lang w:val="en"/>
        </w:rPr>
        <w:t>16</w:t>
      </w:r>
      <w:r>
        <w:rPr>
          <w:rFonts w:hint="eastAsia" w:ascii="Times New Roman" w:hAnsi="Times New Roman" w:eastAsia="仿宋_GB2312" w:cs="仿宋_GB2312"/>
          <w:sz w:val="32"/>
          <w:szCs w:val="32"/>
        </w:rPr>
        <w:t xml:space="preserve"> 日</w:t>
      </w:r>
    </w:p>
    <w:sdt>
      <w:sdtPr>
        <w:rPr>
          <w:rFonts w:ascii="宋体" w:hAnsi="宋体" w:eastAsia="宋体" w:cs="Times New Roman"/>
          <w:kern w:val="2"/>
          <w:sz w:val="21"/>
          <w:szCs w:val="24"/>
          <w:lang w:val="en-US" w:eastAsia="zh-CN" w:bidi="ar-SA"/>
        </w:rPr>
        <w:id w:val="117849129"/>
        <w15:color w:val="DBDBDB"/>
        <w:docPartObj>
          <w:docPartGallery w:val="Table of Contents"/>
          <w:docPartUnique/>
        </w:docPartObj>
      </w:sdtPr>
      <w:sdtEndPr>
        <w:rPr>
          <w:rFonts w:hint="eastAsia" w:ascii="Times New Roman" w:hAnsi="Times New Roman" w:eastAsia="仿宋_GB2312" w:cs="仿宋_GB2312"/>
          <w:b/>
          <w:kern w:val="2"/>
          <w:sz w:val="21"/>
          <w:szCs w:val="32"/>
          <w:lang w:val="en-US" w:eastAsia="zh-CN" w:bidi="ar-SA"/>
        </w:rPr>
      </w:sdtEndPr>
      <w:sdtContent>
        <w:p>
          <w:pPr>
            <w:spacing w:before="0" w:beforeLines="0" w:after="0" w:afterLines="0" w:line="240" w:lineRule="auto"/>
            <w:ind w:left="0" w:leftChars="0" w:right="0" w:rightChars="0" w:firstLine="0" w:firstLineChars="0"/>
            <w:jc w:val="center"/>
          </w:pPr>
          <w:bookmarkStart w:id="12" w:name="_Toc15396599"/>
          <w:bookmarkStart w:id="13" w:name="_Toc15377196"/>
        </w:p>
        <w:p>
          <w:pPr>
            <w:pStyle w:val="37"/>
            <w:tabs>
              <w:tab w:val="right" w:leader="dot" w:pos="8306"/>
            </w:tabs>
            <w:rPr>
              <w:b/>
            </w:rPr>
          </w:pPr>
          <w:r>
            <w:rPr>
              <w:rFonts w:hint="eastAsia" w:eastAsia="仿宋_GB2312" w:cs="仿宋_GB2312"/>
              <w:b/>
              <w:sz w:val="32"/>
              <w:szCs w:val="32"/>
            </w:rPr>
            <w:fldChar w:fldCharType="begin"/>
          </w:r>
          <w:r>
            <w:rPr>
              <w:rFonts w:hint="eastAsia" w:eastAsia="仿宋_GB2312" w:cs="仿宋_GB2312"/>
              <w:b/>
              <w:sz w:val="32"/>
              <w:szCs w:val="32"/>
            </w:rPr>
            <w:instrText xml:space="preserve">TOC \o "1-2" \h \u </w:instrText>
          </w:r>
          <w:r>
            <w:rPr>
              <w:rFonts w:hint="eastAsia" w:eastAsia="仿宋_GB2312" w:cs="仿宋_GB2312"/>
              <w:b/>
              <w:sz w:val="32"/>
              <w:szCs w:val="32"/>
            </w:rPr>
            <w:fldChar w:fldCharType="separate"/>
          </w:r>
          <w:r>
            <w:rPr>
              <w:rFonts w:hint="eastAsia" w:eastAsia="仿宋_GB2312" w:cs="仿宋_GB2312"/>
              <w:b/>
              <w:szCs w:val="32"/>
            </w:rPr>
            <w:fldChar w:fldCharType="begin"/>
          </w:r>
          <w:r>
            <w:rPr>
              <w:rFonts w:hint="eastAsia" w:eastAsia="仿宋_GB2312" w:cs="仿宋_GB2312"/>
              <w:b/>
              <w:szCs w:val="32"/>
            </w:rPr>
            <w:instrText xml:space="preserve"> HYPERLINK \l _Toc1954020676 </w:instrText>
          </w:r>
          <w:r>
            <w:rPr>
              <w:rFonts w:hint="eastAsia" w:eastAsia="仿宋_GB2312" w:cs="仿宋_GB2312"/>
              <w:b/>
              <w:szCs w:val="32"/>
            </w:rPr>
            <w:fldChar w:fldCharType="separate"/>
          </w:r>
          <w:r>
            <w:rPr>
              <w:rFonts w:hint="eastAsia" w:eastAsia="方正小标宋简体" w:cs="方正小标宋简体"/>
              <w:b/>
            </w:rPr>
            <w:t xml:space="preserve">第一部分  </w:t>
          </w:r>
          <w:r>
            <w:rPr>
              <w:rFonts w:hint="eastAsia" w:eastAsia="方正小标宋简体" w:cs="方正小标宋简体"/>
              <w:b/>
              <w:bCs w:val="0"/>
            </w:rPr>
            <w:t>部门概况</w:t>
          </w:r>
          <w:r>
            <w:rPr>
              <w:b/>
            </w:rPr>
            <w:tab/>
          </w:r>
          <w:r>
            <w:rPr>
              <w:rFonts w:hint="eastAsia"/>
              <w:b/>
              <w:lang w:val="en-US" w:eastAsia="zh-CN"/>
            </w:rPr>
            <w:t>4</w:t>
          </w:r>
          <w:r>
            <w:rPr>
              <w:rFonts w:hint="eastAsia" w:eastAsia="仿宋_GB2312" w:cs="仿宋_GB2312"/>
              <w:b/>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_Toc705033521 </w:instrText>
          </w:r>
          <w:r>
            <w:rPr>
              <w:rFonts w:hint="eastAsia" w:eastAsia="仿宋_GB2312" w:cs="仿宋_GB2312"/>
              <w:szCs w:val="32"/>
            </w:rPr>
            <w:fldChar w:fldCharType="separate"/>
          </w:r>
          <w:r>
            <w:rPr>
              <w:rFonts w:hint="eastAsia"/>
            </w:rPr>
            <w:t xml:space="preserve">一、 </w:t>
          </w:r>
          <w:r>
            <w:rPr>
              <w:rFonts w:hint="eastAsia" w:ascii="Times New Roman" w:hAnsi="Times New Roman" w:eastAsia="黑体"/>
              <w:lang w:eastAsia="zh-CN"/>
            </w:rPr>
            <w:t>单位</w:t>
          </w:r>
          <w:r>
            <w:rPr>
              <w:rFonts w:hint="eastAsia" w:ascii="Times New Roman" w:hAnsi="Times New Roman" w:eastAsia="黑体"/>
            </w:rPr>
            <w:t>职责</w:t>
          </w:r>
          <w:r>
            <w:tab/>
          </w:r>
          <w:r>
            <w:rPr>
              <w:rFonts w:hint="eastAsia"/>
              <w:lang w:val="en-US" w:eastAsia="zh-CN"/>
            </w:rPr>
            <w:t>4</w:t>
          </w:r>
          <w:r>
            <w:rPr>
              <w:rFonts w:hint="eastAsia" w:eastAsia="仿宋_GB2312" w:cs="仿宋_GB2312"/>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_Toc1732932389 </w:instrText>
          </w:r>
          <w:r>
            <w:rPr>
              <w:rFonts w:hint="eastAsia" w:eastAsia="仿宋_GB2312" w:cs="仿宋_GB2312"/>
              <w:szCs w:val="32"/>
            </w:rPr>
            <w:fldChar w:fldCharType="separate"/>
          </w:r>
          <w:r>
            <w:rPr>
              <w:rFonts w:hint="eastAsia" w:ascii="Times New Roman" w:hAnsi="Times New Roman" w:eastAsia="黑体"/>
              <w:bCs w:val="0"/>
            </w:rPr>
            <w:t xml:space="preserve">二、 </w:t>
          </w:r>
          <w:r>
            <w:rPr>
              <w:rFonts w:hint="eastAsia" w:ascii="Times New Roman" w:hAnsi="Times New Roman" w:eastAsia="黑体"/>
            </w:rPr>
            <w:t>机</w:t>
          </w:r>
          <w:r>
            <w:rPr>
              <w:rFonts w:hint="eastAsia" w:ascii="Times New Roman" w:hAnsi="Times New Roman" w:eastAsia="黑体"/>
              <w:bCs w:val="0"/>
            </w:rPr>
            <w:t>构设置</w:t>
          </w:r>
          <w:r>
            <w:tab/>
          </w:r>
          <w:r>
            <w:rPr>
              <w:rFonts w:hint="eastAsia"/>
              <w:lang w:val="en-US" w:eastAsia="zh-CN"/>
            </w:rPr>
            <w:t>4</w:t>
          </w:r>
          <w:r>
            <w:rPr>
              <w:rFonts w:hint="eastAsia" w:eastAsia="仿宋_GB2312" w:cs="仿宋_GB2312"/>
              <w:szCs w:val="32"/>
            </w:rPr>
            <w:fldChar w:fldCharType="end"/>
          </w:r>
        </w:p>
        <w:p>
          <w:pPr>
            <w:pStyle w:val="37"/>
            <w:tabs>
              <w:tab w:val="right" w:leader="dot" w:pos="8306"/>
            </w:tabs>
            <w:rPr>
              <w:b/>
            </w:rPr>
          </w:pPr>
          <w:r>
            <w:rPr>
              <w:rFonts w:hint="eastAsia" w:eastAsia="仿宋_GB2312" w:cs="仿宋_GB2312"/>
              <w:b/>
              <w:szCs w:val="32"/>
            </w:rPr>
            <w:fldChar w:fldCharType="begin"/>
          </w:r>
          <w:r>
            <w:rPr>
              <w:rFonts w:hint="eastAsia" w:eastAsia="仿宋_GB2312" w:cs="仿宋_GB2312"/>
              <w:b/>
              <w:szCs w:val="32"/>
            </w:rPr>
            <w:instrText xml:space="preserve"> HYPERLINK \l _Toc667549445 </w:instrText>
          </w:r>
          <w:r>
            <w:rPr>
              <w:rFonts w:hint="eastAsia" w:eastAsia="仿宋_GB2312" w:cs="仿宋_GB2312"/>
              <w:b/>
              <w:szCs w:val="32"/>
            </w:rPr>
            <w:fldChar w:fldCharType="separate"/>
          </w:r>
          <w:r>
            <w:rPr>
              <w:rFonts w:hint="eastAsia" w:eastAsia="方正小标宋简体" w:cs="方正小标宋简体"/>
              <w:b/>
            </w:rPr>
            <w:t>第二部分  2025年度部门决算情况说明</w:t>
          </w:r>
          <w:r>
            <w:rPr>
              <w:b/>
            </w:rPr>
            <w:tab/>
          </w:r>
          <w:r>
            <w:rPr>
              <w:rFonts w:hint="eastAsia"/>
              <w:b/>
              <w:lang w:val="en-US" w:eastAsia="zh-CN"/>
            </w:rPr>
            <w:t>5</w:t>
          </w:r>
          <w:r>
            <w:rPr>
              <w:rFonts w:hint="eastAsia" w:eastAsia="仿宋_GB2312" w:cs="仿宋_GB2312"/>
              <w:b/>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_Toc183615185 </w:instrText>
          </w:r>
          <w:r>
            <w:rPr>
              <w:rFonts w:hint="eastAsia" w:eastAsia="仿宋_GB2312" w:cs="仿宋_GB2312"/>
              <w:szCs w:val="32"/>
            </w:rPr>
            <w:fldChar w:fldCharType="separate"/>
          </w:r>
          <w:r>
            <w:rPr>
              <w:rFonts w:hint="eastAsia" w:eastAsia="黑体"/>
              <w:szCs w:val="32"/>
            </w:rPr>
            <w:t>一、收</w:t>
          </w:r>
          <w:r>
            <w:rPr>
              <w:rFonts w:hint="eastAsia" w:ascii="Times New Roman" w:hAnsi="Times New Roman" w:eastAsia="黑体"/>
            </w:rPr>
            <w:t>入支出决算总体情况说明</w:t>
          </w:r>
          <w:r>
            <w:tab/>
          </w:r>
          <w:r>
            <w:rPr>
              <w:rFonts w:hint="eastAsia"/>
              <w:lang w:val="en-US" w:eastAsia="zh-CN"/>
            </w:rPr>
            <w:t>5</w:t>
          </w:r>
          <w:r>
            <w:rPr>
              <w:rFonts w:hint="eastAsia" w:eastAsia="仿宋_GB2312" w:cs="仿宋_GB2312"/>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_Toc228528569 </w:instrText>
          </w:r>
          <w:r>
            <w:rPr>
              <w:rFonts w:hint="eastAsia" w:eastAsia="仿宋_GB2312" w:cs="仿宋_GB2312"/>
              <w:szCs w:val="32"/>
            </w:rPr>
            <w:fldChar w:fldCharType="separate"/>
          </w:r>
          <w:r>
            <w:rPr>
              <w:rFonts w:hint="eastAsia" w:ascii="Times New Roman" w:hAnsi="Times New Roman" w:eastAsia="黑体"/>
            </w:rPr>
            <w:t>二、收入决算情况说明</w:t>
          </w:r>
          <w:r>
            <w:tab/>
          </w:r>
          <w:r>
            <w:rPr>
              <w:rFonts w:hint="eastAsia"/>
              <w:lang w:val="en-US" w:eastAsia="zh-CN"/>
            </w:rPr>
            <w:t>5</w:t>
          </w:r>
          <w:r>
            <w:rPr>
              <w:rFonts w:hint="eastAsia" w:eastAsia="仿宋_GB2312" w:cs="仿宋_GB2312"/>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_Toc2051198883 </w:instrText>
          </w:r>
          <w:r>
            <w:rPr>
              <w:rFonts w:hint="eastAsia" w:eastAsia="仿宋_GB2312" w:cs="仿宋_GB2312"/>
              <w:szCs w:val="32"/>
            </w:rPr>
            <w:fldChar w:fldCharType="separate"/>
          </w:r>
          <w:r>
            <w:rPr>
              <w:rFonts w:hint="eastAsia" w:eastAsia="黑体"/>
              <w:szCs w:val="32"/>
            </w:rPr>
            <w:t>三、支</w:t>
          </w:r>
          <w:r>
            <w:rPr>
              <w:rFonts w:hint="eastAsia" w:ascii="Times New Roman" w:hAnsi="Times New Roman" w:eastAsia="黑体"/>
            </w:rPr>
            <w:t>出决算情况说明</w:t>
          </w:r>
          <w:r>
            <w:tab/>
          </w:r>
          <w:r>
            <w:rPr>
              <w:rFonts w:hint="eastAsia"/>
              <w:lang w:val="en-US" w:eastAsia="zh-CN"/>
            </w:rPr>
            <w:t>6</w:t>
          </w:r>
          <w:r>
            <w:rPr>
              <w:rFonts w:hint="eastAsia" w:eastAsia="仿宋_GB2312" w:cs="仿宋_GB2312"/>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_Toc1129989603 </w:instrText>
          </w:r>
          <w:r>
            <w:rPr>
              <w:rFonts w:hint="eastAsia" w:eastAsia="仿宋_GB2312" w:cs="仿宋_GB2312"/>
              <w:szCs w:val="32"/>
            </w:rPr>
            <w:fldChar w:fldCharType="separate"/>
          </w:r>
          <w:r>
            <w:rPr>
              <w:rFonts w:hint="eastAsia" w:eastAsia="黑体"/>
              <w:szCs w:val="32"/>
            </w:rPr>
            <w:t>四、财</w:t>
          </w:r>
          <w:r>
            <w:rPr>
              <w:rFonts w:hint="eastAsia" w:ascii="Times New Roman" w:hAnsi="Times New Roman" w:eastAsia="黑体"/>
            </w:rPr>
            <w:t>政拨款收入支出决算总体情况说明</w:t>
          </w:r>
          <w:r>
            <w:tab/>
          </w:r>
          <w:r>
            <w:rPr>
              <w:rFonts w:hint="eastAsia"/>
              <w:lang w:val="en-US" w:eastAsia="zh-CN"/>
            </w:rPr>
            <w:t>7</w:t>
          </w:r>
          <w:r>
            <w:rPr>
              <w:rFonts w:hint="eastAsia" w:eastAsia="仿宋_GB2312" w:cs="仿宋_GB2312"/>
              <w:szCs w:val="32"/>
            </w:rPr>
            <w:fldChar w:fldCharType="end"/>
          </w:r>
        </w:p>
        <w:p>
          <w:pPr>
            <w:pStyle w:val="38"/>
            <w:tabs>
              <w:tab w:val="right" w:leader="dot" w:pos="8306"/>
            </w:tabs>
          </w:pPr>
          <w:r>
            <w:rPr>
              <w:rFonts w:hint="eastAsia" w:eastAsia="仿宋_GB2312" w:cs="仿宋_GB2312"/>
              <w:szCs w:val="32"/>
            </w:rPr>
            <w:fldChar w:fldCharType="begin"/>
          </w:r>
          <w:r>
            <w:rPr>
              <w:rFonts w:hint="eastAsia" w:eastAsia="仿宋_GB2312" w:cs="仿宋_GB2312"/>
              <w:szCs w:val="32"/>
            </w:rPr>
            <w:instrText xml:space="preserve"> HYPERLINK \l _Toc1950721697 </w:instrText>
          </w:r>
          <w:r>
            <w:rPr>
              <w:rFonts w:hint="eastAsia" w:eastAsia="仿宋_GB2312" w:cs="仿宋_GB2312"/>
              <w:szCs w:val="32"/>
            </w:rP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rPr>
              <w:rFonts w:hint="eastAsia"/>
              <w:lang w:val="en-US" w:eastAsia="zh-CN"/>
            </w:rPr>
            <w:t>7</w:t>
          </w:r>
          <w:r>
            <w:rPr>
              <w:rFonts w:hint="eastAsia" w:eastAsia="仿宋_GB2312" w:cs="仿宋_GB2312"/>
              <w:szCs w:val="32"/>
            </w:rPr>
            <w:fldChar w:fldCharType="end"/>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_Toc491632100 </w:instrText>
          </w:r>
          <w:r>
            <w:rPr>
              <w:rFonts w:hint="eastAsia" w:eastAsia="仿宋_GB2312" w:cs="仿宋_GB2312"/>
              <w:szCs w:val="32"/>
            </w:rP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0</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_Toc1387551481 </w:instrText>
          </w:r>
          <w:r>
            <w:rPr>
              <w:rFonts w:hint="eastAsia" w:eastAsia="仿宋_GB2312" w:cs="仿宋_GB2312"/>
              <w:szCs w:val="32"/>
            </w:rPr>
            <w:fldChar w:fldCharType="separate"/>
          </w:r>
          <w:r>
            <w:rPr>
              <w:rFonts w:hint="eastAsia" w:eastAsia="黑体"/>
              <w:szCs w:val="32"/>
            </w:rPr>
            <w:t>七、</w:t>
          </w:r>
          <w:r>
            <w:rPr>
              <w:rFonts w:hint="eastAsia" w:ascii="Times New Roman" w:hAnsi="Times New Roman" w:eastAsia="黑体"/>
            </w:rPr>
            <w:t>财政拨款“三公”经费支出决算情况说明</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1</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_Toc7788514 </w:instrText>
          </w:r>
          <w:r>
            <w:rPr>
              <w:rFonts w:hint="eastAsia" w:eastAsia="仿宋_GB2312" w:cs="仿宋_GB2312"/>
              <w:szCs w:val="32"/>
            </w:rPr>
            <w:fldChar w:fldCharType="separate"/>
          </w:r>
          <w:r>
            <w:rPr>
              <w:rFonts w:hint="eastAsia" w:eastAsia="黑体"/>
              <w:szCs w:val="32"/>
            </w:rPr>
            <w:t>八、</w:t>
          </w:r>
          <w:r>
            <w:rPr>
              <w:rFonts w:hint="eastAsia" w:ascii="Times New Roman" w:hAnsi="Times New Roman" w:eastAsia="黑体"/>
            </w:rPr>
            <w:t>政府性基金预算支出决算情况说明</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2</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_Toc1963621150 </w:instrText>
          </w:r>
          <w:r>
            <w:rPr>
              <w:rFonts w:hint="eastAsia" w:eastAsia="仿宋_GB2312" w:cs="仿宋_GB2312"/>
              <w:szCs w:val="32"/>
            </w:rPr>
            <w:fldChar w:fldCharType="separate"/>
          </w:r>
          <w:r>
            <w:rPr>
              <w:rFonts w:hint="eastAsia" w:ascii="Times New Roman" w:hAnsi="Times New Roman" w:eastAsia="黑体"/>
            </w:rPr>
            <w:t>九、国有资本经营预算支出决算情况说明</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2</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_Toc2135267586 </w:instrText>
          </w:r>
          <w:r>
            <w:rPr>
              <w:rFonts w:hint="eastAsia" w:eastAsia="仿宋_GB2312" w:cs="仿宋_GB2312"/>
              <w:szCs w:val="32"/>
            </w:rPr>
            <w:fldChar w:fldCharType="separate"/>
          </w:r>
          <w:r>
            <w:rPr>
              <w:rFonts w:hint="eastAsia" w:ascii="Times New Roman" w:hAnsi="Times New Roman" w:eastAsia="黑体"/>
            </w:rPr>
            <w:t>十、其他重要事项的情况说明</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2</w:t>
          </w:r>
        </w:p>
        <w:p>
          <w:pPr>
            <w:pStyle w:val="37"/>
            <w:tabs>
              <w:tab w:val="right" w:leader="dot" w:pos="8306"/>
            </w:tabs>
            <w:rPr>
              <w:rFonts w:hint="eastAsia" w:eastAsia="仿宋_GB2312"/>
              <w:b/>
              <w:lang w:val="en-US" w:eastAsia="zh-CN"/>
            </w:rPr>
          </w:pPr>
          <w:r>
            <w:rPr>
              <w:rFonts w:hint="eastAsia" w:eastAsia="仿宋_GB2312" w:cs="仿宋_GB2312"/>
              <w:b/>
              <w:szCs w:val="32"/>
            </w:rPr>
            <w:fldChar w:fldCharType="begin"/>
          </w:r>
          <w:r>
            <w:rPr>
              <w:rFonts w:hint="eastAsia" w:eastAsia="仿宋_GB2312" w:cs="仿宋_GB2312"/>
              <w:b/>
              <w:szCs w:val="32"/>
            </w:rPr>
            <w:instrText xml:space="preserve"> HYPERLINK \l _Toc1957994261 </w:instrText>
          </w:r>
          <w:r>
            <w:rPr>
              <w:rFonts w:hint="eastAsia" w:eastAsia="仿宋_GB2312" w:cs="仿宋_GB2312"/>
              <w:b/>
              <w:szCs w:val="32"/>
            </w:rPr>
            <w:fldChar w:fldCharType="separate"/>
          </w:r>
          <w:r>
            <w:rPr>
              <w:rFonts w:hint="eastAsia" w:ascii="黑体" w:hAnsi="黑体" w:eastAsia="黑体" w:cs="黑体"/>
              <w:b/>
              <w:bCs w:val="0"/>
            </w:rPr>
            <w:t>第三部分  名词解释</w:t>
          </w:r>
          <w:r>
            <w:rPr>
              <w:b/>
            </w:rPr>
            <w:tab/>
          </w:r>
          <w:r>
            <w:rPr>
              <w:rFonts w:hint="eastAsia"/>
              <w:b/>
              <w:lang w:val="en-US" w:eastAsia="zh-CN"/>
            </w:rPr>
            <w:t>1</w:t>
          </w:r>
          <w:r>
            <w:rPr>
              <w:rFonts w:hint="eastAsia" w:eastAsia="仿宋_GB2312" w:cs="仿宋_GB2312"/>
              <w:b/>
              <w:szCs w:val="32"/>
            </w:rPr>
            <w:fldChar w:fldCharType="end"/>
          </w:r>
          <w:r>
            <w:rPr>
              <w:rFonts w:hint="eastAsia" w:eastAsia="仿宋_GB2312" w:cs="仿宋_GB2312"/>
              <w:b/>
              <w:szCs w:val="32"/>
              <w:lang w:val="en-US" w:eastAsia="zh-CN"/>
            </w:rPr>
            <w:t>4</w:t>
          </w:r>
        </w:p>
        <w:p>
          <w:pPr>
            <w:pStyle w:val="37"/>
            <w:tabs>
              <w:tab w:val="right" w:leader="dot" w:pos="8306"/>
            </w:tabs>
            <w:rPr>
              <w:rFonts w:hint="eastAsia" w:eastAsia="仿宋_GB2312"/>
              <w:b/>
              <w:lang w:val="en-US" w:eastAsia="zh-CN"/>
            </w:rPr>
          </w:pPr>
          <w:r>
            <w:rPr>
              <w:rFonts w:hint="eastAsia" w:eastAsia="仿宋_GB2312" w:cs="仿宋_GB2312"/>
              <w:b/>
              <w:szCs w:val="32"/>
            </w:rPr>
            <w:fldChar w:fldCharType="begin"/>
          </w:r>
          <w:r>
            <w:rPr>
              <w:rFonts w:hint="eastAsia" w:eastAsia="仿宋_GB2312" w:cs="仿宋_GB2312"/>
              <w:b/>
              <w:szCs w:val="32"/>
            </w:rPr>
            <w:instrText xml:space="preserve"> HYPERLINK \l _Toc57401083 </w:instrText>
          </w:r>
          <w:r>
            <w:rPr>
              <w:rFonts w:hint="eastAsia" w:eastAsia="仿宋_GB2312" w:cs="仿宋_GB2312"/>
              <w:b/>
              <w:szCs w:val="32"/>
            </w:rPr>
            <w:fldChar w:fldCharType="separate"/>
          </w:r>
          <w:r>
            <w:rPr>
              <w:rFonts w:hint="eastAsia" w:ascii="黑体" w:hAnsi="黑体" w:eastAsia="黑体" w:cs="黑体"/>
              <w:b/>
              <w:bCs w:val="0"/>
            </w:rPr>
            <w:t>第四部分  附件</w:t>
          </w:r>
          <w:r>
            <w:rPr>
              <w:b/>
            </w:rPr>
            <w:tab/>
          </w:r>
          <w:r>
            <w:rPr>
              <w:rFonts w:hint="eastAsia"/>
              <w:b/>
              <w:lang w:val="en-US" w:eastAsia="zh-CN"/>
            </w:rPr>
            <w:t>1</w:t>
          </w:r>
          <w:r>
            <w:rPr>
              <w:rFonts w:hint="eastAsia" w:eastAsia="仿宋_GB2312" w:cs="仿宋_GB2312"/>
              <w:b/>
              <w:szCs w:val="32"/>
            </w:rPr>
            <w:fldChar w:fldCharType="end"/>
          </w:r>
          <w:r>
            <w:rPr>
              <w:rFonts w:hint="eastAsia" w:eastAsia="仿宋_GB2312" w:cs="仿宋_GB2312"/>
              <w:b/>
              <w:szCs w:val="32"/>
              <w:lang w:val="en-US" w:eastAsia="zh-CN"/>
            </w:rPr>
            <w:t>7</w:t>
          </w:r>
        </w:p>
        <w:p>
          <w:pPr>
            <w:pStyle w:val="37"/>
            <w:tabs>
              <w:tab w:val="right" w:leader="dot" w:pos="8306"/>
            </w:tabs>
            <w:rPr>
              <w:rFonts w:hint="eastAsia" w:eastAsia="仿宋_GB2312"/>
              <w:b/>
              <w:lang w:val="en-US" w:eastAsia="zh-CN"/>
            </w:rPr>
          </w:pPr>
          <w:r>
            <w:rPr>
              <w:rFonts w:hint="eastAsia" w:eastAsia="仿宋_GB2312" w:cs="仿宋_GB2312"/>
              <w:b/>
              <w:szCs w:val="32"/>
            </w:rPr>
            <w:fldChar w:fldCharType="begin"/>
          </w:r>
          <w:r>
            <w:rPr>
              <w:rFonts w:hint="eastAsia" w:eastAsia="仿宋_GB2312" w:cs="仿宋_GB2312"/>
              <w:b/>
              <w:szCs w:val="32"/>
            </w:rPr>
            <w:instrText xml:space="preserve"> HYPERLINK \l _Toc103268917 </w:instrText>
          </w:r>
          <w:r>
            <w:rPr>
              <w:rFonts w:hint="eastAsia" w:eastAsia="仿宋_GB2312" w:cs="仿宋_GB2312"/>
              <w:b/>
              <w:szCs w:val="32"/>
            </w:rPr>
            <w:fldChar w:fldCharType="separate"/>
          </w:r>
          <w:r>
            <w:rPr>
              <w:rFonts w:hint="eastAsia" w:eastAsia="黑体"/>
              <w:b/>
              <w:szCs w:val="44"/>
            </w:rPr>
            <w:t>第</w:t>
          </w:r>
          <w:r>
            <w:rPr>
              <w:rFonts w:hint="eastAsia" w:eastAsia="黑体"/>
              <w:b/>
            </w:rPr>
            <w:t>五部分 附表</w:t>
          </w:r>
          <w:r>
            <w:rPr>
              <w:b/>
            </w:rPr>
            <w:tab/>
          </w:r>
          <w:r>
            <w:rPr>
              <w:rFonts w:hint="eastAsia"/>
              <w:b/>
              <w:lang w:val="en-US" w:eastAsia="zh-CN"/>
            </w:rPr>
            <w:t>1</w:t>
          </w:r>
          <w:r>
            <w:rPr>
              <w:rFonts w:hint="eastAsia" w:eastAsia="仿宋_GB2312" w:cs="仿宋_GB2312"/>
              <w:b/>
              <w:szCs w:val="32"/>
            </w:rPr>
            <w:fldChar w:fldCharType="end"/>
          </w:r>
          <w:r>
            <w:rPr>
              <w:rFonts w:hint="eastAsia" w:eastAsia="仿宋_GB2312" w:cs="仿宋_GB2312"/>
              <w:b/>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_Toc123976650 </w:instrText>
          </w:r>
          <w:r>
            <w:rPr>
              <w:rFonts w:hint="eastAsia" w:eastAsia="仿宋_GB2312" w:cs="仿宋_GB2312"/>
              <w:szCs w:val="32"/>
            </w:rPr>
            <w:fldChar w:fldCharType="separate"/>
          </w:r>
          <w:r>
            <w:rPr>
              <w:rFonts w:hint="eastAsia" w:ascii="仿宋_GB2312" w:hAnsi="仿宋_GB2312" w:eastAsia="仿宋_GB2312" w:cs="仿宋_GB2312"/>
              <w:bCs w:val="0"/>
            </w:rPr>
            <w:t>一、 收入支出决算总表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_Toc954119371 </w:instrText>
          </w:r>
          <w:r>
            <w:rPr>
              <w:rFonts w:hint="eastAsia" w:eastAsia="仿宋_GB2312" w:cs="仿宋_GB2312"/>
              <w:szCs w:val="32"/>
            </w:rPr>
            <w:fldChar w:fldCharType="separate"/>
          </w:r>
          <w:r>
            <w:rPr>
              <w:rFonts w:hint="eastAsia" w:ascii="仿宋_GB2312" w:hAnsi="仿宋_GB2312" w:eastAsia="仿宋_GB2312" w:cs="仿宋_GB2312"/>
              <w:bCs w:val="0"/>
            </w:rPr>
            <w:t>二、收入决算表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_Toc1780820953 </w:instrText>
          </w:r>
          <w:r>
            <w:rPr>
              <w:rFonts w:hint="eastAsia" w:eastAsia="仿宋_GB2312" w:cs="仿宋_GB2312"/>
              <w:szCs w:val="32"/>
            </w:rPr>
            <w:fldChar w:fldCharType="separate"/>
          </w:r>
          <w:r>
            <w:rPr>
              <w:rFonts w:hint="eastAsia" w:ascii="仿宋_GB2312" w:hAnsi="仿宋_GB2312" w:eastAsia="仿宋_GB2312" w:cs="仿宋_GB2312"/>
              <w:bCs w:val="0"/>
            </w:rPr>
            <w:t>三、支出决算表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_Toc141280506 </w:instrText>
          </w:r>
          <w:r>
            <w:rPr>
              <w:rFonts w:hint="eastAsia" w:eastAsia="仿宋_GB2312" w:cs="仿宋_GB2312"/>
              <w:szCs w:val="32"/>
            </w:rPr>
            <w:fldChar w:fldCharType="separate"/>
          </w:r>
          <w:r>
            <w:rPr>
              <w:rFonts w:hint="eastAsia" w:ascii="仿宋_GB2312" w:hAnsi="仿宋_GB2312" w:eastAsia="仿宋_GB2312" w:cs="仿宋_GB2312"/>
              <w:bCs w:val="0"/>
            </w:rPr>
            <w:t>四、财政拨款收入支出决算总表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_Toc408109870 </w:instrText>
          </w:r>
          <w:r>
            <w:rPr>
              <w:rFonts w:hint="eastAsia" w:eastAsia="仿宋_GB2312" w:cs="仿宋_GB2312"/>
              <w:szCs w:val="32"/>
            </w:rPr>
            <w:fldChar w:fldCharType="separate"/>
          </w:r>
          <w:r>
            <w:rPr>
              <w:rFonts w:hint="eastAsia" w:ascii="仿宋_GB2312" w:hAnsi="仿宋_GB2312" w:eastAsia="仿宋_GB2312" w:cs="仿宋_GB2312"/>
              <w:bCs w:val="0"/>
            </w:rPr>
            <w:t>五、财政拨款支出决算明细表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_Toc395684178 </w:instrText>
          </w:r>
          <w:r>
            <w:rPr>
              <w:rFonts w:hint="eastAsia" w:eastAsia="仿宋_GB2312" w:cs="仿宋_GB2312"/>
              <w:szCs w:val="32"/>
            </w:rPr>
            <w:fldChar w:fldCharType="separate"/>
          </w:r>
          <w:r>
            <w:rPr>
              <w:rFonts w:hint="eastAsia" w:ascii="仿宋_GB2312" w:hAnsi="仿宋_GB2312" w:eastAsia="仿宋_GB2312" w:cs="仿宋_GB2312"/>
              <w:bCs w:val="0"/>
            </w:rPr>
            <w:t>六、一般公共预算财政拨款支出决算表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_Toc1412058171 </w:instrText>
          </w:r>
          <w:r>
            <w:rPr>
              <w:rFonts w:hint="eastAsia" w:eastAsia="仿宋_GB2312" w:cs="仿宋_GB2312"/>
              <w:szCs w:val="32"/>
            </w:rPr>
            <w:fldChar w:fldCharType="separate"/>
          </w:r>
          <w:r>
            <w:rPr>
              <w:rFonts w:hint="eastAsia" w:ascii="仿宋_GB2312" w:hAnsi="仿宋_GB2312" w:eastAsia="仿宋_GB2312" w:cs="仿宋_GB2312"/>
              <w:bCs w:val="0"/>
            </w:rPr>
            <w:t>七、一般公共预算财政拨款支出决算明细表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_Toc2103889769 </w:instrText>
          </w:r>
          <w:r>
            <w:rPr>
              <w:rFonts w:hint="eastAsia" w:eastAsia="仿宋_GB2312" w:cs="仿宋_GB2312"/>
              <w:szCs w:val="32"/>
            </w:rPr>
            <w:fldChar w:fldCharType="separate"/>
          </w:r>
          <w:r>
            <w:rPr>
              <w:rFonts w:hint="eastAsia" w:ascii="仿宋_GB2312" w:hAnsi="仿宋_GB2312" w:eastAsia="仿宋_GB2312" w:cs="仿宋_GB2312"/>
              <w:bCs w:val="0"/>
            </w:rPr>
            <w:t>八、一般公共预算财政拨款基本支出决算表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_Toc1887515133 </w:instrText>
          </w:r>
          <w:r>
            <w:rPr>
              <w:rFonts w:hint="eastAsia" w:eastAsia="仿宋_GB2312" w:cs="仿宋_GB2312"/>
              <w:szCs w:val="32"/>
            </w:rPr>
            <w:fldChar w:fldCharType="separate"/>
          </w:r>
          <w:r>
            <w:rPr>
              <w:rFonts w:hint="eastAsia" w:ascii="仿宋_GB2312" w:hAnsi="仿宋_GB2312" w:eastAsia="仿宋_GB2312" w:cs="仿宋_GB2312"/>
              <w:bCs w:val="0"/>
            </w:rPr>
            <w:t>九、一般公共预算财政拨款项目支出决算表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_Toc570648808 </w:instrText>
          </w:r>
          <w:r>
            <w:rPr>
              <w:rFonts w:hint="eastAsia" w:eastAsia="仿宋_GB2312" w:cs="仿宋_GB2312"/>
              <w:szCs w:val="32"/>
            </w:rPr>
            <w:fldChar w:fldCharType="separate"/>
          </w:r>
          <w:r>
            <w:rPr>
              <w:rFonts w:hint="eastAsia" w:ascii="仿宋_GB2312" w:hAnsi="仿宋_GB2312" w:eastAsia="仿宋_GB2312" w:cs="仿宋_GB2312"/>
              <w:bCs w:val="0"/>
            </w:rPr>
            <w:t>十、政府性基金预算财政拨款收入支出决算表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_Toc908641696 </w:instrText>
          </w:r>
          <w:r>
            <w:rPr>
              <w:rFonts w:hint="eastAsia" w:eastAsia="仿宋_GB2312" w:cs="仿宋_GB2312"/>
              <w:szCs w:val="32"/>
            </w:rPr>
            <w:fldChar w:fldCharType="separate"/>
          </w:r>
          <w:r>
            <w:rPr>
              <w:rFonts w:hint="eastAsia" w:ascii="仿宋_GB2312" w:hAnsi="仿宋_GB2312" w:eastAsia="仿宋_GB2312" w:cs="仿宋_GB2312"/>
              <w:bCs w:val="0"/>
            </w:rPr>
            <w:t>十一、国有资本经营预算财政拨款收入支出决算表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_Toc1912193104 </w:instrText>
          </w:r>
          <w:r>
            <w:rPr>
              <w:rFonts w:hint="eastAsia" w:eastAsia="仿宋_GB2312" w:cs="仿宋_GB2312"/>
              <w:szCs w:val="32"/>
            </w:rPr>
            <w:fldChar w:fldCharType="separate"/>
          </w:r>
          <w:r>
            <w:rPr>
              <w:rFonts w:hint="eastAsia" w:ascii="仿宋_GB2312" w:hAnsi="仿宋_GB2312" w:eastAsia="仿宋_GB2312" w:cs="仿宋_GB2312"/>
              <w:bCs w:val="0"/>
            </w:rPr>
            <w:t>十二、国有资本经营预算财政拨款支出决算表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pStyle w:val="38"/>
            <w:tabs>
              <w:tab w:val="right" w:leader="dot" w:pos="8306"/>
            </w:tabs>
            <w:rPr>
              <w:rFonts w:hint="eastAsia" w:eastAsia="仿宋_GB2312"/>
              <w:lang w:val="en-US" w:eastAsia="zh-CN"/>
            </w:rPr>
          </w:pPr>
          <w:r>
            <w:rPr>
              <w:rFonts w:hint="eastAsia" w:eastAsia="仿宋_GB2312" w:cs="仿宋_GB2312"/>
              <w:szCs w:val="32"/>
            </w:rPr>
            <w:fldChar w:fldCharType="begin"/>
          </w:r>
          <w:r>
            <w:rPr>
              <w:rFonts w:hint="eastAsia" w:eastAsia="仿宋_GB2312" w:cs="仿宋_GB2312"/>
              <w:szCs w:val="32"/>
            </w:rPr>
            <w:instrText xml:space="preserve"> HYPERLINK \l _Toc1266135046 </w:instrText>
          </w:r>
          <w:r>
            <w:rPr>
              <w:rFonts w:hint="eastAsia" w:eastAsia="仿宋_GB2312" w:cs="仿宋_GB2312"/>
              <w:szCs w:val="32"/>
            </w:rPr>
            <w:fldChar w:fldCharType="separate"/>
          </w:r>
          <w:r>
            <w:rPr>
              <w:rFonts w:hint="eastAsia" w:ascii="仿宋_GB2312" w:hAnsi="仿宋_GB2312" w:eastAsia="仿宋_GB2312" w:cs="仿宋_GB2312"/>
              <w:bCs w:val="0"/>
            </w:rPr>
            <w:t>十三、财政拨款“三公”经费支出决算表</w:t>
          </w:r>
          <w:r>
            <w:tab/>
          </w:r>
          <w:r>
            <w:rPr>
              <w:rFonts w:hint="eastAsia"/>
              <w:lang w:val="en-US" w:eastAsia="zh-CN"/>
            </w:rPr>
            <w:t>1</w:t>
          </w:r>
          <w:r>
            <w:rPr>
              <w:rFonts w:hint="eastAsia" w:eastAsia="仿宋_GB2312" w:cs="仿宋_GB2312"/>
              <w:szCs w:val="32"/>
            </w:rPr>
            <w:fldChar w:fldCharType="end"/>
          </w:r>
          <w:r>
            <w:rPr>
              <w:rFonts w:hint="eastAsia" w:eastAsia="仿宋_GB2312" w:cs="仿宋_GB2312"/>
              <w:szCs w:val="32"/>
              <w:lang w:val="en-US" w:eastAsia="zh-CN"/>
            </w:rPr>
            <w:t>8</w:t>
          </w:r>
        </w:p>
        <w:p>
          <w:pPr>
            <w:widowControl/>
            <w:spacing w:line="560" w:lineRule="exact"/>
            <w:jc w:val="left"/>
            <w:rPr>
              <w:rFonts w:hint="eastAsia" w:ascii="Times New Roman" w:hAnsi="Times New Roman" w:eastAsia="仿宋_GB2312" w:cs="仿宋_GB2312"/>
              <w:b/>
              <w:kern w:val="2"/>
              <w:sz w:val="21"/>
              <w:szCs w:val="32"/>
              <w:lang w:val="en-US" w:eastAsia="zh-CN" w:bidi="ar-SA"/>
            </w:rPr>
          </w:pPr>
          <w:r>
            <w:rPr>
              <w:rFonts w:hint="eastAsia" w:eastAsia="仿宋_GB2312" w:cs="仿宋_GB2312"/>
              <w:b/>
              <w:szCs w:val="32"/>
            </w:rPr>
            <w:fldChar w:fldCharType="end"/>
          </w:r>
        </w:p>
      </w:sdtContent>
    </w:sdt>
    <w:p>
      <w:pPr>
        <w:widowControl/>
        <w:spacing w:line="560" w:lineRule="exact"/>
        <w:jc w:val="left"/>
        <w:rPr>
          <w:rFonts w:hint="eastAsia" w:eastAsia="仿宋_GB2312" w:cs="仿宋_GB2312"/>
          <w:b/>
          <w:sz w:val="32"/>
          <w:szCs w:val="32"/>
        </w:rPr>
      </w:pPr>
      <w:r>
        <w:rPr>
          <w:rFonts w:hint="eastAsia" w:eastAsia="仿宋_GB2312" w:cs="仿宋_GB2312"/>
          <w:b/>
          <w:sz w:val="32"/>
          <w:szCs w:val="32"/>
        </w:rPr>
        <w:br w:type="page"/>
      </w:r>
    </w:p>
    <w:p>
      <w:pPr>
        <w:pStyle w:val="2"/>
        <w:jc w:val="center"/>
        <w:rPr>
          <w:rStyle w:val="29"/>
          <w:rFonts w:eastAsia="方正小标宋简体" w:cs="方正小标宋简体"/>
          <w:b/>
          <w:bCs w:val="0"/>
        </w:rPr>
      </w:pPr>
      <w:bookmarkStart w:id="14" w:name="_Toc1954020676"/>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bookmarkEnd w:id="14"/>
    </w:p>
    <w:p>
      <w:pPr>
        <w:widowControl/>
        <w:jc w:val="left"/>
        <w:rPr>
          <w:rFonts w:eastAsia="黑体"/>
          <w:sz w:val="32"/>
          <w:szCs w:val="32"/>
        </w:rPr>
      </w:pPr>
    </w:p>
    <w:p>
      <w:pPr>
        <w:pStyle w:val="3"/>
        <w:numPr>
          <w:ilvl w:val="0"/>
          <w:numId w:val="1"/>
        </w:numPr>
      </w:pPr>
      <w:bookmarkStart w:id="15" w:name="_Toc705033521"/>
      <w:r>
        <w:rPr>
          <w:rFonts w:hint="eastAsia" w:ascii="Times New Roman" w:hAnsi="Times New Roman" w:eastAsia="黑体"/>
          <w:b w:val="0"/>
          <w:lang w:eastAsia="zh-CN"/>
        </w:rPr>
        <w:t>单位</w:t>
      </w:r>
      <w:r>
        <w:rPr>
          <w:rFonts w:hint="eastAsia" w:ascii="Times New Roman" w:hAnsi="Times New Roman" w:eastAsia="黑体"/>
          <w:b w:val="0"/>
        </w:rPr>
        <w:t>职责</w:t>
      </w:r>
      <w:bookmarkEnd w:id="15"/>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室的主要职责是：贯彻落实省委有关党史工作的方针、政策和市委关于党史工作的部署安排；研究、拟定全市党史工作规划，并组织实施；负责全市重要党史资料的征集、整理、编纂和出版工作；研究中共攀枝花历史，总结党的历史经验，编写中共攀枝花地方史；编辑出版党史书刊；办好中共攀枝花市委机关刊物《攀枝花纪事》杂志；推动党史成果转化，开展党史、革命史、建设史、改革史的宣传教育和党史专题研究工作；组织党史工作经验交流，负责全市党史研究干部培训工作；指导</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）委的党史业务工作；承办省委党史研究室和市委交办的其他工作。</w:t>
      </w:r>
    </w:p>
    <w:p>
      <w:pPr>
        <w:pStyle w:val="3"/>
        <w:numPr>
          <w:ilvl w:val="0"/>
          <w:numId w:val="1"/>
        </w:numPr>
        <w:ind w:left="0" w:leftChars="0" w:firstLine="0" w:firstLineChars="0"/>
        <w:rPr>
          <w:rStyle w:val="30"/>
          <w:rFonts w:hint="eastAsia" w:ascii="Times New Roman" w:hAnsi="Times New Roman" w:eastAsia="黑体"/>
          <w:b w:val="0"/>
          <w:bCs w:val="0"/>
        </w:rPr>
      </w:pPr>
      <w:bookmarkStart w:id="16" w:name="_Toc15377200"/>
      <w:bookmarkStart w:id="17" w:name="_Toc1732932389"/>
      <w:bookmarkStart w:id="18" w:name="_Toc15396601"/>
      <w:r>
        <w:rPr>
          <w:rFonts w:hint="eastAsia" w:ascii="Times New Roman" w:hAnsi="Times New Roman" w:eastAsia="黑体"/>
          <w:b w:val="0"/>
        </w:rPr>
        <w:t>机</w:t>
      </w:r>
      <w:r>
        <w:rPr>
          <w:rStyle w:val="30"/>
          <w:rFonts w:hint="eastAsia" w:ascii="Times New Roman" w:hAnsi="Times New Roman" w:eastAsia="黑体"/>
          <w:b w:val="0"/>
          <w:bCs w:val="0"/>
        </w:rPr>
        <w:t>构设置</w:t>
      </w:r>
      <w:bookmarkEnd w:id="16"/>
      <w:bookmarkEnd w:id="17"/>
      <w:bookmarkEnd w:id="18"/>
      <w:bookmarkStart w:id="19" w:name="_Toc15377432"/>
      <w:bookmarkStart w:id="20" w:name="_Toc15377201"/>
      <w:bookmarkStart w:id="21" w:name="_Toc15306275"/>
      <w:bookmarkStart w:id="22" w:name="_Toc15378448"/>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eastAsia="仿宋"/>
          <w:kern w:val="0"/>
          <w:szCs w:val="32"/>
        </w:rPr>
      </w:pPr>
      <w:r>
        <w:rPr>
          <w:rFonts w:hint="eastAsia" w:ascii="仿宋_GB2312" w:hAnsi="仿宋_GB2312" w:eastAsia="仿宋_GB2312" w:cs="仿宋_GB2312"/>
          <w:sz w:val="32"/>
          <w:szCs w:val="32"/>
        </w:rPr>
        <w:t>四川省攀枝花市委党史研究室为参照公务员法管理事业单位,无下属二级预算单位</w:t>
      </w:r>
      <w:r>
        <w:rPr>
          <w:rFonts w:hint="eastAsia" w:ascii="仿宋_GB2312" w:hAnsi="仿宋_GB2312" w:eastAsia="仿宋_GB2312" w:cs="仿宋_GB2312"/>
          <w:sz w:val="32"/>
          <w:szCs w:val="32"/>
          <w:lang w:eastAsia="zh-CN"/>
        </w:rPr>
        <w:t>。</w:t>
      </w:r>
      <w:bookmarkEnd w:id="19"/>
      <w:bookmarkEnd w:id="20"/>
      <w:bookmarkEnd w:id="21"/>
      <w:bookmarkEnd w:id="22"/>
      <w:r>
        <w:rPr>
          <w:rFonts w:eastAsia="仿宋"/>
          <w:szCs w:val="32"/>
        </w:rPr>
        <w:br w:type="page"/>
      </w:r>
    </w:p>
    <w:p>
      <w:pPr>
        <w:pStyle w:val="2"/>
        <w:jc w:val="center"/>
        <w:rPr>
          <w:rFonts w:eastAsia="方正小标宋简体" w:cs="方正小标宋简体"/>
          <w:b w:val="0"/>
        </w:rPr>
      </w:pPr>
      <w:bookmarkStart w:id="23" w:name="_Toc15396602"/>
      <w:bookmarkStart w:id="24" w:name="_Toc15377204"/>
      <w:bookmarkStart w:id="25" w:name="_Toc667549445"/>
      <w:r>
        <w:rPr>
          <w:rFonts w:hint="eastAsia" w:eastAsia="方正小标宋简体" w:cs="方正小标宋简体"/>
          <w:b w:val="0"/>
        </w:rPr>
        <w:t>第二部分  2025年度部门决算情况说明</w:t>
      </w:r>
      <w:bookmarkEnd w:id="23"/>
      <w:bookmarkEnd w:id="24"/>
      <w:bookmarkEnd w:id="25"/>
    </w:p>
    <w:p/>
    <w:p>
      <w:pPr>
        <w:pStyle w:val="28"/>
        <w:spacing w:line="600" w:lineRule="exact"/>
        <w:ind w:firstLine="640"/>
        <w:outlineLvl w:val="1"/>
        <w:rPr>
          <w:rStyle w:val="30"/>
          <w:rFonts w:ascii="Times New Roman" w:hAnsi="Times New Roman" w:eastAsia="黑体"/>
          <w:b w:val="0"/>
        </w:rPr>
      </w:pPr>
      <w:bookmarkStart w:id="26" w:name="_Toc15377205"/>
      <w:bookmarkStart w:id="27" w:name="_Toc183615185"/>
      <w:bookmarkStart w:id="28"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26"/>
      <w:bookmarkEnd w:id="27"/>
      <w:bookmarkEnd w:id="28"/>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2025年度收入、支出总计均为</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万元。与上年度相比，收入、支出总计各减少</w:t>
      </w:r>
      <w:r>
        <w:rPr>
          <w:rFonts w:hint="default" w:ascii="Times New Roman" w:hAnsi="Times New Roman" w:eastAsia="仿宋_GB2312" w:cs="Times New Roman"/>
          <w:sz w:val="32"/>
          <w:szCs w:val="32"/>
          <w:lang w:val="en-US" w:eastAsia="zh-CN"/>
        </w:rPr>
        <w:t>39.02</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12.7</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p>
    <w:p>
      <w:pPr>
        <w:pStyle w:val="28"/>
        <w:spacing w:line="600" w:lineRule="exact"/>
        <w:ind w:firstLine="640"/>
        <w:outlineLvl w:val="9"/>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0288" behindDoc="1" locked="0" layoutInCell="1" allowOverlap="1">
            <wp:simplePos x="0" y="0"/>
            <wp:positionH relativeFrom="column">
              <wp:posOffset>175895</wp:posOffset>
            </wp:positionH>
            <wp:positionV relativeFrom="paragraph">
              <wp:posOffset>184785</wp:posOffset>
            </wp:positionV>
            <wp:extent cx="5080000" cy="3134995"/>
            <wp:effectExtent l="4445" t="4445" r="20955" b="2286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left="0" w:leftChars="0" w:firstLine="0" w:firstLineChars="0"/>
        <w:outlineLvl w:val="9"/>
        <w:rPr>
          <w:rFonts w:hint="eastAsia" w:eastAsia="仿宋_GB2312" w:cs="仿宋_GB2312"/>
          <w:sz w:val="32"/>
          <w:szCs w:val="32"/>
        </w:rPr>
      </w:pPr>
    </w:p>
    <w:p>
      <w:pPr>
        <w:bidi w:val="0"/>
        <w:ind w:firstLine="1280" w:firstLineChars="400"/>
        <w:rPr>
          <w:rFonts w:hint="eastAsia" w:eastAsia="黑体"/>
          <w:szCs w:val="32"/>
        </w:rPr>
      </w:pPr>
      <w:r>
        <w:rPr>
          <w:rFonts w:hint="default" w:ascii="Times New Roman" w:hAnsi="Times New Roman" w:eastAsia="仿宋_GB2312" w:cs="Times New Roman"/>
          <w:sz w:val="32"/>
          <w:szCs w:val="40"/>
        </w:rPr>
        <w:t>（图1：收入、支出决算总计变动情况图）</w:t>
      </w:r>
      <w:bookmarkStart w:id="29" w:name="_Toc15396604"/>
      <w:bookmarkStart w:id="30" w:name="_Toc15377206"/>
    </w:p>
    <w:p>
      <w:pPr>
        <w:pStyle w:val="28"/>
        <w:spacing w:line="600" w:lineRule="exact"/>
        <w:ind w:firstLine="640"/>
        <w:outlineLvl w:val="9"/>
        <w:rPr>
          <w:rFonts w:hint="eastAsia" w:eastAsia="黑体"/>
          <w:sz w:val="32"/>
          <w:szCs w:val="32"/>
        </w:rPr>
      </w:pPr>
    </w:p>
    <w:p>
      <w:pPr>
        <w:pStyle w:val="28"/>
        <w:spacing w:line="600" w:lineRule="exact"/>
        <w:ind w:firstLine="640"/>
        <w:outlineLvl w:val="1"/>
        <w:rPr>
          <w:rStyle w:val="30"/>
          <w:rFonts w:hint="eastAsia" w:ascii="Times New Roman" w:hAnsi="Times New Roman" w:eastAsia="黑体"/>
          <w:b w:val="0"/>
        </w:rPr>
      </w:pPr>
      <w:bookmarkStart w:id="31" w:name="_Toc228528569"/>
      <w:r>
        <w:rPr>
          <w:rStyle w:val="30"/>
          <w:rFonts w:hint="eastAsia" w:ascii="Times New Roman" w:hAnsi="Times New Roman" w:eastAsia="黑体"/>
          <w:b w:val="0"/>
        </w:rPr>
        <w:t>二、收入决算情况说明</w:t>
      </w:r>
      <w:bookmarkEnd w:id="29"/>
      <w:bookmarkEnd w:id="30"/>
      <w:bookmarkEnd w:id="3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2025年度本年收入合计</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r>
        <w:rPr>
          <w:rFonts w:hint="eastAsia" w:eastAsia="仿宋_GB2312" w:cs="仿宋_GB2312"/>
          <w:b/>
          <w:bCs/>
          <w:sz w:val="32"/>
          <w:szCs w:val="32"/>
          <w:lang w:eastAsia="zh-CN"/>
        </w:rPr>
        <w:drawing>
          <wp:anchor distT="0" distB="0" distL="114300" distR="114300" simplePos="0" relativeHeight="251661312" behindDoc="1" locked="0" layoutInCell="1" allowOverlap="1">
            <wp:simplePos x="0" y="0"/>
            <wp:positionH relativeFrom="column">
              <wp:posOffset>185420</wp:posOffset>
            </wp:positionH>
            <wp:positionV relativeFrom="paragraph">
              <wp:posOffset>156845</wp:posOffset>
            </wp:positionV>
            <wp:extent cx="4890135" cy="2781300"/>
            <wp:effectExtent l="4445" t="4445" r="20320" b="14605"/>
            <wp:wrapTight wrapText="bothSides">
              <wp:wrapPolygon>
                <wp:start x="-20" y="-35"/>
                <wp:lineTo x="-20" y="21565"/>
                <wp:lineTo x="21521" y="21565"/>
                <wp:lineTo x="21521" y="-35"/>
                <wp:lineTo x="-20" y="-35"/>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b/>
          <w:bCs/>
          <w:sz w:val="32"/>
          <w:szCs w:val="32"/>
          <w:lang w:val="en-US" w:eastAsia="zh-CN"/>
        </w:rPr>
        <w:t xml:space="preserve">             </w:t>
      </w:r>
      <w:r>
        <w:rPr>
          <w:rFonts w:hint="default" w:ascii="Times New Roman" w:hAnsi="Times New Roman" w:eastAsia="仿宋_GB2312" w:cs="Times New Roman"/>
          <w:sz w:val="32"/>
          <w:szCs w:val="32"/>
        </w:rPr>
        <w:t>（图2：收入决算结构图）</w:t>
      </w:r>
      <w:bookmarkStart w:id="32" w:name="_Toc15396605"/>
      <w:bookmarkStart w:id="33" w:name="_Toc15377207"/>
    </w:p>
    <w:p>
      <w:pPr>
        <w:pStyle w:val="28"/>
        <w:spacing w:line="600" w:lineRule="exact"/>
        <w:ind w:firstLine="2240" w:firstLineChars="700"/>
        <w:outlineLvl w:val="9"/>
        <w:rPr>
          <w:rFonts w:hint="eastAsia"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34" w:name="_Toc2051198883"/>
      <w:r>
        <w:rPr>
          <w:rFonts w:hint="eastAsia" w:eastAsia="黑体"/>
          <w:sz w:val="32"/>
          <w:szCs w:val="32"/>
        </w:rPr>
        <w:t>三、支</w:t>
      </w:r>
      <w:r>
        <w:rPr>
          <w:rStyle w:val="30"/>
          <w:rFonts w:hint="eastAsia" w:ascii="Times New Roman" w:hAnsi="Times New Roman" w:eastAsia="黑体"/>
          <w:b w:val="0"/>
        </w:rPr>
        <w:t>出决算情况说明</w:t>
      </w:r>
      <w:bookmarkEnd w:id="32"/>
      <w:bookmarkEnd w:id="33"/>
      <w:bookmarkEnd w:id="34"/>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2025年度本年支出合计</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240.95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89.6</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27.99</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drawing>
          <wp:anchor distT="0" distB="0" distL="114300" distR="114300" simplePos="0" relativeHeight="251662336" behindDoc="1" locked="0" layoutInCell="1" allowOverlap="1">
            <wp:simplePos x="0" y="0"/>
            <wp:positionH relativeFrom="column">
              <wp:posOffset>348615</wp:posOffset>
            </wp:positionH>
            <wp:positionV relativeFrom="paragraph">
              <wp:posOffset>34290</wp:posOffset>
            </wp:positionV>
            <wp:extent cx="4935220" cy="2642235"/>
            <wp:effectExtent l="4445" t="4445" r="13335" b="203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ind w:firstLine="2560" w:firstLineChars="8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w:t>
      </w:r>
    </w:p>
    <w:p>
      <w:pPr>
        <w:rPr>
          <w:rFonts w:hint="eastAsia" w:eastAsia="黑体"/>
          <w:sz w:val="32"/>
          <w:szCs w:val="32"/>
        </w:rPr>
      </w:pPr>
      <w:bookmarkStart w:id="35" w:name="_Toc15396606"/>
      <w:bookmarkStart w:id="36" w:name="_Toc15377208"/>
    </w:p>
    <w:p>
      <w:pPr>
        <w:spacing w:line="600" w:lineRule="exact"/>
        <w:ind w:firstLine="640" w:firstLineChars="200"/>
        <w:outlineLvl w:val="1"/>
        <w:rPr>
          <w:rStyle w:val="30"/>
          <w:rFonts w:ascii="Times New Roman" w:hAnsi="Times New Roman" w:eastAsia="黑体"/>
          <w:b w:val="0"/>
        </w:rPr>
      </w:pPr>
      <w:bookmarkStart w:id="37" w:name="_Toc1129989603"/>
      <w:r>
        <w:rPr>
          <w:rFonts w:hint="eastAsia" w:eastAsia="黑体"/>
          <w:sz w:val="32"/>
          <w:szCs w:val="32"/>
        </w:rPr>
        <w:t>四、财</w:t>
      </w:r>
      <w:r>
        <w:rPr>
          <w:rStyle w:val="30"/>
          <w:rFonts w:hint="eastAsia" w:ascii="Times New Roman" w:hAnsi="Times New Roman" w:eastAsia="黑体"/>
          <w:b w:val="0"/>
        </w:rPr>
        <w:t>政拨款收入支出决算总体情况说明</w:t>
      </w:r>
      <w:bookmarkEnd w:id="35"/>
      <w:bookmarkEnd w:id="36"/>
      <w:bookmarkEnd w:id="37"/>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268.94</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39.02</w:t>
      </w:r>
      <w:r>
        <w:rPr>
          <w:rFonts w:hint="eastAsia" w:eastAsia="仿宋_GB2312" w:cs="仿宋_GB2312"/>
          <w:sz w:val="32"/>
          <w:szCs w:val="32"/>
        </w:rPr>
        <w:t>万元，下降</w:t>
      </w:r>
      <w:r>
        <w:rPr>
          <w:rFonts w:hint="eastAsia" w:eastAsia="仿宋_GB2312" w:cs="仿宋_GB2312"/>
          <w:sz w:val="32"/>
          <w:szCs w:val="32"/>
          <w:lang w:val="en-US" w:eastAsia="zh-CN"/>
        </w:rPr>
        <w:t>12.7</w:t>
      </w:r>
      <w:r>
        <w:rPr>
          <w:rFonts w:hint="eastAsia" w:eastAsia="仿宋_GB2312" w:cs="仿宋_GB2312"/>
          <w:sz w:val="32"/>
          <w:szCs w:val="32"/>
        </w:rPr>
        <w:t>%。</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r>
        <w:rPr>
          <w:rFonts w:hint="default" w:ascii="Times New Roman" w:hAnsi="Times New Roman" w:eastAsia="仿宋_GB2312" w:cs="Times New Roman"/>
          <w:sz w:val="32"/>
          <w:szCs w:val="32"/>
          <w:lang w:eastAsia="zh-CN"/>
        </w:rPr>
        <w:t>。</w:t>
      </w:r>
    </w:p>
    <w:p>
      <w:pPr>
        <w:spacing w:line="600" w:lineRule="exact"/>
        <w:ind w:firstLine="640"/>
        <w:rPr>
          <w:rFonts w:hint="default" w:eastAsia="仿宋_GB2312" w:cs="仿宋_GB2312"/>
          <w:sz w:val="32"/>
          <w:szCs w:val="32"/>
          <w:lang w:val="en-US"/>
        </w:rPr>
      </w:pPr>
    </w:p>
    <w:p>
      <w:pPr>
        <w:spacing w:line="600" w:lineRule="exact"/>
        <w:rPr>
          <w:rFonts w:hint="eastAsia" w:eastAsia="仿宋_GB2312" w:cs="仿宋_GB2312"/>
          <w:sz w:val="32"/>
          <w:szCs w:val="32"/>
        </w:rPr>
      </w:pPr>
      <w:r>
        <w:rPr>
          <w:rFonts w:hint="default" w:eastAsia="仿宋_GB2312" w:cs="仿宋_GB2312"/>
          <w:sz w:val="32"/>
          <w:szCs w:val="32"/>
          <w:lang w:val="en-US"/>
        </w:rPr>
        <w:drawing>
          <wp:anchor distT="0" distB="0" distL="114300" distR="114300" simplePos="0" relativeHeight="251664384" behindDoc="1" locked="0" layoutInCell="1" allowOverlap="1">
            <wp:simplePos x="0" y="0"/>
            <wp:positionH relativeFrom="column">
              <wp:posOffset>490220</wp:posOffset>
            </wp:positionH>
            <wp:positionV relativeFrom="paragraph">
              <wp:posOffset>107315</wp:posOffset>
            </wp:positionV>
            <wp:extent cx="4689475" cy="2581275"/>
            <wp:effectExtent l="4445" t="4445" r="11430" b="62230"/>
            <wp:wrapTight wrapText="bothSides">
              <wp:wrapPolygon>
                <wp:start x="-20" y="-37"/>
                <wp:lineTo x="-20" y="21483"/>
                <wp:lineTo x="21565" y="21483"/>
                <wp:lineTo x="21565" y="-37"/>
                <wp:lineTo x="-20" y="-37"/>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rPr>
          <w:rFonts w:hint="eastAsia" w:eastAsia="仿宋_GB2312" w:cs="仿宋_GB2312"/>
          <w:sz w:val="32"/>
          <w:szCs w:val="32"/>
        </w:rPr>
      </w:pPr>
    </w:p>
    <w:p>
      <w:pPr>
        <w:spacing w:line="600" w:lineRule="exact"/>
        <w:ind w:firstLine="1280" w:firstLineChars="400"/>
        <w:rPr>
          <w:rFonts w:hint="eastAsia" w:eastAsia="仿宋_GB2312" w:cs="仿宋_GB2312"/>
          <w:sz w:val="32"/>
          <w:szCs w:val="32"/>
          <w:lang w:eastAsia="zh-CN"/>
        </w:rPr>
      </w:pPr>
      <w:r>
        <w:rPr>
          <w:rFonts w:hint="eastAsia" w:eastAsia="仿宋_GB2312" w:cs="仿宋_GB2312"/>
          <w:sz w:val="32"/>
          <w:szCs w:val="32"/>
        </w:rPr>
        <w:t>（图4：财政拨款收、支决算总计变动情况</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38" w:name="_Toc1950721697"/>
      <w:bookmarkStart w:id="39" w:name="_Toc15396607"/>
      <w:bookmarkStart w:id="40"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8"/>
      <w:bookmarkEnd w:id="39"/>
      <w:bookmarkEnd w:id="40"/>
    </w:p>
    <w:p>
      <w:pPr>
        <w:spacing w:line="600" w:lineRule="exact"/>
        <w:ind w:firstLine="642" w:firstLineChars="200"/>
        <w:outlineLvl w:val="2"/>
        <w:rPr>
          <w:rFonts w:eastAsia="楷体_GB2312" w:cs="楷体_GB2312"/>
          <w:b/>
          <w:sz w:val="32"/>
          <w:szCs w:val="32"/>
        </w:rPr>
      </w:pPr>
      <w:bookmarkStart w:id="41" w:name="_Toc15377210"/>
      <w:r>
        <w:rPr>
          <w:rFonts w:hint="eastAsia" w:eastAsia="楷体_GB2312" w:cs="楷体_GB2312"/>
          <w:b/>
          <w:sz w:val="32"/>
          <w:szCs w:val="32"/>
        </w:rPr>
        <w:t>（一）一般公共预算财政拨款支出决算总体情况</w:t>
      </w:r>
      <w:bookmarkEnd w:id="4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268.94</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39.02</w:t>
      </w:r>
      <w:r>
        <w:rPr>
          <w:rFonts w:hint="eastAsia" w:eastAsia="仿宋_GB2312" w:cs="仿宋_GB2312"/>
          <w:sz w:val="32"/>
          <w:szCs w:val="32"/>
        </w:rPr>
        <w:t>万元，下降</w:t>
      </w:r>
      <w:r>
        <w:rPr>
          <w:rFonts w:hint="eastAsia" w:eastAsia="仿宋_GB2312" w:cs="仿宋_GB2312"/>
          <w:sz w:val="32"/>
          <w:szCs w:val="32"/>
          <w:lang w:val="en-US" w:eastAsia="zh-CN"/>
        </w:rPr>
        <w:t>12.7</w:t>
      </w:r>
      <w:r>
        <w:rPr>
          <w:rFonts w:hint="eastAsia" w:eastAsia="仿宋_GB2312" w:cs="仿宋_GB2312"/>
          <w:sz w:val="32"/>
          <w:szCs w:val="32"/>
        </w:rPr>
        <w:t>%。</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r>
        <w:rPr>
          <w:rFonts w:hint="default" w:ascii="Times New Roman" w:hAnsi="Times New Roman" w:eastAsia="仿宋_GB2312" w:cs="Times New Roman"/>
          <w:sz w:val="32"/>
          <w:szCs w:val="32"/>
          <w:lang w:eastAsia="zh-CN"/>
        </w:rPr>
        <w:t>。</w:t>
      </w:r>
    </w:p>
    <w:p>
      <w:pPr>
        <w:rPr>
          <w:rFonts w:hint="eastAsia" w:eastAsia="仿宋_GB2312" w:cs="仿宋_GB2312"/>
          <w:sz w:val="32"/>
          <w:szCs w:val="32"/>
        </w:rPr>
      </w:pPr>
    </w:p>
    <w:p>
      <w:pPr>
        <w:spacing w:line="600" w:lineRule="exact"/>
        <w:ind w:firstLine="640"/>
        <w:rPr>
          <w:rFonts w:hint="eastAsia" w:eastAsia="仿宋_GB2312" w:cs="仿宋_GB2312"/>
          <w:sz w:val="32"/>
          <w:szCs w:val="32"/>
        </w:rPr>
      </w:pPr>
      <w:r>
        <w:rPr>
          <w:rFonts w:hint="eastAsia" w:eastAsia="仿宋_GB2312" w:cs="仿宋_GB2312"/>
          <w:sz w:val="32"/>
          <w:szCs w:val="32"/>
        </w:rPr>
        <w:drawing>
          <wp:anchor distT="0" distB="0" distL="114300" distR="114300" simplePos="0" relativeHeight="251665408" behindDoc="1" locked="0" layoutInCell="1" allowOverlap="1">
            <wp:simplePos x="0" y="0"/>
            <wp:positionH relativeFrom="column">
              <wp:posOffset>182245</wp:posOffset>
            </wp:positionH>
            <wp:positionV relativeFrom="paragraph">
              <wp:posOffset>68580</wp:posOffset>
            </wp:positionV>
            <wp:extent cx="4909185" cy="2679700"/>
            <wp:effectExtent l="4445" t="4445" r="20320" b="2095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rPr>
          <w:rFonts w:hint="eastAsia" w:eastAsia="仿宋_GB2312" w:cs="仿宋_GB2312"/>
          <w:sz w:val="32"/>
          <w:szCs w:val="32"/>
        </w:rPr>
      </w:pPr>
    </w:p>
    <w:p>
      <w:pPr>
        <w:spacing w:line="600" w:lineRule="exact"/>
        <w:ind w:firstLine="640" w:firstLineChars="20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2" w:name="_Toc15377211"/>
      <w:r>
        <w:rPr>
          <w:rFonts w:hint="eastAsia" w:eastAsia="楷体_GB2312" w:cs="楷体_GB2312"/>
          <w:b/>
          <w:sz w:val="32"/>
          <w:szCs w:val="32"/>
        </w:rPr>
        <w:t>（二）一般公共预算财政拨款支出决算结构情况</w:t>
      </w:r>
      <w:bookmarkEnd w:id="42"/>
    </w:p>
    <w:p>
      <w:pPr>
        <w:spacing w:line="600" w:lineRule="exact"/>
        <w:ind w:firstLine="640"/>
        <w:rPr>
          <w:rFonts w:hint="eastAsia" w:eastAsia="仿宋_GB2312" w:cs="仿宋_GB2312"/>
          <w:sz w:val="32"/>
          <w:szCs w:val="32"/>
          <w:highlight w:val="none"/>
          <w:lang w:eastAsia="zh-CN"/>
        </w:rPr>
      </w:pPr>
      <w:r>
        <w:rPr>
          <w:rFonts w:hint="eastAsia" w:eastAsia="仿宋_GB2312" w:cs="仿宋_GB2312"/>
          <w:sz w:val="32"/>
          <w:szCs w:val="32"/>
          <w:highlight w:val="none"/>
        </w:rPr>
        <w:t>2025年度一般公共预算财政拨款支出</w:t>
      </w:r>
      <w:r>
        <w:rPr>
          <w:rFonts w:hint="eastAsia" w:eastAsia="仿宋_GB2312" w:cs="仿宋_GB2312"/>
          <w:sz w:val="32"/>
          <w:szCs w:val="32"/>
          <w:highlight w:val="none"/>
          <w:lang w:val="en-US" w:eastAsia="zh-CN"/>
        </w:rPr>
        <w:t>268.94</w:t>
      </w:r>
      <w:r>
        <w:rPr>
          <w:rFonts w:hint="eastAsia" w:eastAsia="仿宋_GB2312" w:cs="仿宋_GB2312"/>
          <w:sz w:val="32"/>
          <w:szCs w:val="32"/>
          <w:highlight w:val="none"/>
        </w:rPr>
        <w:t>万元，主要用于以下方面：一般公共服务支出</w:t>
      </w:r>
      <w:r>
        <w:rPr>
          <w:rFonts w:hint="eastAsia" w:eastAsia="仿宋_GB2312" w:cs="仿宋_GB2312"/>
          <w:sz w:val="32"/>
          <w:szCs w:val="32"/>
          <w:highlight w:val="none"/>
          <w:lang w:val="en-US" w:eastAsia="zh-CN"/>
        </w:rPr>
        <w:t>182.64</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68</w:t>
      </w:r>
      <w:r>
        <w:rPr>
          <w:rFonts w:hint="eastAsia" w:eastAsia="仿宋_GB2312" w:cs="仿宋_GB2312"/>
          <w:sz w:val="32"/>
          <w:szCs w:val="32"/>
          <w:highlight w:val="none"/>
        </w:rPr>
        <w:t>%；</w:t>
      </w:r>
      <w:r>
        <w:rPr>
          <w:rFonts w:hint="eastAsia" w:eastAsia="仿宋_GB2312" w:cs="仿宋_GB2312"/>
          <w:sz w:val="32"/>
          <w:szCs w:val="32"/>
          <w:highlight w:val="none"/>
          <w:lang w:eastAsia="zh-CN"/>
        </w:rPr>
        <w:t>公共安全支出</w:t>
      </w:r>
      <w:r>
        <w:rPr>
          <w:rFonts w:hint="eastAsia" w:eastAsia="仿宋_GB2312" w:cs="仿宋_GB2312"/>
          <w:sz w:val="32"/>
          <w:szCs w:val="32"/>
          <w:highlight w:val="none"/>
          <w:lang w:val="en-US" w:eastAsia="zh-CN"/>
        </w:rPr>
        <w:t>0.69</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0.3</w:t>
      </w:r>
      <w:r>
        <w:rPr>
          <w:rFonts w:hint="eastAsia" w:eastAsia="仿宋_GB2312" w:cs="仿宋_GB2312"/>
          <w:sz w:val="32"/>
          <w:szCs w:val="32"/>
          <w:highlight w:val="none"/>
        </w:rPr>
        <w:t>%；社会保障和就业支出</w:t>
      </w:r>
      <w:r>
        <w:rPr>
          <w:rFonts w:hint="eastAsia" w:eastAsia="仿宋_GB2312" w:cs="仿宋_GB2312"/>
          <w:sz w:val="32"/>
          <w:szCs w:val="32"/>
          <w:highlight w:val="none"/>
          <w:lang w:val="en-US" w:eastAsia="zh-CN"/>
        </w:rPr>
        <w:t>60.38</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22.5</w:t>
      </w:r>
      <w:r>
        <w:rPr>
          <w:rFonts w:hint="eastAsia" w:eastAsia="仿宋_GB2312" w:cs="仿宋_GB2312"/>
          <w:sz w:val="32"/>
          <w:szCs w:val="32"/>
          <w:highlight w:val="none"/>
        </w:rPr>
        <w:t>%；卫生健康支出</w:t>
      </w:r>
      <w:r>
        <w:rPr>
          <w:rFonts w:hint="eastAsia" w:eastAsia="仿宋_GB2312" w:cs="仿宋_GB2312"/>
          <w:sz w:val="32"/>
          <w:szCs w:val="32"/>
          <w:highlight w:val="none"/>
          <w:lang w:val="en-US" w:eastAsia="zh-CN"/>
        </w:rPr>
        <w:t>10.6</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4</w:t>
      </w:r>
      <w:r>
        <w:rPr>
          <w:rFonts w:hint="eastAsia" w:eastAsia="仿宋_GB2312" w:cs="仿宋_GB2312"/>
          <w:sz w:val="32"/>
          <w:szCs w:val="32"/>
          <w:highlight w:val="none"/>
        </w:rPr>
        <w:t>%；住房保障支出</w:t>
      </w:r>
      <w:r>
        <w:rPr>
          <w:rFonts w:hint="eastAsia" w:eastAsia="仿宋_GB2312" w:cs="仿宋_GB2312"/>
          <w:sz w:val="32"/>
          <w:szCs w:val="32"/>
          <w:highlight w:val="none"/>
          <w:lang w:val="en-US" w:eastAsia="zh-CN"/>
        </w:rPr>
        <w:t>14.64</w:t>
      </w:r>
      <w:r>
        <w:rPr>
          <w:rFonts w:hint="eastAsia" w:eastAsia="仿宋_GB2312" w:cs="仿宋_GB2312"/>
          <w:sz w:val="32"/>
          <w:szCs w:val="32"/>
          <w:highlight w:val="none"/>
        </w:rPr>
        <w:t>万元，占</w:t>
      </w:r>
      <w:r>
        <w:rPr>
          <w:rFonts w:hint="eastAsia" w:eastAsia="仿宋_GB2312" w:cs="仿宋_GB2312"/>
          <w:sz w:val="32"/>
          <w:szCs w:val="32"/>
          <w:highlight w:val="none"/>
          <w:lang w:val="en-US" w:eastAsia="zh-CN"/>
        </w:rPr>
        <w:t>5.5</w:t>
      </w:r>
      <w:r>
        <w:rPr>
          <w:rFonts w:hint="eastAsia" w:eastAsia="仿宋_GB2312" w:cs="仿宋_GB2312"/>
          <w:sz w:val="32"/>
          <w:szCs w:val="32"/>
          <w:highlight w:val="none"/>
        </w:rPr>
        <w:t>%</w:t>
      </w:r>
      <w:bookmarkStart w:id="43" w:name="_Toc15377212"/>
      <w:r>
        <w:rPr>
          <w:rFonts w:hint="eastAsia" w:eastAsia="仿宋_GB2312" w:cs="仿宋_GB2312"/>
          <w:sz w:val="32"/>
          <w:szCs w:val="32"/>
          <w:highlight w:val="none"/>
          <w:lang w:eastAsia="zh-CN"/>
        </w:rPr>
        <w:t>。</w:t>
      </w:r>
    </w:p>
    <w:p>
      <w:pPr>
        <w:pStyle w:val="14"/>
        <w:ind w:left="0" w:leftChars="0" w:firstLine="0" w:firstLineChars="0"/>
        <w:rPr>
          <w:rFonts w:hint="eastAsia" w:eastAsia="仿宋_GB2312" w:cs="仿宋_GB2312"/>
          <w:sz w:val="32"/>
          <w:szCs w:val="32"/>
          <w:highlight w:val="none"/>
        </w:rPr>
      </w:pPr>
      <w:r>
        <w:rPr>
          <w:rFonts w:hint="eastAsia" w:eastAsia="仿宋_GB2312" w:cs="仿宋_GB2312"/>
          <w:sz w:val="32"/>
          <w:szCs w:val="32"/>
          <w:highlight w:val="none"/>
        </w:rPr>
        <w:drawing>
          <wp:anchor distT="0" distB="0" distL="114300" distR="114300" simplePos="0" relativeHeight="251663360" behindDoc="1" locked="0" layoutInCell="1" allowOverlap="1">
            <wp:simplePos x="0" y="0"/>
            <wp:positionH relativeFrom="column">
              <wp:posOffset>382270</wp:posOffset>
            </wp:positionH>
            <wp:positionV relativeFrom="paragraph">
              <wp:posOffset>125095</wp:posOffset>
            </wp:positionV>
            <wp:extent cx="4775200" cy="2658110"/>
            <wp:effectExtent l="4445" t="4445" r="20955" b="23495"/>
            <wp:wrapTight wrapText="bothSides">
              <wp:wrapPolygon>
                <wp:start x="-20" y="-36"/>
                <wp:lineTo x="-20" y="21481"/>
                <wp:lineTo x="21522" y="21481"/>
                <wp:lineTo x="21522" y="-36"/>
                <wp:lineTo x="-20" y="-36"/>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960" w:firstLineChars="300"/>
        <w:rPr>
          <w:rFonts w:hint="eastAsia" w:eastAsia="仿宋_GB2312" w:cs="仿宋_GB2312"/>
          <w:sz w:val="32"/>
          <w:szCs w:val="32"/>
        </w:rPr>
      </w:pPr>
      <w:r>
        <w:rPr>
          <w:rFonts w:hint="eastAsia" w:eastAsia="仿宋_GB2312" w:cs="仿宋_GB2312"/>
          <w:sz w:val="32"/>
          <w:szCs w:val="32"/>
        </w:rPr>
        <w:t>（图6：一般公共预算财政拨款支出决算结</w:t>
      </w:r>
      <w:bookmarkStart w:id="101" w:name="_GoBack"/>
      <w:bookmarkEnd w:id="101"/>
      <w:r>
        <w:rPr>
          <w:rFonts w:hint="eastAsia" w:eastAsia="仿宋_GB2312" w:cs="仿宋_GB2312"/>
          <w:sz w:val="32"/>
          <w:szCs w:val="32"/>
        </w:rPr>
        <w:t>构）</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（三）一般公共预算财政拨款支出决算具体情况</w:t>
      </w:r>
      <w:bookmarkEnd w:id="43"/>
    </w:p>
    <w:p>
      <w:pPr>
        <w:spacing w:line="600" w:lineRule="exact"/>
        <w:ind w:firstLine="640"/>
        <w:rPr>
          <w:rFonts w:eastAsia="仿宋_GB2312" w:cs="仿宋_GB2312"/>
          <w:sz w:val="32"/>
          <w:szCs w:val="32"/>
        </w:rPr>
      </w:pPr>
      <w:bookmarkStart w:id="44" w:name="_Toc15377444"/>
      <w:bookmarkStart w:id="45" w:name="_Toc15377213"/>
      <w:bookmarkStart w:id="46"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268.94</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4"/>
      <w:bookmarkEnd w:id="45"/>
      <w:bookmarkEnd w:id="46"/>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1.一般公共服务（类）</w:t>
      </w:r>
      <w:r>
        <w:rPr>
          <w:rFonts w:hint="eastAsia" w:eastAsia="仿宋_GB2312" w:cs="仿宋_GB2312"/>
          <w:sz w:val="32"/>
          <w:szCs w:val="32"/>
          <w:lang w:eastAsia="zh-CN"/>
        </w:rPr>
        <w:t>党委办公厅</w:t>
      </w:r>
      <w:r>
        <w:rPr>
          <w:rFonts w:hint="eastAsia" w:eastAsia="仿宋_GB2312" w:cs="仿宋_GB2312"/>
          <w:sz w:val="32"/>
          <w:szCs w:val="32"/>
          <w:lang w:val="en-US" w:eastAsia="zh-CN"/>
        </w:rPr>
        <w:t>及相关机构事务</w:t>
      </w:r>
      <w:r>
        <w:rPr>
          <w:rFonts w:hint="eastAsia" w:eastAsia="仿宋_GB2312" w:cs="仿宋_GB2312"/>
          <w:sz w:val="32"/>
          <w:szCs w:val="32"/>
        </w:rPr>
        <w:t>（款）</w:t>
      </w:r>
      <w:r>
        <w:rPr>
          <w:rFonts w:hint="eastAsia" w:eastAsia="仿宋_GB2312" w:cs="仿宋_GB2312"/>
          <w:sz w:val="32"/>
          <w:szCs w:val="32"/>
          <w:lang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155.24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2.一般公共服务（类）</w:t>
      </w:r>
      <w:r>
        <w:rPr>
          <w:rFonts w:hint="eastAsia" w:eastAsia="仿宋_GB2312" w:cs="仿宋_GB2312"/>
          <w:sz w:val="32"/>
          <w:szCs w:val="32"/>
          <w:lang w:eastAsia="zh-CN"/>
        </w:rPr>
        <w:t>党委办公厅</w:t>
      </w:r>
      <w:r>
        <w:rPr>
          <w:rFonts w:hint="eastAsia" w:eastAsia="仿宋_GB2312" w:cs="仿宋_GB2312"/>
          <w:sz w:val="32"/>
          <w:szCs w:val="32"/>
          <w:lang w:val="en-US" w:eastAsia="zh-CN"/>
        </w:rPr>
        <w:t>及相关机构事务</w:t>
      </w:r>
      <w:r>
        <w:rPr>
          <w:rFonts w:hint="eastAsia" w:eastAsia="仿宋_GB2312" w:cs="仿宋_GB2312"/>
          <w:sz w:val="32"/>
          <w:szCs w:val="32"/>
        </w:rPr>
        <w:t>（款）</w:t>
      </w:r>
      <w:r>
        <w:rPr>
          <w:rFonts w:hint="eastAsia" w:eastAsia="仿宋_GB2312" w:cs="仿宋_GB2312"/>
          <w:sz w:val="32"/>
          <w:szCs w:val="32"/>
          <w:lang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27.08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3.一般公共服务（类）</w:t>
      </w:r>
      <w:r>
        <w:rPr>
          <w:rFonts w:hint="eastAsia" w:eastAsia="仿宋_GB2312" w:cs="仿宋_GB2312"/>
          <w:sz w:val="32"/>
          <w:szCs w:val="32"/>
          <w:lang w:eastAsia="zh-CN"/>
        </w:rPr>
        <w:t>组织事务</w:t>
      </w:r>
      <w:r>
        <w:rPr>
          <w:rFonts w:hint="eastAsia" w:eastAsia="仿宋_GB2312" w:cs="仿宋_GB2312"/>
          <w:sz w:val="32"/>
          <w:szCs w:val="32"/>
        </w:rPr>
        <w:t>（款）</w:t>
      </w:r>
      <w:r>
        <w:rPr>
          <w:rFonts w:hint="eastAsia" w:eastAsia="仿宋_GB2312" w:cs="仿宋_GB2312"/>
          <w:sz w:val="32"/>
          <w:szCs w:val="32"/>
          <w:lang w:eastAsia="zh-CN"/>
        </w:rPr>
        <w:t>其他组织事务支出</w:t>
      </w:r>
      <w:r>
        <w:rPr>
          <w:rFonts w:hint="eastAsia" w:eastAsia="仿宋_GB2312" w:cs="仿宋_GB2312"/>
          <w:sz w:val="32"/>
          <w:szCs w:val="32"/>
        </w:rPr>
        <w:t>（项）：支出决算为</w:t>
      </w:r>
      <w:r>
        <w:rPr>
          <w:rFonts w:hint="eastAsia" w:eastAsia="仿宋_GB2312" w:cs="仿宋_GB2312"/>
          <w:sz w:val="32"/>
          <w:szCs w:val="32"/>
          <w:lang w:val="en-US" w:eastAsia="zh-CN"/>
        </w:rPr>
        <w:t>0.31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4.</w:t>
      </w:r>
      <w:r>
        <w:rPr>
          <w:rFonts w:hint="eastAsia" w:eastAsia="仿宋_GB2312" w:cs="仿宋_GB2312"/>
          <w:sz w:val="32"/>
          <w:szCs w:val="32"/>
          <w:lang w:eastAsia="zh-CN"/>
        </w:rPr>
        <w:t>公共安全</w:t>
      </w:r>
      <w:r>
        <w:rPr>
          <w:rFonts w:hint="eastAsia" w:eastAsia="仿宋_GB2312" w:cs="仿宋_GB2312"/>
          <w:sz w:val="32"/>
          <w:szCs w:val="32"/>
        </w:rPr>
        <w:t>（类）</w:t>
      </w:r>
      <w:r>
        <w:rPr>
          <w:rFonts w:hint="eastAsia" w:eastAsia="仿宋_GB2312" w:cs="仿宋_GB2312"/>
          <w:sz w:val="32"/>
          <w:szCs w:val="32"/>
          <w:lang w:eastAsia="zh-CN"/>
        </w:rPr>
        <w:t>强制隔离戒毒</w:t>
      </w:r>
      <w:r>
        <w:rPr>
          <w:rFonts w:hint="eastAsia" w:eastAsia="仿宋_GB2312" w:cs="仿宋_GB2312"/>
          <w:sz w:val="32"/>
          <w:szCs w:val="32"/>
        </w:rPr>
        <w:t>（款）</w:t>
      </w:r>
      <w:r>
        <w:rPr>
          <w:rFonts w:hint="eastAsia" w:eastAsia="仿宋_GB2312" w:cs="仿宋_GB2312"/>
          <w:sz w:val="32"/>
          <w:szCs w:val="32"/>
          <w:lang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0.69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lang w:eastAsia="zh-CN"/>
        </w:rPr>
      </w:pPr>
      <w:r>
        <w:rPr>
          <w:rFonts w:hint="eastAsia" w:eastAsia="仿宋_GB2312" w:cs="仿宋_GB2312"/>
          <w:sz w:val="32"/>
          <w:szCs w:val="32"/>
        </w:rPr>
        <w:t>5.社会保障和就业（类）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行政单位离退休</w:t>
      </w:r>
      <w:r>
        <w:rPr>
          <w:rFonts w:hint="eastAsia" w:eastAsia="仿宋_GB2312" w:cs="仿宋_GB2312"/>
          <w:sz w:val="32"/>
          <w:szCs w:val="32"/>
        </w:rPr>
        <w:t>（项）：支出决算为</w:t>
      </w:r>
      <w:r>
        <w:rPr>
          <w:rFonts w:hint="eastAsia" w:eastAsia="仿宋_GB2312" w:cs="仿宋_GB2312"/>
          <w:sz w:val="32"/>
          <w:szCs w:val="32"/>
          <w:lang w:val="en-US" w:eastAsia="zh-CN"/>
        </w:rPr>
        <w:t>32.65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6</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机关事业单位基本养老保险缴费支出</w:t>
      </w:r>
      <w:r>
        <w:rPr>
          <w:rFonts w:hint="eastAsia" w:eastAsia="仿宋_GB2312" w:cs="仿宋_GB2312"/>
          <w:sz w:val="32"/>
          <w:szCs w:val="32"/>
        </w:rPr>
        <w:t>（项）：支出决算为</w:t>
      </w:r>
      <w:r>
        <w:rPr>
          <w:rFonts w:hint="eastAsia" w:eastAsia="仿宋_GB2312" w:cs="仿宋_GB2312"/>
          <w:sz w:val="32"/>
          <w:szCs w:val="32"/>
          <w:lang w:val="en-US" w:eastAsia="zh-CN"/>
        </w:rPr>
        <w:t>18.07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机关事业单位职业年金缴费支出</w:t>
      </w:r>
      <w:r>
        <w:rPr>
          <w:rFonts w:hint="eastAsia" w:eastAsia="仿宋_GB2312" w:cs="仿宋_GB2312"/>
          <w:sz w:val="32"/>
          <w:szCs w:val="32"/>
        </w:rPr>
        <w:t>（项）：支出决算为</w:t>
      </w:r>
      <w:r>
        <w:rPr>
          <w:rFonts w:hint="eastAsia" w:eastAsia="仿宋_GB2312" w:cs="仿宋_GB2312"/>
          <w:sz w:val="32"/>
          <w:szCs w:val="32"/>
          <w:lang w:val="en-US" w:eastAsia="zh-CN"/>
        </w:rPr>
        <w:t>9.07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lang w:eastAsia="zh-CN"/>
        </w:rPr>
      </w:pPr>
      <w:r>
        <w:rPr>
          <w:rFonts w:hint="eastAsia" w:eastAsia="仿宋_GB2312" w:cs="仿宋_GB2312"/>
          <w:sz w:val="32"/>
          <w:szCs w:val="32"/>
          <w:lang w:val="en-US" w:eastAsia="zh-CN"/>
        </w:rPr>
        <w:t>8</w:t>
      </w:r>
      <w:r>
        <w:rPr>
          <w:rFonts w:hint="eastAsia" w:eastAsia="仿宋_GB2312" w:cs="仿宋_GB2312"/>
          <w:sz w:val="32"/>
          <w:szCs w:val="32"/>
        </w:rPr>
        <w:t>.社会保障和就业（类）</w:t>
      </w:r>
      <w:r>
        <w:rPr>
          <w:rFonts w:hint="eastAsia" w:eastAsia="仿宋_GB2312" w:cs="仿宋_GB2312"/>
          <w:sz w:val="32"/>
          <w:szCs w:val="32"/>
          <w:lang w:eastAsia="zh-CN"/>
        </w:rPr>
        <w:t>社会福利</w:t>
      </w:r>
      <w:r>
        <w:rPr>
          <w:rFonts w:hint="eastAsia" w:eastAsia="仿宋_GB2312" w:cs="仿宋_GB2312"/>
          <w:sz w:val="32"/>
          <w:szCs w:val="32"/>
        </w:rPr>
        <w:t>（款）</w:t>
      </w:r>
      <w:r>
        <w:rPr>
          <w:rFonts w:hint="eastAsia" w:eastAsia="仿宋_GB2312" w:cs="仿宋_GB2312"/>
          <w:sz w:val="32"/>
          <w:szCs w:val="32"/>
          <w:lang w:eastAsia="zh-CN"/>
        </w:rPr>
        <w:t>儿童福利</w:t>
      </w:r>
      <w:r>
        <w:rPr>
          <w:rFonts w:hint="eastAsia" w:eastAsia="仿宋_GB2312" w:cs="仿宋_GB2312"/>
          <w:sz w:val="32"/>
          <w:szCs w:val="32"/>
        </w:rPr>
        <w:t>（项）：支出决算为</w:t>
      </w:r>
      <w:r>
        <w:rPr>
          <w:rFonts w:hint="eastAsia" w:eastAsia="仿宋_GB2312" w:cs="仿宋_GB2312"/>
          <w:sz w:val="32"/>
          <w:szCs w:val="32"/>
          <w:lang w:val="en-US" w:eastAsia="zh-CN"/>
        </w:rPr>
        <w:t>0.6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lang w:eastAsia="zh-CN"/>
        </w:rPr>
      </w:pPr>
      <w:r>
        <w:rPr>
          <w:rFonts w:hint="eastAsia" w:eastAsia="仿宋_GB2312" w:cs="仿宋_GB2312"/>
          <w:sz w:val="32"/>
          <w:szCs w:val="32"/>
          <w:lang w:val="en-US" w:eastAsia="zh-CN"/>
        </w:rPr>
        <w:t>9</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行政单位医疗</w:t>
      </w:r>
      <w:r>
        <w:rPr>
          <w:rFonts w:hint="eastAsia" w:eastAsia="仿宋_GB2312" w:cs="仿宋_GB2312"/>
          <w:sz w:val="32"/>
          <w:szCs w:val="32"/>
        </w:rPr>
        <w:t>（项）：支出决算为</w:t>
      </w:r>
      <w:r>
        <w:rPr>
          <w:rFonts w:hint="eastAsia" w:eastAsia="仿宋_GB2312" w:cs="仿宋_GB2312"/>
          <w:sz w:val="32"/>
          <w:szCs w:val="32"/>
          <w:lang w:val="en-US" w:eastAsia="zh-CN"/>
        </w:rPr>
        <w:t>9.58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pStyle w:val="14"/>
        <w:ind w:left="0" w:leftChars="0" w:firstLine="640" w:firstLineChars="200"/>
        <w:rPr>
          <w:rFonts w:hint="default" w:ascii="Times New Roman" w:hAnsi="Times New Roman" w:eastAsia="仿宋_GB2312" w:cs="Times New Roman"/>
          <w:sz w:val="32"/>
          <w:szCs w:val="32"/>
          <w:lang w:eastAsia="zh-CN"/>
        </w:rPr>
      </w:pPr>
      <w:r>
        <w:rPr>
          <w:rFonts w:hint="eastAsia" w:ascii="Times New Roman" w:eastAsia="仿宋_GB2312" w:cs="Times New Roman"/>
          <w:sz w:val="32"/>
          <w:szCs w:val="32"/>
          <w:lang w:val="en-US" w:eastAsia="zh-CN"/>
        </w:rPr>
        <w:t>10</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eastAsia" w:ascii="Times New Roman" w:eastAsia="仿宋_GB2312" w:cs="Times New Roman"/>
          <w:sz w:val="32"/>
          <w:szCs w:val="32"/>
          <w:lang w:eastAsia="zh-CN"/>
        </w:rPr>
        <w:t>公务员医疗补助</w:t>
      </w:r>
      <w:r>
        <w:rPr>
          <w:rFonts w:hint="default" w:ascii="Times New Roman" w:hAnsi="Times New Roman" w:eastAsia="仿宋_GB2312" w:cs="Times New Roman"/>
          <w:sz w:val="32"/>
          <w:szCs w:val="32"/>
        </w:rPr>
        <w:t>（项）：支出决算为</w:t>
      </w:r>
      <w:r>
        <w:rPr>
          <w:rFonts w:hint="eastAsia" w:ascii="Times New Roman" w:eastAsia="仿宋_GB2312" w:cs="Times New Roman"/>
          <w:sz w:val="32"/>
          <w:szCs w:val="32"/>
          <w:lang w:val="en-US" w:eastAsia="zh-CN"/>
        </w:rPr>
        <w:t>1.02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%，决算数等于预算数</w:t>
      </w:r>
      <w:r>
        <w:rPr>
          <w:rFonts w:hint="default" w:ascii="Times New Roman" w:hAnsi="Times New Roman" w:eastAsia="仿宋_GB2312" w:cs="Times New Roman"/>
          <w:sz w:val="32"/>
          <w:szCs w:val="32"/>
          <w:lang w:eastAsia="zh-CN"/>
        </w:rPr>
        <w:t>。</w:t>
      </w:r>
    </w:p>
    <w:p>
      <w:pPr>
        <w:pStyle w:val="14"/>
        <w:ind w:left="0" w:leftChars="0" w:firstLine="640" w:firstLineChars="200"/>
        <w:rPr>
          <w:rFonts w:hint="default"/>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住房保障</w:t>
      </w:r>
      <w:r>
        <w:rPr>
          <w:rFonts w:hint="default" w:ascii="Times New Roman" w:hAnsi="Times New Roman" w:eastAsia="仿宋_GB2312" w:cs="Times New Roman"/>
          <w:sz w:val="32"/>
          <w:szCs w:val="32"/>
        </w:rPr>
        <w:t>（类）</w:t>
      </w:r>
      <w:r>
        <w:rPr>
          <w:rFonts w:hint="eastAsia" w:ascii="Times New Roman" w:eastAsia="仿宋_GB2312" w:cs="Times New Roman"/>
          <w:sz w:val="32"/>
          <w:szCs w:val="32"/>
          <w:lang w:eastAsia="zh-CN"/>
        </w:rPr>
        <w:t>住房改革</w:t>
      </w:r>
      <w:r>
        <w:rPr>
          <w:rFonts w:hint="default" w:ascii="Times New Roman" w:hAnsi="Times New Roman" w:eastAsia="仿宋_GB2312" w:cs="Times New Roman"/>
          <w:sz w:val="32"/>
          <w:szCs w:val="32"/>
        </w:rPr>
        <w:t>（款）</w:t>
      </w:r>
      <w:r>
        <w:rPr>
          <w:rFonts w:hint="eastAsia" w:ascii="Times New Roman" w:eastAsia="仿宋_GB2312" w:cs="Times New Roman"/>
          <w:sz w:val="32"/>
          <w:szCs w:val="32"/>
          <w:lang w:eastAsia="zh-CN"/>
        </w:rPr>
        <w:t>住房公积金</w:t>
      </w:r>
      <w:r>
        <w:rPr>
          <w:rFonts w:hint="default" w:ascii="Times New Roman" w:hAnsi="Times New Roman" w:eastAsia="仿宋_GB2312" w:cs="Times New Roman"/>
          <w:sz w:val="32"/>
          <w:szCs w:val="32"/>
        </w:rPr>
        <w:t>（项）：支出决算为</w:t>
      </w:r>
      <w:r>
        <w:rPr>
          <w:rFonts w:hint="eastAsia" w:ascii="Times New Roman" w:eastAsia="仿宋_GB2312" w:cs="Times New Roman"/>
          <w:sz w:val="32"/>
          <w:szCs w:val="32"/>
          <w:lang w:val="en-US" w:eastAsia="zh-CN"/>
        </w:rPr>
        <w:t>14.64</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%，决算数等于预算数</w:t>
      </w:r>
      <w:r>
        <w:rPr>
          <w:rFonts w:hint="default" w:ascii="Times New Roman" w:hAnsi="Times New Roman" w:eastAsia="仿宋_GB2312" w:cs="Times New Roman"/>
          <w:sz w:val="32"/>
          <w:szCs w:val="32"/>
          <w:lang w:eastAsia="zh-CN"/>
        </w:rPr>
        <w:t>。</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30"/>
          <w:rFonts w:ascii="Times New Roman" w:hAnsi="Times New Roman"/>
        </w:rPr>
      </w:pPr>
      <w:bookmarkStart w:id="47" w:name="_Toc15377214"/>
      <w:bookmarkStart w:id="48" w:name="_Toc491632100"/>
      <w:bookmarkStart w:id="49"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7"/>
      <w:bookmarkEnd w:id="48"/>
      <w:bookmarkEnd w:id="49"/>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240.95</w:t>
      </w:r>
      <w:r>
        <w:rPr>
          <w:rFonts w:hint="eastAsia" w:eastAsia="仿宋_GB2312" w:cs="仿宋_GB2312"/>
          <w:sz w:val="32"/>
          <w:szCs w:val="32"/>
        </w:rPr>
        <w:t>万元，其中：</w:t>
      </w:r>
    </w:p>
    <w:p>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219.69</w:t>
      </w:r>
      <w:r>
        <w:rPr>
          <w:rFonts w:hint="eastAsia" w:eastAsia="仿宋_GB2312" w:cs="仿宋_GB2312"/>
          <w:sz w:val="32"/>
          <w:szCs w:val="32"/>
        </w:rPr>
        <w:t>万元，主要包括：基本工资、津贴补贴、奖金、机关事业单位基本养老保险缴费、职业年金缴费、其他社会保障缴费、其他工资福利支出、生活补助、医疗费补助、奖励金、住房公积金等。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21.25</w:t>
      </w:r>
      <w:r>
        <w:rPr>
          <w:rFonts w:hint="eastAsia" w:eastAsia="仿宋_GB2312" w:cs="仿宋_GB2312"/>
          <w:sz w:val="32"/>
          <w:szCs w:val="32"/>
        </w:rPr>
        <w:t>万元，主要包括：办公费、印刷费、水费、电费、邮电费、物业管理费、差旅费、维修（护）费、租赁费、公务接待费、劳务费、委托业务费、工会经费、福利费、其他交通费、其他商品和服务支出、办公设备购置等。</w:t>
      </w:r>
      <w:bookmarkStart w:id="50" w:name="_Toc1387551481"/>
      <w:bookmarkStart w:id="51" w:name="_Toc15396609"/>
      <w:bookmarkStart w:id="52" w:name="_Toc15377215"/>
    </w:p>
    <w:p>
      <w:pPr>
        <w:spacing w:line="600" w:lineRule="exact"/>
        <w:ind w:firstLine="640"/>
        <w:rPr>
          <w:rStyle w:val="30"/>
          <w:rFonts w:ascii="Times New Roman" w:hAnsi="Times New Roman" w:eastAsia="黑体"/>
          <w:b w:val="0"/>
        </w:rPr>
      </w:pPr>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50"/>
      <w:bookmarkEnd w:id="51"/>
      <w:bookmarkEnd w:id="52"/>
    </w:p>
    <w:p>
      <w:pPr>
        <w:spacing w:line="600" w:lineRule="exact"/>
        <w:ind w:firstLine="642" w:firstLineChars="200"/>
        <w:outlineLvl w:val="2"/>
        <w:rPr>
          <w:rFonts w:eastAsia="楷体_GB2312" w:cs="楷体_GB2312"/>
          <w:b/>
          <w:sz w:val="32"/>
          <w:szCs w:val="32"/>
        </w:rPr>
      </w:pPr>
      <w:bookmarkStart w:id="53" w:name="_Toc15377216"/>
      <w:r>
        <w:rPr>
          <w:rFonts w:hint="eastAsia" w:eastAsia="楷体_GB2312" w:cs="楷体_GB2312"/>
          <w:b/>
          <w:sz w:val="32"/>
          <w:szCs w:val="32"/>
        </w:rPr>
        <w:t>（一）财政拨款“三公”经费支出决算总体情况说明</w:t>
      </w:r>
      <w:bookmarkEnd w:id="53"/>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0.24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与上年度持平</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2" w:firstLineChars="200"/>
        <w:outlineLvl w:val="2"/>
        <w:rPr>
          <w:rFonts w:eastAsia="楷体_GB2312" w:cs="楷体_GB2312"/>
          <w:b/>
          <w:sz w:val="32"/>
          <w:szCs w:val="32"/>
        </w:rPr>
      </w:pPr>
      <w:bookmarkStart w:id="54" w:name="_Toc15377217"/>
      <w:r>
        <w:rPr>
          <w:rFonts w:hint="eastAsia" w:eastAsia="楷体_GB2312" w:cs="楷体_GB2312"/>
          <w:b/>
          <w:sz w:val="32"/>
          <w:szCs w:val="32"/>
        </w:rPr>
        <w:t>（二）财政拨款“三公”经费支出决算具体情况说明</w:t>
      </w:r>
      <w:bookmarkEnd w:id="54"/>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0.24</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%。具体情况如下：</w:t>
      </w:r>
    </w:p>
    <w:p>
      <w:pPr>
        <w:spacing w:line="600" w:lineRule="exact"/>
        <w:ind w:firstLine="640"/>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175895</wp:posOffset>
            </wp:positionH>
            <wp:positionV relativeFrom="paragraph">
              <wp:posOffset>61595</wp:posOffset>
            </wp:positionV>
            <wp:extent cx="5080000" cy="2964815"/>
            <wp:effectExtent l="4445" t="4445" r="20955" b="21590"/>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rPr>
          <w:rFonts w:hint="eastAsia" w:eastAsia="仿宋_GB2312" w:cs="仿宋_GB2312"/>
          <w:sz w:val="32"/>
          <w:szCs w:val="32"/>
        </w:rPr>
      </w:pPr>
    </w:p>
    <w:p>
      <w:pPr>
        <w:spacing w:line="600" w:lineRule="exact"/>
        <w:ind w:firstLine="960" w:firstLineChars="300"/>
        <w:rPr>
          <w:rFonts w:hint="eastAsia" w:eastAsia="仿宋_GB2312" w:cs="仿宋_GB2312"/>
          <w:b/>
          <w:bCs/>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w:t>
      </w:r>
    </w:p>
    <w:p>
      <w:pPr>
        <w:spacing w:line="600" w:lineRule="exact"/>
        <w:ind w:firstLine="640"/>
        <w:rPr>
          <w:rFonts w:hint="eastAsia" w:eastAsia="仿宋_GB2312" w:cs="仿宋_GB2312"/>
          <w:w w:val="85"/>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w:t>
      </w:r>
      <w:r>
        <w:rPr>
          <w:rFonts w:hint="eastAsia" w:eastAsia="仿宋_GB2312" w:cs="仿宋_GB2312"/>
          <w:w w:val="85"/>
          <w:sz w:val="32"/>
          <w:szCs w:val="32"/>
          <w:lang w:val="en-US" w:eastAsia="zh-CN"/>
        </w:rPr>
        <w:t>年度持平</w:t>
      </w:r>
      <w:r>
        <w:rPr>
          <w:rFonts w:hint="eastAsia" w:eastAsia="仿宋_GB2312" w:cs="仿宋_GB2312"/>
          <w:w w:val="85"/>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0.24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0.24</w:t>
      </w:r>
      <w:r>
        <w:rPr>
          <w:rFonts w:hint="eastAsia" w:eastAsia="仿宋_GB2312" w:cs="仿宋_GB2312"/>
          <w:sz w:val="32"/>
          <w:szCs w:val="32"/>
        </w:rPr>
        <w:t>万元，主要用于执行公务、开展业务活动开支的交通费、住宿费、用餐费等</w:t>
      </w:r>
      <w:r>
        <w:rPr>
          <w:rFonts w:hint="eastAsia" w:eastAsia="仿宋_GB2312" w:cs="仿宋_GB2312"/>
          <w:sz w:val="32"/>
          <w:szCs w:val="32"/>
          <w:lang w:eastAsia="zh-CN"/>
        </w:rPr>
        <w:t>。</w:t>
      </w:r>
      <w:r>
        <w:rPr>
          <w:rFonts w:hint="eastAsia" w:eastAsia="仿宋_GB2312" w:cs="仿宋_GB2312"/>
          <w:sz w:val="32"/>
          <w:szCs w:val="32"/>
        </w:rPr>
        <w:t>国内公务接待</w:t>
      </w:r>
      <w:r>
        <w:rPr>
          <w:rFonts w:hint="eastAsia" w:eastAsia="仿宋_GB2312" w:cs="仿宋_GB2312"/>
          <w:sz w:val="32"/>
          <w:szCs w:val="32"/>
          <w:lang w:val="en-US" w:eastAsia="zh-CN"/>
        </w:rPr>
        <w:t>3</w:t>
      </w:r>
      <w:r>
        <w:rPr>
          <w:rFonts w:hint="eastAsia" w:eastAsia="仿宋_GB2312" w:cs="仿宋_GB2312"/>
          <w:sz w:val="32"/>
          <w:szCs w:val="32"/>
        </w:rPr>
        <w:t>批次，</w:t>
      </w:r>
      <w:r>
        <w:rPr>
          <w:rFonts w:hint="eastAsia" w:eastAsia="仿宋_GB2312" w:cs="仿宋_GB2312"/>
          <w:sz w:val="32"/>
          <w:szCs w:val="32"/>
          <w:lang w:val="en-US" w:eastAsia="zh-CN"/>
        </w:rPr>
        <w:t>23</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0.24</w:t>
      </w:r>
      <w:r>
        <w:rPr>
          <w:rFonts w:hint="eastAsia" w:eastAsia="仿宋_GB2312" w:cs="仿宋_GB2312"/>
          <w:sz w:val="32"/>
          <w:szCs w:val="32"/>
        </w:rPr>
        <w:t>万元，具体内容包括：</w:t>
      </w:r>
      <w:r>
        <w:rPr>
          <w:rFonts w:eastAsia="仿宋_GB2312"/>
          <w:sz w:val="32"/>
          <w:szCs w:val="32"/>
        </w:rPr>
        <w:t>接待四川省委党史研究室一行</w:t>
      </w:r>
      <w:r>
        <w:rPr>
          <w:rFonts w:hint="eastAsia" w:eastAsia="仿宋_GB2312"/>
          <w:sz w:val="32"/>
          <w:szCs w:val="32"/>
          <w:lang w:val="en-US" w:eastAsia="zh-CN"/>
        </w:rPr>
        <w:t>191.4</w:t>
      </w:r>
      <w:r>
        <w:rPr>
          <w:rFonts w:eastAsia="仿宋_GB2312"/>
          <w:sz w:val="32"/>
          <w:szCs w:val="32"/>
        </w:rPr>
        <w:t>元；接待</w:t>
      </w:r>
      <w:r>
        <w:rPr>
          <w:rFonts w:hint="eastAsia" w:eastAsia="仿宋_GB2312"/>
          <w:sz w:val="32"/>
          <w:szCs w:val="32"/>
          <w:lang w:eastAsia="zh-CN"/>
        </w:rPr>
        <w:t>广元市</w:t>
      </w:r>
      <w:r>
        <w:rPr>
          <w:rFonts w:eastAsia="仿宋_GB2312"/>
          <w:sz w:val="32"/>
          <w:szCs w:val="32"/>
        </w:rPr>
        <w:t>委党史研究室一行</w:t>
      </w:r>
      <w:r>
        <w:rPr>
          <w:rFonts w:hint="eastAsia" w:eastAsia="仿宋_GB2312"/>
          <w:sz w:val="32"/>
          <w:szCs w:val="32"/>
          <w:lang w:val="en-US" w:eastAsia="zh-CN"/>
        </w:rPr>
        <w:t>2106</w:t>
      </w:r>
      <w:r>
        <w:rPr>
          <w:rFonts w:eastAsia="仿宋_GB2312"/>
          <w:sz w:val="32"/>
          <w:szCs w:val="32"/>
        </w:rPr>
        <w:t>元；接待</w:t>
      </w:r>
      <w:r>
        <w:rPr>
          <w:rFonts w:hint="eastAsia" w:eastAsia="仿宋_GB2312"/>
          <w:sz w:val="32"/>
          <w:szCs w:val="32"/>
          <w:lang w:eastAsia="zh-CN"/>
        </w:rPr>
        <w:t>辽宁</w:t>
      </w:r>
      <w:r>
        <w:rPr>
          <w:rFonts w:eastAsia="仿宋_GB2312"/>
          <w:sz w:val="32"/>
          <w:szCs w:val="32"/>
        </w:rPr>
        <w:t>省委党史研究室一行</w:t>
      </w:r>
      <w:r>
        <w:rPr>
          <w:rFonts w:hint="eastAsia" w:eastAsia="仿宋_GB2312"/>
          <w:sz w:val="32"/>
          <w:szCs w:val="32"/>
          <w:lang w:val="en-US" w:eastAsia="zh-CN"/>
        </w:rPr>
        <w:t>138.9</w:t>
      </w:r>
      <w:r>
        <w:rPr>
          <w:rFonts w:eastAsia="仿宋_GB2312"/>
          <w:sz w:val="32"/>
          <w:szCs w:val="32"/>
        </w:rPr>
        <w:t>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bookmarkStart w:id="55" w:name="_Toc15377218"/>
      <w:bookmarkStart w:id="56" w:name="_Toc15396610"/>
    </w:p>
    <w:p>
      <w:pPr>
        <w:spacing w:line="600" w:lineRule="exact"/>
        <w:ind w:firstLine="640"/>
        <w:outlineLvl w:val="1"/>
        <w:rPr>
          <w:rStyle w:val="30"/>
          <w:rFonts w:ascii="Times New Roman" w:hAnsi="Times New Roman" w:eastAsia="黑体"/>
        </w:rPr>
      </w:pPr>
      <w:bookmarkStart w:id="57" w:name="_Toc7788514"/>
      <w:r>
        <w:rPr>
          <w:rFonts w:hint="eastAsia" w:eastAsia="黑体"/>
          <w:sz w:val="32"/>
          <w:szCs w:val="32"/>
        </w:rPr>
        <w:t>八、</w:t>
      </w:r>
      <w:r>
        <w:rPr>
          <w:rStyle w:val="30"/>
          <w:rFonts w:hint="eastAsia" w:ascii="Times New Roman" w:hAnsi="Times New Roman" w:eastAsia="黑体"/>
          <w:b w:val="0"/>
        </w:rPr>
        <w:t>政府性基金预算支出决算情况说明</w:t>
      </w:r>
      <w:bookmarkEnd w:id="55"/>
      <w:bookmarkEnd w:id="56"/>
      <w:bookmarkEnd w:id="57"/>
    </w:p>
    <w:p>
      <w:pPr>
        <w:spacing w:line="600" w:lineRule="exact"/>
        <w:ind w:firstLine="640"/>
        <w:rPr>
          <w:rFonts w:hint="eastAsia"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w:t>
      </w:r>
    </w:p>
    <w:p>
      <w:pPr>
        <w:spacing w:line="600" w:lineRule="exact"/>
        <w:ind w:firstLine="640"/>
        <w:rPr>
          <w:rFonts w:hint="eastAsia" w:eastAsia="仿宋_GB2312" w:cs="仿宋_GB2312"/>
          <w:sz w:val="32"/>
          <w:szCs w:val="32"/>
        </w:rPr>
      </w:pPr>
    </w:p>
    <w:p>
      <w:pPr>
        <w:spacing w:line="600" w:lineRule="exact"/>
        <w:ind w:left="630"/>
        <w:outlineLvl w:val="1"/>
        <w:rPr>
          <w:rStyle w:val="30"/>
          <w:rFonts w:ascii="Times New Roman" w:hAnsi="Times New Roman" w:eastAsia="黑体"/>
          <w:b w:val="0"/>
        </w:rPr>
      </w:pPr>
      <w:bookmarkStart w:id="58" w:name="_Toc15396611"/>
      <w:bookmarkStart w:id="59" w:name="_Toc15377219"/>
      <w:bookmarkStart w:id="60" w:name="_Toc1963621150"/>
      <w:r>
        <w:rPr>
          <w:rStyle w:val="30"/>
          <w:rFonts w:hint="eastAsia" w:ascii="Times New Roman" w:hAnsi="Times New Roman" w:eastAsia="黑体"/>
          <w:b w:val="0"/>
        </w:rPr>
        <w:t>九、国有资本经营预算支出决算情况说明</w:t>
      </w:r>
      <w:bookmarkEnd w:id="58"/>
      <w:bookmarkEnd w:id="59"/>
      <w:bookmarkEnd w:id="60"/>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p>
    <w:p>
      <w:pPr>
        <w:spacing w:line="600" w:lineRule="exact"/>
        <w:ind w:firstLine="640"/>
        <w:rPr>
          <w:rFonts w:hint="eastAsia" w:eastAsia="仿宋_GB2312" w:cs="仿宋_GB2312"/>
          <w:sz w:val="32"/>
          <w:szCs w:val="32"/>
          <w:lang w:val="en-US" w:eastAsia="zh-CN"/>
        </w:rPr>
      </w:pPr>
    </w:p>
    <w:p>
      <w:pPr>
        <w:spacing w:line="600" w:lineRule="exact"/>
        <w:ind w:left="630"/>
        <w:outlineLvl w:val="1"/>
        <w:rPr>
          <w:rStyle w:val="30"/>
          <w:rFonts w:ascii="Times New Roman" w:hAnsi="Times New Roman" w:eastAsia="黑体"/>
          <w:b w:val="0"/>
        </w:rPr>
      </w:pPr>
      <w:bookmarkStart w:id="61" w:name="_Toc15396612"/>
      <w:bookmarkStart w:id="62" w:name="_Toc2135267586"/>
      <w:bookmarkStart w:id="63" w:name="_Toc15377221"/>
      <w:r>
        <w:rPr>
          <w:rStyle w:val="30"/>
          <w:rFonts w:hint="eastAsia" w:ascii="Times New Roman" w:hAnsi="Times New Roman" w:eastAsia="黑体"/>
          <w:b w:val="0"/>
        </w:rPr>
        <w:t>十、其他重要事项的情况说明</w:t>
      </w:r>
      <w:bookmarkEnd w:id="61"/>
      <w:bookmarkEnd w:id="62"/>
      <w:bookmarkEnd w:id="63"/>
    </w:p>
    <w:p>
      <w:pPr>
        <w:spacing w:line="600" w:lineRule="exact"/>
        <w:ind w:firstLine="642" w:firstLineChars="200"/>
        <w:outlineLvl w:val="2"/>
        <w:rPr>
          <w:rFonts w:eastAsia="楷体_GB2312" w:cs="楷体_GB2312"/>
          <w:b/>
          <w:sz w:val="32"/>
          <w:szCs w:val="32"/>
        </w:rPr>
      </w:pPr>
      <w:bookmarkStart w:id="64" w:name="_Toc15377222"/>
      <w:r>
        <w:rPr>
          <w:rFonts w:hint="eastAsia" w:eastAsia="楷体_GB2312" w:cs="楷体_GB2312"/>
          <w:b/>
          <w:sz w:val="32"/>
          <w:szCs w:val="32"/>
        </w:rPr>
        <w:t>（一）机关运行经费支出情况</w:t>
      </w:r>
      <w:bookmarkEnd w:id="64"/>
    </w:p>
    <w:p>
      <w:pPr>
        <w:spacing w:line="600" w:lineRule="exact"/>
        <w:ind w:firstLine="640"/>
        <w:rPr>
          <w:rFonts w:hint="eastAsia" w:ascii="仿宋_GB2312" w:hAnsi="仿宋" w:eastAsia="仿宋_GB2312" w:cs="仿宋"/>
          <w:color w:val="000000"/>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机关运行经费支出</w:t>
      </w:r>
      <w:r>
        <w:rPr>
          <w:rFonts w:hint="eastAsia" w:eastAsia="仿宋_GB2312" w:cs="仿宋_GB2312"/>
          <w:sz w:val="32"/>
          <w:szCs w:val="32"/>
          <w:lang w:val="en-US" w:eastAsia="zh-CN"/>
        </w:rPr>
        <w:t>21.25</w:t>
      </w:r>
      <w:r>
        <w:rPr>
          <w:rFonts w:hint="eastAsia" w:eastAsia="仿宋_GB2312" w:cs="仿宋_GB2312"/>
          <w:sz w:val="32"/>
          <w:szCs w:val="32"/>
        </w:rPr>
        <w:t>万元，比上年度减少</w:t>
      </w:r>
      <w:r>
        <w:rPr>
          <w:rFonts w:hint="eastAsia" w:eastAsia="仿宋_GB2312" w:cs="仿宋_GB2312"/>
          <w:sz w:val="32"/>
          <w:szCs w:val="32"/>
          <w:lang w:val="en-US" w:eastAsia="zh-CN"/>
        </w:rPr>
        <w:t>2.09</w:t>
      </w:r>
      <w:r>
        <w:rPr>
          <w:rFonts w:hint="eastAsia" w:eastAsia="仿宋_GB2312" w:cs="仿宋_GB2312"/>
          <w:sz w:val="32"/>
          <w:szCs w:val="32"/>
        </w:rPr>
        <w:t>万元，下降</w:t>
      </w:r>
      <w:r>
        <w:rPr>
          <w:rFonts w:hint="eastAsia" w:eastAsia="仿宋_GB2312" w:cs="仿宋_GB2312"/>
          <w:sz w:val="32"/>
          <w:szCs w:val="32"/>
          <w:lang w:val="en-US" w:eastAsia="zh-CN"/>
        </w:rPr>
        <w:t>8.9</w:t>
      </w:r>
      <w:r>
        <w:rPr>
          <w:rFonts w:hint="eastAsia" w:eastAsia="仿宋_GB2312" w:cs="仿宋_GB2312"/>
          <w:sz w:val="32"/>
          <w:szCs w:val="32"/>
        </w:rPr>
        <w:t>%。主要原因是</w:t>
      </w:r>
      <w:r>
        <w:rPr>
          <w:rFonts w:hint="default" w:ascii="Times New Roman" w:hAnsi="Times New Roman" w:eastAsia="仿宋_GB2312" w:cs="Times New Roman"/>
          <w:color w:val="000000"/>
          <w:sz w:val="32"/>
          <w:szCs w:val="32"/>
          <w:lang w:val="en-US" w:eastAsia="zh-CN"/>
        </w:rPr>
        <w:t>2025</w:t>
      </w:r>
      <w:r>
        <w:rPr>
          <w:rFonts w:hint="eastAsia" w:ascii="仿宋_GB2312" w:hAnsi="仿宋" w:eastAsia="仿宋_GB2312" w:cs="仿宋"/>
          <w:color w:val="000000"/>
          <w:sz w:val="32"/>
          <w:szCs w:val="32"/>
          <w:lang w:val="en-US" w:eastAsia="zh-CN"/>
        </w:rPr>
        <w:t>年度未支付党报党刊等党建经费。</w:t>
      </w:r>
    </w:p>
    <w:p>
      <w:pPr>
        <w:spacing w:line="600" w:lineRule="exact"/>
        <w:ind w:firstLine="640"/>
        <w:rPr>
          <w:rFonts w:hint="eastAsia" w:ascii="仿宋_GB2312" w:hAnsi="仿宋" w:eastAsia="仿宋_GB2312" w:cs="仿宋"/>
          <w:color w:val="000000"/>
          <w:sz w:val="32"/>
          <w:szCs w:val="32"/>
          <w:lang w:val="en-US" w:eastAsia="zh-CN"/>
        </w:rPr>
      </w:pPr>
    </w:p>
    <w:p>
      <w:pPr>
        <w:spacing w:line="600" w:lineRule="exact"/>
        <w:ind w:firstLine="642" w:firstLineChars="200"/>
        <w:outlineLvl w:val="2"/>
        <w:rPr>
          <w:rFonts w:eastAsia="楷体_GB2312" w:cs="楷体_GB2312"/>
          <w:b/>
          <w:sz w:val="32"/>
          <w:szCs w:val="32"/>
        </w:rPr>
      </w:pPr>
      <w:bookmarkStart w:id="65" w:name="_Toc15377223"/>
      <w:r>
        <w:rPr>
          <w:rFonts w:hint="eastAsia" w:eastAsia="楷体_GB2312" w:cs="楷体_GB2312"/>
          <w:b/>
          <w:sz w:val="32"/>
          <w:szCs w:val="32"/>
        </w:rPr>
        <w:t>（二）政府采购支出情况</w:t>
      </w:r>
      <w:bookmarkEnd w:id="65"/>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政府采购支出总额</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eastAsia="zh-CN"/>
        </w:rPr>
        <w:t>。</w:t>
      </w:r>
    </w:p>
    <w:p>
      <w:pPr>
        <w:spacing w:line="600" w:lineRule="exact"/>
        <w:ind w:firstLine="642" w:firstLineChars="200"/>
        <w:outlineLvl w:val="9"/>
        <w:rPr>
          <w:rFonts w:hint="eastAsia" w:eastAsia="楷体_GB2312" w:cs="楷体_GB2312"/>
          <w:b/>
          <w:sz w:val="32"/>
          <w:szCs w:val="32"/>
        </w:rPr>
      </w:pPr>
      <w:bookmarkStart w:id="66" w:name="_Toc15377224"/>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（三）国有资产占有使用情况</w:t>
      </w:r>
      <w:bookmarkEnd w:id="66"/>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共有车辆</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在2025年度，组织对</w:t>
      </w:r>
      <w:r>
        <w:rPr>
          <w:rFonts w:eastAsia="仿宋_GB2312"/>
          <w:sz w:val="32"/>
          <w:szCs w:val="32"/>
        </w:rPr>
        <w:t>编纂出版经费、关工委工作经费</w:t>
      </w:r>
      <w:r>
        <w:rPr>
          <w:rFonts w:hint="eastAsia" w:eastAsia="仿宋_GB2312"/>
          <w:sz w:val="32"/>
          <w:szCs w:val="32"/>
          <w:lang w:eastAsia="zh-CN"/>
        </w:rPr>
        <w:t>、市级挂职干部补助</w:t>
      </w:r>
      <w:r>
        <w:rPr>
          <w:rFonts w:hint="eastAsia" w:eastAsia="仿宋_GB2312"/>
          <w:sz w:val="32"/>
          <w:szCs w:val="32"/>
          <w:lang w:val="en-US" w:eastAsia="zh-CN"/>
        </w:rPr>
        <w:t>1、党史短视频经4费</w:t>
      </w:r>
      <w:r>
        <w:rPr>
          <w:rFonts w:hint="eastAsia" w:eastAsia="仿宋_GB2312" w:cs="仿宋_GB2312"/>
          <w:sz w:val="32"/>
          <w:szCs w:val="32"/>
        </w:rPr>
        <w:t>等个项目涉及金额</w:t>
      </w:r>
      <w:r>
        <w:rPr>
          <w:rFonts w:hint="eastAsia" w:eastAsia="仿宋_GB2312" w:cs="仿宋_GB2312"/>
          <w:color w:val="000000" w:themeColor="text1"/>
          <w:sz w:val="32"/>
          <w:szCs w:val="32"/>
          <w:lang w:val="en-US" w:eastAsia="zh-CN"/>
          <w14:textFill>
            <w14:solidFill>
              <w14:schemeClr w14:val="tx1"/>
            </w14:solidFill>
          </w14:textFill>
        </w:rPr>
        <w:t>27.99</w:t>
      </w:r>
      <w:r>
        <w:rPr>
          <w:rFonts w:hint="eastAsia" w:eastAsia="仿宋_GB2312" w:cs="仿宋_GB2312"/>
          <w:sz w:val="32"/>
          <w:szCs w:val="32"/>
        </w:rPr>
        <w:t>万元开展了事前绩效评估，对</w:t>
      </w:r>
      <w:r>
        <w:rPr>
          <w:rFonts w:hint="eastAsia" w:eastAsia="仿宋_GB2312" w:cs="仿宋_GB2312"/>
          <w:sz w:val="32"/>
          <w:szCs w:val="32"/>
          <w:lang w:val="en-US" w:eastAsia="zh-CN"/>
        </w:rPr>
        <w:t>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4</w:t>
      </w:r>
      <w:r>
        <w:rPr>
          <w:rFonts w:hint="eastAsia" w:eastAsia="仿宋_GB2312" w:cs="仿宋_GB2312"/>
          <w:sz w:val="32"/>
          <w:szCs w:val="32"/>
        </w:rPr>
        <w:t>个项目开展绩效监控。</w:t>
      </w:r>
    </w:p>
    <w:p>
      <w:pPr>
        <w:rPr>
          <w:rFonts w:hint="eastAsia" w:eastAsia="黑体"/>
          <w:sz w:val="44"/>
          <w:szCs w:val="44"/>
        </w:rPr>
      </w:pPr>
      <w:r>
        <w:rPr>
          <w:rFonts w:hint="eastAsia" w:eastAsia="仿宋_GB2312" w:cs="仿宋_GB2312"/>
          <w:sz w:val="32"/>
          <w:szCs w:val="32"/>
        </w:rPr>
        <w:br w:type="page"/>
      </w:r>
      <w:bookmarkStart w:id="67" w:name="_Toc15377225"/>
      <w:bookmarkStart w:id="68" w:name="_Toc15396613"/>
    </w:p>
    <w:p>
      <w:pPr>
        <w:pStyle w:val="2"/>
        <w:bidi w:val="0"/>
        <w:jc w:val="center"/>
        <w:rPr>
          <w:rFonts w:hint="eastAsia" w:ascii="黑体" w:hAnsi="黑体" w:eastAsia="黑体" w:cs="黑体"/>
          <w:b w:val="0"/>
          <w:bCs w:val="0"/>
        </w:rPr>
      </w:pPr>
      <w:bookmarkStart w:id="69" w:name="_Toc1957994261"/>
      <w:r>
        <w:rPr>
          <w:rFonts w:hint="eastAsia" w:ascii="黑体" w:hAnsi="黑体" w:eastAsia="黑体" w:cs="黑体"/>
          <w:b w:val="0"/>
          <w:bCs w:val="0"/>
        </w:rPr>
        <w:t>第三部分  名词解释</w:t>
      </w:r>
      <w:bookmarkEnd w:id="67"/>
      <w:bookmarkEnd w:id="68"/>
      <w:bookmarkEnd w:id="69"/>
    </w:p>
    <w:p>
      <w:pPr>
        <w:spacing w:line="600" w:lineRule="exact"/>
        <w:jc w:val="left"/>
        <w:rPr>
          <w:b/>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2.一般公共服务（类）</w:t>
      </w:r>
      <w:r>
        <w:rPr>
          <w:rFonts w:hint="default" w:ascii="Times New Roman" w:hAnsi="Times New Roman" w:eastAsia="仿宋_GB2312" w:cs="Times New Roman"/>
          <w:sz w:val="32"/>
          <w:szCs w:val="32"/>
          <w:lang w:eastAsia="zh-CN"/>
        </w:rPr>
        <w:t>党委办公厅</w:t>
      </w:r>
      <w:r>
        <w:rPr>
          <w:rFonts w:hint="default" w:ascii="Times New Roman" w:hAnsi="Times New Roman" w:eastAsia="仿宋_GB2312" w:cs="Times New Roman"/>
          <w:sz w:val="32"/>
          <w:szCs w:val="32"/>
          <w:lang w:val="en-US" w:eastAsia="zh-CN"/>
        </w:rPr>
        <w:t>及相关机构事务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行政运行</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的基本支出</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3.一般公共服务（类）</w:t>
      </w:r>
      <w:r>
        <w:rPr>
          <w:rFonts w:hint="default" w:ascii="Times New Roman" w:hAnsi="Times New Roman" w:eastAsia="仿宋_GB2312" w:cs="Times New Roman"/>
          <w:sz w:val="32"/>
          <w:szCs w:val="32"/>
          <w:lang w:eastAsia="zh-CN"/>
        </w:rPr>
        <w:t>党委办公厅</w:t>
      </w:r>
      <w:r>
        <w:rPr>
          <w:rFonts w:hint="default" w:ascii="Times New Roman" w:hAnsi="Times New Roman" w:eastAsia="仿宋_GB2312" w:cs="Times New Roman"/>
          <w:sz w:val="32"/>
          <w:szCs w:val="32"/>
          <w:lang w:val="en-US" w:eastAsia="zh-CN"/>
        </w:rPr>
        <w:t>及相关机构事务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一般行政管理事务</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未单独设置项级科目的其他项目支出。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.一般公共服务（类）</w:t>
      </w:r>
      <w:r>
        <w:rPr>
          <w:rFonts w:hint="default" w:ascii="Times New Roman" w:hAnsi="Times New Roman" w:eastAsia="仿宋_GB2312" w:cs="Times New Roman"/>
          <w:sz w:val="32"/>
          <w:szCs w:val="32"/>
          <w:lang w:eastAsia="zh-CN"/>
        </w:rPr>
        <w:t>组织事务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其他组织事务支出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反映除上述项目以外其他用于中国共产党组织部门的事务支出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公共安全</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强制隔离戒毒</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行政运行</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的基本支出。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行政单位离退休</w:t>
      </w:r>
      <w:r>
        <w:rPr>
          <w:rFonts w:hint="default" w:ascii="Times New Roman" w:hAnsi="Times New Roman" w:eastAsia="仿宋_GB2312" w:cs="Times New Roman"/>
          <w:sz w:val="32"/>
          <w:szCs w:val="32"/>
        </w:rPr>
        <w:t>（项）：指反映行政单位（包括实行公务员管理的事业单位）开支的离退休经费</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机关事业单位基本养老保险缴费支出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反映机关事业单位实施养老保险制度由单位缴纳的基本养老保险费支出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机关事业单位职业年金缴费支出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反映机关事业单位实施养老保险制度由单位缴纳的</w:t>
      </w:r>
      <w:r>
        <w:rPr>
          <w:rFonts w:hint="default" w:ascii="Times New Roman" w:hAnsi="Times New Roman" w:eastAsia="仿宋_GB2312" w:cs="Times New Roman"/>
          <w:sz w:val="32"/>
          <w:szCs w:val="32"/>
          <w:lang w:eastAsia="zh-CN"/>
        </w:rPr>
        <w:t>职业年金</w:t>
      </w:r>
      <w:r>
        <w:rPr>
          <w:rFonts w:hint="default" w:ascii="Times New Roman" w:hAnsi="Times New Roman" w:eastAsia="仿宋_GB2312" w:cs="Times New Roman"/>
          <w:sz w:val="32"/>
          <w:szCs w:val="32"/>
        </w:rPr>
        <w:t>支出</w:t>
      </w:r>
      <w:r>
        <w:rPr>
          <w:rFonts w:hint="default" w:ascii="Times New Roman" w:hAnsi="Times New Roman" w:eastAsia="仿宋_GB2312" w:cs="Times New Roman"/>
          <w:sz w:val="32"/>
          <w:szCs w:val="32"/>
          <w:lang w:eastAsia="zh-CN"/>
        </w:rPr>
        <w:t>（含职业年金补记支出）。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社会福利</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儿童福利</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反映对儿童提供福利服务方面的支出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行政单位医疗</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default" w:ascii="Times New Roman" w:hAnsi="Times New Roman" w:eastAsia="仿宋_GB2312" w:cs="Times New Roman"/>
          <w:sz w:val="32"/>
          <w:szCs w:val="32"/>
          <w:lang w:eastAsia="zh-CN"/>
        </w:rPr>
        <w:t>。</w:t>
      </w:r>
    </w:p>
    <w:p>
      <w:pPr>
        <w:pStyle w:val="14"/>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公务员医疗补助</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反映财政部门安排的公务员医疗补助经费</w:t>
      </w:r>
      <w:r>
        <w:rPr>
          <w:rFonts w:hint="default" w:ascii="Times New Roman" w:hAnsi="Times New Roman" w:eastAsia="仿宋_GB2312" w:cs="Times New Roman"/>
          <w:sz w:val="32"/>
          <w:szCs w:val="32"/>
          <w:lang w:eastAsia="zh-CN"/>
        </w:rPr>
        <w:t>。</w:t>
      </w:r>
    </w:p>
    <w:p>
      <w:pPr>
        <w:pStyle w:val="14"/>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住房保障</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住房改革</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住房公积金</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反映行政事业单位按人力资源和社会保障部、财政部规定的基本工资和津贴补贴以及规定比例为职工缴纳的住房公积金</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hint="eastAsia" w:eastAsia="黑体"/>
          <w:sz w:val="44"/>
          <w:szCs w:val="44"/>
        </w:rPr>
      </w:pPr>
      <w:bookmarkStart w:id="70" w:name="_Toc15377226"/>
      <w:r>
        <w:rPr>
          <w:rFonts w:hint="eastAsia" w:eastAsia="仿宋_GB2312" w:cs="仿宋_GB2312"/>
          <w:sz w:val="32"/>
          <w:szCs w:val="32"/>
        </w:rPr>
        <w:br w:type="page"/>
      </w:r>
      <w:bookmarkStart w:id="71" w:name="_Toc57401083"/>
      <w:bookmarkStart w:id="72" w:name="_Toc15396614"/>
      <w:r>
        <w:rPr>
          <w:rStyle w:val="29"/>
          <w:rFonts w:hint="eastAsia" w:ascii="黑体" w:hAnsi="黑体" w:eastAsia="黑体" w:cs="黑体"/>
          <w:b w:val="0"/>
          <w:bCs w:val="0"/>
        </w:rPr>
        <w:t>第四部分  附件</w:t>
      </w:r>
      <w:bookmarkEnd w:id="71"/>
      <w:bookmarkEnd w:id="72"/>
    </w:p>
    <w:p>
      <w:pPr>
        <w:spacing w:line="600" w:lineRule="exact"/>
        <w:jc w:val="center"/>
        <w:rPr>
          <w:rFonts w:hint="eastAsia" w:eastAsia="黑体"/>
          <w:sz w:val="44"/>
          <w:szCs w:val="44"/>
        </w:rPr>
      </w:pPr>
    </w:p>
    <w:p>
      <w:pPr>
        <w:pStyle w:val="14"/>
        <w:spacing w:line="560" w:lineRule="exact"/>
        <w:ind w:left="0" w:leftChars="0" w:firstLine="640"/>
        <w:rPr>
          <w:rFonts w:hint="default" w:ascii="Times New Roman" w:eastAsia="仿宋_GB2312"/>
          <w:w w:val="90"/>
          <w:sz w:val="32"/>
          <w:lang w:val="en-US" w:eastAsia="zh-CN" w:bidi="ar"/>
        </w:rPr>
      </w:pPr>
      <w:r>
        <w:rPr>
          <w:rFonts w:hint="eastAsia" w:ascii="Times New Roman" w:eastAsia="仿宋_GB2312"/>
          <w:w w:val="90"/>
          <w:sz w:val="32"/>
          <w:lang w:val="zh-CN" w:bidi="ar"/>
        </w:rPr>
        <w:t>附表：</w:t>
      </w:r>
      <w:r>
        <w:rPr>
          <w:rFonts w:hint="eastAsia" w:ascii="Times New Roman" w:eastAsia="仿宋_GB2312"/>
          <w:w w:val="90"/>
          <w:sz w:val="32"/>
          <w:lang w:bidi="ar"/>
        </w:rPr>
        <w:t>部门预算项目支出绩效自评表（2025年度）</w:t>
      </w:r>
      <w:r>
        <w:rPr>
          <w:rFonts w:hint="eastAsia" w:ascii="Times New Roman" w:eastAsia="仿宋_GB2312"/>
          <w:w w:val="90"/>
          <w:sz w:val="32"/>
          <w:lang w:eastAsia="zh-CN" w:bidi="ar"/>
        </w:rPr>
        <w:t>见附件</w:t>
      </w:r>
      <w:r>
        <w:rPr>
          <w:rFonts w:hint="eastAsia" w:ascii="Times New Roman" w:eastAsia="仿宋_GB2312"/>
          <w:w w:val="90"/>
          <w:sz w:val="32"/>
          <w:lang w:val="en-US" w:eastAsia="zh-CN" w:bidi="ar"/>
        </w:rPr>
        <w:t>3</w:t>
      </w:r>
    </w:p>
    <w:p>
      <w:pPr>
        <w:pStyle w:val="14"/>
        <w:spacing w:line="560" w:lineRule="exact"/>
        <w:ind w:left="0" w:leftChars="0" w:firstLine="0" w:firstLineChars="0"/>
        <w:rPr>
          <w:rFonts w:ascii="Times New Roman"/>
          <w:sz w:val="32"/>
          <w:highlight w:val="yellow"/>
          <w:lang w:val="zh-CN"/>
        </w:rPr>
      </w:pPr>
    </w:p>
    <w:p>
      <w:pPr>
        <w:pStyle w:val="5"/>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widowControl/>
        <w:jc w:val="center"/>
        <w:outlineLvl w:val="0"/>
        <w:rPr>
          <w:rFonts w:eastAsia="仿宋"/>
        </w:rPr>
      </w:pPr>
      <w:bookmarkStart w:id="73" w:name="_Toc15396618"/>
      <w:bookmarkStart w:id="74" w:name="_Toc103268917"/>
      <w:r>
        <w:rPr>
          <w:rFonts w:hint="eastAsia" w:eastAsia="黑体"/>
          <w:sz w:val="44"/>
          <w:szCs w:val="44"/>
        </w:rPr>
        <w:t>第</w:t>
      </w:r>
      <w:r>
        <w:rPr>
          <w:rStyle w:val="29"/>
          <w:rFonts w:hint="eastAsia" w:eastAsia="黑体"/>
          <w:b w:val="0"/>
        </w:rPr>
        <w:t>五部分 附表</w:t>
      </w:r>
      <w:bookmarkEnd w:id="70"/>
      <w:bookmarkEnd w:id="73"/>
      <w:bookmarkEnd w:id="74"/>
      <w:bookmarkStart w:id="75" w:name="_Toc15396619"/>
    </w:p>
    <w:p>
      <w:pPr>
        <w:pStyle w:val="15"/>
        <w:adjustRightInd w:val="0"/>
        <w:snapToGrid w:val="0"/>
        <w:spacing w:line="560" w:lineRule="exact"/>
        <w:jc w:val="left"/>
        <w:rPr>
          <w:rFonts w:eastAsia="仿宋_GB2312" w:cs="仿宋_GB2312"/>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76" w:name="_Toc123976650"/>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收入支出决算总表</w:t>
      </w:r>
      <w:bookmarkEnd w:id="75"/>
      <w:bookmarkEnd w:id="76"/>
      <w:bookmarkStart w:id="77" w:name="_Toc15396620"/>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78" w:name="_Toc954119371"/>
      <w:r>
        <w:rPr>
          <w:rFonts w:hint="eastAsia" w:ascii="仿宋_GB2312" w:hAnsi="仿宋_GB2312" w:eastAsia="仿宋_GB2312" w:cs="仿宋_GB2312"/>
          <w:sz w:val="32"/>
          <w:szCs w:val="32"/>
        </w:rPr>
        <w:t>二、收入决算表</w:t>
      </w:r>
      <w:bookmarkEnd w:id="77"/>
      <w:bookmarkEnd w:id="78"/>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79" w:name="_Toc1780820953"/>
      <w:bookmarkStart w:id="80" w:name="_Toc15396621"/>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、支出决算表</w:t>
      </w:r>
      <w:bookmarkEnd w:id="79"/>
      <w:bookmarkEnd w:id="80"/>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1" w:name="_Toc141280506"/>
      <w:bookmarkStart w:id="82" w:name="_Toc15396622"/>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财政拨款收入支出决算总表</w:t>
      </w:r>
      <w:bookmarkEnd w:id="81"/>
      <w:bookmarkEnd w:id="82"/>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3" w:name="_Toc408109870"/>
      <w:bookmarkStart w:id="84" w:name="_Toc15396623"/>
      <w:r>
        <w:rPr>
          <w:rFonts w:hint="eastAsia" w:ascii="仿宋_GB2312" w:hAnsi="仿宋_GB2312" w:eastAsia="仿宋_GB2312" w:cs="仿宋_GB2312"/>
          <w:sz w:val="32"/>
          <w:szCs w:val="32"/>
        </w:rPr>
        <w:t>五、财政拨款支出决算明细表</w:t>
      </w:r>
      <w:bookmarkEnd w:id="83"/>
      <w:bookmarkEnd w:id="84"/>
      <w:bookmarkStart w:id="85" w:name="_Toc15396624"/>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6" w:name="_Toc395684178"/>
      <w:r>
        <w:rPr>
          <w:rFonts w:hint="eastAsia" w:ascii="仿宋_GB2312" w:hAnsi="仿宋_GB2312" w:eastAsia="仿宋_GB2312" w:cs="仿宋_GB2312"/>
          <w:sz w:val="32"/>
          <w:szCs w:val="32"/>
        </w:rPr>
        <w:t>六、一般公共预算财政拨款支出决算表</w:t>
      </w:r>
      <w:bookmarkEnd w:id="85"/>
      <w:bookmarkEnd w:id="86"/>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7" w:name="_Toc15396625"/>
      <w:bookmarkStart w:id="88" w:name="_Toc1412058171"/>
      <w:r>
        <w:rPr>
          <w:rFonts w:hint="eastAsia" w:ascii="仿宋_GB2312" w:hAnsi="仿宋_GB2312" w:eastAsia="仿宋_GB2312" w:cs="仿宋_GB2312"/>
          <w:sz w:val="32"/>
          <w:szCs w:val="32"/>
        </w:rPr>
        <w:t>七、一般公共预算财政拨款支出决算明细表</w:t>
      </w:r>
      <w:bookmarkEnd w:id="87"/>
      <w:bookmarkEnd w:id="88"/>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9" w:name="_Toc2103889769"/>
      <w:bookmarkStart w:id="90" w:name="_Toc15396626"/>
      <w:r>
        <w:rPr>
          <w:rFonts w:hint="eastAsia" w:ascii="仿宋_GB2312" w:hAnsi="仿宋_GB2312" w:eastAsia="仿宋_GB2312" w:cs="仿宋_GB2312"/>
          <w:sz w:val="32"/>
          <w:szCs w:val="32"/>
        </w:rPr>
        <w:t>八、一般公共预算财政拨款基本支出决算表</w:t>
      </w:r>
      <w:bookmarkEnd w:id="89"/>
      <w:bookmarkEnd w:id="90"/>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91" w:name="_Toc15396627"/>
      <w:bookmarkStart w:id="92" w:name="_Toc1887515133"/>
      <w:r>
        <w:rPr>
          <w:rFonts w:hint="eastAsia" w:ascii="仿宋_GB2312" w:hAnsi="仿宋_GB2312" w:eastAsia="仿宋_GB2312" w:cs="仿宋_GB2312"/>
          <w:sz w:val="32"/>
          <w:szCs w:val="32"/>
        </w:rPr>
        <w:t>九、一般公共预算财政拨款项目支出决算表</w:t>
      </w:r>
      <w:bookmarkEnd w:id="91"/>
      <w:bookmarkEnd w:id="92"/>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93" w:name="_Toc15396628"/>
      <w:bookmarkStart w:id="94" w:name="_Toc570648808"/>
      <w:r>
        <w:rPr>
          <w:rFonts w:hint="eastAsia" w:ascii="仿宋_GB2312" w:hAnsi="仿宋_GB2312" w:eastAsia="仿宋_GB2312" w:cs="仿宋_GB2312"/>
          <w:sz w:val="32"/>
          <w:szCs w:val="32"/>
        </w:rPr>
        <w:t>十、</w:t>
      </w:r>
      <w:bookmarkEnd w:id="93"/>
      <w:r>
        <w:rPr>
          <w:rFonts w:hint="eastAsia" w:ascii="仿宋_GB2312" w:hAnsi="仿宋_GB2312" w:eastAsia="仿宋_GB2312" w:cs="仿宋_GB2312"/>
          <w:sz w:val="32"/>
          <w:szCs w:val="32"/>
        </w:rPr>
        <w:t>政府性基金预算财政拨款收入支出决算表</w:t>
      </w:r>
      <w:bookmarkEnd w:id="94"/>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95" w:name="_Toc15396629"/>
      <w:bookmarkStart w:id="96" w:name="_Toc908641696"/>
      <w:r>
        <w:rPr>
          <w:rFonts w:hint="eastAsia" w:ascii="仿宋_GB2312" w:hAnsi="仿宋_GB2312" w:eastAsia="仿宋_GB2312" w:cs="仿宋_GB2312"/>
          <w:sz w:val="32"/>
          <w:szCs w:val="32"/>
        </w:rPr>
        <w:t>十一、</w:t>
      </w:r>
      <w:bookmarkEnd w:id="95"/>
      <w:r>
        <w:rPr>
          <w:rFonts w:hint="eastAsia" w:ascii="仿宋_GB2312" w:hAnsi="仿宋_GB2312" w:eastAsia="仿宋_GB2312" w:cs="仿宋_GB2312"/>
          <w:sz w:val="32"/>
          <w:szCs w:val="32"/>
        </w:rPr>
        <w:t>国有资本经营预算财政拨款收入支出决算表</w:t>
      </w:r>
      <w:bookmarkEnd w:id="96"/>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97" w:name="_Toc15396630"/>
      <w:bookmarkStart w:id="98" w:name="_Toc1912193104"/>
      <w:r>
        <w:rPr>
          <w:rFonts w:hint="eastAsia" w:ascii="仿宋_GB2312" w:hAnsi="仿宋_GB2312" w:eastAsia="仿宋_GB2312" w:cs="仿宋_GB2312"/>
          <w:sz w:val="32"/>
          <w:szCs w:val="32"/>
        </w:rPr>
        <w:t>十二、</w:t>
      </w:r>
      <w:bookmarkEnd w:id="97"/>
      <w:r>
        <w:rPr>
          <w:rFonts w:hint="eastAsia" w:ascii="仿宋_GB2312" w:hAnsi="仿宋_GB2312" w:eastAsia="仿宋_GB2312" w:cs="仿宋_GB2312"/>
          <w:sz w:val="32"/>
          <w:szCs w:val="32"/>
        </w:rPr>
        <w:t>国有资本经营预算财政拨款支出决算表</w:t>
      </w:r>
      <w:bookmarkEnd w:id="98"/>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99" w:name="_Toc15396631"/>
      <w:bookmarkStart w:id="100" w:name="_Toc1266135046"/>
      <w:r>
        <w:rPr>
          <w:rFonts w:hint="eastAsia" w:ascii="仿宋_GB2312" w:hAnsi="仿宋_GB2312" w:eastAsia="仿宋_GB2312" w:cs="仿宋_GB2312"/>
          <w:sz w:val="32"/>
          <w:szCs w:val="32"/>
        </w:rPr>
        <w:t>十三、</w:t>
      </w:r>
      <w:bookmarkEnd w:id="99"/>
      <w:r>
        <w:rPr>
          <w:rFonts w:hint="eastAsia" w:ascii="仿宋_GB2312" w:hAnsi="仿宋_GB2312" w:eastAsia="仿宋_GB2312" w:cs="仿宋_GB2312"/>
          <w:sz w:val="32"/>
          <w:szCs w:val="32"/>
        </w:rPr>
        <w:t>财政拨款“三公”经费支出决算表</w:t>
      </w:r>
      <w:bookmarkEnd w:id="100"/>
    </w:p>
    <w:p>
      <w:pPr>
        <w:pStyle w:val="15"/>
        <w:numPr>
          <w:ilvl w:val="0"/>
          <w:numId w:val="0"/>
        </w:numPr>
        <w:bidi w:val="0"/>
        <w:rPr>
          <w:rFonts w:hint="eastAsia" w:ascii="仿宋_GB2312" w:hAnsi="仿宋_GB2312" w:eastAsia="仿宋_GB2312" w:cs="仿宋_GB2312"/>
          <w:sz w:val="32"/>
          <w:szCs w:val="32"/>
        </w:rPr>
      </w:pPr>
    </w:p>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1VpzKgIAAFU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Am1VpzKgIAAFUEAAAOAAAAAAAAAAEAIAAAADUBAABkcnMv&#10;ZTJvRG9jLnhtbFBLBQYAAAAABgAGAFkBAADRBQ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4E95D5"/>
    <w:multiLevelType w:val="singleLevel"/>
    <w:tmpl w:val="FD4E95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5D0042"/>
    <w:rsid w:val="376B6AA6"/>
    <w:rsid w:val="376D39B2"/>
    <w:rsid w:val="37E16F03"/>
    <w:rsid w:val="37F53A3B"/>
    <w:rsid w:val="389B6C89"/>
    <w:rsid w:val="38D469F0"/>
    <w:rsid w:val="39627CCD"/>
    <w:rsid w:val="397BAF1F"/>
    <w:rsid w:val="3AB79AF3"/>
    <w:rsid w:val="3B7EF35A"/>
    <w:rsid w:val="3B9FDB6C"/>
    <w:rsid w:val="3BF5BC2F"/>
    <w:rsid w:val="3CB4A0CC"/>
    <w:rsid w:val="3CEBA265"/>
    <w:rsid w:val="3D98207C"/>
    <w:rsid w:val="3D9B0D99"/>
    <w:rsid w:val="3DEE7CF3"/>
    <w:rsid w:val="3DF02244"/>
    <w:rsid w:val="3E78745D"/>
    <w:rsid w:val="3EDD7D45"/>
    <w:rsid w:val="3FF4CAE0"/>
    <w:rsid w:val="3FF7B227"/>
    <w:rsid w:val="40E54C45"/>
    <w:rsid w:val="43A407DF"/>
    <w:rsid w:val="44515BEA"/>
    <w:rsid w:val="44E268DA"/>
    <w:rsid w:val="453F7E5B"/>
    <w:rsid w:val="486A6C7A"/>
    <w:rsid w:val="49176D9B"/>
    <w:rsid w:val="4A627F82"/>
    <w:rsid w:val="4AB6B87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D5F3C3"/>
    <w:rsid w:val="5AF92295"/>
    <w:rsid w:val="5BDD79E6"/>
    <w:rsid w:val="5BF561CA"/>
    <w:rsid w:val="5BFF5DFC"/>
    <w:rsid w:val="5CBC662A"/>
    <w:rsid w:val="5CD71FC4"/>
    <w:rsid w:val="5D1F11B5"/>
    <w:rsid w:val="5DAE1B18"/>
    <w:rsid w:val="5DE7D9E5"/>
    <w:rsid w:val="5ECEC941"/>
    <w:rsid w:val="5F493CB7"/>
    <w:rsid w:val="5FBF9FF3"/>
    <w:rsid w:val="5FCD4E2C"/>
    <w:rsid w:val="5FD15F49"/>
    <w:rsid w:val="5FEF394A"/>
    <w:rsid w:val="5FF67715"/>
    <w:rsid w:val="5FFB31E0"/>
    <w:rsid w:val="62BF3928"/>
    <w:rsid w:val="647F5392"/>
    <w:rsid w:val="664B1D71"/>
    <w:rsid w:val="67AA3209"/>
    <w:rsid w:val="67BF17BA"/>
    <w:rsid w:val="681C4F0D"/>
    <w:rsid w:val="69046D0F"/>
    <w:rsid w:val="698D0931"/>
    <w:rsid w:val="6991923C"/>
    <w:rsid w:val="6A993CED"/>
    <w:rsid w:val="6B053271"/>
    <w:rsid w:val="6B7385B4"/>
    <w:rsid w:val="6BCE6674"/>
    <w:rsid w:val="6C4A05C8"/>
    <w:rsid w:val="6C8742B8"/>
    <w:rsid w:val="6C8A170F"/>
    <w:rsid w:val="6CB54609"/>
    <w:rsid w:val="6DBF5E93"/>
    <w:rsid w:val="6DFF077E"/>
    <w:rsid w:val="6E7E3605"/>
    <w:rsid w:val="6E7FDCC7"/>
    <w:rsid w:val="6ED6A62E"/>
    <w:rsid w:val="6EE00B15"/>
    <w:rsid w:val="6EEFD9F4"/>
    <w:rsid w:val="6F544B20"/>
    <w:rsid w:val="6F6FB3EB"/>
    <w:rsid w:val="6F784160"/>
    <w:rsid w:val="6F8731EA"/>
    <w:rsid w:val="6FCE6052"/>
    <w:rsid w:val="6FD57C00"/>
    <w:rsid w:val="6FEFFFD8"/>
    <w:rsid w:val="6FF5CC65"/>
    <w:rsid w:val="6FFB47EC"/>
    <w:rsid w:val="6FFF034A"/>
    <w:rsid w:val="6FFF1D16"/>
    <w:rsid w:val="6FFFCDF6"/>
    <w:rsid w:val="70496804"/>
    <w:rsid w:val="712A28F1"/>
    <w:rsid w:val="715C0E4B"/>
    <w:rsid w:val="72233669"/>
    <w:rsid w:val="72734D90"/>
    <w:rsid w:val="72DDB920"/>
    <w:rsid w:val="7332FE48"/>
    <w:rsid w:val="73AB61DA"/>
    <w:rsid w:val="73AD73D5"/>
    <w:rsid w:val="73B6EB34"/>
    <w:rsid w:val="73DF62AB"/>
    <w:rsid w:val="73FA497D"/>
    <w:rsid w:val="744731E5"/>
    <w:rsid w:val="74527205"/>
    <w:rsid w:val="74BBD01D"/>
    <w:rsid w:val="74ED5379"/>
    <w:rsid w:val="74FC2395"/>
    <w:rsid w:val="75DEEEC2"/>
    <w:rsid w:val="75ECBA09"/>
    <w:rsid w:val="76E3355F"/>
    <w:rsid w:val="76FF5125"/>
    <w:rsid w:val="76FF9236"/>
    <w:rsid w:val="776F6FFA"/>
    <w:rsid w:val="778769C8"/>
    <w:rsid w:val="77DC22F5"/>
    <w:rsid w:val="79086DAD"/>
    <w:rsid w:val="79974F09"/>
    <w:rsid w:val="79D7FD79"/>
    <w:rsid w:val="79EE5BA4"/>
    <w:rsid w:val="7A894339"/>
    <w:rsid w:val="7ABF2960"/>
    <w:rsid w:val="7AFF7572"/>
    <w:rsid w:val="7B6C7DFB"/>
    <w:rsid w:val="7BBFBED0"/>
    <w:rsid w:val="7BC3E394"/>
    <w:rsid w:val="7BF7024F"/>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DF5894"/>
    <w:rsid w:val="7FEDC5F7"/>
    <w:rsid w:val="7FEDD9DE"/>
    <w:rsid w:val="7FF5890D"/>
    <w:rsid w:val="7FF93490"/>
    <w:rsid w:val="7FFD9B6F"/>
    <w:rsid w:val="99FF2014"/>
    <w:rsid w:val="A6DD0D7F"/>
    <w:rsid w:val="ADC6F725"/>
    <w:rsid w:val="B7CF06AB"/>
    <w:rsid w:val="B7CFA926"/>
    <w:rsid w:val="B7F8786B"/>
    <w:rsid w:val="B91E6C07"/>
    <w:rsid w:val="BABB6AA1"/>
    <w:rsid w:val="BB2F4199"/>
    <w:rsid w:val="BD079C78"/>
    <w:rsid w:val="BD733540"/>
    <w:rsid w:val="BDA87181"/>
    <w:rsid w:val="BF3735D5"/>
    <w:rsid w:val="BF6F329F"/>
    <w:rsid w:val="BF7F09AC"/>
    <w:rsid w:val="BF8F7CBC"/>
    <w:rsid w:val="BFD475C3"/>
    <w:rsid w:val="BFDE5EA6"/>
    <w:rsid w:val="BFFFA66C"/>
    <w:rsid w:val="C90E3205"/>
    <w:rsid w:val="CEB7969F"/>
    <w:rsid w:val="CF2BA577"/>
    <w:rsid w:val="CF6FC6F3"/>
    <w:rsid w:val="CFD3D3D7"/>
    <w:rsid w:val="CFDF1009"/>
    <w:rsid w:val="D7D7B16A"/>
    <w:rsid w:val="D8D6DB89"/>
    <w:rsid w:val="DB6F4CAB"/>
    <w:rsid w:val="DB777682"/>
    <w:rsid w:val="DD1FB521"/>
    <w:rsid w:val="DEFBFEAE"/>
    <w:rsid w:val="DF1F3B80"/>
    <w:rsid w:val="DF6E40CE"/>
    <w:rsid w:val="DF6F9789"/>
    <w:rsid w:val="DFFFA9E8"/>
    <w:rsid w:val="E5F4E9DC"/>
    <w:rsid w:val="E70FE695"/>
    <w:rsid w:val="E9D70C4F"/>
    <w:rsid w:val="EBD9B79C"/>
    <w:rsid w:val="ECFED1BC"/>
    <w:rsid w:val="ED1D69BB"/>
    <w:rsid w:val="ED7FD312"/>
    <w:rsid w:val="EF53993F"/>
    <w:rsid w:val="EF6FD633"/>
    <w:rsid w:val="EFBFB2F4"/>
    <w:rsid w:val="EFBFFA21"/>
    <w:rsid w:val="EFFE0AEE"/>
    <w:rsid w:val="F2BEBCB8"/>
    <w:rsid w:val="F36FB518"/>
    <w:rsid w:val="F3DE1A04"/>
    <w:rsid w:val="F3F722E5"/>
    <w:rsid w:val="F61F2F80"/>
    <w:rsid w:val="F7FECE1E"/>
    <w:rsid w:val="F9CF114F"/>
    <w:rsid w:val="FA5F1E70"/>
    <w:rsid w:val="FA5FDB97"/>
    <w:rsid w:val="FB7F486A"/>
    <w:rsid w:val="FBFF5B2E"/>
    <w:rsid w:val="FD7F8CA2"/>
    <w:rsid w:val="FD7FFE2B"/>
    <w:rsid w:val="FDE3D544"/>
    <w:rsid w:val="FDEE196B"/>
    <w:rsid w:val="FDFE3858"/>
    <w:rsid w:val="FDFE6575"/>
    <w:rsid w:val="FEDFDDC2"/>
    <w:rsid w:val="FEED32F6"/>
    <w:rsid w:val="FEF781DD"/>
    <w:rsid w:val="FF3F7E3F"/>
    <w:rsid w:val="FF46A635"/>
    <w:rsid w:val="FFBA12D7"/>
    <w:rsid w:val="FFDFFAEE"/>
    <w:rsid w:val="FFF9B57B"/>
    <w:rsid w:val="FFFD61D9"/>
    <w:rsid w:val="FFFD8F59"/>
    <w:rsid w:val="FFFF2BB1"/>
    <w:rsid w:val="FFFF6AA5"/>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customStyle="1" w:styleId="7">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6"/>
    <w:link w:val="36"/>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14"/>
    <w:qFormat/>
    <w:uiPriority w:val="99"/>
    <w:rPr>
      <w:rFonts w:ascii="仿宋_GB2312"/>
      <w:kern w:val="2"/>
      <w:sz w:val="21"/>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3575"/>
          <c:y val="0.2345"/>
          <c:w val="0.905175"/>
          <c:h val="0.7169"/>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收入总计</c:v>
                </c:pt>
                <c:pt idx="1">
                  <c:v>支出总计</c:v>
                </c:pt>
              </c:strCache>
            </c:strRef>
          </c:cat>
          <c:val>
            <c:numRef>
              <c:f>Sheet1!$B$2:$B$5</c:f>
              <c:numCache>
                <c:formatCode>General</c:formatCode>
                <c:ptCount val="4"/>
                <c:pt idx="0">
                  <c:v>307.96</c:v>
                </c:pt>
                <c:pt idx="1">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收入总计</c:v>
                </c:pt>
                <c:pt idx="1">
                  <c:v>支出总计</c:v>
                </c:pt>
              </c:strCache>
            </c:strRef>
          </c:cat>
          <c:val>
            <c:numRef>
              <c:f>Sheet1!$C$2:$C$5</c:f>
              <c:numCache>
                <c:formatCode>General</c:formatCode>
                <c:ptCount val="4"/>
                <c:pt idx="0">
                  <c:v>268.94</c:v>
                </c:pt>
                <c:pt idx="1">
                  <c:v>268.94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收入总计</c:v>
                </c:pt>
                <c:pt idx="1">
                  <c:v>支出总计</c:v>
                </c:pt>
              </c:strCache>
            </c:strRef>
          </c:cat>
          <c:val>
            <c:numRef>
              <c:f>Sheet1!$D$2:$D$5</c:f>
              <c:numCache>
                <c:formatCode>General</c:formatCode>
                <c:ptCount val="4"/>
              </c:numCache>
            </c:numRef>
          </c:val>
        </c:ser>
        <c:ser>
          <c:idx val="3"/>
          <c:order val="3"/>
          <c:tx>
            <c:strRef>
              <c:f>Sheet1!$E$1</c:f>
              <c:strCache>
                <c:ptCount val="1"/>
                <c:pt idx="0">
                  <c:v/>
                </c:pt>
              </c:strCache>
            </c:strRef>
          </c:tx>
          <c:spPr>
            <a:solidFill>
              <a:schemeClr val="accent4"/>
            </a:solidFill>
            <a:ln>
              <a:noFill/>
            </a:ln>
            <a:effectLst/>
          </c:spPr>
          <c:invertIfNegative val="0"/>
          <c:dLbls>
            <c:delete val="1"/>
          </c:dLbls>
          <c:cat>
            <c:strRef>
              <c:f>Sheet1!$A$2:$A$5</c:f>
              <c:strCache>
                <c:ptCount val="4"/>
                <c:pt idx="0">
                  <c:v>收入总计</c:v>
                </c:pt>
                <c:pt idx="1">
                  <c:v>支出总计</c:v>
                </c:pt>
              </c:strCache>
            </c:strRef>
          </c:cat>
          <c:val>
            <c:numRef>
              <c:f>Sheet1!$E$2:$E$5</c:f>
              <c:numCache>
                <c:formatCode>General</c:formatCode>
                <c:ptCount val="4"/>
              </c:numCache>
            </c:numRef>
          </c:val>
        </c:ser>
        <c:dLbls>
          <c:showLegendKey val="0"/>
          <c:showVal val="0"/>
          <c:showCatName val="0"/>
          <c:showSerName val="0"/>
          <c:showPercent val="0"/>
          <c:showBubbleSize val="0"/>
        </c:dLbls>
        <c:gapWidth val="5"/>
        <c:overlap val="2"/>
        <c:axId val="722654342"/>
        <c:axId val="800092641"/>
      </c:barChart>
      <c:catAx>
        <c:axId val="72265434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092641"/>
        <c:crosses val="autoZero"/>
        <c:auto val="1"/>
        <c:lblAlgn val="ctr"/>
        <c:lblOffset val="100"/>
        <c:noMultiLvlLbl val="0"/>
      </c:catAx>
      <c:valAx>
        <c:axId val="80009264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654342"/>
        <c:crosses val="autoZero"/>
        <c:crossBetween val="between"/>
      </c:valAx>
      <c:spPr>
        <a:noFill/>
        <a:ln>
          <a:noFill/>
        </a:ln>
        <a:effectLst/>
      </c:spPr>
    </c:plotArea>
    <c:legend>
      <c:legendPos val="b"/>
      <c:legendEntry>
        <c:idx val="2"/>
        <c:delete val="1"/>
      </c:legendEntry>
      <c:legendEntry>
        <c:idx val="3"/>
        <c:delete val="1"/>
      </c:legendEntry>
      <c:layout>
        <c:manualLayout>
          <c:xMode val="edge"/>
          <c:yMode val="edge"/>
          <c:x val="0.5851875"/>
          <c:y val="0.93177763272410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86125"/>
          <c:y val="0.1925"/>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214875"/>
          <c:y val="0.0725"/>
          <c:w val="0.57025"/>
          <c:h val="0.760333333333333"/>
        </c:manualLayout>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749989044208846"/>
                  <c:y val="-0.71343405862135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100</a:t>
                    </a:r>
                    <a:r>
                      <a:rPr lang="en-US" altLang="zh-CN"/>
                      <a:t>%</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15:layout>
                    <c:manualLayout>
                      <c:w val="0.147375"/>
                      <c:h val="0.055833333333333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一般公共预算财政收入</c:v>
                </c:pt>
              </c:strCache>
            </c:strRef>
          </c:cat>
          <c:val>
            <c:numRef>
              <c:f>Sheet1!$B$2:$B$5</c:f>
              <c:numCache>
                <c:formatCode>0%</c:formatCode>
                <c:ptCount val="4"/>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1"/>
        <c:delete val="1"/>
      </c:legendEntry>
      <c:legendEntry>
        <c:idx val="2"/>
        <c:delete val="1"/>
      </c:legendEntry>
      <c:legendEntry>
        <c:idx val="3"/>
        <c:delete val="1"/>
      </c:legendEntry>
      <c:layout>
        <c:manualLayout>
          <c:xMode val="edge"/>
          <c:yMode val="edge"/>
          <c:x val="0.343900804289544"/>
          <c:y val="0.9085222830336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80456026058632"/>
          <c:y val="0.0267697798929209"/>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323773490353295"/>
          <c:y val="0.22464339258942"/>
          <c:w val="0.356211475820596"/>
          <c:h val="0.608969800813879"/>
        </c:manualLayout>
      </c:layout>
      <c:pieChart>
        <c:varyColors val="1"/>
        <c:ser>
          <c:idx val="0"/>
          <c:order val="0"/>
          <c:tx>
            <c:strRef>
              <c:f>Sheet1!$B$1</c:f>
              <c:strCache>
                <c:ptCount val="1"/>
                <c:pt idx="0">
                  <c:v/>
                </c:pt>
              </c:strCache>
            </c:strRef>
          </c:tx>
          <c:spPr/>
          <c:explosion val="1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404476621187374"/>
                  <c:y val="-0.24473612148565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89.6%</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71625"/>
                      <c:h val="0.0693333333333333"/>
                    </c:manualLayout>
                  </c15:layout>
                </c:ext>
              </c:extLst>
            </c:dLbl>
            <c:dLbl>
              <c:idx val="1"/>
              <c:layout>
                <c:manualLayout>
                  <c:x val="0.0293981988793958"/>
                  <c:y val="0.10955504632415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10.4%</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26608337622234"/>
                      <c:h val="0.072578707041576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0.896</c:v>
                </c:pt>
                <c:pt idx="1">
                  <c:v>0.104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manualLayout>
          <c:xMode val="edge"/>
          <c:yMode val="edge"/>
          <c:x val="0.349097970433475"/>
          <c:y val="0.9149615168012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97289464016002"/>
          <c:y val="0.123274376888381"/>
          <c:w val="0.874299917149958"/>
          <c:h val="0.679267371601208"/>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财政拨款收入</c:v>
                </c:pt>
                <c:pt idx="1">
                  <c:v>财政拨款支出</c:v>
                </c:pt>
              </c:strCache>
            </c:strRef>
          </c:cat>
          <c:val>
            <c:numRef>
              <c:f>Sheet1!$B$2:$B$5</c:f>
              <c:numCache>
                <c:formatCode>General</c:formatCode>
                <c:ptCount val="4"/>
                <c:pt idx="0">
                  <c:v>307.96</c:v>
                </c:pt>
                <c:pt idx="1">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财政拨款收入</c:v>
                </c:pt>
                <c:pt idx="1">
                  <c:v>财政拨款支出</c:v>
                </c:pt>
              </c:strCache>
            </c:strRef>
          </c:cat>
          <c:val>
            <c:numRef>
              <c:f>Sheet1!$C$2:$C$5</c:f>
              <c:numCache>
                <c:formatCode>General</c:formatCode>
                <c:ptCount val="4"/>
                <c:pt idx="0">
                  <c:v>268.94</c:v>
                </c:pt>
                <c:pt idx="1">
                  <c:v>268.94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财政拨款收入</c:v>
                </c:pt>
                <c:pt idx="1">
                  <c:v>财政拨款支出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5"/>
        <c:overlap val="2"/>
        <c:axId val="20685151"/>
        <c:axId val="657536115"/>
      </c:barChart>
      <c:catAx>
        <c:axId val="206851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536115"/>
        <c:crosses val="autoZero"/>
        <c:auto val="1"/>
        <c:lblAlgn val="ctr"/>
        <c:lblOffset val="100"/>
        <c:noMultiLvlLbl val="0"/>
      </c:catAx>
      <c:valAx>
        <c:axId val="6575361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85151"/>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37811505626698"/>
          <c:y val="0.114266108863987"/>
          <c:w val="0.905175"/>
          <c:h val="0.753757717692144"/>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一般公共预算财政拨款支出</c:v>
                </c:pt>
              </c:strCache>
            </c:strRef>
          </c:cat>
          <c:val>
            <c:numRef>
              <c:f>Sheet1!$B$2:$B$5</c:f>
              <c:numCache>
                <c:formatCode>General</c:formatCode>
                <c:ptCount val="4"/>
                <c:pt idx="0">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一般公共预算财政拨款支出</c:v>
                </c:pt>
              </c:strCache>
            </c:strRef>
          </c:cat>
          <c:val>
            <c:numRef>
              <c:f>Sheet1!$C$2:$C$5</c:f>
              <c:numCache>
                <c:formatCode>General</c:formatCode>
                <c:ptCount val="4"/>
                <c:pt idx="0">
                  <c:v>268.94</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5"/>
        <c:overlap val="2"/>
        <c:axId val="881741837"/>
        <c:axId val="817818091"/>
      </c:barChart>
      <c:catAx>
        <c:axId val="88174183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818091"/>
        <c:crosses val="autoZero"/>
        <c:auto val="1"/>
        <c:lblAlgn val="ctr"/>
        <c:lblOffset val="100"/>
        <c:noMultiLvlLbl val="0"/>
      </c:catAx>
      <c:valAx>
        <c:axId val="8178180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741837"/>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2"/>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2"/>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68% </a:t>
                    </a:r>
                  </a:p>
                </c:rich>
              </c:tx>
              <c:dLblPos val="ctr"/>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0.3% </a:t>
                    </a:r>
                  </a:p>
                </c:rich>
              </c:tx>
              <c:dLblPos val="ctr"/>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22.5%  </a:t>
                    </a:r>
                  </a:p>
                </c:rich>
              </c:tx>
              <c:dLblPos val="ctr"/>
              <c:showLegendKey val="0"/>
              <c:showVal val="1"/>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4%</a:t>
                    </a:r>
                  </a:p>
                </c:rich>
              </c:tx>
              <c:dLblPos val="ctr"/>
              <c:showLegendKey val="0"/>
              <c:showVal val="1"/>
              <c:showCatName val="0"/>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5.5% </a:t>
                    </a:r>
                  </a:p>
                </c:rich>
              </c:tx>
              <c:dLblPos val="ctr"/>
              <c:showLegendKey val="0"/>
              <c:showVal val="1"/>
              <c:showCatName val="0"/>
              <c:showSerName val="0"/>
              <c:showPercent val="1"/>
              <c:showBubbleSize val="0"/>
              <c:extLst>
                <c:ext xmlns:c15="http://schemas.microsoft.com/office/drawing/2012/chart" uri="{CE6537A1-D6FC-4f65-9D91-7224C49458BB}"/>
              </c:extLst>
            </c:dLbl>
            <c:numFmt formatCode="#,##0.0_);[Red]\(#,##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0%</c:formatCode>
                <c:ptCount val="5"/>
                <c:pt idx="0">
                  <c:v>0.68</c:v>
                </c:pt>
                <c:pt idx="1" c:formatCode="0.00%">
                  <c:v>0.003</c:v>
                </c:pt>
                <c:pt idx="2" c:formatCode="0.00%">
                  <c:v>0.225</c:v>
                </c:pt>
                <c:pt idx="3">
                  <c:v>0.04</c:v>
                </c:pt>
                <c:pt idx="4" c:formatCode="0.00%">
                  <c:v>0.055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768742244493727"/>
                  <c:y val="-0.495690577090493"/>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25"/>
                      <c:h val="0.0642012389712784"/>
                    </c:manualLayout>
                  </c15:layout>
                </c:ext>
              </c:extLst>
            </c:dLbl>
            <c:dLbl>
              <c:idx val="1"/>
              <c:delete val="1"/>
            </c:dLbl>
            <c:dLbl>
              <c:idx val="2"/>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公务接待费</c:v>
                </c:pt>
                <c:pt idx="1">
                  <c:v>因公出国（境）费</c:v>
                </c:pt>
                <c:pt idx="2">
                  <c:v>公务用车购置及运行维护费</c:v>
                </c:pt>
              </c:strCache>
            </c:strRef>
          </c:cat>
          <c:val>
            <c:numRef>
              <c:f>Sheet1!$B$2:$B$5</c:f>
              <c:numCache>
                <c:formatCode>0%</c:formatCode>
                <c:ptCount val="4"/>
                <c:pt idx="0">
                  <c:v>1</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1334</Words>
  <Characters>7606</Characters>
  <Lines>63</Lines>
  <Paragraphs>17</Paragraphs>
  <TotalTime>1</TotalTime>
  <ScaleCrop>false</ScaleCrop>
  <LinksUpToDate>false</LinksUpToDate>
  <CharactersWithSpaces>8923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2020-08-15T09:49:00Z</dcterms:created>
  <dc:creator>曹颖</dc:creator>
  <cp:lastModifiedBy>user</cp:lastModifiedBy>
  <cp:lastPrinted>2026-09-02T16:27:00Z</cp:lastPrinted>
  <dcterms:modified xsi:type="dcterms:W3CDTF">2026-09-16T09:42:02Z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41A3BBAC8949FD7DE44C956A482DCECC</vt:lpwstr>
  </property>
</Properties>
</file>