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hint="eastAsia" w:ascii="Times New Roman" w:eastAsia="方正小标宋简体"/>
          <w:kern w:val="2"/>
          <w:sz w:val="72"/>
          <w:szCs w:val="72"/>
        </w:rPr>
      </w:pPr>
      <w:bookmarkStart w:id="0" w:name="_Toc15378441"/>
      <w:bookmarkStart w:id="1" w:name="_Toc15396475"/>
      <w:bookmarkStart w:id="2" w:name="_Toc15377425"/>
      <w:bookmarkStart w:id="3" w:name="_Toc15396597"/>
      <w:bookmarkStart w:id="4" w:name="_Toc15377193"/>
      <w:bookmarkStart w:id="5" w:name="_Toc15306267"/>
    </w:p>
    <w:p>
      <w:pPr>
        <w:pStyle w:val="8"/>
        <w:spacing w:before="93"/>
        <w:rPr>
          <w:rFonts w:ascii="Times New Roman" w:eastAsia="方正小标宋简体"/>
          <w:kern w:val="2"/>
          <w:sz w:val="72"/>
          <w:szCs w:val="72"/>
        </w:rPr>
      </w:pPr>
    </w:p>
    <w:p>
      <w:pPr>
        <w:pStyle w:val="8"/>
        <w:spacing w:before="93"/>
        <w:rPr>
          <w:rFonts w:hint="eastAsia" w:ascii="Times New Roman" w:eastAsia="方正小标宋简体"/>
          <w:kern w:val="2"/>
          <w:sz w:val="72"/>
          <w:szCs w:val="72"/>
        </w:rPr>
      </w:pP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2025年度市级单位决算公开</w:t>
      </w:r>
      <w:r>
        <w:rPr>
          <w:rFonts w:hint="eastAsia" w:ascii="Times New Roman" w:eastAsia="方正小标宋简体"/>
          <w:kern w:val="2"/>
          <w:sz w:val="44"/>
          <w:szCs w:val="44"/>
          <w:lang w:eastAsia="zh-CN"/>
        </w:rPr>
        <w:t>文字</w:t>
      </w:r>
      <w:r>
        <w:rPr>
          <w:rFonts w:hint="eastAsia" w:ascii="Times New Roman" w:eastAsia="方正小标宋简体"/>
          <w:kern w:val="2"/>
          <w:sz w:val="44"/>
          <w:szCs w:val="44"/>
        </w:rPr>
        <w:t>说明</w:t>
      </w:r>
    </w:p>
    <w:p>
      <w:pPr>
        <w:spacing w:line="600" w:lineRule="exact"/>
        <w:jc w:val="center"/>
        <w:outlineLvl w:val="9"/>
        <w:rPr>
          <w:rFonts w:eastAsia="方正小标宋简体"/>
          <w:sz w:val="72"/>
          <w:szCs w:val="72"/>
        </w:rPr>
      </w:pPr>
    </w:p>
    <w:p>
      <w:pPr>
        <w:pStyle w:val="20"/>
        <w:outlineLvl w:val="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bookmarkEnd w:id="0"/>
    <w:bookmarkEnd w:id="1"/>
    <w:bookmarkEnd w:id="2"/>
    <w:bookmarkEnd w:id="3"/>
    <w:bookmarkEnd w:id="4"/>
    <w:p>
      <w:pPr>
        <w:pStyle w:val="8"/>
        <w:spacing w:before="93"/>
        <w:jc w:val="center"/>
        <w:rPr>
          <w:rFonts w:ascii="Times New Roman" w:eastAsia="方正小标宋简体"/>
          <w:kern w:val="2"/>
          <w:sz w:val="44"/>
          <w:szCs w:val="44"/>
        </w:rPr>
      </w:pPr>
      <w:bookmarkStart w:id="6" w:name="_Toc15396476"/>
      <w:bookmarkStart w:id="7" w:name="_Toc15378442"/>
      <w:bookmarkStart w:id="8" w:name="_Toc15377194"/>
      <w:bookmarkStart w:id="9" w:name="_Toc15377426"/>
      <w:bookmarkStart w:id="10" w:name="_Toc15396598"/>
      <w:r>
        <w:rPr>
          <w:rFonts w:hint="eastAsia" w:ascii="Times New Roman" w:eastAsia="方正小标宋简体"/>
          <w:kern w:val="2"/>
          <w:sz w:val="44"/>
          <w:szCs w:val="44"/>
        </w:rPr>
        <w:t>2025年度攀枝花市</w:t>
      </w:r>
      <w:r>
        <w:rPr>
          <w:rFonts w:hint="eastAsia" w:ascii="Times New Roman" w:eastAsia="方正小标宋简体"/>
          <w:kern w:val="2"/>
          <w:sz w:val="44"/>
          <w:szCs w:val="44"/>
          <w:lang w:eastAsia="zh-CN"/>
        </w:rPr>
        <w:t>委党史研究室单位</w:t>
      </w:r>
      <w:bookmarkEnd w:id="5"/>
      <w:bookmarkStart w:id="11" w:name="_Toc15306268"/>
      <w:r>
        <w:rPr>
          <w:rFonts w:hint="eastAsia" w:ascii="Times New Roman" w:eastAsia="方正小标宋简体"/>
          <w:kern w:val="2"/>
          <w:sz w:val="44"/>
          <w:szCs w:val="44"/>
        </w:rPr>
        <w:t>决算</w:t>
      </w:r>
      <w:bookmarkEnd w:id="6"/>
      <w:bookmarkEnd w:id="7"/>
      <w:bookmarkEnd w:id="8"/>
      <w:bookmarkEnd w:id="9"/>
      <w:bookmarkEnd w:id="10"/>
      <w:bookmarkEnd w:id="11"/>
    </w:p>
    <w:p>
      <w:pPr>
        <w:pStyle w:val="15"/>
        <w:adjustRightInd w:val="0"/>
        <w:snapToGrid w:val="0"/>
        <w:spacing w:line="560" w:lineRule="exact"/>
        <w:jc w:val="left"/>
        <w:rPr>
          <w:rFonts w:eastAsia="仿宋_GB2312" w:cs="仿宋_GB2312"/>
          <w:sz w:val="32"/>
          <w:szCs w:val="32"/>
        </w:rPr>
      </w:pPr>
    </w:p>
    <w:p>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w:t>
      </w:r>
      <w:r>
        <w:rPr>
          <w:rFonts w:hint="default" w:ascii="Times New Roman" w:hAnsi="Times New Roman" w:eastAsia="仿宋_GB2312" w:cs="仿宋_GB2312"/>
          <w:sz w:val="32"/>
          <w:szCs w:val="32"/>
          <w:lang w:val="en" w:eastAsia="zh-CN"/>
        </w:rPr>
        <w:t>6</w:t>
      </w:r>
      <w:r>
        <w:rPr>
          <w:rFonts w:hint="eastAsia" w:ascii="Times New Roman" w:hAnsi="Times New Roman" w:eastAsia="仿宋_GB2312" w:cs="仿宋_GB2312"/>
          <w:sz w:val="32"/>
          <w:szCs w:val="32"/>
        </w:rPr>
        <w:t xml:space="preserve"> 日</w:t>
      </w:r>
    </w:p>
    <w:sdt>
      <w:sdtPr>
        <w:rPr>
          <w:rFonts w:ascii="宋体" w:hAnsi="宋体" w:eastAsia="宋体" w:cs="Times New Roman"/>
          <w:kern w:val="2"/>
          <w:sz w:val="21"/>
          <w:szCs w:val="24"/>
          <w:lang w:val="en-US" w:eastAsia="zh-CN" w:bidi="ar-SA"/>
        </w:rPr>
        <w:id w:val="982317813"/>
        <w15:color w:val="DBDBDB"/>
        <w:docPartObj>
          <w:docPartGallery w:val="Table of Contents"/>
          <w:docPartUnique/>
        </w:docPartObj>
      </w:sdtPr>
      <w:sdtEndPr>
        <w:rPr>
          <w:rFonts w:ascii="Times New Roman" w:hAnsi="Times New Roman"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37"/>
            <w:tabs>
              <w:tab w:val="right" w:leader="dot" w:pos="8306"/>
            </w:tabs>
            <w:rPr>
              <w:b/>
            </w:rPr>
          </w:pPr>
          <w:r>
            <w:fldChar w:fldCharType="begin"/>
          </w:r>
          <w:r>
            <w:instrText xml:space="preserve">TOC \o "1-2" \h \u </w:instrText>
          </w:r>
          <w:r>
            <w:fldChar w:fldCharType="separate"/>
          </w:r>
          <w:r>
            <w:rPr>
              <w:b/>
            </w:rPr>
            <w:fldChar w:fldCharType="begin"/>
          </w:r>
          <w:r>
            <w:rPr>
              <w:b/>
            </w:rPr>
            <w:instrText xml:space="preserve"> HYPERLINK \l _Toc679786072 </w:instrText>
          </w:r>
          <w:r>
            <w:rPr>
              <w:b/>
            </w:rPr>
            <w:fldChar w:fldCharType="separate"/>
          </w:r>
          <w:r>
            <w:rPr>
              <w:rFonts w:hint="eastAsia" w:eastAsia="方正小标宋简体" w:cs="方正小标宋简体"/>
              <w:b/>
            </w:rPr>
            <w:t xml:space="preserve">第一部分  </w:t>
          </w:r>
          <w:r>
            <w:rPr>
              <w:rFonts w:hint="eastAsia" w:eastAsia="方正小标宋简体" w:cs="方正小标宋简体"/>
              <w:b/>
              <w:bCs w:val="0"/>
            </w:rPr>
            <w:t>部门概况</w:t>
          </w:r>
          <w:r>
            <w:rPr>
              <w:b/>
            </w:rPr>
            <w:tab/>
          </w:r>
          <w:r>
            <w:rPr>
              <w:b/>
            </w:rPr>
            <w:fldChar w:fldCharType="begin"/>
          </w:r>
          <w:r>
            <w:rPr>
              <w:b/>
            </w:rPr>
            <w:instrText xml:space="preserve"> PAGEREF _Toc679786072 \h </w:instrText>
          </w:r>
          <w:r>
            <w:rPr>
              <w:b/>
            </w:rPr>
            <w:fldChar w:fldCharType="separate"/>
          </w:r>
          <w:r>
            <w:rPr>
              <w:b/>
            </w:rPr>
            <w:t>2</w:t>
          </w:r>
          <w:r>
            <w:rPr>
              <w:b/>
            </w:rPr>
            <w:fldChar w:fldCharType="end"/>
          </w:r>
          <w:r>
            <w:rPr>
              <w:b/>
            </w:rPr>
            <w:fldChar w:fldCharType="end"/>
          </w:r>
        </w:p>
        <w:p>
          <w:pPr>
            <w:pStyle w:val="38"/>
            <w:tabs>
              <w:tab w:val="right" w:leader="dot" w:pos="8306"/>
            </w:tabs>
          </w:pPr>
          <w:r>
            <w:fldChar w:fldCharType="begin"/>
          </w:r>
          <w:r>
            <w:instrText xml:space="preserve"> HYPERLINK \l _Toc1756549256 </w:instrText>
          </w:r>
          <w:r>
            <w:fldChar w:fldCharType="separate"/>
          </w:r>
          <w:r>
            <w:rPr>
              <w:rFonts w:hint="eastAsia"/>
            </w:rPr>
            <w:t xml:space="preserve">一、 </w:t>
          </w:r>
          <w:r>
            <w:rPr>
              <w:rFonts w:hint="eastAsia" w:ascii="Times New Roman" w:hAnsi="Times New Roman" w:eastAsia="黑体"/>
              <w:lang w:eastAsia="zh-CN"/>
            </w:rPr>
            <w:t>单位</w:t>
          </w:r>
          <w:r>
            <w:rPr>
              <w:rFonts w:hint="eastAsia" w:ascii="Times New Roman" w:hAnsi="Times New Roman" w:eastAsia="黑体"/>
            </w:rPr>
            <w:t>职责</w:t>
          </w:r>
          <w:r>
            <w:tab/>
          </w:r>
          <w:r>
            <w:fldChar w:fldCharType="begin"/>
          </w:r>
          <w:r>
            <w:instrText xml:space="preserve"> PAGEREF _Toc1756549256 \h </w:instrText>
          </w:r>
          <w:r>
            <w:fldChar w:fldCharType="separate"/>
          </w:r>
          <w:r>
            <w:t>2</w:t>
          </w:r>
          <w:r>
            <w:fldChar w:fldCharType="end"/>
          </w:r>
          <w:r>
            <w:fldChar w:fldCharType="end"/>
          </w:r>
        </w:p>
        <w:p>
          <w:pPr>
            <w:pStyle w:val="38"/>
            <w:tabs>
              <w:tab w:val="right" w:leader="dot" w:pos="8306"/>
            </w:tabs>
          </w:pPr>
          <w:r>
            <w:fldChar w:fldCharType="begin"/>
          </w:r>
          <w:r>
            <w:instrText xml:space="preserve"> HYPERLINK \l _Toc61770581 </w:instrText>
          </w:r>
          <w:r>
            <w:fldChar w:fldCharType="separate"/>
          </w:r>
          <w:r>
            <w:rPr>
              <w:rFonts w:hint="eastAsia" w:ascii="Times New Roman" w:hAnsi="Times New Roman" w:eastAsia="黑体"/>
              <w:bCs w:val="0"/>
            </w:rPr>
            <w:t xml:space="preserve">二、 </w:t>
          </w:r>
          <w:r>
            <w:rPr>
              <w:rFonts w:hint="eastAsia" w:ascii="Times New Roman" w:hAnsi="Times New Roman" w:eastAsia="黑体"/>
            </w:rPr>
            <w:t>机</w:t>
          </w:r>
          <w:r>
            <w:rPr>
              <w:rFonts w:hint="eastAsia" w:ascii="Times New Roman" w:hAnsi="Times New Roman" w:eastAsia="黑体"/>
              <w:bCs w:val="0"/>
            </w:rPr>
            <w:t>构设置</w:t>
          </w:r>
          <w:r>
            <w:tab/>
          </w:r>
          <w:r>
            <w:fldChar w:fldCharType="begin"/>
          </w:r>
          <w:r>
            <w:instrText xml:space="preserve"> PAGEREF _Toc61770581 \h </w:instrText>
          </w:r>
          <w:r>
            <w:fldChar w:fldCharType="separate"/>
          </w:r>
          <w:r>
            <w:t>2</w:t>
          </w:r>
          <w:r>
            <w:fldChar w:fldCharType="end"/>
          </w:r>
          <w:r>
            <w:fldChar w:fldCharType="end"/>
          </w:r>
        </w:p>
        <w:p>
          <w:pPr>
            <w:pStyle w:val="37"/>
            <w:tabs>
              <w:tab w:val="right" w:leader="dot" w:pos="8306"/>
            </w:tabs>
            <w:rPr>
              <w:b/>
            </w:rPr>
          </w:pPr>
          <w:r>
            <w:rPr>
              <w:b/>
            </w:rPr>
            <w:fldChar w:fldCharType="begin"/>
          </w:r>
          <w:r>
            <w:rPr>
              <w:b/>
            </w:rPr>
            <w:instrText xml:space="preserve"> HYPERLINK \l _Toc237459491 </w:instrText>
          </w:r>
          <w:r>
            <w:rPr>
              <w:b/>
            </w:rPr>
            <w:fldChar w:fldCharType="separate"/>
          </w:r>
          <w:r>
            <w:rPr>
              <w:rFonts w:hint="eastAsia" w:eastAsia="方正小标宋简体" w:cs="方正小标宋简体"/>
              <w:b/>
            </w:rPr>
            <w:t>第二部分  2025年度部门决算情况说明</w:t>
          </w:r>
          <w:r>
            <w:rPr>
              <w:b/>
            </w:rPr>
            <w:tab/>
          </w:r>
          <w:r>
            <w:rPr>
              <w:b/>
            </w:rPr>
            <w:fldChar w:fldCharType="begin"/>
          </w:r>
          <w:r>
            <w:rPr>
              <w:b/>
            </w:rPr>
            <w:instrText xml:space="preserve"> PAGEREF _Toc237459491 \h </w:instrText>
          </w:r>
          <w:r>
            <w:rPr>
              <w:b/>
            </w:rPr>
            <w:fldChar w:fldCharType="separate"/>
          </w:r>
          <w:r>
            <w:rPr>
              <w:b/>
            </w:rPr>
            <w:t>3</w:t>
          </w:r>
          <w:r>
            <w:rPr>
              <w:b/>
            </w:rPr>
            <w:fldChar w:fldCharType="end"/>
          </w:r>
          <w:r>
            <w:rPr>
              <w:b/>
            </w:rPr>
            <w:fldChar w:fldCharType="end"/>
          </w:r>
        </w:p>
        <w:p>
          <w:pPr>
            <w:pStyle w:val="38"/>
            <w:tabs>
              <w:tab w:val="right" w:leader="dot" w:pos="8306"/>
            </w:tabs>
          </w:pPr>
          <w:r>
            <w:fldChar w:fldCharType="begin"/>
          </w:r>
          <w:r>
            <w:instrText xml:space="preserve"> HYPERLINK \l _Toc259579293 </w:instrText>
          </w:r>
          <w:r>
            <w:fldChar w:fldCharType="separate"/>
          </w:r>
          <w:r>
            <w:rPr>
              <w:rFonts w:hint="eastAsia" w:eastAsia="黑体"/>
              <w:szCs w:val="32"/>
            </w:rPr>
            <w:t>一、收</w:t>
          </w:r>
          <w:r>
            <w:rPr>
              <w:rFonts w:hint="eastAsia" w:ascii="Times New Roman" w:hAnsi="Times New Roman" w:eastAsia="黑体"/>
            </w:rPr>
            <w:t>入支出决算总体情况说明</w:t>
          </w:r>
          <w:r>
            <w:tab/>
          </w:r>
          <w:r>
            <w:fldChar w:fldCharType="begin"/>
          </w:r>
          <w:r>
            <w:instrText xml:space="preserve"> PAGEREF _Toc259579293 \h </w:instrText>
          </w:r>
          <w:r>
            <w:fldChar w:fldCharType="separate"/>
          </w:r>
          <w:r>
            <w:t>3</w:t>
          </w:r>
          <w:r>
            <w:fldChar w:fldCharType="end"/>
          </w:r>
          <w:r>
            <w:fldChar w:fldCharType="end"/>
          </w:r>
        </w:p>
        <w:p>
          <w:pPr>
            <w:pStyle w:val="38"/>
            <w:tabs>
              <w:tab w:val="right" w:leader="dot" w:pos="8306"/>
            </w:tabs>
          </w:pPr>
          <w:r>
            <w:fldChar w:fldCharType="begin"/>
          </w:r>
          <w:r>
            <w:instrText xml:space="preserve"> HYPERLINK \l _Toc1553851958 </w:instrText>
          </w:r>
          <w:r>
            <w:fldChar w:fldCharType="separate"/>
          </w:r>
          <w:r>
            <w:rPr>
              <w:rFonts w:hint="eastAsia" w:eastAsia="黑体"/>
              <w:szCs w:val="32"/>
            </w:rPr>
            <w:t>二、收入决算情况说明</w:t>
          </w:r>
          <w:r>
            <w:tab/>
          </w:r>
          <w:r>
            <w:fldChar w:fldCharType="begin"/>
          </w:r>
          <w:r>
            <w:instrText xml:space="preserve"> PAGEREF _Toc1553851958 \h </w:instrText>
          </w:r>
          <w:r>
            <w:fldChar w:fldCharType="separate"/>
          </w:r>
          <w:r>
            <w:t>3</w:t>
          </w:r>
          <w:r>
            <w:fldChar w:fldCharType="end"/>
          </w:r>
          <w:r>
            <w:fldChar w:fldCharType="end"/>
          </w:r>
        </w:p>
        <w:p>
          <w:pPr>
            <w:pStyle w:val="38"/>
            <w:tabs>
              <w:tab w:val="right" w:leader="dot" w:pos="8306"/>
            </w:tabs>
          </w:pPr>
          <w:r>
            <w:fldChar w:fldCharType="begin"/>
          </w:r>
          <w:r>
            <w:instrText xml:space="preserve"> HYPERLINK \l _Toc1825250387 </w:instrText>
          </w:r>
          <w:r>
            <w:fldChar w:fldCharType="separate"/>
          </w:r>
          <w:r>
            <w:rPr>
              <w:rFonts w:hint="eastAsia" w:eastAsia="黑体"/>
              <w:szCs w:val="32"/>
            </w:rPr>
            <w:t>三、支</w:t>
          </w:r>
          <w:r>
            <w:rPr>
              <w:rFonts w:hint="eastAsia" w:ascii="Times New Roman" w:hAnsi="Times New Roman" w:eastAsia="黑体"/>
            </w:rPr>
            <w:t>出决算情况说明</w:t>
          </w:r>
          <w:r>
            <w:tab/>
          </w:r>
          <w:r>
            <w:fldChar w:fldCharType="begin"/>
          </w:r>
          <w:r>
            <w:instrText xml:space="preserve"> PAGEREF _Toc1825250387 \h </w:instrText>
          </w:r>
          <w:r>
            <w:fldChar w:fldCharType="separate"/>
          </w:r>
          <w:r>
            <w:t>4</w:t>
          </w:r>
          <w:r>
            <w:fldChar w:fldCharType="end"/>
          </w:r>
          <w:r>
            <w:fldChar w:fldCharType="end"/>
          </w:r>
        </w:p>
        <w:p>
          <w:pPr>
            <w:pStyle w:val="38"/>
            <w:tabs>
              <w:tab w:val="right" w:leader="dot" w:pos="8306"/>
            </w:tabs>
          </w:pPr>
          <w:r>
            <w:fldChar w:fldCharType="begin"/>
          </w:r>
          <w:r>
            <w:instrText xml:space="preserve"> HYPERLINK \l _Toc656750087 </w:instrText>
          </w:r>
          <w:r>
            <w:fldChar w:fldCharType="separate"/>
          </w:r>
          <w:r>
            <w:rPr>
              <w:rFonts w:hint="eastAsia" w:eastAsia="黑体"/>
              <w:szCs w:val="32"/>
            </w:rPr>
            <w:t>四、财</w:t>
          </w:r>
          <w:r>
            <w:rPr>
              <w:rFonts w:hint="eastAsia" w:ascii="Times New Roman" w:hAnsi="Times New Roman" w:eastAsia="黑体"/>
            </w:rPr>
            <w:t>政拨款收入支出决算总体情况说明</w:t>
          </w:r>
          <w:r>
            <w:tab/>
          </w:r>
          <w:r>
            <w:fldChar w:fldCharType="begin"/>
          </w:r>
          <w:r>
            <w:instrText xml:space="preserve"> PAGEREF _Toc656750087 \h </w:instrText>
          </w:r>
          <w:r>
            <w:fldChar w:fldCharType="separate"/>
          </w:r>
          <w:r>
            <w:t>5</w:t>
          </w:r>
          <w:r>
            <w:fldChar w:fldCharType="end"/>
          </w:r>
          <w:r>
            <w:fldChar w:fldCharType="end"/>
          </w:r>
        </w:p>
        <w:p>
          <w:pPr>
            <w:pStyle w:val="38"/>
            <w:tabs>
              <w:tab w:val="right" w:leader="dot" w:pos="8306"/>
            </w:tabs>
          </w:pPr>
          <w:r>
            <w:fldChar w:fldCharType="begin"/>
          </w:r>
          <w:r>
            <w:instrText xml:space="preserve"> HYPERLINK \l _Toc1067618120 </w:instrText>
          </w:r>
          <w: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fldChar w:fldCharType="begin"/>
          </w:r>
          <w:r>
            <w:instrText xml:space="preserve"> PAGEREF _Toc1067618120 \h </w:instrText>
          </w:r>
          <w:r>
            <w:fldChar w:fldCharType="separate"/>
          </w:r>
          <w:r>
            <w:t>5</w:t>
          </w:r>
          <w:r>
            <w:fldChar w:fldCharType="end"/>
          </w:r>
          <w:r>
            <w:fldChar w:fldCharType="end"/>
          </w:r>
        </w:p>
        <w:p>
          <w:pPr>
            <w:pStyle w:val="38"/>
            <w:tabs>
              <w:tab w:val="right" w:leader="dot" w:pos="8306"/>
            </w:tabs>
          </w:pPr>
          <w:r>
            <w:fldChar w:fldCharType="begin"/>
          </w:r>
          <w:r>
            <w:instrText xml:space="preserve"> HYPERLINK \l _Toc1821125766 </w:instrText>
          </w:r>
          <w: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fldChar w:fldCharType="begin"/>
          </w:r>
          <w:r>
            <w:instrText xml:space="preserve"> PAGEREF _Toc1821125766 \h </w:instrText>
          </w:r>
          <w:r>
            <w:fldChar w:fldCharType="separate"/>
          </w:r>
          <w:r>
            <w:t>8</w:t>
          </w:r>
          <w:r>
            <w:fldChar w:fldCharType="end"/>
          </w:r>
          <w:r>
            <w:fldChar w:fldCharType="end"/>
          </w:r>
        </w:p>
        <w:p>
          <w:pPr>
            <w:pStyle w:val="38"/>
            <w:tabs>
              <w:tab w:val="right" w:leader="dot" w:pos="8306"/>
            </w:tabs>
          </w:pPr>
          <w:r>
            <w:fldChar w:fldCharType="begin"/>
          </w:r>
          <w:r>
            <w:instrText xml:space="preserve"> HYPERLINK \l _Toc1159166371 </w:instrText>
          </w:r>
          <w:r>
            <w:fldChar w:fldCharType="separate"/>
          </w:r>
          <w:r>
            <w:rPr>
              <w:rFonts w:hint="eastAsia" w:eastAsia="黑体"/>
              <w:szCs w:val="32"/>
            </w:rPr>
            <w:t>七、</w:t>
          </w:r>
          <w:r>
            <w:rPr>
              <w:rFonts w:hint="eastAsia" w:ascii="Times New Roman" w:hAnsi="Times New Roman" w:eastAsia="黑体"/>
            </w:rPr>
            <w:t>财政拨款“三公”经费支出决算情况说明</w:t>
          </w:r>
          <w:r>
            <w:tab/>
          </w:r>
          <w:r>
            <w:fldChar w:fldCharType="begin"/>
          </w:r>
          <w:r>
            <w:instrText xml:space="preserve"> PAGEREF _Toc1159166371 \h </w:instrText>
          </w:r>
          <w:r>
            <w:fldChar w:fldCharType="separate"/>
          </w:r>
          <w:r>
            <w:t>9</w:t>
          </w:r>
          <w:r>
            <w:fldChar w:fldCharType="end"/>
          </w:r>
          <w:r>
            <w:fldChar w:fldCharType="end"/>
          </w:r>
        </w:p>
        <w:p>
          <w:pPr>
            <w:pStyle w:val="38"/>
            <w:tabs>
              <w:tab w:val="right" w:leader="dot" w:pos="8306"/>
            </w:tabs>
          </w:pPr>
          <w:r>
            <w:fldChar w:fldCharType="begin"/>
          </w:r>
          <w:r>
            <w:instrText xml:space="preserve"> HYPERLINK \l _Toc17231312 </w:instrText>
          </w:r>
          <w:r>
            <w:fldChar w:fldCharType="separate"/>
          </w:r>
          <w:r>
            <w:rPr>
              <w:rFonts w:hint="eastAsia" w:eastAsia="黑体"/>
              <w:szCs w:val="32"/>
            </w:rPr>
            <w:t>八、</w:t>
          </w:r>
          <w:r>
            <w:rPr>
              <w:rFonts w:hint="eastAsia" w:ascii="Times New Roman" w:hAnsi="Times New Roman" w:eastAsia="黑体"/>
            </w:rPr>
            <w:t>政府性基金预算支出决算情况说明</w:t>
          </w:r>
          <w:r>
            <w:tab/>
          </w:r>
          <w:r>
            <w:fldChar w:fldCharType="begin"/>
          </w:r>
          <w:r>
            <w:instrText xml:space="preserve"> PAGEREF _Toc17231312 \h </w:instrText>
          </w:r>
          <w:r>
            <w:fldChar w:fldCharType="separate"/>
          </w:r>
          <w:r>
            <w:t>10</w:t>
          </w:r>
          <w:r>
            <w:fldChar w:fldCharType="end"/>
          </w:r>
          <w:r>
            <w:fldChar w:fldCharType="end"/>
          </w:r>
        </w:p>
        <w:p>
          <w:pPr>
            <w:pStyle w:val="38"/>
            <w:tabs>
              <w:tab w:val="right" w:leader="dot" w:pos="8306"/>
            </w:tabs>
          </w:pPr>
          <w:r>
            <w:fldChar w:fldCharType="begin"/>
          </w:r>
          <w:r>
            <w:instrText xml:space="preserve"> HYPERLINK \l _Toc1596176125 </w:instrText>
          </w:r>
          <w:r>
            <w:fldChar w:fldCharType="separate"/>
          </w:r>
          <w:r>
            <w:rPr>
              <w:rFonts w:hint="eastAsia" w:ascii="Times New Roman" w:hAnsi="Times New Roman" w:eastAsia="黑体"/>
            </w:rPr>
            <w:t>九、国有资本经营预算支出决算情况说明</w:t>
          </w:r>
          <w:r>
            <w:tab/>
          </w:r>
          <w:r>
            <w:fldChar w:fldCharType="begin"/>
          </w:r>
          <w:r>
            <w:instrText xml:space="preserve"> PAGEREF _Toc1596176125 \h </w:instrText>
          </w:r>
          <w:r>
            <w:fldChar w:fldCharType="separate"/>
          </w:r>
          <w:r>
            <w:t>10</w:t>
          </w:r>
          <w:r>
            <w:fldChar w:fldCharType="end"/>
          </w:r>
          <w:r>
            <w:fldChar w:fldCharType="end"/>
          </w:r>
        </w:p>
        <w:p>
          <w:pPr>
            <w:pStyle w:val="38"/>
            <w:tabs>
              <w:tab w:val="right" w:leader="dot" w:pos="8306"/>
            </w:tabs>
          </w:pPr>
          <w:r>
            <w:fldChar w:fldCharType="begin"/>
          </w:r>
          <w:r>
            <w:instrText xml:space="preserve"> HYPERLINK \l _Toc654067719 </w:instrText>
          </w:r>
          <w:r>
            <w:fldChar w:fldCharType="separate"/>
          </w:r>
          <w:r>
            <w:rPr>
              <w:rFonts w:hint="eastAsia" w:ascii="Times New Roman" w:hAnsi="Times New Roman" w:eastAsia="黑体"/>
            </w:rPr>
            <w:t>十、其他重要事项的情况说明</w:t>
          </w:r>
          <w:r>
            <w:tab/>
          </w:r>
          <w:r>
            <w:fldChar w:fldCharType="begin"/>
          </w:r>
          <w:r>
            <w:instrText xml:space="preserve"> PAGEREF _Toc654067719 \h </w:instrText>
          </w:r>
          <w:r>
            <w:fldChar w:fldCharType="separate"/>
          </w:r>
          <w:r>
            <w:t>10</w:t>
          </w:r>
          <w:r>
            <w:fldChar w:fldCharType="end"/>
          </w:r>
          <w:r>
            <w:fldChar w:fldCharType="end"/>
          </w:r>
        </w:p>
        <w:p>
          <w:pPr>
            <w:pStyle w:val="37"/>
            <w:tabs>
              <w:tab w:val="right" w:leader="dot" w:pos="8306"/>
            </w:tabs>
            <w:rPr>
              <w:b/>
            </w:rPr>
          </w:pPr>
          <w:r>
            <w:rPr>
              <w:b/>
            </w:rPr>
            <w:fldChar w:fldCharType="begin"/>
          </w:r>
          <w:r>
            <w:rPr>
              <w:b/>
            </w:rPr>
            <w:instrText xml:space="preserve"> HYPERLINK \l _Toc551618514 </w:instrText>
          </w:r>
          <w:r>
            <w:rPr>
              <w:b/>
            </w:rPr>
            <w:fldChar w:fldCharType="separate"/>
          </w:r>
          <w:r>
            <w:rPr>
              <w:rFonts w:hint="eastAsia" w:ascii="黑体" w:hAnsi="黑体" w:eastAsia="黑体" w:cs="黑体"/>
              <w:b/>
              <w:bCs w:val="0"/>
            </w:rPr>
            <w:t>第三部分  名词解释</w:t>
          </w:r>
          <w:r>
            <w:rPr>
              <w:b/>
            </w:rPr>
            <w:tab/>
          </w:r>
          <w:r>
            <w:rPr>
              <w:b/>
            </w:rPr>
            <w:fldChar w:fldCharType="begin"/>
          </w:r>
          <w:r>
            <w:rPr>
              <w:b/>
            </w:rPr>
            <w:instrText xml:space="preserve"> PAGEREF _Toc551618514 \h </w:instrText>
          </w:r>
          <w:r>
            <w:rPr>
              <w:b/>
            </w:rPr>
            <w:fldChar w:fldCharType="separate"/>
          </w:r>
          <w:r>
            <w:rPr>
              <w:b/>
            </w:rPr>
            <w:t>12</w:t>
          </w:r>
          <w:r>
            <w:rPr>
              <w:b/>
            </w:rPr>
            <w:fldChar w:fldCharType="end"/>
          </w:r>
          <w:r>
            <w:rPr>
              <w:b/>
            </w:rPr>
            <w:fldChar w:fldCharType="end"/>
          </w:r>
        </w:p>
        <w:p>
          <w:pPr>
            <w:pStyle w:val="37"/>
            <w:tabs>
              <w:tab w:val="right" w:leader="dot" w:pos="8306"/>
            </w:tabs>
            <w:rPr>
              <w:b/>
            </w:rPr>
          </w:pPr>
          <w:r>
            <w:rPr>
              <w:b/>
            </w:rPr>
            <w:fldChar w:fldCharType="begin"/>
          </w:r>
          <w:r>
            <w:rPr>
              <w:b/>
            </w:rPr>
            <w:instrText xml:space="preserve"> HYPERLINK \l _Toc571046598 </w:instrText>
          </w:r>
          <w:r>
            <w:rPr>
              <w:b/>
            </w:rPr>
            <w:fldChar w:fldCharType="separate"/>
          </w:r>
          <w:r>
            <w:rPr>
              <w:rFonts w:hint="eastAsia" w:ascii="黑体" w:hAnsi="黑体" w:eastAsia="黑体" w:cs="黑体"/>
              <w:b/>
              <w:bCs w:val="0"/>
            </w:rPr>
            <w:t>第四部分  附件</w:t>
          </w:r>
          <w:r>
            <w:rPr>
              <w:b/>
            </w:rPr>
            <w:tab/>
          </w:r>
          <w:r>
            <w:rPr>
              <w:b/>
            </w:rPr>
            <w:fldChar w:fldCharType="begin"/>
          </w:r>
          <w:r>
            <w:rPr>
              <w:b/>
            </w:rPr>
            <w:instrText xml:space="preserve"> PAGEREF _Toc571046598 \h </w:instrText>
          </w:r>
          <w:r>
            <w:rPr>
              <w:b/>
            </w:rPr>
            <w:fldChar w:fldCharType="separate"/>
          </w:r>
          <w:r>
            <w:rPr>
              <w:b/>
            </w:rPr>
            <w:t>15</w:t>
          </w:r>
          <w:r>
            <w:rPr>
              <w:b/>
            </w:rPr>
            <w:fldChar w:fldCharType="end"/>
          </w:r>
          <w:r>
            <w:rPr>
              <w:b/>
            </w:rPr>
            <w:fldChar w:fldCharType="end"/>
          </w:r>
        </w:p>
        <w:p>
          <w:pPr>
            <w:pStyle w:val="38"/>
            <w:tabs>
              <w:tab w:val="right" w:leader="dot" w:pos="8306"/>
            </w:tabs>
            <w:rPr>
              <w:rFonts w:hint="eastAsia" w:eastAsia="宋体"/>
              <w:lang w:val="en-US" w:eastAsia="zh-CN"/>
            </w:rPr>
          </w:pPr>
          <w:r>
            <w:fldChar w:fldCharType="begin"/>
          </w:r>
          <w:r>
            <w:instrText xml:space="preserve"> HYPERLINK \l _Toc141291733 </w:instrText>
          </w:r>
          <w:r>
            <w:fldChar w:fldCharType="separate"/>
          </w:r>
          <w:r>
            <w:rPr>
              <w:rFonts w:hint="default" w:ascii="Times New Roman" w:hAnsi="Times New Roman" w:eastAsia="黑体" w:cs="Times New Roman"/>
              <w:bCs w:val="0"/>
            </w:rPr>
            <w:t>附件1</w:t>
          </w:r>
          <w:r>
            <w:tab/>
          </w:r>
          <w:r>
            <w:rPr>
              <w:rFonts w:hint="eastAsia"/>
              <w:lang w:val="en-US" w:eastAsia="zh-CN"/>
            </w:rPr>
            <w:t>1</w:t>
          </w:r>
          <w:r>
            <w:fldChar w:fldCharType="end"/>
          </w:r>
          <w:r>
            <w:rPr>
              <w:rFonts w:hint="eastAsia"/>
              <w:lang w:val="en-US" w:eastAsia="zh-CN"/>
            </w:rPr>
            <w:t>7</w:t>
          </w:r>
        </w:p>
        <w:p>
          <w:pPr>
            <w:pStyle w:val="38"/>
            <w:tabs>
              <w:tab w:val="right" w:leader="dot" w:pos="8306"/>
            </w:tabs>
            <w:rPr>
              <w:rFonts w:hint="eastAsia" w:eastAsia="宋体"/>
              <w:lang w:val="en-US" w:eastAsia="zh-CN"/>
            </w:rPr>
          </w:pPr>
          <w:r>
            <w:fldChar w:fldCharType="begin"/>
          </w:r>
          <w:r>
            <w:instrText xml:space="preserve"> HYPERLINK \l _Toc168395703 </w:instrText>
          </w:r>
          <w:r>
            <w:fldChar w:fldCharType="separate"/>
          </w:r>
          <w:r>
            <w:rPr>
              <w:rFonts w:hint="default" w:ascii="Times New Roman" w:hAnsi="Times New Roman" w:eastAsia="黑体" w:cs="Times New Roman"/>
              <w:bCs w:val="0"/>
              <w:lang w:val="zh-CN"/>
            </w:rPr>
            <w:t>附件</w:t>
          </w:r>
          <w:r>
            <w:rPr>
              <w:rFonts w:hint="default" w:ascii="Times New Roman" w:hAnsi="Times New Roman" w:eastAsia="黑体" w:cs="Times New Roman"/>
              <w:bCs w:val="0"/>
            </w:rPr>
            <w:t>2</w:t>
          </w:r>
          <w:r>
            <w:tab/>
          </w:r>
          <w:r>
            <w:rPr>
              <w:rFonts w:hint="eastAsia"/>
              <w:lang w:val="en-US" w:eastAsia="zh-CN"/>
            </w:rPr>
            <w:t>2</w:t>
          </w:r>
          <w:r>
            <w:fldChar w:fldCharType="end"/>
          </w:r>
          <w:r>
            <w:rPr>
              <w:rFonts w:hint="eastAsia"/>
              <w:lang w:val="en-US" w:eastAsia="zh-CN"/>
            </w:rPr>
            <w:t>1</w:t>
          </w:r>
        </w:p>
        <w:p>
          <w:pPr>
            <w:pStyle w:val="37"/>
            <w:tabs>
              <w:tab w:val="right" w:leader="dot" w:pos="8306"/>
            </w:tabs>
            <w:rPr>
              <w:rFonts w:hint="eastAsia" w:eastAsia="宋体"/>
              <w:b/>
              <w:lang w:val="en-US" w:eastAsia="zh-CN"/>
            </w:rPr>
          </w:pPr>
          <w:r>
            <w:rPr>
              <w:b/>
            </w:rPr>
            <w:fldChar w:fldCharType="begin"/>
          </w:r>
          <w:r>
            <w:rPr>
              <w:b/>
            </w:rPr>
            <w:instrText xml:space="preserve"> HYPERLINK \l _Toc1729004631 </w:instrText>
          </w:r>
          <w:r>
            <w:rPr>
              <w:b/>
            </w:rPr>
            <w:fldChar w:fldCharType="separate"/>
          </w:r>
          <w:r>
            <w:rPr>
              <w:rFonts w:hint="eastAsia" w:eastAsia="黑体"/>
              <w:b/>
              <w:szCs w:val="44"/>
            </w:rPr>
            <w:t>第</w:t>
          </w:r>
          <w:r>
            <w:rPr>
              <w:rFonts w:hint="eastAsia" w:eastAsia="黑体"/>
              <w:b/>
            </w:rPr>
            <w:t>五部分 附表</w:t>
          </w:r>
          <w:r>
            <w:rPr>
              <w:b/>
            </w:rPr>
            <w:tab/>
          </w:r>
          <w:r>
            <w:rPr>
              <w:rFonts w:hint="eastAsia"/>
              <w:b/>
              <w:lang w:val="en-US" w:eastAsia="zh-CN"/>
            </w:rPr>
            <w:t>2</w:t>
          </w:r>
          <w:r>
            <w:rPr>
              <w:b/>
            </w:rPr>
            <w:fldChar w:fldCharType="end"/>
          </w:r>
          <w:r>
            <w:rPr>
              <w:rFonts w:hint="eastAsia"/>
              <w:b/>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_Toc1387678800 </w:instrText>
          </w:r>
          <w:r>
            <w:fldChar w:fldCharType="separate"/>
          </w:r>
          <w:r>
            <w:rPr>
              <w:rFonts w:hint="eastAsia"/>
              <w:bCs w:val="0"/>
            </w:rPr>
            <w:t>一、收入支出决算总表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_Toc1189734068 </w:instrText>
          </w:r>
          <w:r>
            <w:fldChar w:fldCharType="separate"/>
          </w:r>
          <w:r>
            <w:rPr>
              <w:rFonts w:hint="eastAsia"/>
              <w:bCs w:val="0"/>
            </w:rPr>
            <w:t>二、收入决算表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_Toc1804205457 </w:instrText>
          </w:r>
          <w:r>
            <w:fldChar w:fldCharType="separate"/>
          </w:r>
          <w:r>
            <w:rPr>
              <w:rFonts w:hint="eastAsia"/>
              <w:bCs w:val="0"/>
            </w:rPr>
            <w:t>三、支出决算表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_Toc2004887356 </w:instrText>
          </w:r>
          <w:r>
            <w:fldChar w:fldCharType="separate"/>
          </w:r>
          <w:r>
            <w:rPr>
              <w:rFonts w:hint="eastAsia"/>
              <w:bCs w:val="0"/>
            </w:rPr>
            <w:t>四、财政拨款收入支出决算总表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_Toc1336368071 </w:instrText>
          </w:r>
          <w:r>
            <w:fldChar w:fldCharType="separate"/>
          </w:r>
          <w:r>
            <w:rPr>
              <w:rFonts w:hint="eastAsia"/>
              <w:bCs w:val="0"/>
            </w:rPr>
            <w:t>五、财政拨款支出决算明细表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_Toc1328523734 </w:instrText>
          </w:r>
          <w:r>
            <w:fldChar w:fldCharType="separate"/>
          </w:r>
          <w:r>
            <w:rPr>
              <w:rFonts w:hint="eastAsia"/>
              <w:bCs w:val="0"/>
            </w:rPr>
            <w:t>六、一般公共预算财政拨款支出决算表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_Toc140481490 </w:instrText>
          </w:r>
          <w:r>
            <w:fldChar w:fldCharType="separate"/>
          </w:r>
          <w:r>
            <w:rPr>
              <w:rFonts w:hint="eastAsia"/>
              <w:bCs w:val="0"/>
            </w:rPr>
            <w:t>七、一般公共预算财政拨款支出决算明细表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_Toc1552957605 </w:instrText>
          </w:r>
          <w:r>
            <w:fldChar w:fldCharType="separate"/>
          </w:r>
          <w:r>
            <w:rPr>
              <w:rFonts w:hint="eastAsia"/>
              <w:bCs w:val="0"/>
            </w:rPr>
            <w:t>八、一般公共预算财政拨款基本支出决算表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_Toc1892528950 </w:instrText>
          </w:r>
          <w:r>
            <w:fldChar w:fldCharType="separate"/>
          </w:r>
          <w:r>
            <w:rPr>
              <w:rFonts w:hint="eastAsia"/>
              <w:bCs w:val="0"/>
            </w:rPr>
            <w:t>九、一般公共预算财政拨款项目支出决算表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_Toc1061171276 </w:instrText>
          </w:r>
          <w:r>
            <w:fldChar w:fldCharType="separate"/>
          </w:r>
          <w:r>
            <w:rPr>
              <w:rFonts w:hint="eastAsia"/>
              <w:bCs w:val="0"/>
            </w:rPr>
            <w:t>十、政府性基金预算财政拨款收入支出决算表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_Toc1536539687 </w:instrText>
          </w:r>
          <w:r>
            <w:fldChar w:fldCharType="separate"/>
          </w:r>
          <w:r>
            <w:rPr>
              <w:rFonts w:hint="eastAsia"/>
              <w:bCs w:val="0"/>
            </w:rPr>
            <w:t>十一、国有资本经营预算财政拨款收入支出决算表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_Toc738725905 </w:instrText>
          </w:r>
          <w:r>
            <w:fldChar w:fldCharType="separate"/>
          </w:r>
          <w:r>
            <w:rPr>
              <w:rFonts w:hint="eastAsia"/>
              <w:bCs w:val="0"/>
            </w:rPr>
            <w:t>十二、国有资本经营预算财政拨款支出决算表</w:t>
          </w:r>
          <w:r>
            <w:tab/>
          </w:r>
          <w:r>
            <w:rPr>
              <w:rFonts w:hint="eastAsia"/>
              <w:lang w:val="en-US" w:eastAsia="zh-CN"/>
            </w:rPr>
            <w:t>2</w:t>
          </w:r>
          <w:r>
            <w:fldChar w:fldCharType="end"/>
          </w:r>
          <w:r>
            <w:rPr>
              <w:rFonts w:hint="eastAsia"/>
              <w:lang w:val="en-US" w:eastAsia="zh-CN"/>
            </w:rPr>
            <w:t>5</w:t>
          </w:r>
        </w:p>
        <w:p>
          <w:pPr>
            <w:pStyle w:val="38"/>
            <w:tabs>
              <w:tab w:val="right" w:leader="dot" w:pos="8306"/>
            </w:tabs>
            <w:rPr>
              <w:rFonts w:hint="eastAsia" w:eastAsia="宋体"/>
              <w:lang w:val="en-US" w:eastAsia="zh-CN"/>
            </w:rPr>
          </w:pPr>
          <w:r>
            <w:fldChar w:fldCharType="begin"/>
          </w:r>
          <w:r>
            <w:instrText xml:space="preserve"> HYPERLINK \l _Toc1740957348 </w:instrText>
          </w:r>
          <w:r>
            <w:fldChar w:fldCharType="separate"/>
          </w:r>
          <w:r>
            <w:rPr>
              <w:rFonts w:hint="eastAsia"/>
              <w:bCs w:val="0"/>
            </w:rPr>
            <w:t>十三、财政拨款“三公”经费支出决算表</w:t>
          </w:r>
          <w:r>
            <w:tab/>
          </w:r>
          <w:r>
            <w:rPr>
              <w:rFonts w:hint="eastAsia"/>
              <w:lang w:val="en-US" w:eastAsia="zh-CN"/>
            </w:rPr>
            <w:t>2</w:t>
          </w:r>
          <w:r>
            <w:fldChar w:fldCharType="end"/>
          </w:r>
          <w:r>
            <w:rPr>
              <w:rFonts w:hint="eastAsia"/>
              <w:lang w:val="en-US" w:eastAsia="zh-CN"/>
            </w:rPr>
            <w:t>5</w:t>
          </w:r>
        </w:p>
        <w:p>
          <w:r>
            <w:rPr>
              <w:b/>
            </w:rPr>
            <w:fldChar w:fldCharType="end"/>
          </w:r>
        </w:p>
      </w:sdtContent>
    </w:sdt>
    <w:p>
      <w:pPr>
        <w:widowControl/>
        <w:spacing w:line="560" w:lineRule="exact"/>
        <w:jc w:val="left"/>
        <w:rPr>
          <w:rFonts w:eastAsia="仿宋_GB2312" w:cs="仿宋_GB2312"/>
          <w:bCs/>
          <w:kern w:val="44"/>
          <w:sz w:val="32"/>
          <w:szCs w:val="32"/>
        </w:rPr>
      </w:pPr>
      <w:bookmarkStart w:id="12" w:name="_Toc15377196"/>
      <w:bookmarkStart w:id="13" w:name="_Toc15396599"/>
      <w:r>
        <w:rPr>
          <w:rFonts w:hint="eastAsia" w:eastAsia="仿宋_GB2312" w:cs="仿宋_GB2312"/>
          <w:b/>
          <w:sz w:val="32"/>
          <w:szCs w:val="32"/>
        </w:rPr>
        <w:br w:type="page"/>
      </w:r>
    </w:p>
    <w:p>
      <w:pPr>
        <w:pStyle w:val="5"/>
        <w:jc w:val="center"/>
        <w:rPr>
          <w:rStyle w:val="29"/>
          <w:rFonts w:eastAsia="方正小标宋简体" w:cs="方正小标宋简体"/>
          <w:b/>
          <w:bCs w:val="0"/>
        </w:rPr>
      </w:pPr>
      <w:bookmarkStart w:id="14" w:name="_Toc679786072"/>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12"/>
      <w:bookmarkEnd w:id="13"/>
      <w:bookmarkEnd w:id="14"/>
    </w:p>
    <w:p>
      <w:pPr>
        <w:widowControl/>
        <w:jc w:val="left"/>
        <w:rPr>
          <w:rFonts w:eastAsia="黑体"/>
          <w:sz w:val="32"/>
          <w:szCs w:val="32"/>
        </w:rPr>
      </w:pPr>
    </w:p>
    <w:p>
      <w:pPr>
        <w:pStyle w:val="6"/>
        <w:numPr>
          <w:ilvl w:val="0"/>
          <w:numId w:val="1"/>
        </w:numPr>
      </w:pPr>
      <w:bookmarkStart w:id="15" w:name="_Toc1756549256"/>
      <w:r>
        <w:rPr>
          <w:rFonts w:hint="eastAsia" w:ascii="Times New Roman" w:hAnsi="Times New Roman" w:eastAsia="黑体"/>
          <w:b w:val="0"/>
          <w:lang w:eastAsia="zh-CN"/>
        </w:rPr>
        <w:t>单位</w:t>
      </w:r>
      <w:r>
        <w:rPr>
          <w:rFonts w:hint="eastAsia" w:ascii="Times New Roman" w:hAnsi="Times New Roman" w:eastAsia="黑体"/>
          <w:b w:val="0"/>
        </w:rPr>
        <w:t>职责</w:t>
      </w:r>
      <w:bookmarkEnd w:id="15"/>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室的主要职责是：贯彻落实省委有关党史工作的方针、政策和市委关于党史工作的部署安排；研究、拟定全市党史工作规划，并组织实施；负责全市重要党史资料的征集、整理、编纂和出版工作；研究中共攀枝花历史，总结党的历史经验，编写中共攀枝花地方史；编辑出版党史书刊；办好中共攀枝花市委机关刊物《攀枝花纪事》杂志；推动党史成果转化，开展党史、革命史、建设史、改革史的宣传教育和党史专题研究工作；组织党史工作经验交流，负责全市党史研究干部培训工作；指导</w:t>
      </w:r>
      <w:r>
        <w:rPr>
          <w:rFonts w:hint="eastAsia" w:eastAsia="仿宋_GB2312" w:cs="Times New Roman"/>
          <w:sz w:val="32"/>
          <w:szCs w:val="32"/>
          <w:lang w:eastAsia="zh-CN"/>
        </w:rPr>
        <w:t>县</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区</w:t>
      </w:r>
      <w:r>
        <w:rPr>
          <w:rFonts w:hint="default" w:ascii="Times New Roman" w:hAnsi="Times New Roman" w:eastAsia="仿宋_GB2312" w:cs="Times New Roman"/>
          <w:sz w:val="32"/>
          <w:szCs w:val="32"/>
        </w:rPr>
        <w:t>）委的党史业务工作；承办省委党史研究室和市委交办的其他工作。</w:t>
      </w:r>
    </w:p>
    <w:p>
      <w:pPr>
        <w:pStyle w:val="6"/>
        <w:numPr>
          <w:ilvl w:val="0"/>
          <w:numId w:val="1"/>
        </w:numPr>
        <w:ind w:left="0" w:leftChars="0" w:firstLine="0" w:firstLineChars="0"/>
        <w:rPr>
          <w:rStyle w:val="30"/>
          <w:rFonts w:hint="eastAsia" w:ascii="Times New Roman" w:hAnsi="Times New Roman" w:eastAsia="黑体"/>
          <w:b w:val="0"/>
          <w:bCs w:val="0"/>
        </w:rPr>
      </w:pPr>
      <w:bookmarkStart w:id="16" w:name="_Toc15396601"/>
      <w:bookmarkStart w:id="17" w:name="_Toc15377200"/>
      <w:bookmarkStart w:id="18" w:name="_Toc61770581"/>
      <w:r>
        <w:rPr>
          <w:rFonts w:hint="eastAsia" w:ascii="Times New Roman" w:hAnsi="Times New Roman" w:eastAsia="黑体"/>
          <w:b w:val="0"/>
        </w:rPr>
        <w:t>机</w:t>
      </w:r>
      <w:r>
        <w:rPr>
          <w:rStyle w:val="30"/>
          <w:rFonts w:hint="eastAsia" w:ascii="Times New Roman" w:hAnsi="Times New Roman" w:eastAsia="黑体"/>
          <w:b w:val="0"/>
          <w:bCs w:val="0"/>
        </w:rPr>
        <w:t>构设置</w:t>
      </w:r>
      <w:bookmarkEnd w:id="16"/>
      <w:bookmarkEnd w:id="17"/>
      <w:bookmarkEnd w:id="18"/>
      <w:bookmarkStart w:id="19" w:name="_Toc15378448"/>
      <w:bookmarkStart w:id="20" w:name="_Toc15377432"/>
      <w:bookmarkStart w:id="21" w:name="_Toc15306275"/>
      <w:bookmarkStart w:id="22" w:name="_Toc1537720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eastAsia="仿宋"/>
          <w:kern w:val="0"/>
          <w:szCs w:val="32"/>
        </w:rPr>
      </w:pPr>
      <w:r>
        <w:rPr>
          <w:rFonts w:hint="default" w:ascii="Times New Roman" w:hAnsi="Times New Roman" w:eastAsia="仿宋_GB2312" w:cs="Times New Roman"/>
          <w:sz w:val="32"/>
          <w:szCs w:val="32"/>
        </w:rPr>
        <w:t>四川省攀枝花市委党史研究室为参照公务员法管理事业单位,无下属二级预算单位</w:t>
      </w:r>
      <w:r>
        <w:rPr>
          <w:rFonts w:hint="default" w:ascii="Times New Roman" w:hAnsi="Times New Roman" w:eastAsia="仿宋_GB2312" w:cs="Times New Roman"/>
          <w:sz w:val="32"/>
          <w:szCs w:val="32"/>
          <w:lang w:eastAsia="zh-CN"/>
        </w:rPr>
        <w:t>。</w:t>
      </w:r>
      <w:bookmarkEnd w:id="19"/>
      <w:bookmarkEnd w:id="20"/>
      <w:bookmarkEnd w:id="21"/>
      <w:bookmarkEnd w:id="22"/>
      <w:r>
        <w:rPr>
          <w:rFonts w:eastAsia="仿宋"/>
          <w:szCs w:val="32"/>
        </w:rPr>
        <w:br w:type="page"/>
      </w:r>
    </w:p>
    <w:p>
      <w:pPr>
        <w:pStyle w:val="5"/>
        <w:jc w:val="center"/>
        <w:rPr>
          <w:rFonts w:eastAsia="方正小标宋简体" w:cs="方正小标宋简体"/>
          <w:b w:val="0"/>
        </w:rPr>
      </w:pPr>
      <w:bookmarkStart w:id="23" w:name="_Toc15377204"/>
      <w:bookmarkStart w:id="24" w:name="_Toc237459491"/>
      <w:bookmarkStart w:id="25" w:name="_Toc15396602"/>
      <w:r>
        <w:rPr>
          <w:rFonts w:hint="eastAsia" w:eastAsia="方正小标宋简体" w:cs="方正小标宋简体"/>
          <w:b w:val="0"/>
        </w:rPr>
        <w:t>第二部分  2025年度部门决算情况说明</w:t>
      </w:r>
      <w:bookmarkEnd w:id="23"/>
      <w:bookmarkEnd w:id="24"/>
      <w:bookmarkEnd w:id="25"/>
    </w:p>
    <w:p/>
    <w:p>
      <w:pPr>
        <w:pStyle w:val="28"/>
        <w:spacing w:line="600" w:lineRule="exact"/>
        <w:ind w:firstLine="640"/>
        <w:outlineLvl w:val="1"/>
        <w:rPr>
          <w:rStyle w:val="30"/>
          <w:rFonts w:ascii="Times New Roman" w:hAnsi="Times New Roman" w:eastAsia="黑体"/>
          <w:b w:val="0"/>
        </w:rPr>
      </w:pPr>
      <w:bookmarkStart w:id="26" w:name="_Toc15396603"/>
      <w:bookmarkStart w:id="27" w:name="_Toc15377205"/>
      <w:bookmarkStart w:id="28" w:name="_Toc259579293"/>
      <w:r>
        <w:rPr>
          <w:rFonts w:hint="eastAsia" w:eastAsia="黑体"/>
          <w:sz w:val="32"/>
          <w:szCs w:val="32"/>
        </w:rPr>
        <w:t>一、收</w:t>
      </w:r>
      <w:r>
        <w:rPr>
          <w:rStyle w:val="30"/>
          <w:rFonts w:hint="eastAsia" w:ascii="Times New Roman" w:hAnsi="Times New Roman" w:eastAsia="黑体"/>
          <w:b w:val="0"/>
        </w:rPr>
        <w:t>入支出决算总体情况说明</w:t>
      </w:r>
      <w:bookmarkEnd w:id="26"/>
      <w:bookmarkEnd w:id="27"/>
      <w:bookmarkEnd w:id="28"/>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2025年度收入、支出总计均为</w:t>
      </w:r>
      <w:r>
        <w:rPr>
          <w:rFonts w:hint="default" w:ascii="Times New Roman" w:hAnsi="Times New Roman" w:eastAsia="仿宋_GB2312" w:cs="Times New Roman"/>
          <w:sz w:val="32"/>
          <w:szCs w:val="32"/>
          <w:lang w:val="en-US" w:eastAsia="zh-CN"/>
        </w:rPr>
        <w:t>268.94</w:t>
      </w:r>
      <w:r>
        <w:rPr>
          <w:rFonts w:hint="default" w:ascii="Times New Roman" w:hAnsi="Times New Roman" w:eastAsia="仿宋_GB2312" w:cs="Times New Roman"/>
          <w:sz w:val="32"/>
          <w:szCs w:val="32"/>
        </w:rPr>
        <w:t>万元。与上年度相比，收入、支出总计各减少</w:t>
      </w:r>
      <w:r>
        <w:rPr>
          <w:rFonts w:hint="default" w:ascii="Times New Roman" w:hAnsi="Times New Roman" w:eastAsia="仿宋_GB2312" w:cs="Times New Roman"/>
          <w:sz w:val="32"/>
          <w:szCs w:val="32"/>
          <w:lang w:val="en-US" w:eastAsia="zh-CN"/>
        </w:rPr>
        <w:t>39.02</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12.7</w:t>
      </w:r>
      <w:r>
        <w:rPr>
          <w:rFonts w:hint="default" w:ascii="Times New Roman" w:hAnsi="Times New Roman" w:eastAsia="仿宋_GB2312" w:cs="Times New Roman"/>
          <w:sz w:val="32"/>
          <w:szCs w:val="32"/>
        </w:rPr>
        <w:t>%。主要变动原因是2024年度清欠债务</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2025年度未支付党报党刊等党建经费</w:t>
      </w:r>
      <w:r>
        <w:rPr>
          <w:rFonts w:hint="eastAsia" w:eastAsia="仿宋_GB2312" w:cs="Times New Roman"/>
          <w:sz w:val="32"/>
          <w:szCs w:val="32"/>
          <w:lang w:val="en-US" w:eastAsia="zh-CN"/>
        </w:rPr>
        <w:t>，</w:t>
      </w:r>
      <w:r>
        <w:rPr>
          <w:rFonts w:hint="eastAsia" w:eastAsia="仿宋_GB2312" w:cs="Times New Roman"/>
          <w:sz w:val="32"/>
          <w:szCs w:val="32"/>
          <w:lang w:eastAsia="zh-CN"/>
        </w:rPr>
        <w:t>故本年度</w:t>
      </w:r>
      <w:r>
        <w:rPr>
          <w:rFonts w:hint="default" w:ascii="Times New Roman" w:hAnsi="Times New Roman" w:eastAsia="仿宋_GB2312" w:cs="Times New Roman"/>
          <w:sz w:val="32"/>
          <w:szCs w:val="32"/>
        </w:rPr>
        <w:t>项目支出减少</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drawing>
          <wp:anchor distT="0" distB="0" distL="114300" distR="114300" simplePos="0" relativeHeight="251660288" behindDoc="1" locked="0" layoutInCell="1" allowOverlap="1">
            <wp:simplePos x="0" y="0"/>
            <wp:positionH relativeFrom="column">
              <wp:posOffset>194945</wp:posOffset>
            </wp:positionH>
            <wp:positionV relativeFrom="paragraph">
              <wp:posOffset>213360</wp:posOffset>
            </wp:positionV>
            <wp:extent cx="5080000" cy="3192145"/>
            <wp:effectExtent l="4445" t="4445" r="20955" b="2286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left="0" w:leftChars="0" w:firstLine="0" w:firstLineChars="0"/>
        <w:outlineLvl w:val="9"/>
        <w:rPr>
          <w:rFonts w:hint="eastAsia"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1280" w:firstLineChars="4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w:t>
      </w:r>
      <w:bookmarkStart w:id="29" w:name="_Toc15396604"/>
      <w:bookmarkStart w:id="30" w:name="_Toc15377206"/>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p>
    <w:p>
      <w:pPr>
        <w:pStyle w:val="28"/>
        <w:spacing w:line="600" w:lineRule="exact"/>
        <w:ind w:firstLine="640"/>
        <w:outlineLvl w:val="1"/>
        <w:rPr>
          <w:rFonts w:eastAsia="黑体"/>
          <w:sz w:val="32"/>
          <w:szCs w:val="32"/>
        </w:rPr>
      </w:pPr>
      <w:bookmarkStart w:id="31" w:name="_Toc1553851958"/>
      <w:r>
        <w:rPr>
          <w:rFonts w:hint="eastAsia" w:eastAsia="黑体"/>
          <w:sz w:val="32"/>
          <w:szCs w:val="32"/>
        </w:rPr>
        <w:t>二、收入决算情况说明</w:t>
      </w:r>
      <w:bookmarkEnd w:id="29"/>
      <w:bookmarkEnd w:id="30"/>
      <w:bookmarkEnd w:id="3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2025年度本年收入合计</w:t>
      </w:r>
      <w:r>
        <w:rPr>
          <w:rFonts w:hint="default" w:ascii="Times New Roman" w:hAnsi="Times New Roman" w:eastAsia="仿宋_GB2312" w:cs="Times New Roman"/>
          <w:sz w:val="32"/>
          <w:szCs w:val="32"/>
          <w:lang w:val="en-US" w:eastAsia="zh-CN"/>
        </w:rPr>
        <w:t>268.94</w:t>
      </w:r>
      <w:r>
        <w:rPr>
          <w:rFonts w:hint="default" w:ascii="Times New Roman" w:hAnsi="Times New Roman" w:eastAsia="仿宋_GB2312" w:cs="Times New Roman"/>
          <w:sz w:val="32"/>
          <w:szCs w:val="32"/>
        </w:rPr>
        <w:t>万元，其中：一般公共预算财政拨款收入</w:t>
      </w:r>
      <w:r>
        <w:rPr>
          <w:rFonts w:hint="default" w:ascii="Times New Roman" w:hAnsi="Times New Roman" w:eastAsia="仿宋_GB2312" w:cs="Times New Roman"/>
          <w:sz w:val="32"/>
          <w:szCs w:val="32"/>
          <w:lang w:val="en-US" w:eastAsia="zh-CN"/>
        </w:rPr>
        <w:t>268.94</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bidi w:val="0"/>
        <w:ind w:firstLine="2240" w:firstLineChars="7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drawing>
          <wp:anchor distT="0" distB="0" distL="114300" distR="114300" simplePos="0" relativeHeight="251661312" behindDoc="1" locked="0" layoutInCell="1" allowOverlap="1">
            <wp:simplePos x="0" y="0"/>
            <wp:positionH relativeFrom="column">
              <wp:posOffset>252095</wp:posOffset>
            </wp:positionH>
            <wp:positionV relativeFrom="paragraph">
              <wp:posOffset>194310</wp:posOffset>
            </wp:positionV>
            <wp:extent cx="4737100" cy="2992755"/>
            <wp:effectExtent l="4445" t="4445" r="20955" b="69850"/>
            <wp:wrapTight wrapText="bothSides">
              <wp:wrapPolygon>
                <wp:start x="-20" y="-32"/>
                <wp:lineTo x="-20" y="21554"/>
                <wp:lineTo x="21522" y="21554"/>
                <wp:lineTo x="21522" y="-32"/>
                <wp:lineTo x="-20" y="-32"/>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default" w:ascii="Times New Roman" w:hAnsi="Times New Roman" w:eastAsia="仿宋_GB2312" w:cs="Times New Roman"/>
          <w:sz w:val="32"/>
          <w:szCs w:val="32"/>
        </w:rPr>
        <w:t>（图2：收入决算结构图）</w:t>
      </w:r>
      <w:bookmarkStart w:id="32" w:name="_Toc15377207"/>
      <w:bookmarkStart w:id="33" w:name="_Toc15396605"/>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1"/>
        <w:rPr>
          <w:rStyle w:val="30"/>
          <w:rFonts w:ascii="Times New Roman" w:hAnsi="Times New Roman" w:eastAsia="黑体"/>
          <w:b w:val="0"/>
        </w:rPr>
      </w:pPr>
      <w:bookmarkStart w:id="34" w:name="_Toc1825250387"/>
      <w:r>
        <w:rPr>
          <w:rFonts w:hint="eastAsia" w:eastAsia="黑体"/>
          <w:sz w:val="32"/>
          <w:szCs w:val="32"/>
        </w:rPr>
        <w:t>三、支</w:t>
      </w:r>
      <w:r>
        <w:rPr>
          <w:rStyle w:val="30"/>
          <w:rFonts w:hint="eastAsia" w:ascii="Times New Roman" w:hAnsi="Times New Roman" w:eastAsia="黑体"/>
          <w:b w:val="0"/>
        </w:rPr>
        <w:t>出决算情况说明</w:t>
      </w:r>
      <w:bookmarkEnd w:id="32"/>
      <w:bookmarkEnd w:id="33"/>
      <w:bookmarkEnd w:id="34"/>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2025年度本年支出合计</w:t>
      </w:r>
      <w:r>
        <w:rPr>
          <w:rFonts w:hint="default" w:ascii="Times New Roman" w:hAnsi="Times New Roman" w:eastAsia="仿宋_GB2312" w:cs="Times New Roman"/>
          <w:sz w:val="32"/>
          <w:szCs w:val="32"/>
          <w:lang w:val="en-US" w:eastAsia="zh-CN"/>
        </w:rPr>
        <w:t>268.94</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240.95</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89.6</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27.99</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pStyle w:val="28"/>
        <w:spacing w:line="600" w:lineRule="exact"/>
        <w:ind w:firstLine="640"/>
        <w:outlineLvl w:val="9"/>
        <w:rPr>
          <w:rFonts w:hint="eastAsia" w:eastAsia="仿宋_GB2312" w:cs="仿宋_GB2312"/>
          <w:sz w:val="32"/>
          <w:szCs w:val="32"/>
        </w:rPr>
      </w:pPr>
      <w:r>
        <w:rPr>
          <w:rFonts w:hint="eastAsia" w:eastAsia="仿宋_GB2312" w:cs="仿宋_GB2312"/>
          <w:b/>
          <w:bCs/>
          <w:sz w:val="32"/>
          <w:szCs w:val="32"/>
          <w:lang w:eastAsia="zh-CN"/>
        </w:rPr>
        <w:drawing>
          <wp:anchor distT="0" distB="0" distL="114300" distR="114300" simplePos="0" relativeHeight="251662336" behindDoc="1" locked="0" layoutInCell="1" allowOverlap="1">
            <wp:simplePos x="0" y="0"/>
            <wp:positionH relativeFrom="column">
              <wp:posOffset>120015</wp:posOffset>
            </wp:positionH>
            <wp:positionV relativeFrom="paragraph">
              <wp:posOffset>129540</wp:posOffset>
            </wp:positionV>
            <wp:extent cx="5087620" cy="2830830"/>
            <wp:effectExtent l="4445" t="4445" r="13335" b="2222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pStyle w:val="28"/>
        <w:spacing w:line="600" w:lineRule="exact"/>
        <w:ind w:firstLine="640"/>
        <w:outlineLvl w:val="9"/>
        <w:rPr>
          <w:rFonts w:hint="eastAsia" w:eastAsia="仿宋_GB2312" w:cs="仿宋_GB2312"/>
          <w:sz w:val="32"/>
          <w:szCs w:val="32"/>
        </w:rPr>
      </w:pPr>
    </w:p>
    <w:p>
      <w:pPr>
        <w:bidi w:val="0"/>
        <w:ind w:firstLine="2400" w:firstLineChars="800"/>
        <w:rPr>
          <w:rFonts w:hint="default" w:ascii="Times New Roman" w:hAnsi="Times New Roman" w:eastAsia="仿宋_GB2312" w:cs="Times New Roman"/>
          <w:sz w:val="30"/>
          <w:szCs w:val="30"/>
        </w:rPr>
      </w:pPr>
    </w:p>
    <w:p>
      <w:pPr>
        <w:bidi w:val="0"/>
        <w:ind w:firstLine="2240" w:firstLineChars="700"/>
        <w:rPr>
          <w:rFonts w:hint="eastAsia" w:eastAsia="仿宋_GB2312" w:cs="仿宋_GB2312"/>
          <w:sz w:val="32"/>
          <w:szCs w:val="32"/>
        </w:rPr>
      </w:pPr>
      <w:r>
        <w:rPr>
          <w:rFonts w:hint="default" w:ascii="Times New Roman" w:hAnsi="Times New Roman" w:eastAsia="仿宋_GB2312" w:cs="Times New Roman"/>
          <w:sz w:val="32"/>
          <w:szCs w:val="32"/>
        </w:rPr>
        <w:t>（图3：支出决算结构图）</w:t>
      </w:r>
      <w:bookmarkStart w:id="35" w:name="_Toc15396606"/>
      <w:bookmarkStart w:id="36" w:name="_Toc15377208"/>
    </w:p>
    <w:p>
      <w:pPr>
        <w:spacing w:line="600" w:lineRule="exact"/>
        <w:ind w:firstLine="640" w:firstLineChars="200"/>
        <w:outlineLvl w:val="1"/>
        <w:rPr>
          <w:rStyle w:val="30"/>
          <w:rFonts w:ascii="Times New Roman" w:hAnsi="Times New Roman" w:eastAsia="黑体"/>
          <w:b w:val="0"/>
        </w:rPr>
      </w:pPr>
      <w:bookmarkStart w:id="37" w:name="_Toc656750087"/>
      <w:r>
        <w:rPr>
          <w:rFonts w:hint="eastAsia" w:eastAsia="黑体"/>
          <w:sz w:val="32"/>
          <w:szCs w:val="32"/>
        </w:rPr>
        <w:t>四、财</w:t>
      </w:r>
      <w:r>
        <w:rPr>
          <w:rStyle w:val="30"/>
          <w:rFonts w:hint="eastAsia" w:ascii="Times New Roman" w:hAnsi="Times New Roman" w:eastAsia="黑体"/>
          <w:b w:val="0"/>
        </w:rPr>
        <w:t>政拨款收入支出决算总体情况说明</w:t>
      </w:r>
      <w:bookmarkEnd w:id="35"/>
      <w:bookmarkEnd w:id="36"/>
      <w:bookmarkEnd w:id="37"/>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268.94</w:t>
      </w:r>
      <w:r>
        <w:rPr>
          <w:rFonts w:hint="eastAsia" w:eastAsia="仿宋_GB2312" w:cs="仿宋_GB2312"/>
          <w:sz w:val="32"/>
          <w:szCs w:val="32"/>
        </w:rPr>
        <w:t>万元。与上年度相比，财政拨款收入、支出总计各减少</w:t>
      </w:r>
      <w:r>
        <w:rPr>
          <w:rFonts w:hint="eastAsia" w:eastAsia="仿宋_GB2312" w:cs="仿宋_GB2312"/>
          <w:sz w:val="32"/>
          <w:szCs w:val="32"/>
          <w:lang w:val="en-US" w:eastAsia="zh-CN"/>
        </w:rPr>
        <w:t>39.02</w:t>
      </w:r>
      <w:r>
        <w:rPr>
          <w:rFonts w:hint="eastAsia" w:eastAsia="仿宋_GB2312" w:cs="仿宋_GB2312"/>
          <w:sz w:val="32"/>
          <w:szCs w:val="32"/>
        </w:rPr>
        <w:t>万元，下降</w:t>
      </w:r>
      <w:r>
        <w:rPr>
          <w:rFonts w:hint="eastAsia" w:eastAsia="仿宋_GB2312" w:cs="仿宋_GB2312"/>
          <w:sz w:val="32"/>
          <w:szCs w:val="32"/>
          <w:lang w:val="en-US" w:eastAsia="zh-CN"/>
        </w:rPr>
        <w:t>12.7</w:t>
      </w:r>
      <w:r>
        <w:rPr>
          <w:rFonts w:hint="eastAsia" w:eastAsia="仿宋_GB2312" w:cs="仿宋_GB2312"/>
          <w:sz w:val="32"/>
          <w:szCs w:val="32"/>
        </w:rPr>
        <w:t>%。</w:t>
      </w:r>
      <w:r>
        <w:rPr>
          <w:rFonts w:hint="default" w:ascii="Times New Roman" w:hAnsi="Times New Roman" w:eastAsia="仿宋_GB2312" w:cs="Times New Roman"/>
          <w:sz w:val="32"/>
          <w:szCs w:val="32"/>
        </w:rPr>
        <w:t>主要变动原因是2024年度清欠债务</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2025年度未支付党报党刊等党建经费</w:t>
      </w:r>
      <w:r>
        <w:rPr>
          <w:rFonts w:hint="eastAsia" w:eastAsia="仿宋_GB2312" w:cs="Times New Roman"/>
          <w:sz w:val="32"/>
          <w:szCs w:val="32"/>
          <w:lang w:val="en-US" w:eastAsia="zh-CN"/>
        </w:rPr>
        <w:t>，</w:t>
      </w:r>
      <w:r>
        <w:rPr>
          <w:rFonts w:hint="eastAsia" w:eastAsia="仿宋_GB2312" w:cs="Times New Roman"/>
          <w:sz w:val="32"/>
          <w:szCs w:val="32"/>
          <w:lang w:eastAsia="zh-CN"/>
        </w:rPr>
        <w:t>故本年度</w:t>
      </w:r>
      <w:r>
        <w:rPr>
          <w:rFonts w:hint="default" w:ascii="Times New Roman" w:hAnsi="Times New Roman" w:eastAsia="仿宋_GB2312" w:cs="Times New Roman"/>
          <w:sz w:val="32"/>
          <w:szCs w:val="32"/>
        </w:rPr>
        <w:t>项目支出减少</w:t>
      </w:r>
      <w:r>
        <w:rPr>
          <w:rFonts w:hint="default" w:ascii="Times New Roman" w:hAnsi="Times New Roman" w:eastAsia="仿宋_GB2312" w:cs="Times New Roman"/>
          <w:sz w:val="32"/>
          <w:szCs w:val="32"/>
          <w:lang w:eastAsia="zh-CN"/>
        </w:rPr>
        <w:t>。</w:t>
      </w:r>
    </w:p>
    <w:p>
      <w:pPr>
        <w:spacing w:line="600" w:lineRule="exact"/>
        <w:ind w:firstLine="640"/>
        <w:rPr>
          <w:rFonts w:hint="default" w:eastAsia="仿宋_GB2312" w:cs="仿宋_GB2312"/>
          <w:sz w:val="32"/>
          <w:szCs w:val="32"/>
          <w:lang w:val="en-US"/>
        </w:rPr>
      </w:pPr>
    </w:p>
    <w:p>
      <w:pPr>
        <w:spacing w:line="600" w:lineRule="exact"/>
        <w:ind w:firstLine="640" w:firstLineChars="200"/>
        <w:rPr>
          <w:rFonts w:hint="eastAsia" w:eastAsia="仿宋_GB2312" w:cs="仿宋_GB2312"/>
          <w:sz w:val="32"/>
          <w:szCs w:val="32"/>
        </w:rPr>
      </w:pPr>
      <w:r>
        <w:rPr>
          <w:rFonts w:hint="default" w:eastAsia="仿宋_GB2312" w:cs="仿宋_GB2312"/>
          <w:sz w:val="32"/>
          <w:szCs w:val="32"/>
          <w:lang w:val="en-US"/>
        </w:rPr>
        <w:drawing>
          <wp:anchor distT="0" distB="0" distL="114300" distR="114300" simplePos="0" relativeHeight="251664384" behindDoc="1" locked="0" layoutInCell="1" allowOverlap="1">
            <wp:simplePos x="0" y="0"/>
            <wp:positionH relativeFrom="column">
              <wp:posOffset>433070</wp:posOffset>
            </wp:positionH>
            <wp:positionV relativeFrom="paragraph">
              <wp:posOffset>21590</wp:posOffset>
            </wp:positionV>
            <wp:extent cx="4689475" cy="2705100"/>
            <wp:effectExtent l="4445" t="4445" r="11430" b="14605"/>
            <wp:wrapTight wrapText="bothSides">
              <wp:wrapPolygon>
                <wp:start x="-20" y="-35"/>
                <wp:lineTo x="-20" y="21565"/>
                <wp:lineTo x="21565" y="21565"/>
                <wp:lineTo x="21565" y="-35"/>
                <wp:lineTo x="-20" y="-35"/>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2"/>
          <w:szCs w:val="32"/>
          <w:lang w:val="en-US" w:eastAsia="zh-CN"/>
        </w:rPr>
        <w:t xml:space="preserve">   </w:t>
      </w:r>
      <w:r>
        <w:rPr>
          <w:rFonts w:hint="eastAsia" w:eastAsia="仿宋_GB2312" w:cs="仿宋_GB2312"/>
          <w:sz w:val="32"/>
          <w:szCs w:val="32"/>
        </w:rPr>
        <w:t>（图4：财政拨款收、支决算总计变动情况）</w:t>
      </w:r>
      <w:bookmarkStart w:id="38" w:name="_Toc15396607"/>
      <w:bookmarkStart w:id="39" w:name="_Toc15377209"/>
    </w:p>
    <w:p>
      <w:pPr>
        <w:spacing w:line="600" w:lineRule="exact"/>
        <w:ind w:firstLine="640" w:firstLineChars="200"/>
        <w:outlineLvl w:val="9"/>
        <w:rPr>
          <w:rFonts w:hint="eastAsia" w:eastAsia="仿宋_GB2312" w:cs="仿宋_GB2312"/>
          <w:sz w:val="32"/>
          <w:szCs w:val="32"/>
        </w:rPr>
      </w:pPr>
    </w:p>
    <w:p>
      <w:pPr>
        <w:spacing w:line="600" w:lineRule="exact"/>
        <w:ind w:firstLine="640" w:firstLineChars="200"/>
        <w:outlineLvl w:val="1"/>
        <w:rPr>
          <w:rStyle w:val="30"/>
          <w:rFonts w:ascii="Times New Roman" w:hAnsi="Times New Roman" w:eastAsia="黑体"/>
          <w:b w:val="0"/>
        </w:rPr>
      </w:pPr>
      <w:bookmarkStart w:id="40" w:name="_Toc1067618120"/>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38"/>
      <w:bookmarkEnd w:id="39"/>
      <w:bookmarkEnd w:id="40"/>
    </w:p>
    <w:p>
      <w:pPr>
        <w:spacing w:line="600" w:lineRule="exact"/>
        <w:ind w:firstLine="642" w:firstLineChars="200"/>
        <w:outlineLvl w:val="2"/>
        <w:rPr>
          <w:rFonts w:eastAsia="楷体_GB2312" w:cs="楷体_GB2312"/>
          <w:b/>
          <w:sz w:val="32"/>
          <w:szCs w:val="32"/>
        </w:rPr>
      </w:pPr>
      <w:bookmarkStart w:id="41" w:name="_Toc15377210"/>
      <w:r>
        <w:rPr>
          <w:rFonts w:hint="eastAsia" w:eastAsia="楷体_GB2312" w:cs="楷体_GB2312"/>
          <w:b/>
          <w:sz w:val="32"/>
          <w:szCs w:val="32"/>
        </w:rPr>
        <w:t>（一）一般公共预算财政拨款支出决算总体情况</w:t>
      </w:r>
      <w:bookmarkEnd w:id="4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268.94</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39.02</w:t>
      </w:r>
      <w:r>
        <w:rPr>
          <w:rFonts w:hint="eastAsia" w:eastAsia="仿宋_GB2312" w:cs="仿宋_GB2312"/>
          <w:sz w:val="32"/>
          <w:szCs w:val="32"/>
        </w:rPr>
        <w:t>万元，下降</w:t>
      </w:r>
      <w:r>
        <w:rPr>
          <w:rFonts w:hint="eastAsia" w:eastAsia="仿宋_GB2312" w:cs="仿宋_GB2312"/>
          <w:sz w:val="32"/>
          <w:szCs w:val="32"/>
          <w:lang w:val="en-US" w:eastAsia="zh-CN"/>
        </w:rPr>
        <w:t>12.7</w:t>
      </w:r>
      <w:r>
        <w:rPr>
          <w:rFonts w:hint="eastAsia" w:eastAsia="仿宋_GB2312" w:cs="仿宋_GB2312"/>
          <w:sz w:val="32"/>
          <w:szCs w:val="32"/>
        </w:rPr>
        <w:t>%。</w:t>
      </w:r>
      <w:r>
        <w:rPr>
          <w:rFonts w:hint="default" w:ascii="Times New Roman" w:hAnsi="Times New Roman" w:eastAsia="仿宋_GB2312" w:cs="Times New Roman"/>
          <w:sz w:val="32"/>
          <w:szCs w:val="32"/>
        </w:rPr>
        <w:t>主要变动原因是2024年度清欠债务</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2025年度未支付党报党刊等党建经费</w:t>
      </w:r>
      <w:r>
        <w:rPr>
          <w:rFonts w:hint="eastAsia" w:eastAsia="仿宋_GB2312" w:cs="Times New Roman"/>
          <w:sz w:val="32"/>
          <w:szCs w:val="32"/>
          <w:lang w:val="en-US" w:eastAsia="zh-CN"/>
        </w:rPr>
        <w:t>，</w:t>
      </w:r>
      <w:r>
        <w:rPr>
          <w:rFonts w:hint="eastAsia" w:eastAsia="仿宋_GB2312" w:cs="Times New Roman"/>
          <w:sz w:val="32"/>
          <w:szCs w:val="32"/>
          <w:lang w:eastAsia="zh-CN"/>
        </w:rPr>
        <w:t>故本年度</w:t>
      </w:r>
      <w:r>
        <w:rPr>
          <w:rFonts w:hint="default" w:ascii="Times New Roman" w:hAnsi="Times New Roman" w:eastAsia="仿宋_GB2312" w:cs="Times New Roman"/>
          <w:sz w:val="32"/>
          <w:szCs w:val="32"/>
        </w:rPr>
        <w:t>项目支出减少</w:t>
      </w:r>
      <w:bookmarkStart w:id="104" w:name="_GoBack"/>
      <w:bookmarkEnd w:id="104"/>
      <w:r>
        <w:rPr>
          <w:rFonts w:hint="default" w:ascii="Times New Roman" w:hAnsi="Times New Roman" w:eastAsia="仿宋_GB2312" w:cs="Times New Roman"/>
          <w:sz w:val="32"/>
          <w:szCs w:val="32"/>
          <w:lang w:eastAsia="zh-CN"/>
        </w:rPr>
        <w:t>。</w:t>
      </w:r>
    </w:p>
    <w:p>
      <w:pPr>
        <w:spacing w:line="600" w:lineRule="exact"/>
        <w:ind w:firstLine="640"/>
        <w:rPr>
          <w:rFonts w:hint="eastAsia" w:eastAsia="仿宋_GB2312" w:cs="仿宋_GB2312"/>
          <w:sz w:val="32"/>
          <w:szCs w:val="32"/>
        </w:rPr>
      </w:pPr>
      <w:r>
        <w:rPr>
          <w:rFonts w:hint="eastAsia" w:eastAsia="仿宋_GB2312" w:cs="仿宋_GB2312"/>
          <w:sz w:val="32"/>
          <w:szCs w:val="32"/>
        </w:rPr>
        <w:drawing>
          <wp:anchor distT="0" distB="0" distL="114300" distR="114300" simplePos="0" relativeHeight="251665408" behindDoc="1" locked="0" layoutInCell="1" allowOverlap="1">
            <wp:simplePos x="0" y="0"/>
            <wp:positionH relativeFrom="column">
              <wp:posOffset>182245</wp:posOffset>
            </wp:positionH>
            <wp:positionV relativeFrom="paragraph">
              <wp:posOffset>-38100</wp:posOffset>
            </wp:positionV>
            <wp:extent cx="5003800" cy="2726690"/>
            <wp:effectExtent l="4445" t="4445" r="20955" b="1206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960" w:firstLineChars="30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42" w:name="_Toc15377211"/>
      <w:r>
        <w:rPr>
          <w:rFonts w:hint="eastAsia" w:eastAsia="楷体_GB2312" w:cs="楷体_GB2312"/>
          <w:b/>
          <w:sz w:val="32"/>
          <w:szCs w:val="32"/>
        </w:rPr>
        <w:t>（二）一般公共预算财政拨款支出决算结构情况</w:t>
      </w:r>
      <w:bookmarkEnd w:id="42"/>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268.94</w:t>
      </w:r>
      <w:r>
        <w:rPr>
          <w:rFonts w:hint="eastAsia" w:eastAsia="仿宋_GB2312" w:cs="仿宋_GB2312"/>
          <w:sz w:val="32"/>
          <w:szCs w:val="32"/>
        </w:rPr>
        <w:t>万元，主要用于以下方面：一般公共服务支出</w:t>
      </w:r>
      <w:r>
        <w:rPr>
          <w:rFonts w:hint="eastAsia" w:eastAsia="仿宋_GB2312" w:cs="仿宋_GB2312"/>
          <w:sz w:val="32"/>
          <w:szCs w:val="32"/>
          <w:lang w:val="en-US" w:eastAsia="zh-CN"/>
        </w:rPr>
        <w:t>182.64</w:t>
      </w:r>
      <w:r>
        <w:rPr>
          <w:rFonts w:hint="eastAsia" w:eastAsia="仿宋_GB2312" w:cs="仿宋_GB2312"/>
          <w:sz w:val="32"/>
          <w:szCs w:val="32"/>
        </w:rPr>
        <w:t>万元，占</w:t>
      </w:r>
      <w:r>
        <w:rPr>
          <w:rFonts w:hint="eastAsia" w:eastAsia="仿宋_GB2312" w:cs="仿宋_GB2312"/>
          <w:sz w:val="32"/>
          <w:szCs w:val="32"/>
          <w:lang w:val="en-US" w:eastAsia="zh-CN"/>
        </w:rPr>
        <w:t>68</w:t>
      </w:r>
      <w:r>
        <w:rPr>
          <w:rFonts w:hint="eastAsia" w:eastAsia="仿宋_GB2312" w:cs="仿宋_GB2312"/>
          <w:sz w:val="32"/>
          <w:szCs w:val="32"/>
        </w:rPr>
        <w:t>%；</w:t>
      </w:r>
      <w:r>
        <w:rPr>
          <w:rFonts w:hint="eastAsia" w:eastAsia="仿宋_GB2312" w:cs="仿宋_GB2312"/>
          <w:sz w:val="32"/>
          <w:szCs w:val="32"/>
          <w:lang w:eastAsia="zh-CN"/>
        </w:rPr>
        <w:t>公共安全支出</w:t>
      </w:r>
      <w:r>
        <w:rPr>
          <w:rFonts w:hint="eastAsia" w:eastAsia="仿宋_GB2312" w:cs="仿宋_GB2312"/>
          <w:sz w:val="32"/>
          <w:szCs w:val="32"/>
          <w:lang w:val="en-US" w:eastAsia="zh-CN"/>
        </w:rPr>
        <w:t>0.69</w:t>
      </w:r>
      <w:r>
        <w:rPr>
          <w:rFonts w:hint="eastAsia" w:eastAsia="仿宋_GB2312" w:cs="仿宋_GB2312"/>
          <w:sz w:val="32"/>
          <w:szCs w:val="32"/>
        </w:rPr>
        <w:t>万元，占</w:t>
      </w:r>
      <w:r>
        <w:rPr>
          <w:rFonts w:hint="eastAsia" w:eastAsia="仿宋_GB2312" w:cs="仿宋_GB2312"/>
          <w:sz w:val="32"/>
          <w:szCs w:val="32"/>
          <w:lang w:val="en-US" w:eastAsia="zh-CN"/>
        </w:rPr>
        <w:t>0.3</w:t>
      </w:r>
      <w:r>
        <w:rPr>
          <w:rFonts w:hint="eastAsia" w:eastAsia="仿宋_GB2312" w:cs="仿宋_GB2312"/>
          <w:sz w:val="32"/>
          <w:szCs w:val="32"/>
        </w:rPr>
        <w:t>%；社会保障和就业支出</w:t>
      </w:r>
      <w:r>
        <w:rPr>
          <w:rFonts w:hint="eastAsia" w:eastAsia="仿宋_GB2312" w:cs="仿宋_GB2312"/>
          <w:sz w:val="32"/>
          <w:szCs w:val="32"/>
          <w:lang w:val="en-US" w:eastAsia="zh-CN"/>
        </w:rPr>
        <w:t>60.38</w:t>
      </w:r>
      <w:r>
        <w:rPr>
          <w:rFonts w:hint="eastAsia" w:eastAsia="仿宋_GB2312" w:cs="仿宋_GB2312"/>
          <w:sz w:val="32"/>
          <w:szCs w:val="32"/>
        </w:rPr>
        <w:t>万元，占</w:t>
      </w:r>
      <w:r>
        <w:rPr>
          <w:rFonts w:hint="eastAsia" w:eastAsia="仿宋_GB2312" w:cs="仿宋_GB2312"/>
          <w:sz w:val="32"/>
          <w:szCs w:val="32"/>
          <w:lang w:val="en-US" w:eastAsia="zh-CN"/>
        </w:rPr>
        <w:t>22.5</w:t>
      </w:r>
      <w:r>
        <w:rPr>
          <w:rFonts w:hint="eastAsia" w:eastAsia="仿宋_GB2312" w:cs="仿宋_GB2312"/>
          <w:sz w:val="32"/>
          <w:szCs w:val="32"/>
        </w:rPr>
        <w:t>%；卫生健康支出</w:t>
      </w:r>
      <w:r>
        <w:rPr>
          <w:rFonts w:hint="eastAsia" w:eastAsia="仿宋_GB2312" w:cs="仿宋_GB2312"/>
          <w:sz w:val="32"/>
          <w:szCs w:val="32"/>
          <w:lang w:val="en-US" w:eastAsia="zh-CN"/>
        </w:rPr>
        <w:t>10.6</w:t>
      </w:r>
      <w:r>
        <w:rPr>
          <w:rFonts w:hint="eastAsia" w:eastAsia="仿宋_GB2312" w:cs="仿宋_GB2312"/>
          <w:sz w:val="32"/>
          <w:szCs w:val="32"/>
        </w:rPr>
        <w:t>万元，占</w:t>
      </w:r>
      <w:r>
        <w:rPr>
          <w:rFonts w:hint="eastAsia" w:eastAsia="仿宋_GB2312" w:cs="仿宋_GB2312"/>
          <w:sz w:val="32"/>
          <w:szCs w:val="32"/>
          <w:lang w:val="en-US" w:eastAsia="zh-CN"/>
        </w:rPr>
        <w:t>4</w:t>
      </w:r>
      <w:r>
        <w:rPr>
          <w:rFonts w:hint="eastAsia" w:eastAsia="仿宋_GB2312" w:cs="仿宋_GB2312"/>
          <w:sz w:val="32"/>
          <w:szCs w:val="32"/>
        </w:rPr>
        <w:t>%；住房保障支出</w:t>
      </w:r>
      <w:r>
        <w:rPr>
          <w:rFonts w:hint="eastAsia" w:eastAsia="仿宋_GB2312" w:cs="仿宋_GB2312"/>
          <w:sz w:val="32"/>
          <w:szCs w:val="32"/>
          <w:lang w:val="en-US" w:eastAsia="zh-CN"/>
        </w:rPr>
        <w:t>14.64</w:t>
      </w:r>
      <w:r>
        <w:rPr>
          <w:rFonts w:hint="eastAsia" w:eastAsia="仿宋_GB2312" w:cs="仿宋_GB2312"/>
          <w:sz w:val="32"/>
          <w:szCs w:val="32"/>
        </w:rPr>
        <w:t>万元，占</w:t>
      </w:r>
      <w:r>
        <w:rPr>
          <w:rFonts w:hint="eastAsia" w:eastAsia="仿宋_GB2312" w:cs="仿宋_GB2312"/>
          <w:sz w:val="32"/>
          <w:szCs w:val="32"/>
          <w:lang w:val="en-US" w:eastAsia="zh-CN"/>
        </w:rPr>
        <w:t>5.5</w:t>
      </w:r>
      <w:r>
        <w:rPr>
          <w:rFonts w:hint="eastAsia" w:eastAsia="仿宋_GB2312" w:cs="仿宋_GB2312"/>
          <w:sz w:val="32"/>
          <w:szCs w:val="32"/>
        </w:rPr>
        <w:t>%</w:t>
      </w:r>
      <w:bookmarkStart w:id="43" w:name="_Toc15377212"/>
      <w:r>
        <w:rPr>
          <w:rFonts w:hint="eastAsia" w:eastAsia="仿宋_GB2312" w:cs="仿宋_GB2312"/>
          <w:b/>
          <w:bCs/>
          <w:sz w:val="32"/>
          <w:szCs w:val="32"/>
          <w:lang w:eastAsia="zh-CN"/>
        </w:rPr>
        <w:t>。</w:t>
      </w:r>
    </w:p>
    <w:p>
      <w:pPr>
        <w:pStyle w:val="2"/>
        <w:ind w:left="0" w:leftChars="0" w:firstLine="0" w:firstLineChars="0"/>
        <w:rPr>
          <w:rFonts w:hint="eastAsia" w:eastAsia="仿宋_GB2312" w:cs="仿宋_GB2312"/>
          <w:sz w:val="32"/>
          <w:szCs w:val="32"/>
        </w:rPr>
      </w:pPr>
      <w:r>
        <w:rPr>
          <w:rFonts w:hint="eastAsia" w:eastAsia="仿宋_GB2312" w:cs="仿宋_GB2312"/>
          <w:sz w:val="32"/>
          <w:szCs w:val="32"/>
        </w:rPr>
        <w:drawing>
          <wp:anchor distT="0" distB="0" distL="114300" distR="114300" simplePos="0" relativeHeight="251663360" behindDoc="1" locked="0" layoutInCell="1" allowOverlap="1">
            <wp:simplePos x="0" y="0"/>
            <wp:positionH relativeFrom="column">
              <wp:posOffset>391795</wp:posOffset>
            </wp:positionH>
            <wp:positionV relativeFrom="paragraph">
              <wp:posOffset>67310</wp:posOffset>
            </wp:positionV>
            <wp:extent cx="4775200" cy="2639695"/>
            <wp:effectExtent l="4445" t="4445" r="20955" b="22860"/>
            <wp:wrapTight wrapText="bothSides">
              <wp:wrapPolygon>
                <wp:start x="-20" y="-36"/>
                <wp:lineTo x="-20" y="21475"/>
                <wp:lineTo x="21522" y="21475"/>
                <wp:lineTo x="21522" y="-36"/>
                <wp:lineTo x="-20" y="-36"/>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800" w:firstLineChars="250"/>
        <w:rPr>
          <w:rFonts w:hint="eastAsia" w:eastAsia="仿宋_GB2312" w:cs="仿宋_GB2312"/>
          <w:sz w:val="32"/>
          <w:szCs w:val="32"/>
        </w:rPr>
      </w:pPr>
      <w:r>
        <w:rPr>
          <w:rFonts w:hint="eastAsia" w:eastAsia="仿宋_GB2312" w:cs="仿宋_GB2312"/>
          <w:sz w:val="32"/>
          <w:szCs w:val="32"/>
        </w:rPr>
        <w:t>（图6：一般公共预算财政拨支出决算结构）</w:t>
      </w:r>
    </w:p>
    <w:p>
      <w:pPr>
        <w:spacing w:line="600" w:lineRule="exact"/>
        <w:ind w:firstLine="642" w:firstLineChars="200"/>
        <w:rPr>
          <w:rFonts w:eastAsia="楷体_GB2312" w:cs="楷体_GB2312"/>
          <w:b/>
          <w:sz w:val="32"/>
          <w:szCs w:val="32"/>
        </w:rPr>
      </w:pPr>
      <w:r>
        <w:rPr>
          <w:rFonts w:hint="eastAsia" w:eastAsia="楷体_GB2312" w:cs="楷体_GB2312"/>
          <w:b/>
          <w:sz w:val="32"/>
          <w:szCs w:val="32"/>
        </w:rPr>
        <w:t>（三）一般公共预算财政拨款支出决算具体情况</w:t>
      </w:r>
      <w:bookmarkEnd w:id="43"/>
    </w:p>
    <w:p>
      <w:pPr>
        <w:spacing w:line="600" w:lineRule="exact"/>
        <w:ind w:firstLine="640"/>
        <w:rPr>
          <w:rFonts w:eastAsia="仿宋_GB2312" w:cs="仿宋_GB2312"/>
          <w:sz w:val="32"/>
          <w:szCs w:val="32"/>
        </w:rPr>
      </w:pPr>
      <w:bookmarkStart w:id="44" w:name="_Toc15377213"/>
      <w:bookmarkStart w:id="45" w:name="_Toc15377444"/>
      <w:bookmarkStart w:id="46" w:name="_Toc15378460"/>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268.94</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4"/>
      <w:bookmarkEnd w:id="45"/>
      <w:bookmarkEnd w:id="46"/>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1.一般公共服务（类）</w:t>
      </w:r>
      <w:r>
        <w:rPr>
          <w:rFonts w:hint="eastAsia" w:eastAsia="仿宋_GB2312" w:cs="仿宋_GB2312"/>
          <w:sz w:val="32"/>
          <w:szCs w:val="32"/>
          <w:lang w:eastAsia="zh-CN"/>
        </w:rPr>
        <w:t>党委办公厅</w:t>
      </w:r>
      <w:r>
        <w:rPr>
          <w:rFonts w:hint="eastAsia" w:eastAsia="仿宋_GB2312" w:cs="仿宋_GB2312"/>
          <w:sz w:val="32"/>
          <w:szCs w:val="32"/>
          <w:lang w:val="en-US" w:eastAsia="zh-CN"/>
        </w:rPr>
        <w:t>及相关机构事务</w:t>
      </w:r>
      <w:r>
        <w:rPr>
          <w:rFonts w:hint="eastAsia" w:eastAsia="仿宋_GB2312" w:cs="仿宋_GB2312"/>
          <w:sz w:val="32"/>
          <w:szCs w:val="32"/>
        </w:rPr>
        <w:t>（款）</w:t>
      </w:r>
      <w:r>
        <w:rPr>
          <w:rFonts w:hint="eastAsia" w:eastAsia="仿宋_GB2312" w:cs="仿宋_GB2312"/>
          <w:sz w:val="32"/>
          <w:szCs w:val="32"/>
          <w:lang w:eastAsia="zh-CN"/>
        </w:rPr>
        <w:t>行政运行</w:t>
      </w:r>
      <w:r>
        <w:rPr>
          <w:rFonts w:hint="eastAsia" w:eastAsia="仿宋_GB2312" w:cs="仿宋_GB2312"/>
          <w:sz w:val="32"/>
          <w:szCs w:val="32"/>
        </w:rPr>
        <w:t>（项）：支出决算为</w:t>
      </w:r>
      <w:r>
        <w:rPr>
          <w:rFonts w:hint="eastAsia" w:eastAsia="仿宋_GB2312" w:cs="仿宋_GB2312"/>
          <w:sz w:val="32"/>
          <w:szCs w:val="32"/>
          <w:lang w:val="en-US" w:eastAsia="zh-CN"/>
        </w:rPr>
        <w:t>155.24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2.一般公共服务（类）</w:t>
      </w:r>
      <w:r>
        <w:rPr>
          <w:rFonts w:hint="eastAsia" w:eastAsia="仿宋_GB2312" w:cs="仿宋_GB2312"/>
          <w:sz w:val="32"/>
          <w:szCs w:val="32"/>
          <w:lang w:eastAsia="zh-CN"/>
        </w:rPr>
        <w:t>党委办公厅</w:t>
      </w:r>
      <w:r>
        <w:rPr>
          <w:rFonts w:hint="eastAsia" w:eastAsia="仿宋_GB2312" w:cs="仿宋_GB2312"/>
          <w:sz w:val="32"/>
          <w:szCs w:val="32"/>
          <w:lang w:val="en-US" w:eastAsia="zh-CN"/>
        </w:rPr>
        <w:t>及相关机构事务</w:t>
      </w:r>
      <w:r>
        <w:rPr>
          <w:rFonts w:hint="eastAsia" w:eastAsia="仿宋_GB2312" w:cs="仿宋_GB2312"/>
          <w:sz w:val="32"/>
          <w:szCs w:val="32"/>
        </w:rPr>
        <w:t>（款）</w:t>
      </w:r>
      <w:r>
        <w:rPr>
          <w:rFonts w:hint="eastAsia" w:eastAsia="仿宋_GB2312" w:cs="仿宋_GB2312"/>
          <w:sz w:val="32"/>
          <w:szCs w:val="32"/>
          <w:lang w:eastAsia="zh-CN"/>
        </w:rPr>
        <w:t>一般行政管理事务</w:t>
      </w:r>
      <w:r>
        <w:rPr>
          <w:rFonts w:hint="eastAsia" w:eastAsia="仿宋_GB2312" w:cs="仿宋_GB2312"/>
          <w:sz w:val="32"/>
          <w:szCs w:val="32"/>
        </w:rPr>
        <w:t>（项）：支出决算为</w:t>
      </w:r>
      <w:r>
        <w:rPr>
          <w:rFonts w:hint="eastAsia" w:eastAsia="仿宋_GB2312" w:cs="仿宋_GB2312"/>
          <w:sz w:val="32"/>
          <w:szCs w:val="32"/>
          <w:lang w:val="en-US" w:eastAsia="zh-CN"/>
        </w:rPr>
        <w:t>27.08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3.一般公共服务（类）</w:t>
      </w:r>
      <w:r>
        <w:rPr>
          <w:rFonts w:hint="eastAsia" w:eastAsia="仿宋_GB2312" w:cs="仿宋_GB2312"/>
          <w:sz w:val="32"/>
          <w:szCs w:val="32"/>
          <w:lang w:eastAsia="zh-CN"/>
        </w:rPr>
        <w:t>组织事务</w:t>
      </w:r>
      <w:r>
        <w:rPr>
          <w:rFonts w:hint="eastAsia" w:eastAsia="仿宋_GB2312" w:cs="仿宋_GB2312"/>
          <w:sz w:val="32"/>
          <w:szCs w:val="32"/>
        </w:rPr>
        <w:t>（款）</w:t>
      </w:r>
      <w:r>
        <w:rPr>
          <w:rFonts w:hint="eastAsia" w:eastAsia="仿宋_GB2312" w:cs="仿宋_GB2312"/>
          <w:sz w:val="32"/>
          <w:szCs w:val="32"/>
          <w:lang w:eastAsia="zh-CN"/>
        </w:rPr>
        <w:t>其他组织事务支出</w:t>
      </w:r>
      <w:r>
        <w:rPr>
          <w:rFonts w:hint="eastAsia" w:eastAsia="仿宋_GB2312" w:cs="仿宋_GB2312"/>
          <w:sz w:val="32"/>
          <w:szCs w:val="32"/>
        </w:rPr>
        <w:t>（项）：支出决算为</w:t>
      </w:r>
      <w:r>
        <w:rPr>
          <w:rFonts w:hint="eastAsia" w:eastAsia="仿宋_GB2312" w:cs="仿宋_GB2312"/>
          <w:sz w:val="32"/>
          <w:szCs w:val="32"/>
          <w:lang w:val="en-US" w:eastAsia="zh-CN"/>
        </w:rPr>
        <w:t>0.31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%，决算等于预算数</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r>
        <w:rPr>
          <w:rFonts w:hint="eastAsia" w:eastAsia="仿宋_GB2312" w:cs="仿宋_GB2312"/>
          <w:sz w:val="32"/>
          <w:szCs w:val="32"/>
        </w:rPr>
        <w:t>4.</w:t>
      </w:r>
      <w:r>
        <w:rPr>
          <w:rFonts w:hint="eastAsia" w:eastAsia="仿宋_GB2312" w:cs="仿宋_GB2312"/>
          <w:sz w:val="32"/>
          <w:szCs w:val="32"/>
          <w:lang w:eastAsia="zh-CN"/>
        </w:rPr>
        <w:t>公共安全</w:t>
      </w:r>
      <w:r>
        <w:rPr>
          <w:rFonts w:hint="eastAsia" w:eastAsia="仿宋_GB2312" w:cs="仿宋_GB2312"/>
          <w:sz w:val="32"/>
          <w:szCs w:val="32"/>
        </w:rPr>
        <w:t>（类）</w:t>
      </w:r>
      <w:r>
        <w:rPr>
          <w:rFonts w:hint="eastAsia" w:eastAsia="仿宋_GB2312" w:cs="仿宋_GB2312"/>
          <w:sz w:val="32"/>
          <w:szCs w:val="32"/>
          <w:lang w:eastAsia="zh-CN"/>
        </w:rPr>
        <w:t>强制隔离戒毒</w:t>
      </w:r>
      <w:r>
        <w:rPr>
          <w:rFonts w:hint="eastAsia" w:eastAsia="仿宋_GB2312" w:cs="仿宋_GB2312"/>
          <w:sz w:val="32"/>
          <w:szCs w:val="32"/>
        </w:rPr>
        <w:t>（款）</w:t>
      </w:r>
      <w:r>
        <w:rPr>
          <w:rFonts w:hint="eastAsia" w:eastAsia="仿宋_GB2312" w:cs="仿宋_GB2312"/>
          <w:sz w:val="32"/>
          <w:szCs w:val="32"/>
          <w:lang w:eastAsia="zh-CN"/>
        </w:rPr>
        <w:t>行政运行</w:t>
      </w:r>
      <w:r>
        <w:rPr>
          <w:rFonts w:hint="eastAsia" w:eastAsia="仿宋_GB2312" w:cs="仿宋_GB2312"/>
          <w:sz w:val="32"/>
          <w:szCs w:val="32"/>
        </w:rPr>
        <w:t>（项）：支出决算为</w:t>
      </w:r>
      <w:r>
        <w:rPr>
          <w:rFonts w:hint="eastAsia" w:eastAsia="仿宋_GB2312" w:cs="仿宋_GB2312"/>
          <w:sz w:val="32"/>
          <w:szCs w:val="32"/>
          <w:lang w:val="en-US" w:eastAsia="zh-CN"/>
        </w:rPr>
        <w:t>0.69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%，决算等于预算数</w:t>
      </w:r>
      <w:r>
        <w:rPr>
          <w:rFonts w:hint="eastAsia" w:eastAsia="仿宋_GB2312" w:cs="仿宋_GB2312"/>
          <w:sz w:val="32"/>
          <w:szCs w:val="32"/>
          <w:lang w:eastAsia="zh-CN"/>
        </w:rPr>
        <w:t>。</w:t>
      </w:r>
    </w:p>
    <w:p>
      <w:pPr>
        <w:spacing w:line="600" w:lineRule="exact"/>
        <w:ind w:firstLine="640"/>
        <w:rPr>
          <w:rFonts w:hint="eastAsia"/>
          <w:lang w:eastAsia="zh-CN"/>
        </w:rPr>
      </w:pPr>
      <w:r>
        <w:rPr>
          <w:rFonts w:hint="eastAsia" w:eastAsia="仿宋_GB2312" w:cs="仿宋_GB2312"/>
          <w:sz w:val="32"/>
          <w:szCs w:val="32"/>
        </w:rPr>
        <w:t>5.社会保障和就业（类）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行政单位离退休</w:t>
      </w:r>
      <w:r>
        <w:rPr>
          <w:rFonts w:hint="eastAsia" w:eastAsia="仿宋_GB2312" w:cs="仿宋_GB2312"/>
          <w:sz w:val="32"/>
          <w:szCs w:val="32"/>
        </w:rPr>
        <w:t>（项）：支出决算为</w:t>
      </w:r>
      <w:r>
        <w:rPr>
          <w:rFonts w:hint="eastAsia" w:eastAsia="仿宋_GB2312" w:cs="仿宋_GB2312"/>
          <w:sz w:val="32"/>
          <w:szCs w:val="32"/>
          <w:lang w:val="en-US" w:eastAsia="zh-CN"/>
        </w:rPr>
        <w:t>32.65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6</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机关事业单位基本养老保险缴费支出</w:t>
      </w:r>
      <w:r>
        <w:rPr>
          <w:rFonts w:hint="eastAsia" w:eastAsia="仿宋_GB2312" w:cs="仿宋_GB2312"/>
          <w:sz w:val="32"/>
          <w:szCs w:val="32"/>
        </w:rPr>
        <w:t>（项）：支出决算为</w:t>
      </w:r>
      <w:r>
        <w:rPr>
          <w:rFonts w:hint="eastAsia" w:eastAsia="仿宋_GB2312" w:cs="仿宋_GB2312"/>
          <w:sz w:val="32"/>
          <w:szCs w:val="32"/>
          <w:lang w:val="en-US" w:eastAsia="zh-CN"/>
        </w:rPr>
        <w:t>18.07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7</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机关事业单位职业年金缴费支出</w:t>
      </w:r>
      <w:r>
        <w:rPr>
          <w:rFonts w:hint="eastAsia" w:eastAsia="仿宋_GB2312" w:cs="仿宋_GB2312"/>
          <w:sz w:val="32"/>
          <w:szCs w:val="32"/>
        </w:rPr>
        <w:t>（项）：支出决算为</w:t>
      </w:r>
      <w:r>
        <w:rPr>
          <w:rFonts w:hint="eastAsia" w:eastAsia="仿宋_GB2312" w:cs="仿宋_GB2312"/>
          <w:sz w:val="32"/>
          <w:szCs w:val="32"/>
          <w:lang w:val="en-US" w:eastAsia="zh-CN"/>
        </w:rPr>
        <w:t>9.07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rPr>
          <w:rFonts w:hint="eastAsia" w:eastAsia="仿宋_GB2312" w:cs="仿宋_GB2312"/>
          <w:sz w:val="32"/>
          <w:szCs w:val="32"/>
          <w:lang w:eastAsia="zh-CN"/>
        </w:rPr>
      </w:pPr>
    </w:p>
    <w:p>
      <w:pPr>
        <w:spacing w:line="600" w:lineRule="exact"/>
        <w:ind w:firstLine="640"/>
        <w:rPr>
          <w:rFonts w:hint="eastAsia"/>
          <w:lang w:eastAsia="zh-CN"/>
        </w:rPr>
      </w:pPr>
      <w:r>
        <w:rPr>
          <w:rFonts w:hint="eastAsia" w:eastAsia="仿宋_GB2312" w:cs="仿宋_GB2312"/>
          <w:sz w:val="32"/>
          <w:szCs w:val="32"/>
          <w:lang w:val="en-US" w:eastAsia="zh-CN"/>
        </w:rPr>
        <w:t>8</w:t>
      </w:r>
      <w:r>
        <w:rPr>
          <w:rFonts w:hint="eastAsia" w:eastAsia="仿宋_GB2312" w:cs="仿宋_GB2312"/>
          <w:sz w:val="32"/>
          <w:szCs w:val="32"/>
        </w:rPr>
        <w:t>.社会保障和就业（类）</w:t>
      </w:r>
      <w:r>
        <w:rPr>
          <w:rFonts w:hint="eastAsia" w:eastAsia="仿宋_GB2312" w:cs="仿宋_GB2312"/>
          <w:sz w:val="32"/>
          <w:szCs w:val="32"/>
          <w:lang w:eastAsia="zh-CN"/>
        </w:rPr>
        <w:t>社会福利</w:t>
      </w:r>
      <w:r>
        <w:rPr>
          <w:rFonts w:hint="eastAsia" w:eastAsia="仿宋_GB2312" w:cs="仿宋_GB2312"/>
          <w:sz w:val="32"/>
          <w:szCs w:val="32"/>
        </w:rPr>
        <w:t>（款）</w:t>
      </w:r>
      <w:r>
        <w:rPr>
          <w:rFonts w:hint="eastAsia" w:eastAsia="仿宋_GB2312" w:cs="仿宋_GB2312"/>
          <w:sz w:val="32"/>
          <w:szCs w:val="32"/>
          <w:lang w:eastAsia="zh-CN"/>
        </w:rPr>
        <w:t>儿童福利</w:t>
      </w:r>
      <w:r>
        <w:rPr>
          <w:rFonts w:hint="eastAsia" w:eastAsia="仿宋_GB2312" w:cs="仿宋_GB2312"/>
          <w:sz w:val="32"/>
          <w:szCs w:val="32"/>
        </w:rPr>
        <w:t>（项）：支出决算为</w:t>
      </w:r>
      <w:r>
        <w:rPr>
          <w:rFonts w:hint="eastAsia" w:eastAsia="仿宋_GB2312" w:cs="仿宋_GB2312"/>
          <w:sz w:val="32"/>
          <w:szCs w:val="32"/>
          <w:lang w:val="en-US" w:eastAsia="zh-CN"/>
        </w:rPr>
        <w:t>0.6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lang w:eastAsia="zh-CN"/>
        </w:rPr>
      </w:pPr>
      <w:r>
        <w:rPr>
          <w:rFonts w:hint="eastAsia" w:eastAsia="仿宋_GB2312" w:cs="仿宋_GB2312"/>
          <w:sz w:val="32"/>
          <w:szCs w:val="32"/>
          <w:lang w:val="en-US" w:eastAsia="zh-CN"/>
        </w:rPr>
        <w:t>9</w:t>
      </w:r>
      <w:r>
        <w:rPr>
          <w:rFonts w:hint="eastAsia" w:eastAsia="仿宋_GB2312" w:cs="仿宋_GB2312"/>
          <w:sz w:val="32"/>
          <w:szCs w:val="32"/>
        </w:rPr>
        <w:t>.卫生健康（类）</w:t>
      </w:r>
      <w:r>
        <w:rPr>
          <w:rFonts w:hint="eastAsia" w:eastAsia="仿宋_GB2312" w:cs="仿宋_GB2312"/>
          <w:sz w:val="32"/>
          <w:szCs w:val="32"/>
          <w:lang w:eastAsia="zh-CN"/>
        </w:rPr>
        <w:t>行政事业单位医疗</w:t>
      </w:r>
      <w:r>
        <w:rPr>
          <w:rFonts w:hint="eastAsia" w:eastAsia="仿宋_GB2312" w:cs="仿宋_GB2312"/>
          <w:sz w:val="32"/>
          <w:szCs w:val="32"/>
        </w:rPr>
        <w:t>（款）</w:t>
      </w:r>
      <w:r>
        <w:rPr>
          <w:rFonts w:hint="eastAsia" w:eastAsia="仿宋_GB2312" w:cs="仿宋_GB2312"/>
          <w:sz w:val="32"/>
          <w:szCs w:val="32"/>
          <w:lang w:eastAsia="zh-CN"/>
        </w:rPr>
        <w:t>行政单位医疗</w:t>
      </w:r>
      <w:r>
        <w:rPr>
          <w:rFonts w:hint="eastAsia" w:eastAsia="仿宋_GB2312" w:cs="仿宋_GB2312"/>
          <w:sz w:val="32"/>
          <w:szCs w:val="32"/>
        </w:rPr>
        <w:t>（项）：支出决算为</w:t>
      </w:r>
      <w:r>
        <w:rPr>
          <w:rFonts w:hint="eastAsia" w:eastAsia="仿宋_GB2312" w:cs="仿宋_GB2312"/>
          <w:sz w:val="32"/>
          <w:szCs w:val="32"/>
          <w:lang w:val="en-US" w:eastAsia="zh-CN"/>
        </w:rPr>
        <w:t>9.58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pStyle w:val="2"/>
        <w:ind w:left="0" w:leftChars="0" w:firstLine="640" w:firstLineChars="200"/>
        <w:rPr>
          <w:rFonts w:hint="default" w:ascii="Times New Roman" w:hAnsi="Times New Roman" w:eastAsia="仿宋_GB2312" w:cs="Times New Roman"/>
          <w:sz w:val="32"/>
          <w:szCs w:val="32"/>
          <w:lang w:eastAsia="zh-CN"/>
        </w:rPr>
      </w:pPr>
      <w:r>
        <w:rPr>
          <w:rFonts w:hint="eastAsia" w:ascii="Times New Roman" w:eastAsia="仿宋_GB2312" w:cs="Times New Roman"/>
          <w:sz w:val="32"/>
          <w:szCs w:val="32"/>
          <w:lang w:val="en-US" w:eastAsia="zh-CN"/>
        </w:rPr>
        <w:t>10</w:t>
      </w:r>
      <w:r>
        <w:rPr>
          <w:rFonts w:hint="default" w:ascii="Times New Roman" w:hAnsi="Times New Roman" w:eastAsia="仿宋_GB2312" w:cs="Times New Roman"/>
          <w:sz w:val="32"/>
          <w:szCs w:val="32"/>
        </w:rPr>
        <w:t>.卫生健康（类）</w:t>
      </w:r>
      <w:r>
        <w:rPr>
          <w:rFonts w:hint="default" w:ascii="Times New Roman" w:hAnsi="Times New Roman" w:eastAsia="仿宋_GB2312" w:cs="Times New Roman"/>
          <w:sz w:val="32"/>
          <w:szCs w:val="32"/>
          <w:lang w:eastAsia="zh-CN"/>
        </w:rPr>
        <w:t>行政事业单位医疗</w:t>
      </w:r>
      <w:r>
        <w:rPr>
          <w:rFonts w:hint="default" w:ascii="Times New Roman" w:hAnsi="Times New Roman" w:eastAsia="仿宋_GB2312" w:cs="Times New Roman"/>
          <w:sz w:val="32"/>
          <w:szCs w:val="32"/>
        </w:rPr>
        <w:t>（款）</w:t>
      </w:r>
      <w:r>
        <w:rPr>
          <w:rFonts w:hint="eastAsia" w:ascii="Times New Roman" w:eastAsia="仿宋_GB2312" w:cs="Times New Roman"/>
          <w:sz w:val="32"/>
          <w:szCs w:val="32"/>
          <w:lang w:eastAsia="zh-CN"/>
        </w:rPr>
        <w:t>公务员医疗补助</w:t>
      </w:r>
      <w:r>
        <w:rPr>
          <w:rFonts w:hint="default" w:ascii="Times New Roman" w:hAnsi="Times New Roman" w:eastAsia="仿宋_GB2312" w:cs="Times New Roman"/>
          <w:sz w:val="32"/>
          <w:szCs w:val="32"/>
        </w:rPr>
        <w:t>（项）：支出决算为</w:t>
      </w:r>
      <w:r>
        <w:rPr>
          <w:rFonts w:hint="eastAsia" w:ascii="Times New Roman" w:eastAsia="仿宋_GB2312" w:cs="Times New Roman"/>
          <w:sz w:val="32"/>
          <w:szCs w:val="32"/>
          <w:lang w:val="en-US" w:eastAsia="zh-CN"/>
        </w:rPr>
        <w:t>1.02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%，决算数等于预算数</w:t>
      </w:r>
      <w:r>
        <w:rPr>
          <w:rFonts w:hint="default" w:ascii="Times New Roman" w:hAnsi="Times New Roman" w:eastAsia="仿宋_GB2312" w:cs="Times New Roman"/>
          <w:sz w:val="32"/>
          <w:szCs w:val="32"/>
          <w:lang w:eastAsia="zh-CN"/>
        </w:rPr>
        <w:t>。</w:t>
      </w:r>
    </w:p>
    <w:p>
      <w:pPr>
        <w:pStyle w:val="2"/>
        <w:ind w:left="0" w:leftChars="0" w:firstLine="640" w:firstLineChars="200"/>
        <w:rPr>
          <w:rFonts w:hint="default"/>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住房保障</w:t>
      </w:r>
      <w:r>
        <w:rPr>
          <w:rFonts w:hint="default" w:ascii="Times New Roman" w:hAnsi="Times New Roman" w:eastAsia="仿宋_GB2312" w:cs="Times New Roman"/>
          <w:sz w:val="32"/>
          <w:szCs w:val="32"/>
        </w:rPr>
        <w:t>（类）</w:t>
      </w:r>
      <w:r>
        <w:rPr>
          <w:rFonts w:hint="eastAsia" w:ascii="Times New Roman" w:eastAsia="仿宋_GB2312" w:cs="Times New Roman"/>
          <w:sz w:val="32"/>
          <w:szCs w:val="32"/>
          <w:lang w:eastAsia="zh-CN"/>
        </w:rPr>
        <w:t>住房改革</w:t>
      </w:r>
      <w:r>
        <w:rPr>
          <w:rFonts w:hint="default" w:ascii="Times New Roman" w:hAnsi="Times New Roman" w:eastAsia="仿宋_GB2312" w:cs="Times New Roman"/>
          <w:sz w:val="32"/>
          <w:szCs w:val="32"/>
        </w:rPr>
        <w:t>（款）</w:t>
      </w:r>
      <w:r>
        <w:rPr>
          <w:rFonts w:hint="eastAsia" w:ascii="Times New Roman" w:eastAsia="仿宋_GB2312" w:cs="Times New Roman"/>
          <w:sz w:val="32"/>
          <w:szCs w:val="32"/>
          <w:lang w:eastAsia="zh-CN"/>
        </w:rPr>
        <w:t>住房公积金</w:t>
      </w:r>
      <w:r>
        <w:rPr>
          <w:rFonts w:hint="default" w:ascii="Times New Roman" w:hAnsi="Times New Roman" w:eastAsia="仿宋_GB2312" w:cs="Times New Roman"/>
          <w:sz w:val="32"/>
          <w:szCs w:val="32"/>
        </w:rPr>
        <w:t>（项）：支出决算为</w:t>
      </w:r>
      <w:r>
        <w:rPr>
          <w:rFonts w:hint="eastAsia" w:ascii="Times New Roman" w:eastAsia="仿宋_GB2312" w:cs="Times New Roman"/>
          <w:sz w:val="32"/>
          <w:szCs w:val="32"/>
          <w:lang w:val="en-US" w:eastAsia="zh-CN"/>
        </w:rPr>
        <w:t>14.64</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%，决算数等于预算数</w:t>
      </w:r>
      <w:r>
        <w:rPr>
          <w:rFonts w:hint="default" w:ascii="Times New Roman" w:hAnsi="Times New Roman" w:eastAsia="仿宋_GB2312" w:cs="Times New Roman"/>
          <w:sz w:val="32"/>
          <w:szCs w:val="32"/>
          <w:lang w:eastAsia="zh-CN"/>
        </w:rPr>
        <w:t>。</w:t>
      </w:r>
    </w:p>
    <w:p>
      <w:pPr>
        <w:spacing w:line="600" w:lineRule="exact"/>
        <w:ind w:firstLine="640"/>
        <w:rPr>
          <w:rFonts w:eastAsia="仿宋_GB2312" w:cs="仿宋_GB2312"/>
          <w:sz w:val="32"/>
          <w:szCs w:val="32"/>
        </w:rPr>
      </w:pPr>
    </w:p>
    <w:p>
      <w:pPr>
        <w:tabs>
          <w:tab w:val="right" w:pos="8306"/>
        </w:tabs>
        <w:spacing w:line="600" w:lineRule="exact"/>
        <w:ind w:firstLine="640"/>
        <w:outlineLvl w:val="1"/>
        <w:rPr>
          <w:rStyle w:val="30"/>
          <w:rFonts w:ascii="Times New Roman" w:hAnsi="Times New Roman"/>
        </w:rPr>
      </w:pPr>
      <w:bookmarkStart w:id="47" w:name="_Toc15396608"/>
      <w:bookmarkStart w:id="48" w:name="_Toc15377214"/>
      <w:bookmarkStart w:id="49" w:name="_Toc1821125766"/>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47"/>
      <w:bookmarkEnd w:id="48"/>
      <w:bookmarkEnd w:id="49"/>
      <w:r>
        <w:rPr>
          <w:rStyle w:val="30"/>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240.94</w:t>
      </w:r>
      <w:r>
        <w:rPr>
          <w:rFonts w:hint="eastAsia" w:eastAsia="仿宋_GB2312" w:cs="仿宋_GB2312"/>
          <w:sz w:val="32"/>
          <w:szCs w:val="32"/>
        </w:rPr>
        <w:t>万元，其中：</w:t>
      </w:r>
    </w:p>
    <w:p>
      <w:pPr>
        <w:spacing w:line="600" w:lineRule="exact"/>
        <w:ind w:firstLine="640"/>
        <w:rPr>
          <w:rFonts w:hint="eastAsia"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219.69</w:t>
      </w:r>
      <w:r>
        <w:rPr>
          <w:rFonts w:hint="eastAsia" w:eastAsia="仿宋_GB2312" w:cs="仿宋_GB2312"/>
          <w:sz w:val="32"/>
          <w:szCs w:val="32"/>
        </w:rPr>
        <w:t>万元，主要包括：基本工资、津贴补贴、奖金、机关事业单位基本养老保险缴费、职业年金缴费、其他社会保障缴费、其他工资福利支出、生活补助、医疗费补助、奖励金、住房公积金等。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21.25</w:t>
      </w:r>
      <w:r>
        <w:rPr>
          <w:rFonts w:hint="eastAsia" w:eastAsia="仿宋_GB2312" w:cs="仿宋_GB2312"/>
          <w:sz w:val="32"/>
          <w:szCs w:val="32"/>
        </w:rPr>
        <w:t>万元，主要包括：办公费、印刷费、水费、电费、邮电费、物业管理费、差旅费、维修（护）费、租赁费、公务接待费、劳务费、委托业务费、工会经费、福利费、其他交通费、其他商品和服务支出、办公设备购置等。</w:t>
      </w:r>
    </w:p>
    <w:p>
      <w:pPr>
        <w:spacing w:line="600" w:lineRule="exact"/>
        <w:ind w:firstLine="640"/>
        <w:rPr>
          <w:rFonts w:hint="eastAsia" w:eastAsia="仿宋_GB2312" w:cs="仿宋_GB2312"/>
          <w:sz w:val="32"/>
          <w:szCs w:val="32"/>
        </w:rPr>
      </w:pPr>
    </w:p>
    <w:p>
      <w:pPr>
        <w:spacing w:line="600" w:lineRule="exact"/>
        <w:ind w:firstLine="640"/>
        <w:outlineLvl w:val="1"/>
        <w:rPr>
          <w:rStyle w:val="30"/>
          <w:rFonts w:ascii="Times New Roman" w:hAnsi="Times New Roman" w:eastAsia="黑体"/>
          <w:b w:val="0"/>
        </w:rPr>
      </w:pPr>
      <w:bookmarkStart w:id="50" w:name="_Toc15396609"/>
      <w:bookmarkStart w:id="51" w:name="_Toc1159166371"/>
      <w:bookmarkStart w:id="52" w:name="_Toc1537721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50"/>
      <w:bookmarkEnd w:id="51"/>
      <w:bookmarkEnd w:id="52"/>
    </w:p>
    <w:p>
      <w:pPr>
        <w:spacing w:line="600" w:lineRule="exact"/>
        <w:ind w:firstLine="642" w:firstLineChars="200"/>
        <w:outlineLvl w:val="2"/>
        <w:rPr>
          <w:rFonts w:eastAsia="楷体_GB2312" w:cs="楷体_GB2312"/>
          <w:b/>
          <w:sz w:val="32"/>
          <w:szCs w:val="32"/>
        </w:rPr>
      </w:pPr>
      <w:bookmarkStart w:id="53" w:name="_Toc15377216"/>
      <w:r>
        <w:rPr>
          <w:rFonts w:hint="eastAsia" w:eastAsia="楷体_GB2312" w:cs="楷体_GB2312"/>
          <w:b/>
          <w:sz w:val="32"/>
          <w:szCs w:val="32"/>
        </w:rPr>
        <w:t>（一）财政拨款“三公”经费支出决算总体情况说明</w:t>
      </w:r>
      <w:bookmarkEnd w:id="53"/>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0.24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与上年度持平</w:t>
      </w:r>
      <w:r>
        <w:rPr>
          <w:rFonts w:hint="eastAsia" w:eastAsia="仿宋_GB2312" w:cs="仿宋_GB2312"/>
          <w:sz w:val="32"/>
          <w:szCs w:val="32"/>
        </w:rPr>
        <w:t>。决算数与预算数持平</w:t>
      </w:r>
      <w:r>
        <w:rPr>
          <w:rFonts w:hint="eastAsia" w:eastAsia="仿宋_GB2312" w:cs="仿宋_GB2312"/>
          <w:sz w:val="32"/>
          <w:szCs w:val="32"/>
          <w:lang w:eastAsia="zh-CN"/>
        </w:rPr>
        <w:t>。</w:t>
      </w:r>
    </w:p>
    <w:p>
      <w:pPr>
        <w:spacing w:line="600" w:lineRule="exact"/>
        <w:ind w:firstLine="642" w:firstLineChars="200"/>
        <w:outlineLvl w:val="2"/>
        <w:rPr>
          <w:rFonts w:eastAsia="楷体_GB2312" w:cs="楷体_GB2312"/>
          <w:b/>
          <w:sz w:val="32"/>
          <w:szCs w:val="32"/>
        </w:rPr>
      </w:pPr>
      <w:bookmarkStart w:id="54" w:name="_Toc15377217"/>
      <w:r>
        <w:rPr>
          <w:rFonts w:hint="eastAsia" w:eastAsia="楷体_GB2312" w:cs="楷体_GB2312"/>
          <w:b/>
          <w:sz w:val="32"/>
          <w:szCs w:val="32"/>
        </w:rPr>
        <w:t>（二）财政拨款“三公”经费支出决算具体情况说明</w:t>
      </w:r>
      <w:bookmarkEnd w:id="54"/>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0.24</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%。具体情况如下：</w:t>
      </w:r>
    </w:p>
    <w:p>
      <w:pPr>
        <w:spacing w:line="600" w:lineRule="exact"/>
        <w:ind w:firstLine="640"/>
        <w:rPr>
          <w:rFonts w:hint="eastAsia" w:eastAsia="仿宋_GB2312" w:cs="仿宋_GB2312"/>
          <w:sz w:val="32"/>
          <w:szCs w:val="32"/>
        </w:rPr>
      </w:pPr>
      <w:r>
        <w:rPr>
          <w:rFonts w:hint="eastAsia"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175895</wp:posOffset>
            </wp:positionH>
            <wp:positionV relativeFrom="paragraph">
              <wp:posOffset>99695</wp:posOffset>
            </wp:positionV>
            <wp:extent cx="5080000" cy="2898140"/>
            <wp:effectExtent l="4445" t="4445" r="20955" b="1206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960" w:firstLineChars="300"/>
        <w:rPr>
          <w:rFonts w:hint="eastAsia" w:eastAsia="仿宋_GB2312" w:cs="仿宋_GB2312"/>
          <w:b/>
          <w:bCs/>
          <w:sz w:val="32"/>
          <w:szCs w:val="32"/>
        </w:rPr>
      </w:pPr>
      <w:r>
        <w:rPr>
          <w:rFonts w:hint="eastAsia" w:eastAsia="仿宋_GB2312" w:cs="仿宋_GB2312"/>
          <w:sz w:val="32"/>
          <w:szCs w:val="32"/>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0.24</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0.24</w:t>
      </w:r>
      <w:r>
        <w:rPr>
          <w:rFonts w:hint="eastAsia" w:eastAsia="仿宋_GB2312" w:cs="仿宋_GB2312"/>
          <w:sz w:val="32"/>
          <w:szCs w:val="32"/>
        </w:rPr>
        <w:t>万元，主要用于执行公务、开展业务活动开支的交通费、住宿费、用餐费等</w:t>
      </w:r>
      <w:r>
        <w:rPr>
          <w:rFonts w:hint="eastAsia" w:eastAsia="仿宋_GB2312" w:cs="仿宋_GB2312"/>
          <w:sz w:val="32"/>
          <w:szCs w:val="32"/>
          <w:lang w:eastAsia="zh-CN"/>
        </w:rPr>
        <w:t>。</w:t>
      </w:r>
      <w:r>
        <w:rPr>
          <w:rFonts w:hint="eastAsia" w:eastAsia="仿宋_GB2312" w:cs="仿宋_GB2312"/>
          <w:sz w:val="32"/>
          <w:szCs w:val="32"/>
        </w:rPr>
        <w:t>国内公务接待</w:t>
      </w:r>
      <w:r>
        <w:rPr>
          <w:rFonts w:hint="eastAsia" w:eastAsia="仿宋_GB2312" w:cs="仿宋_GB2312"/>
          <w:sz w:val="32"/>
          <w:szCs w:val="32"/>
          <w:lang w:val="en-US" w:eastAsia="zh-CN"/>
        </w:rPr>
        <w:t>3</w:t>
      </w:r>
      <w:r>
        <w:rPr>
          <w:rFonts w:hint="eastAsia" w:eastAsia="仿宋_GB2312" w:cs="仿宋_GB2312"/>
          <w:sz w:val="32"/>
          <w:szCs w:val="32"/>
        </w:rPr>
        <w:t>批次，</w:t>
      </w:r>
      <w:r>
        <w:rPr>
          <w:rFonts w:hint="eastAsia" w:eastAsia="仿宋_GB2312" w:cs="仿宋_GB2312"/>
          <w:sz w:val="32"/>
          <w:szCs w:val="32"/>
          <w:lang w:val="en-US" w:eastAsia="zh-CN"/>
        </w:rPr>
        <w:t>23</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0.24</w:t>
      </w:r>
      <w:r>
        <w:rPr>
          <w:rFonts w:hint="eastAsia" w:eastAsia="仿宋_GB2312" w:cs="仿宋_GB2312"/>
          <w:sz w:val="32"/>
          <w:szCs w:val="32"/>
        </w:rPr>
        <w:t>万元，具体内容包括：</w:t>
      </w:r>
      <w:r>
        <w:rPr>
          <w:rFonts w:eastAsia="仿宋_GB2312"/>
          <w:sz w:val="32"/>
          <w:szCs w:val="32"/>
        </w:rPr>
        <w:t>接待四川省委党史研究室一行</w:t>
      </w:r>
      <w:r>
        <w:rPr>
          <w:rFonts w:hint="eastAsia" w:eastAsia="仿宋_GB2312"/>
          <w:sz w:val="32"/>
          <w:szCs w:val="32"/>
          <w:lang w:val="en-US" w:eastAsia="zh-CN"/>
        </w:rPr>
        <w:t>191.4</w:t>
      </w:r>
      <w:r>
        <w:rPr>
          <w:rFonts w:eastAsia="仿宋_GB2312"/>
          <w:sz w:val="32"/>
          <w:szCs w:val="32"/>
        </w:rPr>
        <w:t>元；接待</w:t>
      </w:r>
      <w:r>
        <w:rPr>
          <w:rFonts w:hint="eastAsia" w:eastAsia="仿宋_GB2312"/>
          <w:sz w:val="32"/>
          <w:szCs w:val="32"/>
          <w:lang w:eastAsia="zh-CN"/>
        </w:rPr>
        <w:t>广元市</w:t>
      </w:r>
      <w:r>
        <w:rPr>
          <w:rFonts w:eastAsia="仿宋_GB2312"/>
          <w:sz w:val="32"/>
          <w:szCs w:val="32"/>
        </w:rPr>
        <w:t>委党史研究室一行</w:t>
      </w:r>
      <w:r>
        <w:rPr>
          <w:rFonts w:hint="eastAsia" w:eastAsia="仿宋_GB2312"/>
          <w:sz w:val="32"/>
          <w:szCs w:val="32"/>
          <w:lang w:val="en-US" w:eastAsia="zh-CN"/>
        </w:rPr>
        <w:t>2106</w:t>
      </w:r>
      <w:r>
        <w:rPr>
          <w:rFonts w:eastAsia="仿宋_GB2312"/>
          <w:sz w:val="32"/>
          <w:szCs w:val="32"/>
        </w:rPr>
        <w:t>元；接待</w:t>
      </w:r>
      <w:r>
        <w:rPr>
          <w:rFonts w:hint="eastAsia" w:eastAsia="仿宋_GB2312"/>
          <w:sz w:val="32"/>
          <w:szCs w:val="32"/>
          <w:lang w:eastAsia="zh-CN"/>
        </w:rPr>
        <w:t>辽宁</w:t>
      </w:r>
      <w:r>
        <w:rPr>
          <w:rFonts w:eastAsia="仿宋_GB2312"/>
          <w:sz w:val="32"/>
          <w:szCs w:val="32"/>
        </w:rPr>
        <w:t>省委党史研究室一行</w:t>
      </w:r>
      <w:r>
        <w:rPr>
          <w:rFonts w:hint="eastAsia" w:eastAsia="仿宋_GB2312"/>
          <w:sz w:val="32"/>
          <w:szCs w:val="32"/>
          <w:lang w:val="en-US" w:eastAsia="zh-CN"/>
        </w:rPr>
        <w:t>138.9</w:t>
      </w:r>
      <w:r>
        <w:rPr>
          <w:rFonts w:eastAsia="仿宋_GB2312"/>
          <w:sz w:val="32"/>
          <w:szCs w:val="32"/>
        </w:rPr>
        <w:t>元</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bookmarkStart w:id="55" w:name="_Toc15377218"/>
      <w:bookmarkStart w:id="56" w:name="_Toc15396610"/>
    </w:p>
    <w:p>
      <w:pPr>
        <w:spacing w:line="600" w:lineRule="exact"/>
        <w:ind w:firstLine="640"/>
        <w:outlineLvl w:val="1"/>
        <w:rPr>
          <w:rStyle w:val="30"/>
          <w:rFonts w:ascii="Times New Roman" w:hAnsi="Times New Roman" w:eastAsia="黑体"/>
        </w:rPr>
      </w:pPr>
      <w:bookmarkStart w:id="57" w:name="_Toc17231312"/>
      <w:r>
        <w:rPr>
          <w:rFonts w:hint="eastAsia" w:eastAsia="黑体"/>
          <w:sz w:val="32"/>
          <w:szCs w:val="32"/>
        </w:rPr>
        <w:t>八、</w:t>
      </w:r>
      <w:r>
        <w:rPr>
          <w:rStyle w:val="30"/>
          <w:rFonts w:hint="eastAsia" w:ascii="Times New Roman" w:hAnsi="Times New Roman" w:eastAsia="黑体"/>
          <w:b w:val="0"/>
        </w:rPr>
        <w:t>政府性基金预算支出决算情况说明</w:t>
      </w:r>
      <w:bookmarkEnd w:id="55"/>
      <w:bookmarkEnd w:id="56"/>
      <w:bookmarkEnd w:id="57"/>
    </w:p>
    <w:p>
      <w:pPr>
        <w:spacing w:line="600" w:lineRule="exact"/>
        <w:ind w:firstLine="640"/>
        <w:rPr>
          <w:rFonts w:hint="eastAsia" w:eastAsia="仿宋_GB2312" w:cs="仿宋_GB2312"/>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r>
        <w:rPr>
          <w:rFonts w:hint="eastAsia" w:eastAsia="仿宋_GB2312" w:cs="仿宋_GB2312"/>
          <w:sz w:val="32"/>
          <w:szCs w:val="32"/>
        </w:rPr>
        <w:t>。</w:t>
      </w:r>
    </w:p>
    <w:p>
      <w:pPr>
        <w:spacing w:line="600" w:lineRule="exact"/>
        <w:ind w:firstLine="640"/>
        <w:rPr>
          <w:rFonts w:hint="eastAsia" w:eastAsia="仿宋_GB2312" w:cs="仿宋_GB2312"/>
          <w:sz w:val="32"/>
          <w:szCs w:val="32"/>
        </w:rPr>
      </w:pPr>
    </w:p>
    <w:p>
      <w:pPr>
        <w:spacing w:line="600" w:lineRule="exact"/>
        <w:ind w:left="630"/>
        <w:outlineLvl w:val="1"/>
        <w:rPr>
          <w:rStyle w:val="30"/>
          <w:rFonts w:ascii="Times New Roman" w:hAnsi="Times New Roman" w:eastAsia="黑体"/>
          <w:b w:val="0"/>
        </w:rPr>
      </w:pPr>
      <w:bookmarkStart w:id="58" w:name="_Toc1596176125"/>
      <w:bookmarkStart w:id="59" w:name="_Toc15396611"/>
      <w:bookmarkStart w:id="60" w:name="_Toc15377219"/>
      <w:r>
        <w:rPr>
          <w:rStyle w:val="30"/>
          <w:rFonts w:hint="eastAsia" w:ascii="Times New Roman" w:hAnsi="Times New Roman" w:eastAsia="黑体"/>
          <w:b w:val="0"/>
        </w:rPr>
        <w:t>九、国有资本经营预算支出决算情况说明</w:t>
      </w:r>
      <w:bookmarkEnd w:id="58"/>
      <w:bookmarkEnd w:id="59"/>
      <w:bookmarkEnd w:id="60"/>
    </w:p>
    <w:p>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与</w:t>
      </w:r>
      <w:r>
        <w:rPr>
          <w:rFonts w:hint="eastAsia" w:eastAsia="仿宋_GB2312" w:cs="仿宋_GB2312"/>
          <w:sz w:val="32"/>
          <w:szCs w:val="32"/>
          <w:lang w:val="en-US" w:eastAsia="zh-CN"/>
        </w:rPr>
        <w:t>2024年度持平。</w:t>
      </w:r>
    </w:p>
    <w:p>
      <w:pPr>
        <w:spacing w:line="600" w:lineRule="exact"/>
        <w:ind w:firstLine="640"/>
        <w:rPr>
          <w:rFonts w:hint="eastAsia" w:eastAsia="仿宋_GB2312" w:cs="仿宋_GB2312"/>
          <w:sz w:val="32"/>
          <w:szCs w:val="32"/>
          <w:lang w:val="en-US" w:eastAsia="zh-CN"/>
        </w:rPr>
      </w:pPr>
    </w:p>
    <w:p>
      <w:pPr>
        <w:spacing w:line="600" w:lineRule="exact"/>
        <w:ind w:left="630"/>
        <w:outlineLvl w:val="1"/>
        <w:rPr>
          <w:rStyle w:val="30"/>
          <w:rFonts w:ascii="Times New Roman" w:hAnsi="Times New Roman" w:eastAsia="黑体"/>
          <w:b w:val="0"/>
        </w:rPr>
      </w:pPr>
      <w:bookmarkStart w:id="61" w:name="_Toc15377221"/>
      <w:bookmarkStart w:id="62" w:name="_Toc654067719"/>
      <w:bookmarkStart w:id="63" w:name="_Toc15396612"/>
      <w:r>
        <w:rPr>
          <w:rStyle w:val="30"/>
          <w:rFonts w:hint="eastAsia" w:ascii="Times New Roman" w:hAnsi="Times New Roman" w:eastAsia="黑体"/>
          <w:b w:val="0"/>
        </w:rPr>
        <w:t>十、其他重要事项的情况说明</w:t>
      </w:r>
      <w:bookmarkEnd w:id="61"/>
      <w:bookmarkEnd w:id="62"/>
      <w:bookmarkEnd w:id="63"/>
    </w:p>
    <w:p>
      <w:pPr>
        <w:spacing w:line="600" w:lineRule="exact"/>
        <w:ind w:firstLine="642" w:firstLineChars="200"/>
        <w:outlineLvl w:val="2"/>
        <w:rPr>
          <w:rFonts w:eastAsia="楷体_GB2312" w:cs="楷体_GB2312"/>
          <w:b/>
          <w:sz w:val="32"/>
          <w:szCs w:val="32"/>
        </w:rPr>
      </w:pPr>
      <w:bookmarkStart w:id="64" w:name="_Toc15377222"/>
      <w:r>
        <w:rPr>
          <w:rFonts w:hint="eastAsia" w:eastAsia="楷体_GB2312" w:cs="楷体_GB2312"/>
          <w:b/>
          <w:sz w:val="32"/>
          <w:szCs w:val="32"/>
        </w:rPr>
        <w:t>（一）机关运行经费支出情况</w:t>
      </w:r>
      <w:bookmarkEnd w:id="64"/>
    </w:p>
    <w:p>
      <w:pPr>
        <w:spacing w:line="600" w:lineRule="exact"/>
        <w:ind w:firstLine="640"/>
        <w:rPr>
          <w:rFonts w:hint="eastAsia" w:ascii="仿宋_GB2312" w:hAnsi="仿宋" w:eastAsia="仿宋_GB2312" w:cs="仿宋"/>
          <w:color w:val="000000"/>
          <w:sz w:val="32"/>
          <w:szCs w:val="32"/>
          <w:lang w:val="en-US" w:eastAsia="zh-CN"/>
        </w:rPr>
      </w:pPr>
      <w:r>
        <w:rPr>
          <w:rFonts w:hint="eastAsia" w:eastAsia="仿宋_GB2312" w:cs="仿宋_GB2312"/>
          <w:sz w:val="32"/>
          <w:szCs w:val="32"/>
        </w:rPr>
        <w:t>2025年度，</w:t>
      </w:r>
      <w:r>
        <w:rPr>
          <w:rFonts w:hint="eastAsia" w:eastAsia="仿宋_GB2312" w:cs="仿宋_GB2312"/>
          <w:sz w:val="32"/>
          <w:szCs w:val="32"/>
          <w:lang w:eastAsia="zh-CN"/>
        </w:rPr>
        <w:t>中国共产党攀枝花市委员会党史研究室</w:t>
      </w:r>
      <w:r>
        <w:rPr>
          <w:rFonts w:hint="eastAsia" w:eastAsia="仿宋_GB2312" w:cs="仿宋_GB2312"/>
          <w:sz w:val="32"/>
          <w:szCs w:val="32"/>
        </w:rPr>
        <w:t>机关运行经费支出</w:t>
      </w:r>
      <w:r>
        <w:rPr>
          <w:rFonts w:hint="eastAsia" w:eastAsia="仿宋_GB2312" w:cs="仿宋_GB2312"/>
          <w:sz w:val="32"/>
          <w:szCs w:val="32"/>
          <w:lang w:val="en-US" w:eastAsia="zh-CN"/>
        </w:rPr>
        <w:t>21.25</w:t>
      </w:r>
      <w:r>
        <w:rPr>
          <w:rFonts w:hint="eastAsia" w:eastAsia="仿宋_GB2312" w:cs="仿宋_GB2312"/>
          <w:sz w:val="32"/>
          <w:szCs w:val="32"/>
        </w:rPr>
        <w:t>万元，比上年度减少</w:t>
      </w:r>
      <w:r>
        <w:rPr>
          <w:rFonts w:hint="eastAsia" w:eastAsia="仿宋_GB2312" w:cs="仿宋_GB2312"/>
          <w:sz w:val="32"/>
          <w:szCs w:val="32"/>
          <w:lang w:val="en-US" w:eastAsia="zh-CN"/>
        </w:rPr>
        <w:t>2.09</w:t>
      </w:r>
      <w:r>
        <w:rPr>
          <w:rFonts w:hint="eastAsia" w:eastAsia="仿宋_GB2312" w:cs="仿宋_GB2312"/>
          <w:sz w:val="32"/>
          <w:szCs w:val="32"/>
        </w:rPr>
        <w:t>万元，下降</w:t>
      </w:r>
      <w:r>
        <w:rPr>
          <w:rFonts w:hint="eastAsia" w:eastAsia="仿宋_GB2312" w:cs="仿宋_GB2312"/>
          <w:sz w:val="32"/>
          <w:szCs w:val="32"/>
          <w:lang w:val="en-US" w:eastAsia="zh-CN"/>
        </w:rPr>
        <w:t>8.9</w:t>
      </w:r>
      <w:r>
        <w:rPr>
          <w:rFonts w:hint="eastAsia" w:eastAsia="仿宋_GB2312" w:cs="仿宋_GB2312"/>
          <w:sz w:val="32"/>
          <w:szCs w:val="32"/>
        </w:rPr>
        <w:t>%。主要原因是</w:t>
      </w:r>
      <w:r>
        <w:rPr>
          <w:rFonts w:hint="default" w:ascii="Times New Roman" w:hAnsi="Times New Roman" w:eastAsia="仿宋_GB2312" w:cs="Times New Roman"/>
          <w:color w:val="000000"/>
          <w:sz w:val="32"/>
          <w:szCs w:val="32"/>
          <w:lang w:val="en-US" w:eastAsia="zh-CN"/>
        </w:rPr>
        <w:t>2025</w:t>
      </w:r>
      <w:r>
        <w:rPr>
          <w:rFonts w:hint="eastAsia" w:ascii="仿宋_GB2312" w:hAnsi="仿宋" w:eastAsia="仿宋_GB2312" w:cs="仿宋"/>
          <w:color w:val="000000"/>
          <w:sz w:val="32"/>
          <w:szCs w:val="32"/>
          <w:lang w:val="en-US" w:eastAsia="zh-CN"/>
        </w:rPr>
        <w:t>年度未支付党报党刊等党建经费。</w:t>
      </w:r>
    </w:p>
    <w:p>
      <w:pPr>
        <w:spacing w:line="600" w:lineRule="exact"/>
        <w:ind w:firstLine="640"/>
        <w:rPr>
          <w:rFonts w:hint="eastAsia" w:ascii="仿宋_GB2312" w:hAnsi="仿宋" w:eastAsia="仿宋_GB2312" w:cs="仿宋"/>
          <w:color w:val="000000"/>
          <w:sz w:val="32"/>
          <w:szCs w:val="32"/>
          <w:lang w:val="en-US" w:eastAsia="zh-CN"/>
        </w:rPr>
      </w:pPr>
    </w:p>
    <w:p>
      <w:pPr>
        <w:spacing w:line="600" w:lineRule="exact"/>
        <w:ind w:firstLine="642" w:firstLineChars="200"/>
        <w:outlineLvl w:val="2"/>
        <w:rPr>
          <w:rFonts w:eastAsia="楷体_GB2312" w:cs="楷体_GB2312"/>
          <w:b/>
          <w:sz w:val="32"/>
          <w:szCs w:val="32"/>
        </w:rPr>
      </w:pPr>
      <w:bookmarkStart w:id="65" w:name="_Toc15377223"/>
      <w:r>
        <w:rPr>
          <w:rFonts w:hint="eastAsia" w:eastAsia="楷体_GB2312" w:cs="楷体_GB2312"/>
          <w:b/>
          <w:sz w:val="32"/>
          <w:szCs w:val="32"/>
        </w:rPr>
        <w:t>（二）政府采购支出情况</w:t>
      </w:r>
      <w:bookmarkEnd w:id="65"/>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中国共产党攀枝花市委员会党史研究室</w:t>
      </w:r>
      <w:r>
        <w:rPr>
          <w:rFonts w:hint="eastAsia" w:eastAsia="仿宋_GB2312" w:cs="仿宋_GB2312"/>
          <w:sz w:val="32"/>
          <w:szCs w:val="32"/>
        </w:rPr>
        <w:t>政府采购支出总额</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eastAsia="zh-CN"/>
        </w:rPr>
        <w:t>。</w:t>
      </w:r>
    </w:p>
    <w:p>
      <w:pPr>
        <w:spacing w:line="600" w:lineRule="exact"/>
        <w:ind w:firstLine="642" w:firstLineChars="200"/>
        <w:outlineLvl w:val="9"/>
        <w:rPr>
          <w:rFonts w:hint="eastAsia" w:eastAsia="楷体_GB2312" w:cs="楷体_GB2312"/>
          <w:b/>
          <w:sz w:val="32"/>
          <w:szCs w:val="32"/>
        </w:rPr>
      </w:pPr>
      <w:bookmarkStart w:id="66" w:name="_Toc15377224"/>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（三）国有资产占有使用情况</w:t>
      </w:r>
      <w:bookmarkEnd w:id="66"/>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eastAsia="zh-CN"/>
        </w:rPr>
        <w:t>中国共产党攀枝花市委员会党史研究室</w:t>
      </w:r>
      <w:r>
        <w:rPr>
          <w:rFonts w:hint="eastAsia" w:eastAsia="仿宋_GB2312" w:cs="仿宋_GB2312"/>
          <w:sz w:val="32"/>
          <w:szCs w:val="32"/>
        </w:rPr>
        <w:t>共有车辆</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hint="eastAsia"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中国共产党攀枝花市委员会党史研究室</w:t>
      </w:r>
      <w:r>
        <w:rPr>
          <w:rFonts w:hint="eastAsia" w:eastAsia="仿宋_GB2312" w:cs="仿宋_GB2312"/>
          <w:sz w:val="32"/>
          <w:szCs w:val="32"/>
        </w:rPr>
        <w:t>在2025年度，组织对</w:t>
      </w:r>
      <w:r>
        <w:rPr>
          <w:rFonts w:eastAsia="仿宋_GB2312"/>
          <w:sz w:val="32"/>
          <w:szCs w:val="32"/>
        </w:rPr>
        <w:t>编纂出版经费、关工委工作经费</w:t>
      </w:r>
      <w:r>
        <w:rPr>
          <w:rFonts w:hint="eastAsia" w:eastAsia="仿宋_GB2312"/>
          <w:sz w:val="32"/>
          <w:szCs w:val="32"/>
          <w:lang w:eastAsia="zh-CN"/>
        </w:rPr>
        <w:t>、市级挂职干部补助</w:t>
      </w:r>
      <w:r>
        <w:rPr>
          <w:rFonts w:hint="eastAsia" w:eastAsia="仿宋_GB2312"/>
          <w:sz w:val="32"/>
          <w:szCs w:val="32"/>
          <w:lang w:val="en-US" w:eastAsia="zh-CN"/>
        </w:rPr>
        <w:t>1、党史短视频经费</w:t>
      </w:r>
      <w:r>
        <w:rPr>
          <w:rFonts w:hint="eastAsia" w:eastAsia="仿宋_GB2312" w:cs="仿宋_GB2312"/>
          <w:sz w:val="32"/>
          <w:szCs w:val="32"/>
        </w:rPr>
        <w:t>等</w:t>
      </w:r>
      <w:r>
        <w:rPr>
          <w:rFonts w:hint="eastAsia" w:eastAsia="仿宋_GB2312" w:cs="仿宋_GB2312"/>
          <w:sz w:val="32"/>
          <w:szCs w:val="32"/>
          <w:lang w:val="en-US" w:eastAsia="zh-CN"/>
        </w:rPr>
        <w:t>4</w:t>
      </w:r>
      <w:r>
        <w:rPr>
          <w:rFonts w:hint="eastAsia" w:eastAsia="仿宋_GB2312" w:cs="仿宋_GB2312"/>
          <w:sz w:val="32"/>
          <w:szCs w:val="32"/>
        </w:rPr>
        <w:t>个项目涉及金额</w:t>
      </w:r>
      <w:r>
        <w:rPr>
          <w:rFonts w:hint="eastAsia" w:eastAsia="仿宋_GB2312" w:cs="仿宋_GB2312"/>
          <w:color w:val="000000" w:themeColor="text1"/>
          <w:sz w:val="32"/>
          <w:szCs w:val="32"/>
          <w:lang w:val="en-US" w:eastAsia="zh-CN"/>
          <w14:textFill>
            <w14:solidFill>
              <w14:schemeClr w14:val="tx1"/>
            </w14:solidFill>
          </w14:textFill>
        </w:rPr>
        <w:t>27.99</w:t>
      </w:r>
      <w:r>
        <w:rPr>
          <w:rFonts w:hint="eastAsia" w:eastAsia="仿宋_GB2312" w:cs="仿宋_GB2312"/>
          <w:sz w:val="32"/>
          <w:szCs w:val="32"/>
        </w:rPr>
        <w:t>万元开展了事前绩效评估，对</w:t>
      </w:r>
      <w:r>
        <w:rPr>
          <w:rFonts w:hint="eastAsia" w:eastAsia="仿宋_GB2312" w:cs="仿宋_GB2312"/>
          <w:sz w:val="32"/>
          <w:szCs w:val="32"/>
          <w:lang w:val="en-US" w:eastAsia="zh-CN"/>
        </w:rPr>
        <w:t>4</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4</w:t>
      </w:r>
      <w:r>
        <w:rPr>
          <w:rFonts w:hint="eastAsia" w:eastAsia="仿宋_GB2312" w:cs="仿宋_GB2312"/>
          <w:sz w:val="32"/>
          <w:szCs w:val="32"/>
        </w:rPr>
        <w:t>个项目开展绩效监控。</w:t>
      </w:r>
      <w:bookmarkStart w:id="67" w:name="_Toc15377225"/>
      <w:bookmarkStart w:id="68" w:name="_Toc15396613"/>
    </w:p>
    <w:p>
      <w:pPr>
        <w:rPr>
          <w:rFonts w:hint="eastAsia" w:eastAsia="仿宋_GB2312" w:cs="仿宋_GB2312"/>
          <w:sz w:val="32"/>
          <w:szCs w:val="32"/>
        </w:rPr>
      </w:pPr>
      <w:r>
        <w:rPr>
          <w:rFonts w:hint="eastAsia" w:eastAsia="仿宋_GB2312" w:cs="仿宋_GB2312"/>
          <w:sz w:val="32"/>
          <w:szCs w:val="32"/>
        </w:rPr>
        <w:br w:type="page"/>
      </w:r>
    </w:p>
    <w:p>
      <w:pPr>
        <w:pStyle w:val="5"/>
        <w:bidi w:val="0"/>
        <w:jc w:val="center"/>
        <w:rPr>
          <w:rFonts w:hint="eastAsia" w:ascii="黑体" w:hAnsi="黑体" w:eastAsia="黑体" w:cs="黑体"/>
          <w:b w:val="0"/>
          <w:bCs w:val="0"/>
        </w:rPr>
      </w:pPr>
      <w:bookmarkStart w:id="69" w:name="_Toc551618514"/>
      <w:r>
        <w:rPr>
          <w:rFonts w:hint="eastAsia" w:ascii="黑体" w:hAnsi="黑体" w:eastAsia="黑体" w:cs="黑体"/>
          <w:b w:val="0"/>
          <w:bCs w:val="0"/>
        </w:rPr>
        <w:t>第三部分  名词解释</w:t>
      </w:r>
      <w:bookmarkEnd w:id="67"/>
      <w:bookmarkEnd w:id="68"/>
      <w:bookmarkEnd w:id="69"/>
    </w:p>
    <w:p>
      <w:pPr>
        <w:spacing w:line="600" w:lineRule="exact"/>
        <w:jc w:val="left"/>
        <w:rPr>
          <w:b/>
          <w:sz w:val="44"/>
          <w:szCs w:val="44"/>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2.一般公共服务（类）</w:t>
      </w:r>
      <w:r>
        <w:rPr>
          <w:rFonts w:hint="default" w:ascii="Times New Roman" w:hAnsi="Times New Roman" w:eastAsia="仿宋_GB2312" w:cs="Times New Roman"/>
          <w:sz w:val="32"/>
          <w:szCs w:val="32"/>
          <w:lang w:eastAsia="zh-CN"/>
        </w:rPr>
        <w:t>党委办公厅</w:t>
      </w:r>
      <w:r>
        <w:rPr>
          <w:rFonts w:hint="default" w:ascii="Times New Roman" w:hAnsi="Times New Roman" w:eastAsia="仿宋_GB2312" w:cs="Times New Roman"/>
          <w:sz w:val="32"/>
          <w:szCs w:val="32"/>
          <w:lang w:val="en-US" w:eastAsia="zh-CN"/>
        </w:rPr>
        <w:t>及相关机构事务</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行政运行</w:t>
      </w:r>
      <w:r>
        <w:rPr>
          <w:rFonts w:hint="default" w:ascii="Times New Roman" w:hAnsi="Times New Roman" w:eastAsia="仿宋_GB2312" w:cs="Times New Roman"/>
          <w:sz w:val="32"/>
          <w:szCs w:val="32"/>
        </w:rPr>
        <w:t>（项）：指反映行政单位（包括实行公务员管理的事业单位）</w:t>
      </w:r>
      <w:r>
        <w:rPr>
          <w:rFonts w:hint="default" w:ascii="Times New Roman" w:hAnsi="Times New Roman" w:eastAsia="仿宋_GB2312" w:cs="Times New Roman"/>
          <w:sz w:val="32"/>
          <w:szCs w:val="32"/>
          <w:lang w:eastAsia="zh-CN"/>
        </w:rPr>
        <w:t>的基本支出</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3.一般公共服务（类）</w:t>
      </w:r>
      <w:r>
        <w:rPr>
          <w:rFonts w:hint="default" w:ascii="Times New Roman" w:hAnsi="Times New Roman" w:eastAsia="仿宋_GB2312" w:cs="Times New Roman"/>
          <w:sz w:val="32"/>
          <w:szCs w:val="32"/>
          <w:lang w:eastAsia="zh-CN"/>
        </w:rPr>
        <w:t>党委办公厅</w:t>
      </w:r>
      <w:r>
        <w:rPr>
          <w:rFonts w:hint="default" w:ascii="Times New Roman" w:hAnsi="Times New Roman" w:eastAsia="仿宋_GB2312" w:cs="Times New Roman"/>
          <w:sz w:val="32"/>
          <w:szCs w:val="32"/>
          <w:lang w:val="en-US" w:eastAsia="zh-CN"/>
        </w:rPr>
        <w:t>及相关机构事务</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一般行政管理事务</w:t>
      </w:r>
      <w:r>
        <w:rPr>
          <w:rFonts w:hint="default" w:ascii="Times New Roman" w:hAnsi="Times New Roman" w:eastAsia="仿宋_GB2312" w:cs="Times New Roman"/>
          <w:sz w:val="32"/>
          <w:szCs w:val="32"/>
        </w:rPr>
        <w:t>（项）：指反映行政单位（包括实行公务员管理的事业单位）</w:t>
      </w:r>
      <w:r>
        <w:rPr>
          <w:rFonts w:hint="default" w:ascii="Times New Roman" w:hAnsi="Times New Roman" w:eastAsia="仿宋_GB2312" w:cs="Times New Roman"/>
          <w:sz w:val="32"/>
          <w:szCs w:val="32"/>
          <w:lang w:eastAsia="zh-CN"/>
        </w:rPr>
        <w:t>未单独设置项级科目的其他项目支出。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.一般公共服务（类）</w:t>
      </w:r>
      <w:r>
        <w:rPr>
          <w:rFonts w:hint="default" w:ascii="Times New Roman" w:hAnsi="Times New Roman" w:eastAsia="仿宋_GB2312" w:cs="Times New Roman"/>
          <w:sz w:val="32"/>
          <w:szCs w:val="32"/>
          <w:lang w:eastAsia="zh-CN"/>
        </w:rPr>
        <w:t>组织事务</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其他组织事务支出</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反映除上述项目以外其他用于中国共产党组织部门的事务支出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公共安全</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eastAsia="zh-CN"/>
        </w:rPr>
        <w:t>强制隔离戒毒</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行政运行</w:t>
      </w:r>
      <w:r>
        <w:rPr>
          <w:rFonts w:hint="default" w:ascii="Times New Roman" w:hAnsi="Times New Roman" w:eastAsia="仿宋_GB2312" w:cs="Times New Roman"/>
          <w:sz w:val="32"/>
          <w:szCs w:val="32"/>
        </w:rPr>
        <w:t>（项）：指反映行政单位（包括实行公务员管理的事业单位）</w:t>
      </w:r>
      <w:r>
        <w:rPr>
          <w:rFonts w:hint="default" w:ascii="Times New Roman" w:hAnsi="Times New Roman" w:eastAsia="仿宋_GB2312" w:cs="Times New Roman"/>
          <w:sz w:val="32"/>
          <w:szCs w:val="32"/>
          <w:lang w:eastAsia="zh-CN"/>
        </w:rPr>
        <w:t>的基本支出。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.社会保障和就业（类）</w:t>
      </w:r>
      <w:r>
        <w:rPr>
          <w:rFonts w:hint="default" w:ascii="Times New Roman" w:hAnsi="Times New Roman" w:eastAsia="仿宋_GB2312" w:cs="Times New Roman"/>
          <w:sz w:val="32"/>
          <w:szCs w:val="32"/>
          <w:lang w:eastAsia="zh-CN"/>
        </w:rPr>
        <w:t>行政事业单位养老支出</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行政单位离退休</w:t>
      </w:r>
      <w:r>
        <w:rPr>
          <w:rFonts w:hint="default" w:ascii="Times New Roman" w:hAnsi="Times New Roman" w:eastAsia="仿宋_GB2312" w:cs="Times New Roman"/>
          <w:sz w:val="32"/>
          <w:szCs w:val="32"/>
        </w:rPr>
        <w:t>（项）：指反映行政单位（包括实行公务员管理的事业单位）开支的离退休经费</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.社会保障和就业（类）</w:t>
      </w:r>
      <w:r>
        <w:rPr>
          <w:rFonts w:hint="default" w:ascii="Times New Roman" w:hAnsi="Times New Roman" w:eastAsia="仿宋_GB2312" w:cs="Times New Roman"/>
          <w:sz w:val="32"/>
          <w:szCs w:val="32"/>
          <w:lang w:eastAsia="zh-CN"/>
        </w:rPr>
        <w:t>行政事业单位养老支出</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机关事业单位基本养老保险缴费支出</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反映机关事业单位实施养老保险制度由单位缴纳的基本养老保险费支出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.社会保障和就业（类）</w:t>
      </w:r>
      <w:r>
        <w:rPr>
          <w:rFonts w:hint="default" w:ascii="Times New Roman" w:hAnsi="Times New Roman" w:eastAsia="仿宋_GB2312" w:cs="Times New Roman"/>
          <w:sz w:val="32"/>
          <w:szCs w:val="32"/>
          <w:lang w:eastAsia="zh-CN"/>
        </w:rPr>
        <w:t>行政事业单位养老支出</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机关事业单位职业年金缴费支出</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反映机关事业单位实施养老保险制度由单位缴纳的</w:t>
      </w:r>
      <w:r>
        <w:rPr>
          <w:rFonts w:hint="default" w:ascii="Times New Roman" w:hAnsi="Times New Roman" w:eastAsia="仿宋_GB2312" w:cs="Times New Roman"/>
          <w:sz w:val="32"/>
          <w:szCs w:val="32"/>
          <w:lang w:eastAsia="zh-CN"/>
        </w:rPr>
        <w:t>职业年金</w:t>
      </w:r>
      <w:r>
        <w:rPr>
          <w:rFonts w:hint="default" w:ascii="Times New Roman" w:hAnsi="Times New Roman" w:eastAsia="仿宋_GB2312" w:cs="Times New Roman"/>
          <w:sz w:val="32"/>
          <w:szCs w:val="32"/>
        </w:rPr>
        <w:t>支出</w:t>
      </w:r>
      <w:r>
        <w:rPr>
          <w:rFonts w:hint="default" w:ascii="Times New Roman" w:hAnsi="Times New Roman" w:eastAsia="仿宋_GB2312" w:cs="Times New Roman"/>
          <w:sz w:val="32"/>
          <w:szCs w:val="32"/>
          <w:lang w:eastAsia="zh-CN"/>
        </w:rPr>
        <w:t>（含职业年金补记支出）。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.社会保障和就业（类）</w:t>
      </w:r>
      <w:r>
        <w:rPr>
          <w:rFonts w:hint="default" w:ascii="Times New Roman" w:hAnsi="Times New Roman" w:eastAsia="仿宋_GB2312" w:cs="Times New Roman"/>
          <w:sz w:val="32"/>
          <w:szCs w:val="32"/>
          <w:lang w:eastAsia="zh-CN"/>
        </w:rPr>
        <w:t>社会福利</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儿童福利</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反映对儿童提供福利服务方面的支出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.卫生健康（类）</w:t>
      </w:r>
      <w:r>
        <w:rPr>
          <w:rFonts w:hint="default" w:ascii="Times New Roman" w:hAnsi="Times New Roman" w:eastAsia="仿宋_GB2312" w:cs="Times New Roman"/>
          <w:sz w:val="32"/>
          <w:szCs w:val="32"/>
          <w:lang w:eastAsia="zh-CN"/>
        </w:rPr>
        <w:t>行政事业单位医疗</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行政单位医疗</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r>
        <w:rPr>
          <w:rFonts w:hint="default" w:ascii="Times New Roman" w:hAnsi="Times New Roman" w:eastAsia="仿宋_GB2312" w:cs="Times New Roman"/>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.卫生健康（类）</w:t>
      </w:r>
      <w:r>
        <w:rPr>
          <w:rFonts w:hint="default" w:ascii="Times New Roman" w:hAnsi="Times New Roman" w:eastAsia="仿宋_GB2312" w:cs="Times New Roman"/>
          <w:sz w:val="32"/>
          <w:szCs w:val="32"/>
          <w:lang w:eastAsia="zh-CN"/>
        </w:rPr>
        <w:t>行政事业单位医疗</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公务员医疗补助</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反映财政部门安排的公务员医疗补助经费</w:t>
      </w:r>
      <w:r>
        <w:rPr>
          <w:rFonts w:hint="default" w:ascii="Times New Roman" w:hAnsi="Times New Roman" w:eastAsia="仿宋_GB2312" w:cs="Times New Roman"/>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住房保障</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eastAsia="zh-CN"/>
        </w:rPr>
        <w:t>住房改革</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eastAsia="zh-CN"/>
        </w:rPr>
        <w:t>住房公积金</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eastAsia="zh-CN"/>
        </w:rPr>
        <w:t>指</w:t>
      </w:r>
      <w:r>
        <w:rPr>
          <w:rFonts w:hint="default" w:ascii="Times New Roman" w:hAnsi="Times New Roman" w:eastAsia="仿宋_GB2312" w:cs="Times New Roman"/>
          <w:sz w:val="32"/>
          <w:szCs w:val="32"/>
        </w:rPr>
        <w:t>反映行政事业单位按人力资源和社会保障部、财政部规定的基本工资和津贴补贴以及规定比例为职工缴纳的住房公积金</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29"/>
          <w:rFonts w:eastAsia="黑体"/>
          <w:b w:val="0"/>
        </w:rPr>
      </w:pPr>
      <w:bookmarkStart w:id="70" w:name="_Toc15377226"/>
      <w:r>
        <w:rPr>
          <w:rFonts w:hint="eastAsia" w:eastAsia="仿宋_GB2312" w:cs="仿宋_GB2312"/>
          <w:sz w:val="32"/>
          <w:szCs w:val="32"/>
        </w:rPr>
        <w:br w:type="page"/>
      </w:r>
      <w:bookmarkStart w:id="71" w:name="_Toc15396614"/>
      <w:bookmarkStart w:id="72" w:name="_Toc571046598"/>
      <w:r>
        <w:rPr>
          <w:rStyle w:val="29"/>
          <w:rFonts w:hint="eastAsia" w:ascii="黑体" w:hAnsi="黑体" w:eastAsia="黑体" w:cs="黑体"/>
          <w:b w:val="0"/>
          <w:bCs w:val="0"/>
        </w:rPr>
        <w:t>第四部分  附件</w:t>
      </w:r>
      <w:bookmarkEnd w:id="71"/>
      <w:bookmarkEnd w:id="72"/>
    </w:p>
    <w:p>
      <w:pPr>
        <w:pStyle w:val="14"/>
      </w:pPr>
    </w:p>
    <w:p>
      <w:pPr>
        <w:pStyle w:val="6"/>
        <w:bidi w:val="0"/>
        <w:rPr>
          <w:rFonts w:hint="default" w:ascii="Times New Roman" w:hAnsi="Times New Roman" w:eastAsia="黑体" w:cs="Times New Roman"/>
          <w:b w:val="0"/>
          <w:bCs w:val="0"/>
        </w:rPr>
      </w:pPr>
      <w:bookmarkStart w:id="73" w:name="_Toc141291733"/>
      <w:r>
        <w:rPr>
          <w:rFonts w:hint="default" w:ascii="Times New Roman" w:hAnsi="Times New Roman" w:eastAsia="黑体" w:cs="Times New Roman"/>
          <w:b w:val="0"/>
          <w:bCs w:val="0"/>
        </w:rPr>
        <w:t>附件1</w:t>
      </w:r>
      <w:bookmarkEnd w:id="73"/>
    </w:p>
    <w:p>
      <w:pPr>
        <w:widowControl/>
        <w:spacing w:line="578" w:lineRule="exact"/>
        <w:contextualSpacing/>
        <w:jc w:val="center"/>
        <w:rPr>
          <w:rFonts w:eastAsia="方正小标宋简体"/>
          <w:bCs/>
          <w:sz w:val="44"/>
          <w:szCs w:val="44"/>
          <w:shd w:val="clear" w:color="auto" w:fill="FFFFFF"/>
        </w:rPr>
      </w:pP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pPr>
        <w:widowControl/>
        <w:adjustRightInd w:val="0"/>
        <w:snapToGrid w:val="0"/>
        <w:spacing w:line="578" w:lineRule="exact"/>
        <w:ind w:firstLine="642" w:firstLineChars="200"/>
        <w:contextualSpacing/>
        <w:jc w:val="left"/>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default" w:ascii="Times New Roman" w:hAnsi="Times New Roman" w:eastAsia="仿宋_GB2312" w:cs="Times New Roman"/>
          <w:sz w:val="32"/>
          <w:szCs w:val="32"/>
          <w:lang w:val="zh-CN"/>
        </w:rPr>
        <w:t>市委党史研究室</w:t>
      </w:r>
      <w:r>
        <w:rPr>
          <w:rFonts w:hint="default" w:ascii="Times New Roman" w:hAnsi="Times New Roman" w:eastAsia="仿宋_GB2312" w:cs="Times New Roman"/>
          <w:sz w:val="32"/>
          <w:szCs w:val="32"/>
        </w:rPr>
        <w:t>为参照公务员法管理事业单位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内设科室</w:t>
      </w:r>
      <w:r>
        <w:rPr>
          <w:rFonts w:hint="default" w:ascii="Times New Roman" w:hAnsi="Times New Roman" w:eastAsia="仿宋_GB2312" w:cs="Times New Roman"/>
          <w:sz w:val="32"/>
          <w:szCs w:val="32"/>
          <w:lang w:val="en-US" w:eastAsia="zh-CN"/>
        </w:rPr>
        <w:t>3个，</w:t>
      </w:r>
      <w:r>
        <w:rPr>
          <w:rFonts w:hint="default" w:ascii="Times New Roman" w:hAnsi="Times New Roman" w:eastAsia="仿宋_GB2312" w:cs="Times New Roman"/>
          <w:sz w:val="32"/>
          <w:szCs w:val="32"/>
          <w:lang w:eastAsia="zh-CN"/>
        </w:rPr>
        <w:t>无</w:t>
      </w:r>
      <w:r>
        <w:rPr>
          <w:rFonts w:hint="default" w:ascii="Times New Roman" w:hAnsi="Times New Roman" w:eastAsia="仿宋_GB2312" w:cs="Times New Roman"/>
          <w:sz w:val="32"/>
          <w:szCs w:val="32"/>
        </w:rPr>
        <w:t>下属单位。</w:t>
      </w:r>
    </w:p>
    <w:p>
      <w:pPr>
        <w:widowControl/>
        <w:adjustRightInd w:val="0"/>
        <w:snapToGrid w:val="0"/>
        <w:spacing w:line="578" w:lineRule="exact"/>
        <w:ind w:firstLine="642" w:firstLineChars="200"/>
        <w:contextualSpacing/>
        <w:jc w:val="left"/>
        <w:rPr>
          <w:rFonts w:hint="default" w:ascii="Times New Roman" w:hAnsi="Times New Roman" w:eastAsia="仿宋_GB2312" w:cs="Times New Roman"/>
          <w:b/>
          <w:bCs/>
          <w:color w:val="000000"/>
          <w:kern w:val="0"/>
          <w:sz w:val="32"/>
          <w:szCs w:val="32"/>
          <w:shd w:val="clear" w:color="auto" w:fill="FFFFFF"/>
          <w:lang w:val="zh-CN"/>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default" w:ascii="Times New Roman" w:hAnsi="Times New Roman" w:eastAsia="仿宋_GB2312" w:cs="Times New Roman"/>
          <w:sz w:val="32"/>
          <w:szCs w:val="32"/>
        </w:rPr>
        <w:t>本室的主要职责是：贯彻落实省委有关党史工作的方针、政策和市委关于党史的重要指示；研究、拟定全市党史工作规划，并组织实施；负责全市重要党史资料的征集、整理、编纂和出版工作；研究中共攀枝花历史，总结党的历史经验，编写中共攀枝花地方史；编辑出版党史书刊；办好中共攀枝花市委机关刊物《攀枝花纪事》杂志；推动党史成果转化，开展党史、革命史、建设史、改革史的宣传教育和党史专题研究工作；组织党史工作经验交流，负责全市党史研究干部培训工作；指导</w:t>
      </w:r>
      <w:r>
        <w:rPr>
          <w:rFonts w:hint="eastAsia" w:eastAsia="仿宋_GB2312" w:cs="Times New Roman"/>
          <w:sz w:val="32"/>
          <w:szCs w:val="32"/>
          <w:lang w:eastAsia="zh-CN"/>
        </w:rPr>
        <w:t>县</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区</w:t>
      </w:r>
      <w:r>
        <w:rPr>
          <w:rFonts w:hint="default" w:ascii="Times New Roman" w:hAnsi="Times New Roman" w:eastAsia="仿宋_GB2312" w:cs="Times New Roman"/>
          <w:sz w:val="32"/>
          <w:szCs w:val="32"/>
        </w:rPr>
        <w:t>）委的党史业务工作；承办省委党史研究室和市委交办的其他工作。</w:t>
      </w:r>
    </w:p>
    <w:p>
      <w:pPr>
        <w:spacing w:line="600" w:lineRule="exact"/>
        <w:ind w:firstLine="642" w:firstLineChars="200"/>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hint="default" w:ascii="Times New Roman" w:hAnsi="Times New Roman" w:eastAsia="仿宋_GB2312" w:cs="Times New Roman"/>
          <w:sz w:val="32"/>
          <w:szCs w:val="32"/>
        </w:rPr>
        <w:t>截至2025年末，</w:t>
      </w:r>
      <w:r>
        <w:rPr>
          <w:rFonts w:hint="default" w:ascii="Times New Roman" w:hAnsi="Times New Roman" w:eastAsia="仿宋_GB2312" w:cs="Times New Roman"/>
          <w:sz w:val="32"/>
          <w:szCs w:val="32"/>
          <w:lang w:eastAsia="zh-CN"/>
        </w:rPr>
        <w:t>市委党史研究室</w:t>
      </w:r>
      <w:r>
        <w:rPr>
          <w:rFonts w:hint="default" w:ascii="Times New Roman" w:hAnsi="Times New Roman" w:eastAsia="仿宋_GB2312" w:cs="Times New Roman"/>
          <w:sz w:val="32"/>
          <w:szCs w:val="32"/>
        </w:rPr>
        <w:t>编制</w:t>
      </w:r>
      <w:r>
        <w:rPr>
          <w:rFonts w:hint="default" w:ascii="Times New Roman" w:hAnsi="Times New Roman" w:eastAsia="仿宋_GB2312" w:cs="Times New Roman"/>
          <w:sz w:val="32"/>
          <w:szCs w:val="32"/>
          <w:lang w:val="en-US" w:eastAsia="zh-CN"/>
        </w:rPr>
        <w:t>9名；实有在职人员8人；退休人员10人</w:t>
      </w:r>
      <w:r>
        <w:rPr>
          <w:rFonts w:hint="default" w:ascii="Times New Roman" w:hAnsi="Times New Roman" w:eastAsia="仿宋_GB2312" w:cs="Times New Roman"/>
          <w:sz w:val="32"/>
          <w:szCs w:val="32"/>
        </w:rPr>
        <w:t>。</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pPr>
        <w:widowControl/>
        <w:adjustRightInd w:val="0"/>
        <w:snapToGrid w:val="0"/>
        <w:spacing w:line="578" w:lineRule="exact"/>
        <w:ind w:firstLine="642" w:firstLineChars="200"/>
        <w:contextualSpacing/>
        <w:jc w:val="left"/>
        <w:rPr>
          <w:rFonts w:eastAsia="楷体_GB2312"/>
          <w:b/>
          <w:bCs/>
          <w:color w:val="000000"/>
          <w:kern w:val="0"/>
          <w:szCs w:val="32"/>
          <w:shd w:val="clear" w:color="auto" w:fill="FFFFFF"/>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default" w:ascii="Times New Roman" w:hAnsi="Times New Roman" w:eastAsia="仿宋_GB2312" w:cs="Times New Roman"/>
          <w:sz w:val="32"/>
          <w:szCs w:val="32"/>
          <w:lang w:eastAsia="zh-CN"/>
        </w:rPr>
        <w:t>市委党史研究室</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lang w:eastAsia="zh-CN"/>
        </w:rPr>
        <w:t>年初预算数</w:t>
      </w:r>
      <w:r>
        <w:rPr>
          <w:rFonts w:hint="default" w:ascii="Times New Roman" w:hAnsi="Times New Roman" w:eastAsia="仿宋_GB2312" w:cs="Times New Roman"/>
          <w:sz w:val="32"/>
          <w:szCs w:val="32"/>
          <w:lang w:val="en-US" w:eastAsia="zh-CN"/>
        </w:rPr>
        <w:t>24</w:t>
      </w:r>
      <w:r>
        <w:rPr>
          <w:rFonts w:hint="eastAsia" w:eastAsia="仿宋_GB2312" w:cs="Times New Roman"/>
          <w:sz w:val="32"/>
          <w:szCs w:val="32"/>
          <w:lang w:val="en-US" w:eastAsia="zh-CN"/>
        </w:rPr>
        <w:t>6.1</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决算</w:t>
      </w:r>
      <w:r>
        <w:rPr>
          <w:rFonts w:hint="default" w:ascii="Times New Roman" w:hAnsi="Times New Roman" w:eastAsia="仿宋_GB2312" w:cs="Times New Roman"/>
          <w:sz w:val="32"/>
          <w:szCs w:val="32"/>
          <w:lang w:eastAsia="zh-CN"/>
        </w:rPr>
        <w:t>数为</w:t>
      </w:r>
      <w:r>
        <w:rPr>
          <w:rFonts w:hint="default" w:ascii="Times New Roman" w:hAnsi="Times New Roman" w:eastAsia="仿宋_GB2312" w:cs="Times New Roman"/>
          <w:sz w:val="32"/>
          <w:szCs w:val="32"/>
          <w:lang w:val="en-US" w:eastAsia="zh-CN"/>
        </w:rPr>
        <w:t>268.</w:t>
      </w:r>
      <w:r>
        <w:rPr>
          <w:rFonts w:hint="eastAsia" w:eastAsia="仿宋_GB2312" w:cs="Times New Roman"/>
          <w:sz w:val="32"/>
          <w:szCs w:val="32"/>
          <w:lang w:val="en-US" w:eastAsia="zh-CN"/>
        </w:rPr>
        <w:t>94</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其中一般公共预算财政拨款收入</w:t>
      </w:r>
      <w:r>
        <w:rPr>
          <w:rFonts w:hint="default" w:ascii="Times New Roman" w:hAnsi="Times New Roman" w:eastAsia="仿宋_GB2312" w:cs="Times New Roman"/>
          <w:sz w:val="32"/>
          <w:szCs w:val="32"/>
          <w:lang w:val="en-US" w:eastAsia="zh-CN"/>
        </w:rPr>
        <w:t>268.</w:t>
      </w:r>
      <w:r>
        <w:rPr>
          <w:rFonts w:hint="eastAsia" w:eastAsia="仿宋_GB2312" w:cs="Times New Roman"/>
          <w:sz w:val="32"/>
          <w:szCs w:val="32"/>
          <w:lang w:val="en-US" w:eastAsia="zh-CN"/>
        </w:rPr>
        <w:t>94</w:t>
      </w:r>
      <w:r>
        <w:rPr>
          <w:rFonts w:hint="default" w:ascii="Times New Roman" w:hAnsi="Times New Roman" w:eastAsia="仿宋_GB2312" w:cs="Times New Roman"/>
          <w:sz w:val="32"/>
          <w:szCs w:val="32"/>
          <w:lang w:val="en-US" w:eastAsia="zh-CN"/>
        </w:rPr>
        <w:t>万</w:t>
      </w:r>
      <w:r>
        <w:rPr>
          <w:rFonts w:hint="default" w:ascii="Times New Roman" w:hAnsi="Times New Roman" w:eastAsia="仿宋_GB2312" w:cs="Times New Roman"/>
          <w:sz w:val="32"/>
          <w:szCs w:val="32"/>
        </w:rPr>
        <w:t>元，无政府性基金预算财政拨款收入。</w:t>
      </w:r>
    </w:p>
    <w:p>
      <w:pPr>
        <w:widowControl/>
        <w:adjustRightInd w:val="0"/>
        <w:snapToGrid w:val="0"/>
        <w:spacing w:line="578" w:lineRule="exact"/>
        <w:ind w:firstLine="642" w:firstLineChars="200"/>
        <w:contextualSpacing/>
        <w:jc w:val="left"/>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ascii="Times New Roman" w:hAnsi="Times New Roman" w:eastAsia="仿宋_GB2312" w:cs="Times New Roman"/>
          <w:sz w:val="32"/>
          <w:szCs w:val="32"/>
        </w:rPr>
        <w:t>市委党史研究室全年支出268.94万元。其中基本支出240</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27.99</w:t>
      </w:r>
      <w:r>
        <w:rPr>
          <w:rFonts w:hint="eastAsia" w:ascii="Times New Roman" w:hAnsi="Times New Roman" w:eastAsia="仿宋_GB2312" w:cs="Times New Roman"/>
          <w:sz w:val="32"/>
          <w:szCs w:val="32"/>
        </w:rPr>
        <w:t>万元</w:t>
      </w:r>
      <w:r>
        <w:rPr>
          <w:rFonts w:hint="default" w:ascii="Times New Roman" w:hAnsi="Times New Roman" w:eastAsia="仿宋_GB2312" w:cs="Times New Roman"/>
          <w:sz w:val="32"/>
          <w:szCs w:val="32"/>
        </w:rPr>
        <w:t>。</w:t>
      </w:r>
    </w:p>
    <w:p>
      <w:pPr>
        <w:widowControl/>
        <w:adjustRightInd w:val="0"/>
        <w:snapToGrid w:val="0"/>
        <w:spacing w:line="578" w:lineRule="exact"/>
        <w:ind w:firstLine="642" w:firstLineChars="200"/>
        <w:contextualSpacing/>
        <w:jc w:val="left"/>
        <w:rPr>
          <w:rFonts w:hint="default" w:ascii="Times New Roman" w:hAnsi="Times New Roman" w:eastAsia="仿宋_GB2312" w:cs="Times New Roman"/>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default" w:ascii="Times New Roman" w:hAnsi="Times New Roman" w:eastAsia="仿宋_GB2312" w:cs="Times New Roman"/>
          <w:sz w:val="32"/>
          <w:szCs w:val="32"/>
          <w:lang w:eastAsia="zh-CN"/>
        </w:rPr>
        <w:t>市委党史研究室</w:t>
      </w:r>
      <w:r>
        <w:rPr>
          <w:rFonts w:hint="default" w:ascii="Times New Roman" w:hAnsi="Times New Roman" w:eastAsia="仿宋_GB2312" w:cs="Times New Roman"/>
          <w:sz w:val="32"/>
          <w:szCs w:val="32"/>
        </w:rPr>
        <w:t>2025年</w:t>
      </w:r>
      <w:r>
        <w:rPr>
          <w:rFonts w:hint="default" w:ascii="Times New Roman" w:hAnsi="Times New Roman" w:eastAsia="仿宋_GB2312" w:cs="Times New Roman"/>
          <w:sz w:val="32"/>
          <w:szCs w:val="32"/>
          <w:lang w:eastAsia="zh-CN"/>
        </w:rPr>
        <w:t>无</w:t>
      </w:r>
      <w:r>
        <w:rPr>
          <w:rFonts w:hint="default" w:ascii="Times New Roman" w:hAnsi="Times New Roman" w:eastAsia="仿宋_GB2312" w:cs="Times New Roman"/>
          <w:sz w:val="32"/>
          <w:szCs w:val="32"/>
        </w:rPr>
        <w:t>结转结余情况。</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contextualSpacing/>
        <w:jc w:val="left"/>
        <w:textAlignment w:val="auto"/>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hint="default" w:ascii="Times New Roman" w:hAnsi="Times New Roman" w:eastAsia="仿宋_GB2312" w:cs="Times New Roman"/>
          <w:b w:val="0"/>
          <w:color w:val="auto"/>
          <w:kern w:val="0"/>
          <w:sz w:val="32"/>
          <w:szCs w:val="32"/>
          <w:shd w:val="clear" w:color="auto" w:fill="FFFFFF"/>
          <w:lang w:val="zh-CN" w:eastAsia="zh-CN" w:bidi="ar-SA"/>
        </w:rPr>
        <w:t>市委党史研究室所设立的整体绩效目标依据充分，符合客观实际，用以反映和考核部门整体绩效目标与部门履职、年度工作任务情况相符。制定的目标符合国家法律法规、国民经济和社会发展总体规划，符合部门</w:t>
      </w:r>
      <w:r>
        <w:rPr>
          <w:rFonts w:hint="eastAsia" w:ascii="仿宋_GB2312" w:hAnsi="仿宋_GB2312" w:eastAsia="仿宋_GB2312" w:cs="仿宋_GB2312"/>
          <w:b w:val="0"/>
          <w:color w:val="auto"/>
          <w:kern w:val="0"/>
          <w:sz w:val="32"/>
          <w:szCs w:val="32"/>
          <w:shd w:val="clear" w:color="auto" w:fill="FFFFFF"/>
          <w:lang w:val="zh-CN" w:eastAsia="zh-CN" w:bidi="ar-SA"/>
        </w:rPr>
        <w:t>“</w:t>
      </w:r>
      <w:r>
        <w:rPr>
          <w:rFonts w:hint="default" w:ascii="Times New Roman" w:hAnsi="Times New Roman" w:eastAsia="仿宋_GB2312" w:cs="Times New Roman"/>
          <w:b w:val="0"/>
          <w:color w:val="auto"/>
          <w:kern w:val="0"/>
          <w:sz w:val="32"/>
          <w:szCs w:val="32"/>
          <w:shd w:val="clear" w:color="auto" w:fill="FFFFFF"/>
          <w:lang w:val="zh-CN" w:eastAsia="zh-CN" w:bidi="ar-SA"/>
        </w:rPr>
        <w:t>三定</w:t>
      </w:r>
      <w:r>
        <w:rPr>
          <w:rFonts w:hint="eastAsia" w:ascii="仿宋_GB2312" w:hAnsi="仿宋_GB2312" w:eastAsia="仿宋_GB2312" w:cs="仿宋_GB2312"/>
          <w:b w:val="0"/>
          <w:color w:val="auto"/>
          <w:kern w:val="0"/>
          <w:sz w:val="32"/>
          <w:szCs w:val="32"/>
          <w:shd w:val="clear" w:color="auto" w:fill="FFFFFF"/>
          <w:lang w:val="zh-CN" w:eastAsia="zh-CN" w:bidi="ar-SA"/>
        </w:rPr>
        <w:t>”</w:t>
      </w:r>
      <w:r>
        <w:rPr>
          <w:rFonts w:hint="default" w:ascii="Times New Roman" w:hAnsi="Times New Roman" w:eastAsia="仿宋_GB2312" w:cs="Times New Roman"/>
          <w:b w:val="0"/>
          <w:color w:val="auto"/>
          <w:kern w:val="0"/>
          <w:sz w:val="32"/>
          <w:szCs w:val="32"/>
          <w:shd w:val="clear" w:color="auto" w:fill="FFFFFF"/>
          <w:lang w:val="zh-CN" w:eastAsia="zh-CN" w:bidi="ar-SA"/>
        </w:rPr>
        <w:t>方案确定的职责</w:t>
      </w:r>
      <w:r>
        <w:rPr>
          <w:rFonts w:hint="default" w:ascii="Times New Roman" w:hAnsi="Times New Roman" w:eastAsia="仿宋_GB2312" w:cs="Times New Roman"/>
          <w:sz w:val="32"/>
          <w:szCs w:val="32"/>
          <w:lang w:val="zh-CN"/>
        </w:rPr>
        <w:t>。</w:t>
      </w:r>
    </w:p>
    <w:p>
      <w:pPr>
        <w:adjustRightInd w:val="0"/>
        <w:snapToGrid w:val="0"/>
        <w:spacing w:line="578" w:lineRule="exact"/>
        <w:ind w:firstLine="640" w:firstLineChars="200"/>
        <w:contextualSpacing/>
        <w:jc w:val="left"/>
        <w:rPr>
          <w:rFonts w:hint="default" w:ascii="Times New Roman" w:hAnsi="Times New Roman" w:eastAsia="仿宋_GB2312" w:cs="Times New Roman"/>
          <w:b w:val="0"/>
          <w:color w:val="auto"/>
          <w:kern w:val="0"/>
          <w:sz w:val="32"/>
          <w:szCs w:val="32"/>
          <w:shd w:val="clear" w:color="auto" w:fill="FFFFFF"/>
          <w:lang w:val="zh-CN" w:eastAsia="zh-CN" w:bidi="ar-SA"/>
        </w:rPr>
      </w:pPr>
      <w:r>
        <w:rPr>
          <w:rFonts w:hint="eastAsia" w:eastAsia="仿宋_GB2312" w:cs="仿宋_GB2312"/>
          <w:sz w:val="32"/>
          <w:szCs w:val="32"/>
        </w:rPr>
        <w:t>1.</w:t>
      </w:r>
      <w:r>
        <w:rPr>
          <w:rFonts w:hint="eastAsia" w:eastAsia="仿宋_GB2312" w:cs="仿宋_GB2312"/>
          <w:sz w:val="32"/>
          <w:szCs w:val="32"/>
          <w:lang w:val="zh-CN"/>
        </w:rPr>
        <w:t>履职效能。</w:t>
      </w:r>
      <w:r>
        <w:rPr>
          <w:rFonts w:hint="eastAsia" w:ascii="Times New Roman" w:hAnsi="Times New Roman" w:eastAsia="仿宋_GB2312" w:cs="Times New Roman"/>
          <w:b w:val="0"/>
          <w:color w:val="auto"/>
          <w:kern w:val="0"/>
          <w:sz w:val="32"/>
          <w:szCs w:val="32"/>
          <w:shd w:val="clear" w:color="auto" w:fill="FFFFFF"/>
          <w:lang w:val="zh-CN" w:eastAsia="zh-CN" w:bidi="ar-SA"/>
        </w:rPr>
        <w:t>2025年度，持续做好英雄攀枝花网上党史馆信息化工程维护、《中国共产党攀枝花执政实录》编纂出版等工作，满意度达95%以上。成功承办“红色记忆 党史光影”2025年四川省优秀党史短视频展播暨主题党课活动。完成关心下一代工作任务</w:t>
      </w:r>
      <w:r>
        <w:rPr>
          <w:rFonts w:hint="default" w:ascii="Times New Roman" w:hAnsi="Times New Roman" w:eastAsia="仿宋_GB2312" w:cs="Times New Roman"/>
          <w:b w:val="0"/>
          <w:color w:val="auto"/>
          <w:kern w:val="0"/>
          <w:sz w:val="32"/>
          <w:szCs w:val="32"/>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rPr>
          <w:rFonts w:eastAsia="仿宋_GB2312" w:cs="仿宋_GB2312"/>
          <w:sz w:val="32"/>
          <w:szCs w:val="32"/>
          <w:lang w:val="zh-CN"/>
        </w:rPr>
      </w:pPr>
      <w:r>
        <w:rPr>
          <w:rFonts w:hint="eastAsia" w:eastAsia="仿宋_GB2312" w:cs="仿宋_GB2312"/>
          <w:sz w:val="32"/>
          <w:szCs w:val="32"/>
        </w:rPr>
        <w:t>2.</w:t>
      </w:r>
      <w:r>
        <w:rPr>
          <w:rFonts w:eastAsia="仿宋_GB2312" w:cs="仿宋_GB2312"/>
          <w:sz w:val="32"/>
          <w:szCs w:val="32"/>
          <w:lang w:val="zh-CN"/>
        </w:rPr>
        <w:t>预算管理</w:t>
      </w:r>
      <w:r>
        <w:rPr>
          <w:rFonts w:hint="eastAsia" w:eastAsia="仿宋_GB2312" w:cs="仿宋_GB2312"/>
          <w:sz w:val="32"/>
          <w:szCs w:val="32"/>
          <w:lang w:val="zh-CN"/>
        </w:rPr>
        <w:t>。</w:t>
      </w:r>
      <w:r>
        <w:rPr>
          <w:rFonts w:hint="default" w:ascii="Times New Roman" w:hAnsi="Times New Roman" w:eastAsia="仿宋_GB2312" w:cs="Times New Roman"/>
          <w:color w:val="000000"/>
          <w:kern w:val="0"/>
          <w:sz w:val="32"/>
          <w:szCs w:val="32"/>
          <w:shd w:val="clear" w:color="auto" w:fill="FFFFFF"/>
          <w:lang w:val="zh-CN"/>
        </w:rPr>
        <w:t>我室严格按照要求编制年初部门预算，支出严格按照进度开展</w:t>
      </w:r>
      <w:r>
        <w:rPr>
          <w:rFonts w:hint="eastAsia" w:ascii="Times New Roman" w:hAnsi="Times New Roman" w:eastAsia="仿宋_GB2312" w:cs="Times New Roman"/>
          <w:color w:val="000000"/>
          <w:kern w:val="0"/>
          <w:sz w:val="32"/>
          <w:szCs w:val="32"/>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rPr>
          <w:rFonts w:eastAsia="仿宋_GB2312" w:cs="仿宋_GB2312"/>
          <w:sz w:val="32"/>
          <w:szCs w:val="32"/>
          <w:lang w:val="zh-CN"/>
        </w:rPr>
      </w:pPr>
      <w:r>
        <w:rPr>
          <w:rFonts w:hint="eastAsia" w:eastAsia="仿宋_GB2312" w:cs="仿宋_GB2312"/>
          <w:sz w:val="32"/>
          <w:szCs w:val="32"/>
        </w:rPr>
        <w:t>3.</w:t>
      </w:r>
      <w:r>
        <w:rPr>
          <w:rFonts w:eastAsia="仿宋_GB2312" w:cs="仿宋_GB2312"/>
          <w:sz w:val="32"/>
          <w:szCs w:val="32"/>
          <w:lang w:val="zh-CN"/>
        </w:rPr>
        <w:t>财务管理</w:t>
      </w:r>
      <w:r>
        <w:rPr>
          <w:rFonts w:hint="eastAsia" w:eastAsia="仿宋_GB2312" w:cs="仿宋_GB2312"/>
          <w:sz w:val="32"/>
          <w:szCs w:val="32"/>
          <w:lang w:val="zh-CN"/>
        </w:rPr>
        <w:t>。</w:t>
      </w:r>
      <w:r>
        <w:rPr>
          <w:rFonts w:hint="default" w:ascii="Times New Roman" w:hAnsi="Times New Roman" w:eastAsia="仿宋_GB2312" w:cs="Times New Roman"/>
          <w:color w:val="000000"/>
          <w:kern w:val="0"/>
          <w:sz w:val="32"/>
          <w:szCs w:val="32"/>
          <w:shd w:val="clear" w:color="auto" w:fill="FFFFFF"/>
          <w:lang w:val="zh-CN"/>
        </w:rPr>
        <w:t>我室已制定财务管理制度，合理设置财务工作岗位，明确职责权限，并严格实行不相容岗位分离，资金使用均符合相关财务管理制度规定</w:t>
      </w:r>
      <w:r>
        <w:rPr>
          <w:rFonts w:hint="eastAsia" w:eastAsia="仿宋_GB2312" w:cs="仿宋_GB2312"/>
          <w:sz w:val="32"/>
          <w:szCs w:val="32"/>
          <w:lang w:val="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rPr>
          <w:rFonts w:eastAsia="仿宋_GB2312" w:cs="仿宋_GB2312"/>
          <w:sz w:val="32"/>
          <w:szCs w:val="32"/>
          <w:lang w:val="zh-CN"/>
        </w:rPr>
      </w:pPr>
      <w:r>
        <w:rPr>
          <w:rFonts w:hint="eastAsia" w:eastAsia="仿宋_GB2312" w:cs="仿宋_GB2312"/>
          <w:sz w:val="32"/>
          <w:szCs w:val="32"/>
        </w:rPr>
        <w:t>4.</w:t>
      </w:r>
      <w:r>
        <w:rPr>
          <w:rFonts w:eastAsia="仿宋_GB2312" w:cs="仿宋_GB2312"/>
          <w:sz w:val="32"/>
          <w:szCs w:val="32"/>
          <w:lang w:val="zh-CN"/>
        </w:rPr>
        <w:t>资产管理</w:t>
      </w:r>
      <w:r>
        <w:rPr>
          <w:rFonts w:hint="eastAsia" w:eastAsia="仿宋_GB2312" w:cs="仿宋_GB2312"/>
          <w:sz w:val="32"/>
          <w:szCs w:val="32"/>
          <w:lang w:val="zh-CN"/>
        </w:rPr>
        <w:t>。</w:t>
      </w:r>
      <w:r>
        <w:rPr>
          <w:rFonts w:hint="eastAsia" w:ascii="Times New Roman" w:hAnsi="Times New Roman" w:eastAsia="仿宋_GB2312" w:cs="Times New Roman"/>
          <w:color w:val="000000"/>
          <w:kern w:val="0"/>
          <w:sz w:val="32"/>
          <w:szCs w:val="32"/>
          <w:shd w:val="clear" w:color="auto" w:fill="FFFFFF"/>
          <w:lang w:val="en-US" w:eastAsia="zh-CN"/>
        </w:rPr>
        <w:t>2025</w:t>
      </w:r>
      <w:r>
        <w:rPr>
          <w:rFonts w:hint="default" w:ascii="Times New Roman" w:hAnsi="Times New Roman" w:eastAsia="仿宋_GB2312" w:cs="Times New Roman"/>
          <w:color w:val="000000"/>
          <w:kern w:val="0"/>
          <w:sz w:val="32"/>
          <w:szCs w:val="32"/>
          <w:shd w:val="clear" w:color="auto" w:fill="FFFFFF"/>
          <w:lang w:val="en-US" w:eastAsia="zh-CN"/>
        </w:rPr>
        <w:t>年我室无闲置资产</w:t>
      </w:r>
      <w:r>
        <w:rPr>
          <w:rFonts w:hint="eastAsia" w:eastAsia="仿宋_GB2312" w:cs="仿宋_GB2312"/>
          <w:sz w:val="32"/>
          <w:szCs w:val="32"/>
          <w:lang w:val="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rPr>
          <w:rFonts w:eastAsia="仿宋_GB2312" w:cs="仿宋_GB2312"/>
          <w:sz w:val="32"/>
          <w:szCs w:val="32"/>
          <w:lang w:val="zh-CN"/>
        </w:rPr>
      </w:pPr>
      <w:r>
        <w:rPr>
          <w:rFonts w:hint="eastAsia" w:eastAsia="仿宋_GB2312" w:cs="仿宋_GB2312"/>
          <w:sz w:val="32"/>
          <w:szCs w:val="32"/>
        </w:rPr>
        <w:t>5.</w:t>
      </w:r>
      <w:r>
        <w:rPr>
          <w:rFonts w:eastAsia="仿宋_GB2312" w:cs="仿宋_GB2312"/>
          <w:sz w:val="32"/>
          <w:szCs w:val="32"/>
          <w:lang w:val="zh-CN"/>
        </w:rPr>
        <w:t>采购管理</w:t>
      </w:r>
      <w:r>
        <w:rPr>
          <w:rFonts w:hint="eastAsia" w:eastAsia="仿宋_GB2312" w:cs="仿宋_GB2312"/>
          <w:sz w:val="32"/>
          <w:szCs w:val="32"/>
          <w:lang w:val="zh-CN"/>
        </w:rPr>
        <w:t>。</w:t>
      </w:r>
      <w:r>
        <w:rPr>
          <w:rFonts w:hint="default" w:ascii="Times New Roman" w:hAnsi="Times New Roman" w:eastAsia="方正仿宋_GBK" w:cs="Times New Roman"/>
          <w:color w:val="000000"/>
          <w:kern w:val="0"/>
          <w:sz w:val="32"/>
          <w:szCs w:val="32"/>
          <w:shd w:val="clear" w:color="auto" w:fill="FFFFFF"/>
          <w:lang w:val="en-US" w:eastAsia="zh-CN"/>
        </w:rPr>
        <w:t>2</w:t>
      </w:r>
      <w:r>
        <w:rPr>
          <w:rFonts w:hint="default" w:ascii="Times New Roman" w:hAnsi="Times New Roman" w:eastAsia="仿宋_GB2312" w:cs="Times New Roman"/>
          <w:color w:val="000000"/>
          <w:kern w:val="0"/>
          <w:sz w:val="32"/>
          <w:szCs w:val="32"/>
          <w:shd w:val="clear" w:color="auto" w:fill="FFFFFF"/>
          <w:lang w:val="en-US" w:eastAsia="zh-CN"/>
        </w:rPr>
        <w:t>025年</w:t>
      </w:r>
      <w:r>
        <w:rPr>
          <w:rFonts w:hint="default" w:ascii="Times New Roman" w:hAnsi="Times New Roman" w:eastAsia="仿宋_GB2312" w:cs="Times New Roman"/>
          <w:color w:val="000000"/>
          <w:kern w:val="0"/>
          <w:sz w:val="32"/>
          <w:szCs w:val="32"/>
          <w:shd w:val="clear" w:color="auto" w:fill="FFFFFF"/>
          <w:lang w:val="zh-CN" w:eastAsia="zh-CN"/>
        </w:rPr>
        <w:t>我室无采购</w:t>
      </w:r>
      <w:r>
        <w:rPr>
          <w:rFonts w:hint="eastAsia" w:eastAsia="仿宋_GB2312" w:cs="Times New Roman"/>
          <w:color w:val="000000"/>
          <w:kern w:val="0"/>
          <w:sz w:val="32"/>
          <w:szCs w:val="32"/>
          <w:shd w:val="clear" w:color="auto" w:fill="FFFFFF"/>
          <w:lang w:val="zh-CN" w:eastAsia="zh-CN"/>
        </w:rPr>
        <w:t>项目</w:t>
      </w:r>
      <w:r>
        <w:rPr>
          <w:rFonts w:hint="default" w:ascii="Times New Roman" w:hAnsi="Times New Roman" w:eastAsia="仿宋_GB2312" w:cs="Times New Roman"/>
          <w:sz w:val="32"/>
          <w:szCs w:val="32"/>
          <w:lang w:val="zh-CN"/>
        </w:rPr>
        <w:t>。</w:t>
      </w:r>
    </w:p>
    <w:p>
      <w:pPr>
        <w:adjustRightInd w:val="0"/>
        <w:snapToGrid w:val="0"/>
        <w:spacing w:line="578" w:lineRule="exact"/>
        <w:ind w:firstLine="642" w:firstLineChars="200"/>
        <w:contextualSpacing/>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r>
        <w:rPr>
          <w:rFonts w:hint="eastAsia" w:eastAsia="仿宋_GB2312" w:cs="仿宋_GB2312"/>
          <w:sz w:val="32"/>
          <w:szCs w:val="32"/>
          <w:lang w:val="zh-CN"/>
        </w:rPr>
        <w:t>填报以下数据，并</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项目绩效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，依次包括项目</w:t>
      </w:r>
      <w:r>
        <w:rPr>
          <w:rFonts w:eastAsia="仿宋_GB2312" w:cs="仿宋_GB2312"/>
          <w:sz w:val="32"/>
          <w:szCs w:val="32"/>
        </w:rPr>
        <w:t>决策、项目执行、目标实现等情况</w:t>
      </w:r>
      <w:r>
        <w:rPr>
          <w:rFonts w:hint="eastAsia" w:eastAsia="仿宋_GB2312" w:cs="仿宋_GB2312"/>
          <w:sz w:val="32"/>
          <w:szCs w:val="32"/>
        </w:rPr>
        <w:t>。</w:t>
      </w:r>
    </w:p>
    <w:p>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lang w:val="zh-CN"/>
        </w:rPr>
        <w:t>常年项目绩效分析。该类项目总数</w:t>
      </w:r>
      <w:r>
        <w:rPr>
          <w:rFonts w:hint="eastAsia" w:eastAsia="仿宋_GB2312" w:cs="仿宋_GB2312"/>
          <w:sz w:val="32"/>
          <w:szCs w:val="32"/>
          <w:lang w:val="en-US" w:eastAsia="zh-CN"/>
        </w:rPr>
        <w:t>1</w:t>
      </w:r>
      <w:r>
        <w:rPr>
          <w:rFonts w:eastAsia="仿宋_GB2312" w:cs="仿宋_GB2312"/>
          <w:sz w:val="32"/>
          <w:szCs w:val="32"/>
          <w:lang w:val="zh-CN"/>
        </w:rPr>
        <w:t>个，涉及预算总金额</w:t>
      </w:r>
      <w:r>
        <w:rPr>
          <w:rFonts w:hint="eastAsia" w:eastAsia="仿宋_GB2312" w:cs="仿宋_GB2312"/>
          <w:sz w:val="32"/>
          <w:szCs w:val="32"/>
          <w:lang w:val="en-US" w:eastAsia="zh-CN"/>
        </w:rPr>
        <w:t>16.41</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12月预算执行总体进度为</w:t>
      </w:r>
      <w:r>
        <w:rPr>
          <w:rFonts w:hint="eastAsia" w:eastAsia="仿宋_GB2312" w:cs="仿宋_GB2312"/>
          <w:sz w:val="32"/>
          <w:szCs w:val="32"/>
          <w:lang w:val="en-US" w:eastAsia="zh-CN"/>
        </w:rPr>
        <w:t>100%，</w:t>
      </w:r>
      <w:r>
        <w:rPr>
          <w:rFonts w:eastAsia="仿宋_GB2312" w:cs="仿宋_GB2312"/>
          <w:sz w:val="32"/>
          <w:szCs w:val="32"/>
          <w:lang w:val="zh-CN"/>
        </w:rPr>
        <w:t>其中：预算结余率大于10%的项目共计</w:t>
      </w:r>
      <w:r>
        <w:rPr>
          <w:rFonts w:hint="eastAsia" w:eastAsia="仿宋_GB2312" w:cs="仿宋_GB2312"/>
          <w:sz w:val="32"/>
          <w:szCs w:val="32"/>
          <w:lang w:val="en-US" w:eastAsia="zh-CN"/>
        </w:rPr>
        <w:t>0</w:t>
      </w:r>
      <w:r>
        <w:rPr>
          <w:rFonts w:eastAsia="仿宋_GB2312" w:cs="仿宋_GB2312"/>
          <w:sz w:val="32"/>
          <w:szCs w:val="32"/>
          <w:lang w:val="zh-CN"/>
        </w:rPr>
        <w:t>个。</w:t>
      </w:r>
    </w:p>
    <w:p>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lang w:val="zh-CN"/>
        </w:rPr>
        <w:t>阶段（</w:t>
      </w:r>
      <w:r>
        <w:rPr>
          <w:rFonts w:hint="eastAsia" w:eastAsia="仿宋_GB2312" w:cs="仿宋_GB2312"/>
          <w:sz w:val="32"/>
          <w:szCs w:val="32"/>
          <w:lang w:val="zh-CN"/>
        </w:rPr>
        <w:t>含</w:t>
      </w:r>
      <w:r>
        <w:rPr>
          <w:rFonts w:eastAsia="仿宋_GB2312" w:cs="仿宋_GB2312"/>
          <w:sz w:val="32"/>
          <w:szCs w:val="32"/>
          <w:lang w:val="zh-CN"/>
        </w:rPr>
        <w:t>一次性）项目绩效分析。该类项目总数</w:t>
      </w:r>
      <w:r>
        <w:rPr>
          <w:rFonts w:hint="eastAsia" w:eastAsia="仿宋_GB2312" w:cs="仿宋_GB2312"/>
          <w:sz w:val="32"/>
          <w:szCs w:val="32"/>
          <w:lang w:val="en-US" w:eastAsia="zh-CN"/>
        </w:rPr>
        <w:t>3</w:t>
      </w:r>
      <w:r>
        <w:rPr>
          <w:rFonts w:eastAsia="仿宋_GB2312" w:cs="仿宋_GB2312"/>
          <w:sz w:val="32"/>
          <w:szCs w:val="32"/>
          <w:lang w:val="zh-CN"/>
        </w:rPr>
        <w:t>个，涉及预算总金额</w:t>
      </w:r>
      <w:r>
        <w:rPr>
          <w:rFonts w:hint="eastAsia" w:eastAsia="仿宋_GB2312" w:cs="仿宋_GB2312"/>
          <w:sz w:val="32"/>
          <w:szCs w:val="32"/>
          <w:lang w:val="en-US" w:eastAsia="zh-CN"/>
        </w:rPr>
        <w:t>11.58</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12月预算执行总体进度为</w:t>
      </w:r>
      <w:r>
        <w:rPr>
          <w:rFonts w:hint="eastAsia" w:eastAsia="仿宋_GB2312" w:cs="仿宋_GB2312"/>
          <w:sz w:val="32"/>
          <w:szCs w:val="32"/>
          <w:lang w:val="en-US" w:eastAsia="zh-CN"/>
        </w:rPr>
        <w:t>100</w:t>
      </w:r>
      <w:r>
        <w:rPr>
          <w:rFonts w:eastAsia="仿宋_GB2312" w:cs="仿宋_GB2312"/>
          <w:sz w:val="32"/>
          <w:szCs w:val="32"/>
          <w:lang w:val="zh-CN"/>
        </w:rPr>
        <w:t>%</w:t>
      </w:r>
      <w:r>
        <w:rPr>
          <w:rFonts w:hint="eastAsia" w:eastAsia="仿宋_GB2312" w:cs="仿宋_GB2312"/>
          <w:sz w:val="32"/>
          <w:szCs w:val="32"/>
          <w:lang w:val="zh-CN"/>
        </w:rPr>
        <w:t>，</w:t>
      </w:r>
      <w:r>
        <w:rPr>
          <w:rFonts w:eastAsia="仿宋_GB2312" w:cs="仿宋_GB2312"/>
          <w:sz w:val="32"/>
          <w:szCs w:val="32"/>
          <w:lang w:val="zh-CN"/>
        </w:rPr>
        <w:t>其中：预算结余率大于10%的项目共计</w:t>
      </w:r>
      <w:r>
        <w:rPr>
          <w:rFonts w:hint="eastAsia" w:eastAsia="仿宋_GB2312" w:cs="仿宋_GB2312"/>
          <w:sz w:val="32"/>
          <w:szCs w:val="32"/>
          <w:lang w:val="en-US" w:eastAsia="zh-CN"/>
        </w:rPr>
        <w:t>0</w:t>
      </w:r>
      <w:r>
        <w:rPr>
          <w:rFonts w:eastAsia="仿宋_GB2312" w:cs="仿宋_GB2312"/>
          <w:sz w:val="32"/>
          <w:szCs w:val="32"/>
          <w:lang w:val="zh-CN"/>
        </w:rPr>
        <w:t>个。</w:t>
      </w:r>
    </w:p>
    <w:p>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en-US" w:eastAsia="zh-CN"/>
        </w:rPr>
        <w:t>1.</w:t>
      </w:r>
      <w:r>
        <w:rPr>
          <w:rFonts w:eastAsia="仿宋_GB2312" w:cs="仿宋_GB2312"/>
          <w:sz w:val="32"/>
          <w:szCs w:val="32"/>
          <w:lang w:val="zh-CN"/>
        </w:rPr>
        <w:t>项目决策。</w:t>
      </w:r>
      <w:r>
        <w:rPr>
          <w:rFonts w:hint="eastAsia" w:eastAsia="仿宋_GB2312" w:cs="仿宋_GB2312"/>
          <w:sz w:val="32"/>
          <w:szCs w:val="32"/>
          <w:lang w:val="zh-CN"/>
        </w:rPr>
        <w:t>我室严格履行事前绩效评估程序，项目入库绩效目标程序等，无违规项目。</w:t>
      </w:r>
    </w:p>
    <w:p>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en-US" w:eastAsia="zh-CN"/>
        </w:rPr>
        <w:t>2.</w:t>
      </w:r>
      <w:r>
        <w:rPr>
          <w:rFonts w:eastAsia="仿宋_GB2312" w:cs="仿宋_GB2312"/>
          <w:sz w:val="32"/>
          <w:szCs w:val="32"/>
          <w:lang w:val="zh-CN"/>
        </w:rPr>
        <w:t>项目执行。</w:t>
      </w:r>
      <w:r>
        <w:rPr>
          <w:rFonts w:hint="eastAsia" w:eastAsia="仿宋_GB2312" w:cs="仿宋_GB2312"/>
          <w:sz w:val="32"/>
          <w:szCs w:val="32"/>
          <w:lang w:val="zh-CN"/>
        </w:rPr>
        <w:t>202</w:t>
      </w:r>
      <w:r>
        <w:rPr>
          <w:rFonts w:hint="eastAsia" w:eastAsia="仿宋_GB2312" w:cs="仿宋_GB2312"/>
          <w:sz w:val="32"/>
          <w:szCs w:val="32"/>
          <w:lang w:val="en-US" w:eastAsia="zh-CN"/>
        </w:rPr>
        <w:t>5</w:t>
      </w:r>
      <w:r>
        <w:rPr>
          <w:rFonts w:hint="eastAsia" w:eastAsia="仿宋_GB2312" w:cs="仿宋_GB2312"/>
          <w:sz w:val="32"/>
          <w:szCs w:val="32"/>
          <w:lang w:val="zh-CN"/>
        </w:rPr>
        <w:t>年共计</w:t>
      </w:r>
      <w:r>
        <w:rPr>
          <w:rFonts w:hint="eastAsia" w:eastAsia="仿宋_GB2312" w:cs="仿宋_GB2312"/>
          <w:sz w:val="32"/>
          <w:szCs w:val="32"/>
          <w:lang w:val="en-US" w:eastAsia="zh-CN"/>
        </w:rPr>
        <w:t>4</w:t>
      </w:r>
      <w:r>
        <w:rPr>
          <w:rFonts w:hint="eastAsia" w:eastAsia="仿宋_GB2312" w:cs="仿宋_GB2312"/>
          <w:sz w:val="32"/>
          <w:szCs w:val="32"/>
          <w:lang w:val="zh-CN"/>
        </w:rPr>
        <w:t>个项目，其中编纂出版经费及党史短视频经费为我室重点项目，合计金额为</w:t>
      </w:r>
      <w:r>
        <w:rPr>
          <w:rFonts w:hint="eastAsia" w:eastAsia="仿宋_GB2312" w:cs="仿宋_GB2312"/>
          <w:sz w:val="32"/>
          <w:szCs w:val="32"/>
          <w:lang w:val="en-US" w:eastAsia="zh-CN"/>
        </w:rPr>
        <w:t>27.08</w:t>
      </w:r>
      <w:r>
        <w:rPr>
          <w:rFonts w:hint="eastAsia" w:eastAsia="仿宋_GB2312" w:cs="仿宋_GB2312"/>
          <w:sz w:val="32"/>
          <w:szCs w:val="32"/>
          <w:lang w:val="zh-CN"/>
        </w:rPr>
        <w:t>万元；其他项目为市级挂职干部补助、关工委经费，合计为</w:t>
      </w:r>
      <w:r>
        <w:rPr>
          <w:rFonts w:hint="eastAsia" w:eastAsia="仿宋_GB2312" w:cs="仿宋_GB2312"/>
          <w:sz w:val="32"/>
          <w:szCs w:val="32"/>
          <w:lang w:val="en-US" w:eastAsia="zh-CN"/>
        </w:rPr>
        <w:t>0.91</w:t>
      </w:r>
      <w:r>
        <w:rPr>
          <w:rFonts w:hint="eastAsia" w:eastAsia="仿宋_GB2312" w:cs="仿宋_GB2312"/>
          <w:sz w:val="32"/>
          <w:szCs w:val="32"/>
          <w:lang w:val="zh-CN"/>
        </w:rPr>
        <w:t>万元。</w:t>
      </w:r>
    </w:p>
    <w:p>
      <w:pPr>
        <w:adjustRightInd w:val="0"/>
        <w:snapToGrid w:val="0"/>
        <w:spacing w:line="578" w:lineRule="exact"/>
        <w:ind w:firstLine="640" w:firstLineChars="200"/>
        <w:contextualSpacing/>
        <w:rPr>
          <w:rFonts w:hint="eastAsia" w:eastAsia="仿宋_GB2312" w:cs="仿宋_GB2312"/>
          <w:sz w:val="32"/>
          <w:szCs w:val="32"/>
          <w:lang w:val="zh-CN"/>
        </w:rPr>
      </w:pPr>
      <w:r>
        <w:rPr>
          <w:rFonts w:eastAsia="仿宋_GB2312" w:cs="仿宋_GB2312"/>
          <w:sz w:val="32"/>
          <w:szCs w:val="32"/>
          <w:lang w:val="zh-CN"/>
        </w:rPr>
        <w:t>3.目标实现。</w:t>
      </w:r>
      <w:r>
        <w:rPr>
          <w:rFonts w:hint="eastAsia" w:eastAsia="仿宋_GB2312" w:cs="仿宋_GB2312"/>
          <w:sz w:val="32"/>
          <w:szCs w:val="32"/>
          <w:lang w:val="zh-CN"/>
        </w:rPr>
        <w:t>一是完成《中国共产党攀枝花执政实录》的编纂出版，完成《攀枝花开发建设60年》的编纂任务，完成《攀枝花纪事》</w:t>
      </w:r>
      <w:r>
        <w:rPr>
          <w:rFonts w:hint="eastAsia" w:eastAsia="仿宋_GB2312" w:cs="仿宋_GB2312"/>
          <w:sz w:val="32"/>
          <w:szCs w:val="32"/>
          <w:lang w:val="en-US" w:eastAsia="zh-CN"/>
        </w:rPr>
        <w:t>2025年6期</w:t>
      </w:r>
      <w:r>
        <w:rPr>
          <w:rFonts w:hint="eastAsia" w:eastAsia="仿宋_GB2312" w:cs="仿宋_GB2312"/>
          <w:sz w:val="32"/>
          <w:szCs w:val="32"/>
          <w:lang w:val="zh-CN"/>
        </w:rPr>
        <w:t>编辑出版。二是成功承办“红色记忆 党史光影”2025年四川省优秀党史短视频展播暨主题党课活动。三是信息系统全年运转顺畅。四是顺利完成市级挂职干部补助、关工委工作经费等项目。</w:t>
      </w:r>
    </w:p>
    <w:p>
      <w:pPr>
        <w:adjustRightInd w:val="0"/>
        <w:snapToGrid w:val="0"/>
        <w:spacing w:line="578" w:lineRule="exact"/>
        <w:ind w:firstLine="642" w:firstLineChars="200"/>
        <w:contextualSpacing/>
        <w:rPr>
          <w:rFonts w:hint="eastAsia" w:eastAsia="仿宋_GB2312" w:cs="仿宋_GB2312"/>
          <w:sz w:val="32"/>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hint="eastAsia" w:eastAsia="仿宋_GB2312" w:cs="仿宋_GB2312"/>
          <w:sz w:val="32"/>
          <w:szCs w:val="32"/>
          <w:lang w:val="zh-CN"/>
        </w:rPr>
        <w:t>严格落实过紧日子的要求，预算执行严格按照年度绩效目标开展，决算编报质量较高。本室严格按照公开时间和要求对决算及绩效信息进行公开。</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pPr>
        <w:widowControl/>
        <w:adjustRightInd w:val="0"/>
        <w:snapToGrid w:val="0"/>
        <w:spacing w:line="578" w:lineRule="exact"/>
        <w:ind w:firstLine="642" w:firstLineChars="200"/>
        <w:contextualSpacing/>
        <w:jc w:val="left"/>
        <w:rPr>
          <w:rFonts w:eastAsia="仿宋_GB2312"/>
          <w:sz w:val="32"/>
          <w:szCs w:val="32"/>
          <w:lang w:bidi="ar"/>
        </w:rPr>
      </w:pPr>
      <w:r>
        <w:rPr>
          <w:rFonts w:eastAsia="楷体_GB2312"/>
          <w:b/>
          <w:bCs/>
          <w:color w:val="000000"/>
          <w:kern w:val="0"/>
          <w:sz w:val="32"/>
          <w:szCs w:val="32"/>
          <w:shd w:val="clear" w:color="auto" w:fill="FFFFFF"/>
          <w:lang w:val="zh-CN"/>
        </w:rPr>
        <w:t>（一）评价结论。</w:t>
      </w:r>
      <w:r>
        <w:rPr>
          <w:rFonts w:hint="eastAsia" w:eastAsia="仿宋_GB2312" w:cs="仿宋_GB2312"/>
          <w:sz w:val="32"/>
          <w:szCs w:val="32"/>
          <w:lang w:val="zh-CN"/>
        </w:rPr>
        <w:t>202</w:t>
      </w:r>
      <w:r>
        <w:rPr>
          <w:rFonts w:hint="eastAsia" w:eastAsia="仿宋_GB2312" w:cs="仿宋_GB2312"/>
          <w:sz w:val="32"/>
          <w:szCs w:val="32"/>
          <w:lang w:val="en-US" w:eastAsia="zh-CN"/>
        </w:rPr>
        <w:t>5</w:t>
      </w:r>
      <w:r>
        <w:rPr>
          <w:rFonts w:hint="eastAsia" w:eastAsia="仿宋_GB2312" w:cs="仿宋_GB2312"/>
          <w:sz w:val="32"/>
          <w:szCs w:val="32"/>
          <w:lang w:val="zh-CN"/>
        </w:rPr>
        <w:t>年，本室严格遵守《会计法》和政府会计准则制度，严格落实中央八项规定精神和省、市十项规定，按照政府会计准则制度完成了财务记账，决算编制</w:t>
      </w:r>
      <w:r>
        <w:rPr>
          <w:rFonts w:hint="eastAsia" w:eastAsia="仿宋_GB2312" w:cs="仿宋_GB2312"/>
          <w:sz w:val="32"/>
          <w:szCs w:val="32"/>
          <w:lang w:val="zh-CN" w:eastAsia="zh-CN"/>
        </w:rPr>
        <w:t>、绩效目标</w:t>
      </w:r>
      <w:r>
        <w:rPr>
          <w:rFonts w:hint="eastAsia" w:eastAsia="仿宋_GB2312" w:cs="仿宋_GB2312"/>
          <w:sz w:val="32"/>
          <w:szCs w:val="32"/>
          <w:lang w:val="zh-CN"/>
        </w:rPr>
        <w:t>等工作</w:t>
      </w:r>
      <w:r>
        <w:rPr>
          <w:rFonts w:hint="eastAsia" w:ascii="仿宋_GB2312" w:hAnsi="仿宋_GB2312" w:eastAsia="仿宋_GB2312" w:cs="仿宋_GB2312"/>
          <w:sz w:val="32"/>
          <w:szCs w:val="32"/>
          <w:lang w:val="en-US"/>
        </w:rPr>
        <w:t>,</w:t>
      </w:r>
      <w:r>
        <w:rPr>
          <w:rFonts w:hint="eastAsia" w:eastAsia="仿宋_GB2312" w:cs="仿宋_GB2312"/>
          <w:sz w:val="32"/>
          <w:szCs w:val="32"/>
          <w:lang w:val="en-US" w:eastAsia="zh-CN"/>
        </w:rPr>
        <w:t>综合自评分98分</w:t>
      </w:r>
      <w:r>
        <w:rPr>
          <w:rFonts w:hint="eastAsia" w:eastAsia="仿宋_GB2312" w:cs="仿宋_GB2312"/>
          <w:sz w:val="32"/>
          <w:szCs w:val="32"/>
          <w:lang w:val="zh-CN"/>
        </w:rPr>
        <w:t>。</w:t>
      </w:r>
    </w:p>
    <w:p>
      <w:pPr>
        <w:widowControl/>
        <w:adjustRightInd w:val="0"/>
        <w:snapToGrid w:val="0"/>
        <w:spacing w:line="578" w:lineRule="exact"/>
        <w:ind w:firstLine="642" w:firstLineChars="200"/>
        <w:contextualSpacing/>
        <w:jc w:val="left"/>
        <w:rPr>
          <w:rFonts w:hint="eastAsia" w:ascii="仿宋_GB2312" w:hAnsi="仿宋_GB2312" w:eastAsia="仿宋_GB2312" w:cs="仿宋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（二）存在问题。</w:t>
      </w:r>
      <w:r>
        <w:rPr>
          <w:rFonts w:hint="eastAsia" w:hAnsi="仿宋_GB2312" w:eastAsia="仿宋_GB2312" w:cs="仿宋_GB2312"/>
          <w:b w:val="0"/>
          <w:bCs w:val="0"/>
          <w:color w:val="000000"/>
          <w:kern w:val="0"/>
          <w:sz w:val="32"/>
          <w:szCs w:val="32"/>
          <w:shd w:val="clear" w:color="auto" w:fill="FFFFFF"/>
          <w:lang w:val="zh-CN"/>
        </w:rPr>
        <w:t>绩效管理制度需进一步完善，为单位预算绩效管理工作提供强有力的制度保障</w:t>
      </w:r>
      <w:r>
        <w:rPr>
          <w:rFonts w:hint="eastAsia" w:ascii="仿宋_GB2312" w:hAnsi="仿宋_GB2312" w:eastAsia="仿宋_GB2312" w:cs="仿宋_GB2312"/>
          <w:b/>
          <w:bCs/>
          <w:color w:val="000000"/>
          <w:kern w:val="0"/>
          <w:sz w:val="32"/>
          <w:szCs w:val="32"/>
          <w:shd w:val="clear" w:color="auto" w:fill="FFFFFF"/>
          <w:lang w:val="zh-CN"/>
        </w:rPr>
        <w:t>。</w:t>
      </w:r>
    </w:p>
    <w:p>
      <w:pPr>
        <w:widowControl/>
        <w:adjustRightInd w:val="0"/>
        <w:snapToGrid w:val="0"/>
        <w:spacing w:line="578" w:lineRule="exact"/>
        <w:ind w:firstLine="642" w:firstLineChars="200"/>
        <w:contextualSpacing/>
        <w:jc w:val="left"/>
        <w:rPr>
          <w:rFonts w:hint="eastAsia" w:eastAsia="宋体"/>
          <w:lang w:val="en" w:eastAsia="zh-CN"/>
        </w:rPr>
      </w:pPr>
      <w:r>
        <w:rPr>
          <w:rFonts w:hint="eastAsia" w:ascii="仿宋_GB2312" w:hAnsi="仿宋_GB2312" w:eastAsia="仿宋_GB2312" w:cs="仿宋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改进建议。</w:t>
      </w:r>
      <w:bookmarkStart w:id="74" w:name="_Hlk110546638"/>
      <w:r>
        <w:rPr>
          <w:rFonts w:hint="eastAsia" w:hAnsi="仿宋_GB2312" w:eastAsia="仿宋_GB2312" w:cs="仿宋_GB2312"/>
          <w:sz w:val="32"/>
          <w:szCs w:val="32"/>
          <w:lang w:val="en" w:eastAsia="zh-CN"/>
        </w:rPr>
        <w:t>进一步完善预算绩效管理制度，加强对干部职工预算绩效管理知识的培训，提高干部职工预算绩效管理意识，针对预算绩效管理过程中存在的问题进行改进</w:t>
      </w:r>
      <w:r>
        <w:rPr>
          <w:rFonts w:hint="eastAsia" w:ascii="仿宋_GB2312" w:hAnsi="仿宋_GB2312" w:eastAsia="仿宋_GB2312" w:cs="仿宋_GB2312"/>
          <w:sz w:val="32"/>
          <w:szCs w:val="32"/>
          <w:lang w:val="en" w:eastAsia="zh-CN"/>
        </w:rPr>
        <w:t>。</w:t>
      </w:r>
    </w:p>
    <w:bookmarkEnd w:id="74"/>
    <w:p>
      <w:pPr>
        <w:pStyle w:val="2"/>
        <w:spacing w:line="560" w:lineRule="exact"/>
        <w:ind w:left="0" w:leftChars="0" w:firstLine="0" w:firstLineChars="0"/>
        <w:rPr>
          <w:rFonts w:hint="eastAsia" w:ascii="Times New Roman" w:eastAsia="仿宋_GB2312"/>
          <w:sz w:val="32"/>
          <w:lang w:val="zh-CN" w:bidi="ar"/>
        </w:rPr>
      </w:pPr>
    </w:p>
    <w:p>
      <w:pPr>
        <w:pStyle w:val="2"/>
        <w:spacing w:line="560" w:lineRule="exact"/>
        <w:ind w:left="0" w:leftChars="0" w:firstLine="576" w:firstLineChars="200"/>
        <w:rPr>
          <w:rFonts w:hint="default" w:ascii="Times New Roman" w:eastAsia="仿宋_GB2312"/>
          <w:w w:val="90"/>
          <w:sz w:val="32"/>
          <w:lang w:val="en-US" w:eastAsia="zh-CN" w:bidi="ar"/>
        </w:rPr>
      </w:pPr>
      <w:r>
        <w:rPr>
          <w:rFonts w:hint="eastAsia" w:ascii="Times New Roman" w:eastAsia="仿宋_GB2312"/>
          <w:w w:val="90"/>
          <w:sz w:val="32"/>
          <w:lang w:val="zh-CN" w:bidi="ar"/>
        </w:rPr>
        <w:t>附表：</w:t>
      </w:r>
      <w:r>
        <w:rPr>
          <w:rFonts w:hint="eastAsia" w:ascii="Times New Roman" w:eastAsia="仿宋_GB2312"/>
          <w:w w:val="90"/>
          <w:sz w:val="32"/>
          <w:lang w:bidi="ar"/>
        </w:rPr>
        <w:t>部门预算项目支出绩效自评表（2025年度）</w:t>
      </w:r>
      <w:r>
        <w:rPr>
          <w:rFonts w:hint="eastAsia" w:ascii="Times New Roman" w:eastAsia="仿宋_GB2312"/>
          <w:w w:val="90"/>
          <w:sz w:val="32"/>
          <w:lang w:eastAsia="zh-CN" w:bidi="ar"/>
        </w:rPr>
        <w:t>见附件</w:t>
      </w:r>
      <w:r>
        <w:rPr>
          <w:rFonts w:hint="eastAsia" w:ascii="Times New Roman" w:eastAsia="仿宋_GB2312"/>
          <w:w w:val="90"/>
          <w:sz w:val="32"/>
          <w:lang w:val="en-US" w:eastAsia="zh-CN" w:bidi="ar"/>
        </w:rPr>
        <w:t>3</w:t>
      </w:r>
    </w:p>
    <w:p>
      <w:pPr>
        <w:pStyle w:val="2"/>
        <w:spacing w:line="560" w:lineRule="exact"/>
        <w:ind w:left="0" w:leftChars="0" w:firstLine="0" w:firstLineChars="0"/>
        <w:rPr>
          <w:rFonts w:ascii="Times New Roman"/>
          <w:sz w:val="32"/>
          <w:highlight w:val="yellow"/>
          <w:lang w:val="zh-CN"/>
        </w:rPr>
      </w:pPr>
    </w:p>
    <w:p>
      <w:pPr>
        <w:pStyle w:val="8"/>
        <w:spacing w:before="93"/>
        <w:rPr>
          <w:rFonts w:ascii="Times New Roman" w:cs="宋体"/>
          <w:color w:val="FF0000"/>
          <w:sz w:val="32"/>
          <w:szCs w:val="32"/>
          <w:highlight w:val="yellow"/>
          <w:shd w:val="clear" w:color="auto" w:fill="FFFFFF"/>
          <w:lang w:val="zh-CN"/>
        </w:rPr>
      </w:pPr>
    </w:p>
    <w:p>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pPr>
        <w:pStyle w:val="6"/>
        <w:bidi w:val="0"/>
        <w:rPr>
          <w:rFonts w:hint="default" w:ascii="Times New Roman" w:hAnsi="Times New Roman" w:eastAsia="黑体" w:cs="Times New Roman"/>
          <w:b w:val="0"/>
          <w:bCs w:val="0"/>
        </w:rPr>
      </w:pPr>
      <w:bookmarkStart w:id="75" w:name="_Toc168395703"/>
      <w:r>
        <w:rPr>
          <w:rFonts w:hint="default" w:ascii="Times New Roman" w:hAnsi="Times New Roman" w:eastAsia="黑体" w:cs="Times New Roman"/>
          <w:b w:val="0"/>
          <w:bCs w:val="0"/>
          <w:lang w:val="zh-CN"/>
        </w:rPr>
        <w:t>附件</w:t>
      </w:r>
      <w:r>
        <w:rPr>
          <w:rFonts w:hint="default" w:ascii="Times New Roman" w:hAnsi="Times New Roman" w:eastAsia="黑体" w:cs="Times New Roman"/>
          <w:b w:val="0"/>
          <w:bCs w:val="0"/>
        </w:rPr>
        <w:t>2</w:t>
      </w:r>
      <w:bookmarkEnd w:id="75"/>
    </w:p>
    <w:p>
      <w:pPr>
        <w:pStyle w:val="35"/>
        <w:spacing w:line="578" w:lineRule="exact"/>
        <w:jc w:val="center"/>
        <w:rPr>
          <w:rFonts w:ascii="Times New Roman" w:hAnsi="Times New Roman" w:eastAsia="方正小标宋简体" w:cs="方正小标宋简体"/>
          <w:color w:val="auto"/>
          <w:kern w:val="2"/>
          <w:sz w:val="44"/>
          <w:szCs w:val="44"/>
          <w:lang w:val="en-US"/>
        </w:rPr>
      </w:pPr>
    </w:p>
    <w:p>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pPr>
        <w:autoSpaceDE w:val="0"/>
        <w:autoSpaceDN w:val="0"/>
        <w:adjustRightInd w:val="0"/>
        <w:spacing w:line="600" w:lineRule="exact"/>
        <w:ind w:firstLine="640" w:firstLineChars="200"/>
        <w:jc w:val="center"/>
        <w:rPr>
          <w:rFonts w:hint="eastAsia" w:eastAsia="仿宋_GB2312"/>
          <w:sz w:val="32"/>
          <w:szCs w:val="32"/>
          <w:lang w:val="en-US" w:eastAsia="zh-CN"/>
        </w:rPr>
      </w:pPr>
      <w:r>
        <w:rPr>
          <w:rFonts w:hint="eastAsia" w:eastAsia="仿宋_GB2312"/>
          <w:sz w:val="32"/>
          <w:szCs w:val="32"/>
          <w:lang w:val="en-US" w:eastAsia="zh-CN"/>
        </w:rPr>
        <w:t>（编纂出版经费）</w:t>
      </w:r>
    </w:p>
    <w:p>
      <w:pPr>
        <w:pStyle w:val="2"/>
        <w:rPr>
          <w:rFonts w:hint="default"/>
          <w:lang w:val="en-US" w:eastAsia="zh-CN"/>
        </w:rPr>
      </w:pPr>
    </w:p>
    <w:p>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pPr>
        <w:autoSpaceDE w:val="0"/>
        <w:autoSpaceDN w:val="0"/>
        <w:adjustRightInd w:val="0"/>
        <w:spacing w:line="600" w:lineRule="exact"/>
        <w:ind w:firstLine="640" w:firstLineChars="200"/>
        <w:jc w:val="left"/>
        <w:rPr>
          <w:rFonts w:hint="default" w:eastAsia="仿宋_GB2312"/>
          <w:sz w:val="32"/>
          <w:szCs w:val="32"/>
          <w:lang w:val="zh-CN"/>
        </w:rPr>
      </w:pPr>
      <w:r>
        <w:rPr>
          <w:rFonts w:hint="default" w:eastAsia="仿宋_GB2312"/>
          <w:sz w:val="32"/>
          <w:szCs w:val="32"/>
          <w:lang w:val="zh-CN"/>
        </w:rPr>
        <w:t>《中国共产党攀枝花执政实录》一书真实展示了攀枝花市的执政理念、执政方略和执政成效，通过不断探索和总结执政规律、社会主义建设规律、人类社会发展规律，实现用攀枝花改革开放的伟大成就激励人，用攀枝花精神教育人，用攀枝花开发建设的成功经验启迪人，用攀枝花开发建设的历史教训警示人，对进一步深化党史研究，提高领导干部执政水平和执政能力，推进党的建设具有重要意义。</w:t>
      </w:r>
    </w:p>
    <w:p>
      <w:pPr>
        <w:autoSpaceDE w:val="0"/>
        <w:autoSpaceDN w:val="0"/>
        <w:adjustRightInd w:val="0"/>
        <w:spacing w:line="600" w:lineRule="exact"/>
        <w:ind w:firstLine="640" w:firstLineChars="200"/>
        <w:jc w:val="left"/>
        <w:rPr>
          <w:rFonts w:hint="default" w:eastAsia="仿宋_GB2312"/>
          <w:sz w:val="32"/>
          <w:szCs w:val="32"/>
          <w:lang w:val="zh-CN"/>
        </w:rPr>
      </w:pPr>
      <w:r>
        <w:rPr>
          <w:rFonts w:hint="default" w:eastAsia="仿宋_GB2312"/>
          <w:sz w:val="32"/>
          <w:szCs w:val="32"/>
          <w:lang w:val="zh-CN"/>
        </w:rPr>
        <w:t>《攀枝花纪事》是市委机关刊物，发放全市多家单位和广大市民，本刊全面展示了攀枝花的市情和改革发展成效，弘扬攀枝花精神，品味攀枝花风土人情，增加了人民群众对市委市政府工作的了解，增强了政府和人民群众的沟通，丰富了人民群众的精神生活。</w:t>
      </w:r>
    </w:p>
    <w:p>
      <w:pPr>
        <w:autoSpaceDE w:val="0"/>
        <w:autoSpaceDN w:val="0"/>
        <w:adjustRightInd w:val="0"/>
        <w:spacing w:line="600" w:lineRule="exact"/>
        <w:ind w:firstLine="640" w:firstLineChars="200"/>
        <w:jc w:val="left"/>
        <w:rPr>
          <w:rFonts w:eastAsia="仿宋_GB2312"/>
          <w:sz w:val="32"/>
          <w:szCs w:val="32"/>
          <w:lang w:val="zh-CN"/>
        </w:rPr>
      </w:pPr>
      <w:r>
        <w:rPr>
          <w:rFonts w:hint="default" w:eastAsia="仿宋_GB2312"/>
          <w:sz w:val="32"/>
          <w:szCs w:val="32"/>
          <w:lang w:val="zh-CN"/>
        </w:rPr>
        <w:t>《攀枝花开发建设60年》回顾攀枝花开发建设的重要历程重大成就，总结攀枝花开发建设的历史经验和在推动四川工业化、现代化进程中的重要作用，挖掘攀枝花开发建设对推进中国式现代化建设的历史意义，以此纪念攀枝花开发建设60周年。</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pPr>
        <w:autoSpaceDE w:val="0"/>
        <w:autoSpaceDN w:val="0"/>
        <w:adjustRightInd w:val="0"/>
        <w:spacing w:line="600" w:lineRule="exact"/>
        <w:ind w:firstLine="640" w:firstLineChars="200"/>
        <w:jc w:val="left"/>
        <w:rPr>
          <w:rFonts w:eastAsia="仿宋_GB2312"/>
          <w:sz w:val="32"/>
          <w:szCs w:val="32"/>
          <w:lang w:val="zh-CN"/>
        </w:rPr>
      </w:pPr>
      <w:r>
        <w:rPr>
          <w:rFonts w:hint="default" w:eastAsia="仿宋_GB2312"/>
          <w:sz w:val="32"/>
          <w:szCs w:val="32"/>
          <w:lang w:val="zh-CN" w:eastAsia="zh-CN"/>
        </w:rPr>
        <w:t>编纂</w:t>
      </w:r>
      <w:r>
        <w:rPr>
          <w:rFonts w:hint="default" w:eastAsia="仿宋_GB2312"/>
          <w:sz w:val="32"/>
          <w:szCs w:val="32"/>
          <w:lang w:val="zh-CN"/>
        </w:rPr>
        <w:t>完成《中国共产党攀枝花执政实录》（202</w:t>
      </w:r>
      <w:r>
        <w:rPr>
          <w:rFonts w:hint="eastAsia" w:eastAsia="仿宋_GB2312"/>
          <w:sz w:val="32"/>
          <w:szCs w:val="32"/>
          <w:lang w:val="en-US" w:eastAsia="zh-CN"/>
        </w:rPr>
        <w:t>4</w:t>
      </w:r>
      <w:r>
        <w:rPr>
          <w:rFonts w:hint="default" w:eastAsia="仿宋_GB2312"/>
          <w:sz w:val="32"/>
          <w:szCs w:val="32"/>
          <w:lang w:val="zh-CN"/>
        </w:rPr>
        <w:t>卷），完成《攀枝花纪事》202</w:t>
      </w:r>
      <w:r>
        <w:rPr>
          <w:rFonts w:hint="eastAsia" w:eastAsia="仿宋_GB2312"/>
          <w:sz w:val="32"/>
          <w:szCs w:val="32"/>
          <w:lang w:val="en-US" w:eastAsia="zh-CN"/>
        </w:rPr>
        <w:t>5</w:t>
      </w:r>
      <w:r>
        <w:rPr>
          <w:rFonts w:hint="default" w:eastAsia="仿宋_GB2312"/>
          <w:sz w:val="32"/>
          <w:szCs w:val="32"/>
          <w:lang w:val="zh-CN"/>
        </w:rPr>
        <w:t>年6期的编辑出版</w:t>
      </w:r>
      <w:r>
        <w:rPr>
          <w:rFonts w:hint="default" w:eastAsia="仿宋_GB2312"/>
          <w:sz w:val="32"/>
          <w:szCs w:val="32"/>
          <w:lang w:val="zh-CN" w:eastAsia="zh-CN"/>
        </w:rPr>
        <w:t>，</w:t>
      </w:r>
      <w:r>
        <w:rPr>
          <w:rFonts w:hint="default" w:eastAsia="仿宋_GB2312"/>
          <w:sz w:val="32"/>
          <w:szCs w:val="32"/>
          <w:lang w:val="zh-CN"/>
        </w:rPr>
        <w:t>《攀枝花开发建设60年》</w:t>
      </w:r>
      <w:r>
        <w:rPr>
          <w:rFonts w:hint="default" w:eastAsia="仿宋_GB2312"/>
          <w:sz w:val="32"/>
          <w:szCs w:val="32"/>
          <w:lang w:val="zh-CN" w:eastAsia="zh-CN"/>
        </w:rPr>
        <w:t>完成编纂</w:t>
      </w:r>
      <w:r>
        <w:rPr>
          <w:rFonts w:hint="default" w:eastAsia="仿宋_GB2312"/>
          <w:sz w:val="32"/>
          <w:szCs w:val="32"/>
          <w:lang w:val="zh-CN"/>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pPr>
        <w:autoSpaceDE w:val="0"/>
        <w:autoSpaceDN w:val="0"/>
        <w:adjustRightInd w:val="0"/>
        <w:spacing w:line="600" w:lineRule="exact"/>
        <w:ind w:firstLine="640" w:firstLineChars="200"/>
        <w:jc w:val="left"/>
        <w:rPr>
          <w:rFonts w:hint="default" w:eastAsia="仿宋_GB2312"/>
          <w:sz w:val="32"/>
          <w:szCs w:val="32"/>
          <w:lang w:val="zh-CN" w:eastAsia="zh-CN"/>
        </w:rPr>
      </w:pPr>
      <w:r>
        <w:rPr>
          <w:rFonts w:hint="default" w:eastAsia="仿宋_GB2312"/>
          <w:sz w:val="32"/>
          <w:szCs w:val="32"/>
          <w:lang w:val="zh-CN" w:eastAsia="zh-CN"/>
        </w:rPr>
        <w:t>项目采取自评的方式，结合评价内容，做到有计划，有安排，扎实开展本次自评工作，按照上级下达的项目支出绩效评价指标体系，针对申报内容、实施情况、资金兑现、财务管理、社会效益等做出自我评价。</w:t>
      </w:r>
    </w:p>
    <w:p>
      <w:pPr>
        <w:adjustRightInd w:val="0"/>
        <w:snapToGrid w:val="0"/>
        <w:spacing w:line="600" w:lineRule="exact"/>
        <w:ind w:firstLine="720"/>
        <w:rPr>
          <w:rFonts w:eastAsia="黑体"/>
          <w:sz w:val="32"/>
          <w:szCs w:val="32"/>
        </w:rPr>
      </w:pPr>
      <w:r>
        <w:rPr>
          <w:rFonts w:eastAsia="黑体"/>
          <w:sz w:val="32"/>
          <w:szCs w:val="32"/>
        </w:rPr>
        <w:t>二、项目资金申报及使用情况</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pPr>
        <w:autoSpaceDE w:val="0"/>
        <w:autoSpaceDN w:val="0"/>
        <w:adjustRightInd w:val="0"/>
        <w:spacing w:line="600" w:lineRule="exact"/>
        <w:ind w:firstLine="640" w:firstLineChars="200"/>
        <w:jc w:val="left"/>
        <w:rPr>
          <w:rFonts w:hint="default" w:eastAsia="仿宋_GB2312"/>
          <w:color w:val="000000" w:themeColor="text1"/>
          <w:sz w:val="32"/>
          <w:szCs w:val="32"/>
          <w:lang w:val="zh-CN" w:eastAsia="zh-CN"/>
          <w14:textFill>
            <w14:solidFill>
              <w14:schemeClr w14:val="tx1"/>
            </w14:solidFill>
          </w14:textFill>
        </w:rPr>
      </w:pPr>
      <w:r>
        <w:rPr>
          <w:rFonts w:hint="default" w:eastAsia="仿宋_GB2312"/>
          <w:color w:val="000000" w:themeColor="text1"/>
          <w:sz w:val="32"/>
          <w:szCs w:val="32"/>
          <w:lang w:val="zh-CN" w:eastAsia="zh-CN"/>
          <w14:textFill>
            <w14:solidFill>
              <w14:schemeClr w14:val="tx1"/>
            </w14:solidFill>
          </w14:textFill>
        </w:rPr>
        <w:t>该项目</w:t>
      </w:r>
      <w:r>
        <w:rPr>
          <w:rFonts w:hint="default" w:eastAsia="仿宋_GB2312"/>
          <w:color w:val="000000" w:themeColor="text1"/>
          <w:sz w:val="32"/>
          <w:szCs w:val="32"/>
          <w:lang w:val="en-US" w:eastAsia="zh-CN"/>
          <w14:textFill>
            <w14:solidFill>
              <w14:schemeClr w14:val="tx1"/>
            </w14:solidFill>
          </w14:textFill>
        </w:rPr>
        <w:t>202</w:t>
      </w:r>
      <w:r>
        <w:rPr>
          <w:rFonts w:hint="eastAsia" w:eastAsia="仿宋_GB2312"/>
          <w:color w:val="000000" w:themeColor="text1"/>
          <w:sz w:val="32"/>
          <w:szCs w:val="32"/>
          <w:lang w:val="en-US" w:eastAsia="zh-CN"/>
          <w14:textFill>
            <w14:solidFill>
              <w14:schemeClr w14:val="tx1"/>
            </w14:solidFill>
          </w14:textFill>
        </w:rPr>
        <w:t>5</w:t>
      </w:r>
      <w:r>
        <w:rPr>
          <w:rFonts w:hint="default" w:eastAsia="仿宋_GB2312"/>
          <w:color w:val="000000" w:themeColor="text1"/>
          <w:sz w:val="32"/>
          <w:szCs w:val="32"/>
          <w:lang w:val="en-US" w:eastAsia="zh-CN"/>
          <w14:textFill>
            <w14:solidFill>
              <w14:schemeClr w14:val="tx1"/>
            </w14:solidFill>
          </w14:textFill>
        </w:rPr>
        <w:t>年年初预算</w:t>
      </w:r>
      <w:r>
        <w:rPr>
          <w:rFonts w:hint="default" w:eastAsia="仿宋_GB2312"/>
          <w:color w:val="000000" w:themeColor="text1"/>
          <w:sz w:val="32"/>
          <w:szCs w:val="32"/>
          <w:lang w:val="zh-CN" w:eastAsia="zh-CN"/>
          <w14:textFill>
            <w14:solidFill>
              <w14:schemeClr w14:val="tx1"/>
            </w14:solidFill>
          </w14:textFill>
        </w:rPr>
        <w:t>申报</w:t>
      </w:r>
      <w:r>
        <w:rPr>
          <w:rFonts w:hint="default" w:eastAsia="仿宋_GB2312"/>
          <w:color w:val="000000" w:themeColor="text1"/>
          <w:sz w:val="32"/>
          <w:szCs w:val="32"/>
          <w:lang w:val="en-US" w:eastAsia="zh-CN"/>
          <w14:textFill>
            <w14:solidFill>
              <w14:schemeClr w14:val="tx1"/>
            </w14:solidFill>
          </w14:textFill>
        </w:rPr>
        <w:t>25万元。</w:t>
      </w:r>
    </w:p>
    <w:p>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w:t>
      </w:r>
    </w:p>
    <w:p>
      <w:pPr>
        <w:autoSpaceDE w:val="0"/>
        <w:autoSpaceDN w:val="0"/>
        <w:adjustRightInd w:val="0"/>
        <w:spacing w:line="600" w:lineRule="exact"/>
        <w:ind w:firstLine="640" w:firstLineChars="200"/>
        <w:jc w:val="left"/>
        <w:rPr>
          <w:rFonts w:hint="default" w:eastAsia="仿宋_GB2312"/>
          <w:color w:val="000000" w:themeColor="text1"/>
          <w:sz w:val="32"/>
          <w:szCs w:val="32"/>
          <w:lang w:val="zh-CN" w:eastAsia="zh-CN"/>
          <w14:textFill>
            <w14:solidFill>
              <w14:schemeClr w14:val="tx1"/>
            </w14:solidFill>
          </w14:textFill>
        </w:rPr>
      </w:pPr>
      <w:r>
        <w:rPr>
          <w:rFonts w:hint="default" w:eastAsia="仿宋_GB2312"/>
          <w:color w:val="000000" w:themeColor="text1"/>
          <w:sz w:val="32"/>
          <w:szCs w:val="32"/>
          <w:lang w:val="zh-CN" w:eastAsia="zh-CN"/>
          <w14:textFill>
            <w14:solidFill>
              <w14:schemeClr w14:val="tx1"/>
            </w14:solidFill>
          </w14:textFill>
        </w:rPr>
        <w:t>项目经费由市本级财政拨款保障，全年</w:t>
      </w:r>
      <w:r>
        <w:rPr>
          <w:rFonts w:hint="eastAsia" w:eastAsia="仿宋_GB2312"/>
          <w:color w:val="000000" w:themeColor="text1"/>
          <w:sz w:val="32"/>
          <w:szCs w:val="32"/>
          <w:lang w:val="zh-CN" w:eastAsia="zh-CN"/>
          <w14:textFill>
            <w14:solidFill>
              <w14:schemeClr w14:val="tx1"/>
            </w14:solidFill>
          </w14:textFill>
        </w:rPr>
        <w:t>调整后</w:t>
      </w:r>
      <w:r>
        <w:rPr>
          <w:rFonts w:hint="default" w:eastAsia="仿宋_GB2312"/>
          <w:color w:val="000000" w:themeColor="text1"/>
          <w:sz w:val="32"/>
          <w:szCs w:val="32"/>
          <w:lang w:val="zh-CN" w:eastAsia="zh-CN"/>
          <w14:textFill>
            <w14:solidFill>
              <w14:schemeClr w14:val="tx1"/>
            </w14:solidFill>
          </w14:textFill>
        </w:rPr>
        <w:t>预算数</w:t>
      </w:r>
      <w:r>
        <w:rPr>
          <w:rFonts w:hint="eastAsia" w:eastAsia="仿宋_GB2312"/>
          <w:color w:val="000000" w:themeColor="text1"/>
          <w:sz w:val="32"/>
          <w:szCs w:val="32"/>
          <w:lang w:val="en-US" w:eastAsia="zh-CN"/>
          <w14:textFill>
            <w14:solidFill>
              <w14:schemeClr w14:val="tx1"/>
            </w14:solidFill>
          </w14:textFill>
        </w:rPr>
        <w:t>16.41</w:t>
      </w:r>
      <w:r>
        <w:rPr>
          <w:rFonts w:hint="default" w:eastAsia="仿宋_GB2312"/>
          <w:color w:val="000000" w:themeColor="text1"/>
          <w:sz w:val="32"/>
          <w:szCs w:val="32"/>
          <w:lang w:val="en-US" w:eastAsia="zh-CN"/>
          <w14:textFill>
            <w14:solidFill>
              <w14:schemeClr w14:val="tx1"/>
            </w14:solidFill>
          </w14:textFill>
        </w:rPr>
        <w:t>万元，实际完成数</w:t>
      </w:r>
      <w:r>
        <w:rPr>
          <w:rFonts w:hint="eastAsia" w:eastAsia="仿宋_GB2312"/>
          <w:color w:val="000000" w:themeColor="text1"/>
          <w:sz w:val="32"/>
          <w:szCs w:val="32"/>
          <w:lang w:val="en-US" w:eastAsia="zh-CN"/>
          <w14:textFill>
            <w14:solidFill>
              <w14:schemeClr w14:val="tx1"/>
            </w14:solidFill>
          </w14:textFill>
        </w:rPr>
        <w:t>16.41</w:t>
      </w:r>
      <w:r>
        <w:rPr>
          <w:rFonts w:hint="default" w:eastAsia="仿宋_GB2312"/>
          <w:color w:val="000000" w:themeColor="text1"/>
          <w:sz w:val="32"/>
          <w:szCs w:val="32"/>
          <w:lang w:val="en-US" w:eastAsia="zh-CN"/>
          <w14:textFill>
            <w14:solidFill>
              <w14:schemeClr w14:val="tx1"/>
            </w14:solidFill>
          </w14:textFill>
        </w:rPr>
        <w:t>万元，完成率100%。</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pPr>
        <w:autoSpaceDE w:val="0"/>
        <w:autoSpaceDN w:val="0"/>
        <w:adjustRightInd w:val="0"/>
        <w:spacing w:line="600" w:lineRule="exact"/>
        <w:ind w:firstLine="640" w:firstLineChars="200"/>
        <w:jc w:val="left"/>
        <w:rPr>
          <w:rFonts w:hint="default" w:eastAsia="仿宋_GB2312"/>
          <w:sz w:val="32"/>
          <w:szCs w:val="32"/>
          <w:lang w:val="zh-CN" w:eastAsia="zh-CN"/>
        </w:rPr>
      </w:pPr>
      <w:r>
        <w:rPr>
          <w:rFonts w:hint="default" w:eastAsia="仿宋_GB2312"/>
          <w:sz w:val="32"/>
          <w:szCs w:val="32"/>
          <w:lang w:val="zh-CN" w:eastAsia="zh-CN"/>
        </w:rPr>
        <w:t>我室财务管理制度健全，资金支付严格执行财务管理制度，各项支出严格按照绩效目标执行，专款专用，账务处理及时，会计核算规范。</w:t>
      </w:r>
    </w:p>
    <w:p>
      <w:pPr>
        <w:adjustRightInd w:val="0"/>
        <w:snapToGrid w:val="0"/>
        <w:spacing w:line="600" w:lineRule="exact"/>
        <w:ind w:firstLine="720"/>
        <w:rPr>
          <w:rFonts w:eastAsia="黑体"/>
          <w:sz w:val="32"/>
          <w:szCs w:val="32"/>
        </w:rPr>
      </w:pPr>
      <w:r>
        <w:rPr>
          <w:rFonts w:eastAsia="黑体"/>
          <w:sz w:val="32"/>
          <w:szCs w:val="32"/>
        </w:rPr>
        <w:t>三、项目实施及管理情况</w:t>
      </w:r>
    </w:p>
    <w:p>
      <w:pPr>
        <w:autoSpaceDE w:val="0"/>
        <w:autoSpaceDN w:val="0"/>
        <w:adjustRightInd w:val="0"/>
        <w:spacing w:line="600" w:lineRule="exact"/>
        <w:ind w:firstLine="640" w:firstLineChars="200"/>
        <w:jc w:val="left"/>
        <w:rPr>
          <w:rFonts w:hint="default" w:eastAsia="仿宋_GB2312"/>
          <w:sz w:val="32"/>
          <w:szCs w:val="32"/>
          <w:lang w:val="zh-CN" w:eastAsia="zh-CN"/>
        </w:rPr>
      </w:pPr>
      <w:r>
        <w:rPr>
          <w:rFonts w:hint="default" w:eastAsia="仿宋_GB2312"/>
          <w:sz w:val="32"/>
          <w:szCs w:val="32"/>
          <w:lang w:val="zh-CN" w:eastAsia="zh-CN"/>
        </w:rPr>
        <w:t>我室财务管理制度健全，资金支付严格执行财务管理制度，各项支出严格按照绩效目标执行，专款专用，账务处理及时，会计核算规范。</w:t>
      </w:r>
    </w:p>
    <w:p>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w w:val="90"/>
          <w:kern w:val="0"/>
          <w:sz w:val="32"/>
          <w:szCs w:val="32"/>
          <w:lang w:eastAsia="zh-CN"/>
        </w:rPr>
      </w:pPr>
      <w:r>
        <w:rPr>
          <w:rFonts w:hint="default" w:ascii="Times New Roman" w:hAnsi="Times New Roman" w:eastAsia="仿宋_GB2312" w:cs="Times New Roman"/>
          <w:kern w:val="0"/>
          <w:sz w:val="32"/>
          <w:szCs w:val="32"/>
        </w:rPr>
        <w:t>数量指标：《中国共产党攀枝花执政实录》（202</w:t>
      </w:r>
      <w:r>
        <w:rPr>
          <w:rFonts w:hint="default" w:eastAsia="仿宋_GB2312" w:cs="Times New Roman"/>
          <w:kern w:val="0"/>
          <w:sz w:val="32"/>
          <w:szCs w:val="32"/>
          <w:lang w:val="en-US"/>
        </w:rPr>
        <w:t>4</w:t>
      </w:r>
      <w:r>
        <w:rPr>
          <w:rFonts w:hint="default" w:ascii="Times New Roman" w:hAnsi="Times New Roman" w:eastAsia="仿宋_GB2312" w:cs="Times New Roman"/>
          <w:kern w:val="0"/>
          <w:sz w:val="32"/>
          <w:szCs w:val="32"/>
        </w:rPr>
        <w:t>卷）</w:t>
      </w:r>
      <w:r>
        <w:rPr>
          <w:rFonts w:hint="default" w:ascii="Times New Roman" w:hAnsi="Times New Roman" w:cs="Times New Roman"/>
          <w:kern w:val="0"/>
          <w:sz w:val="32"/>
          <w:szCs w:val="32"/>
          <w:lang w:val="en-US" w:eastAsia="zh-CN"/>
        </w:rPr>
        <w:t>680册</w:t>
      </w:r>
      <w:r>
        <w:rPr>
          <w:rFonts w:hint="eastAsia" w:cs="Times New Roman"/>
          <w:kern w:val="0"/>
          <w:sz w:val="32"/>
          <w:szCs w:val="32"/>
          <w:lang w:val="en-US" w:eastAsia="zh-CN"/>
        </w:rPr>
        <w:t>，</w:t>
      </w:r>
      <w:r>
        <w:rPr>
          <w:rFonts w:hint="default" w:ascii="Times New Roman" w:hAnsi="Times New Roman" w:eastAsia="仿宋" w:cs="Times New Roman"/>
          <w:kern w:val="0"/>
          <w:sz w:val="32"/>
          <w:szCs w:val="32"/>
        </w:rPr>
        <w:t>《攀枝花开发建设60年》</w:t>
      </w:r>
      <w:r>
        <w:rPr>
          <w:rFonts w:hint="default" w:ascii="Times New Roman" w:hAnsi="Times New Roman" w:eastAsia="仿宋" w:cs="Times New Roman"/>
          <w:kern w:val="0"/>
          <w:sz w:val="32"/>
          <w:szCs w:val="32"/>
          <w:lang w:val="en-US" w:eastAsia="zh-CN"/>
        </w:rPr>
        <w:t>4000册，</w:t>
      </w:r>
      <w:r>
        <w:rPr>
          <w:rFonts w:hint="default" w:ascii="Times New Roman" w:hAnsi="Times New Roman" w:eastAsia="仿宋_GB2312" w:cs="Times New Roman"/>
          <w:w w:val="90"/>
          <w:kern w:val="0"/>
          <w:sz w:val="32"/>
          <w:szCs w:val="32"/>
        </w:rPr>
        <w:t>《攀枝花纪事》</w:t>
      </w:r>
      <w:r>
        <w:rPr>
          <w:rFonts w:hint="default" w:ascii="Times New Roman" w:hAnsi="Times New Roman" w:cs="Times New Roman"/>
          <w:w w:val="90"/>
          <w:kern w:val="0"/>
          <w:sz w:val="32"/>
          <w:szCs w:val="32"/>
          <w:lang w:val="en-US" w:eastAsia="zh-CN"/>
        </w:rPr>
        <w:t>6期</w:t>
      </w:r>
      <w:r>
        <w:rPr>
          <w:rFonts w:hint="default" w:ascii="Times New Roman" w:hAnsi="Times New Roman" w:eastAsia="仿宋_GB2312" w:cs="Times New Roman"/>
          <w:w w:val="90"/>
          <w:kern w:val="0"/>
          <w:sz w:val="32"/>
          <w:szCs w:val="32"/>
          <w:lang w:eastAsia="zh-CN"/>
        </w:rPr>
        <w:t>。</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质量指标：成品书籍达国家出版物质量标准。</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时效指标：《攀枝花纪事》202</w:t>
      </w: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年12月底前完成出版</w:t>
      </w:r>
      <w:r>
        <w:rPr>
          <w:rFonts w:hint="default" w:ascii="Times New Roman" w:hAnsi="Times New Roman" w:cs="Times New Roman"/>
          <w:kern w:val="0"/>
          <w:sz w:val="32"/>
          <w:szCs w:val="32"/>
          <w:lang w:eastAsia="zh-CN"/>
        </w:rPr>
        <w:t>；</w:t>
      </w:r>
      <w:r>
        <w:rPr>
          <w:rFonts w:hint="default" w:ascii="Times New Roman" w:hAnsi="Times New Roman" w:eastAsia="仿宋_GB2312" w:cs="Times New Roman"/>
          <w:kern w:val="0"/>
          <w:sz w:val="32"/>
          <w:szCs w:val="32"/>
        </w:rPr>
        <w:t>《中国共产党攀枝花执政实录》（202</w:t>
      </w:r>
      <w:r>
        <w:rPr>
          <w:rFonts w:hint="default" w:eastAsia="仿宋_GB2312" w:cs="Times New Roman"/>
          <w:kern w:val="0"/>
          <w:sz w:val="32"/>
          <w:szCs w:val="32"/>
          <w:lang w:val="en-US"/>
        </w:rPr>
        <w:t>4</w:t>
      </w:r>
      <w:r>
        <w:rPr>
          <w:rFonts w:hint="default" w:ascii="Times New Roman" w:hAnsi="Times New Roman" w:eastAsia="仿宋_GB2312" w:cs="Times New Roman"/>
          <w:kern w:val="0"/>
          <w:sz w:val="32"/>
          <w:szCs w:val="32"/>
        </w:rPr>
        <w:t>卷）202</w:t>
      </w:r>
      <w:r>
        <w:rPr>
          <w:rFonts w:hint="eastAsia"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年12月底前编纂</w:t>
      </w:r>
      <w:r>
        <w:rPr>
          <w:rFonts w:hint="default" w:ascii="Times New Roman" w:hAnsi="Times New Roman" w:cs="Times New Roman"/>
          <w:kern w:val="0"/>
          <w:sz w:val="32"/>
          <w:szCs w:val="32"/>
          <w:lang w:eastAsia="zh-CN"/>
        </w:rPr>
        <w:t>出版；</w:t>
      </w:r>
      <w:r>
        <w:rPr>
          <w:rFonts w:hint="default" w:ascii="Times New Roman" w:hAnsi="Times New Roman" w:eastAsia="仿宋" w:cs="Times New Roman"/>
          <w:kern w:val="0"/>
          <w:sz w:val="32"/>
          <w:szCs w:val="32"/>
        </w:rPr>
        <w:t>攀枝花开发建设60年》</w:t>
      </w:r>
      <w:r>
        <w:rPr>
          <w:rFonts w:hint="default" w:ascii="Times New Roman" w:hAnsi="Times New Roman" w:eastAsia="仿宋" w:cs="Times New Roman"/>
          <w:kern w:val="0"/>
          <w:sz w:val="32"/>
          <w:szCs w:val="32"/>
          <w:lang w:val="en-US" w:eastAsia="zh-CN"/>
        </w:rPr>
        <w:t>2024年12底前完成编纂，2025年完成出版</w:t>
      </w:r>
      <w:r>
        <w:rPr>
          <w:rFonts w:hint="default" w:ascii="Times New Roman" w:hAnsi="Times New Roman" w:eastAsia="仿宋_GB2312" w:cs="Times New Roman"/>
          <w:kern w:val="0"/>
          <w:sz w:val="32"/>
          <w:szCs w:val="32"/>
          <w:lang w:eastAsia="zh-CN"/>
        </w:rPr>
        <w:t>。</w:t>
      </w:r>
    </w:p>
    <w:p>
      <w:pPr>
        <w:adjustRightInd w:val="0"/>
        <w:snapToGrid w:val="0"/>
        <w:spacing w:line="600" w:lineRule="exact"/>
        <w:ind w:firstLine="72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成本指标：《中国共产党攀枝花执政实录》（202</w:t>
      </w:r>
      <w:r>
        <w:rPr>
          <w:rFonts w:hint="default" w:eastAsia="仿宋_GB2312" w:cs="Times New Roman"/>
          <w:kern w:val="0"/>
          <w:sz w:val="32"/>
          <w:szCs w:val="32"/>
          <w:lang w:val="en-US"/>
        </w:rPr>
        <w:t>4</w:t>
      </w:r>
      <w:r>
        <w:rPr>
          <w:rFonts w:hint="default" w:ascii="Times New Roman" w:hAnsi="Times New Roman" w:eastAsia="仿宋_GB2312" w:cs="Times New Roman"/>
          <w:kern w:val="0"/>
          <w:sz w:val="32"/>
          <w:szCs w:val="32"/>
        </w:rPr>
        <w:t>卷）</w:t>
      </w:r>
      <w:r>
        <w:rPr>
          <w:rFonts w:hint="default" w:ascii="Times New Roman" w:hAnsi="Times New Roman" w:cs="Times New Roman"/>
          <w:kern w:val="0"/>
          <w:sz w:val="32"/>
          <w:szCs w:val="32"/>
          <w:lang w:val="en-US" w:eastAsia="zh-CN"/>
        </w:rPr>
        <w:t>10.2万元，</w:t>
      </w:r>
      <w:r>
        <w:rPr>
          <w:rFonts w:hint="default" w:ascii="Times New Roman" w:hAnsi="Times New Roman" w:eastAsia="仿宋" w:cs="Times New Roman"/>
          <w:kern w:val="0"/>
          <w:sz w:val="32"/>
          <w:szCs w:val="32"/>
        </w:rPr>
        <w:t>《攀枝花开发建设60年》</w:t>
      </w:r>
      <w:r>
        <w:rPr>
          <w:rFonts w:hint="default" w:ascii="Times New Roman" w:hAnsi="Times New Roman" w:eastAsia="仿宋" w:cs="Times New Roman"/>
          <w:kern w:val="0"/>
          <w:sz w:val="32"/>
          <w:szCs w:val="32"/>
          <w:lang w:val="en-US" w:eastAsia="zh-CN"/>
        </w:rPr>
        <w:t>23.5万元，</w:t>
      </w:r>
      <w:r>
        <w:rPr>
          <w:rFonts w:hint="default" w:ascii="Times New Roman" w:hAnsi="Times New Roman" w:eastAsia="仿宋_GB2312" w:cs="Times New Roman"/>
          <w:kern w:val="0"/>
          <w:sz w:val="32"/>
          <w:szCs w:val="32"/>
        </w:rPr>
        <w:t>《攀枝花纪事》</w:t>
      </w:r>
      <w:r>
        <w:rPr>
          <w:rFonts w:hint="default" w:ascii="Times New Roman" w:hAnsi="Times New Roman" w:cs="Times New Roman"/>
          <w:kern w:val="0"/>
          <w:sz w:val="32"/>
          <w:szCs w:val="32"/>
          <w:lang w:val="en-US" w:eastAsia="zh-CN"/>
        </w:rPr>
        <w:t>3.93万元</w:t>
      </w:r>
      <w:r>
        <w:rPr>
          <w:rFonts w:hint="default" w:ascii="Times New Roman" w:hAnsi="Times New Roman" w:eastAsia="仿宋_GB2312" w:cs="Times New Roman"/>
          <w:kern w:val="0"/>
          <w:sz w:val="32"/>
          <w:szCs w:val="32"/>
        </w:rPr>
        <w:t>。</w:t>
      </w:r>
    </w:p>
    <w:p>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w:t>
      </w:r>
      <w:r>
        <w:rPr>
          <w:rFonts w:hint="default" w:ascii="Times New Roman" w:hAnsi="Times New Roman" w:eastAsia="仿宋_GB2312" w:cs="Times New Roman"/>
          <w:w w:val="90"/>
          <w:kern w:val="0"/>
          <w:sz w:val="32"/>
          <w:szCs w:val="32"/>
        </w:rPr>
        <w:t>《中国共产党攀枝花执政实录》（202</w:t>
      </w:r>
      <w:r>
        <w:rPr>
          <w:rFonts w:hint="default" w:eastAsia="仿宋_GB2312" w:cs="Times New Roman"/>
          <w:w w:val="90"/>
          <w:kern w:val="0"/>
          <w:sz w:val="32"/>
          <w:szCs w:val="32"/>
          <w:lang w:val="en-US"/>
        </w:rPr>
        <w:t>4</w:t>
      </w:r>
      <w:r>
        <w:rPr>
          <w:rFonts w:hint="default" w:ascii="Times New Roman" w:hAnsi="Times New Roman" w:eastAsia="仿宋_GB2312" w:cs="Times New Roman"/>
          <w:w w:val="90"/>
          <w:kern w:val="0"/>
          <w:sz w:val="32"/>
          <w:szCs w:val="32"/>
        </w:rPr>
        <w:t>卷）</w:t>
      </w:r>
      <w:r>
        <w:rPr>
          <w:rFonts w:hint="default" w:ascii="Times New Roman" w:hAnsi="Times New Roman" w:eastAsia="仿宋_GB2312" w:cs="Times New Roman"/>
          <w:kern w:val="0"/>
          <w:sz w:val="32"/>
          <w:szCs w:val="32"/>
        </w:rPr>
        <w:t>总结执政规律、社会主义建设规律、人类社会发展规律，实现用攀枝花改革开放的伟大成就激励人，用攀枝花精神教育人，用攀枝花开发建设的成功经验启迪人,用攀枝花开放建设的历史教训警示人</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《攀枝花纪事》增加人民群众对市委市政府工作的了解，增强政府和人民群众的沟通，丰富人民群众的精神生活</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攀枝花开发建设60年》回顾攀枝花开发建设的重要历程重大成就，总结攀枝花开发建设的历史经验和在推动四川工业化、现代化进程中的重要作用，挖掘攀枝花开发建设对推进中国式现代化建设的历史意义，以此纪念攀枝花开发建设60周年。</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可持续影响指标</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利用年限≥5年</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rPr>
        <w:t>满意度指标：参与者满意度≥95%。</w:t>
      </w:r>
    </w:p>
    <w:p>
      <w:pPr>
        <w:adjustRightInd w:val="0"/>
        <w:snapToGrid w:val="0"/>
        <w:spacing w:line="600" w:lineRule="exact"/>
        <w:ind w:firstLine="720"/>
        <w:rPr>
          <w:rFonts w:eastAsia="黑体"/>
          <w:sz w:val="32"/>
          <w:szCs w:val="32"/>
        </w:rPr>
      </w:pPr>
      <w:r>
        <w:rPr>
          <w:rFonts w:eastAsia="黑体"/>
          <w:sz w:val="32"/>
          <w:szCs w:val="32"/>
        </w:rPr>
        <w:t>五、评价结论及建议</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rPr>
        <w:t>我室项目执行符合预期绩效目标。</w:t>
      </w:r>
      <w:r>
        <w:rPr>
          <w:rFonts w:hint="default" w:ascii="Times New Roman" w:hAnsi="Times New Roman" w:eastAsia="仿宋_GB2312" w:cs="Times New Roman"/>
          <w:kern w:val="0"/>
          <w:sz w:val="32"/>
          <w:szCs w:val="32"/>
          <w:lang w:eastAsia="zh-CN"/>
        </w:rPr>
        <w:t>无建议。</w:t>
      </w: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bookmarkStart w:id="76" w:name="_Toc15396618"/>
      <w:r>
        <w:rPr>
          <w:rFonts w:hint="eastAsia" w:eastAsia="仿宋_GB2312" w:cs="仿宋_GB2312"/>
          <w:kern w:val="0"/>
          <w:sz w:val="32"/>
          <w:szCs w:val="32"/>
        </w:rPr>
        <w:br w:type="page"/>
      </w:r>
    </w:p>
    <w:p>
      <w:pPr>
        <w:widowControl/>
        <w:jc w:val="center"/>
        <w:outlineLvl w:val="0"/>
        <w:rPr>
          <w:rFonts w:eastAsia="仿宋"/>
        </w:rPr>
      </w:pPr>
      <w:bookmarkStart w:id="77" w:name="_Toc1729004631"/>
      <w:r>
        <w:rPr>
          <w:rFonts w:hint="eastAsia" w:eastAsia="黑体"/>
          <w:sz w:val="44"/>
          <w:szCs w:val="44"/>
        </w:rPr>
        <w:t>第</w:t>
      </w:r>
      <w:r>
        <w:rPr>
          <w:rStyle w:val="29"/>
          <w:rFonts w:hint="eastAsia" w:eastAsia="黑体"/>
          <w:b w:val="0"/>
        </w:rPr>
        <w:t>五部分 附表</w:t>
      </w:r>
      <w:bookmarkEnd w:id="70"/>
      <w:bookmarkEnd w:id="76"/>
      <w:bookmarkEnd w:id="77"/>
      <w:bookmarkStart w:id="78" w:name="_Toc15396619"/>
    </w:p>
    <w:p>
      <w:pPr>
        <w:pStyle w:val="15"/>
        <w:adjustRightInd w:val="0"/>
        <w:snapToGrid w:val="0"/>
        <w:spacing w:line="560" w:lineRule="exact"/>
        <w:jc w:val="left"/>
        <w:rPr>
          <w:rFonts w:eastAsia="仿宋_GB2312" w:cs="仿宋_GB2312"/>
          <w:sz w:val="32"/>
          <w:szCs w:val="32"/>
        </w:rPr>
      </w:pPr>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79" w:name="_Toc1387678800"/>
      <w:r>
        <w:rPr>
          <w:rFonts w:hint="eastAsia" w:ascii="仿宋_GB2312" w:hAnsi="仿宋_GB2312" w:eastAsia="仿宋_GB2312" w:cs="仿宋_GB2312"/>
          <w:sz w:val="32"/>
          <w:szCs w:val="32"/>
        </w:rPr>
        <w:t>一、收入支出决算总表</w:t>
      </w:r>
      <w:bookmarkEnd w:id="78"/>
      <w:bookmarkEnd w:id="79"/>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80" w:name="_Toc15396620"/>
      <w:bookmarkStart w:id="81" w:name="_Toc1189734068"/>
      <w:r>
        <w:rPr>
          <w:rFonts w:hint="eastAsia" w:ascii="仿宋_GB2312" w:hAnsi="仿宋_GB2312" w:eastAsia="仿宋_GB2312" w:cs="仿宋_GB2312"/>
          <w:sz w:val="32"/>
          <w:szCs w:val="32"/>
        </w:rPr>
        <w:t>二、收入决算表</w:t>
      </w:r>
      <w:bookmarkEnd w:id="80"/>
      <w:bookmarkEnd w:id="81"/>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82" w:name="_Toc1804205457"/>
      <w:bookmarkStart w:id="83" w:name="_Toc15396621"/>
      <w:r>
        <w:rPr>
          <w:rFonts w:hint="eastAsia" w:ascii="仿宋_GB2312" w:hAnsi="仿宋_GB2312" w:eastAsia="仿宋_GB2312" w:cs="仿宋_GB2312"/>
          <w:sz w:val="32"/>
          <w:szCs w:val="32"/>
        </w:rPr>
        <w:t>三、支出决算表</w:t>
      </w:r>
      <w:bookmarkEnd w:id="82"/>
      <w:bookmarkEnd w:id="83"/>
    </w:p>
    <w:p>
      <w:pPr>
        <w:pStyle w:val="15"/>
        <w:keepNext w:val="0"/>
        <w:keepLines w:val="0"/>
        <w:pageBreakBefore w:val="0"/>
        <w:widowControl w:val="0"/>
        <w:tabs>
          <w:tab w:val="right" w:pos="7886"/>
          <w:tab w:val="clear" w:pos="8296"/>
        </w:tabs>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lang w:eastAsia="zh-CN"/>
        </w:rPr>
      </w:pPr>
      <w:bookmarkStart w:id="84" w:name="_Toc2004887356"/>
      <w:bookmarkStart w:id="85" w:name="_Toc15396622"/>
      <w:r>
        <w:rPr>
          <w:rFonts w:hint="eastAsia" w:ascii="仿宋_GB2312" w:hAnsi="仿宋_GB2312" w:eastAsia="仿宋_GB2312" w:cs="仿宋_GB2312"/>
          <w:sz w:val="32"/>
          <w:szCs w:val="32"/>
        </w:rPr>
        <w:t>四、财政拨款收入支出决算总表</w:t>
      </w:r>
      <w:bookmarkEnd w:id="84"/>
      <w:bookmarkEnd w:id="85"/>
      <w:r>
        <w:rPr>
          <w:rFonts w:hint="eastAsia" w:ascii="仿宋_GB2312" w:hAnsi="仿宋_GB2312" w:eastAsia="仿宋_GB2312" w:cs="仿宋_GB2312"/>
          <w:sz w:val="32"/>
          <w:szCs w:val="32"/>
          <w:lang w:eastAsia="zh-CN"/>
        </w:rPr>
        <w:tab/>
      </w:r>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86" w:name="_Toc1336368071"/>
      <w:bookmarkStart w:id="87" w:name="_Toc15396623"/>
      <w:r>
        <w:rPr>
          <w:rFonts w:hint="eastAsia" w:ascii="仿宋_GB2312" w:hAnsi="仿宋_GB2312" w:eastAsia="仿宋_GB2312" w:cs="仿宋_GB2312"/>
          <w:sz w:val="32"/>
          <w:szCs w:val="32"/>
        </w:rPr>
        <w:t>五、财政拨款支出决算明细表</w:t>
      </w:r>
      <w:bookmarkEnd w:id="86"/>
      <w:bookmarkEnd w:id="87"/>
      <w:bookmarkStart w:id="88" w:name="_Toc15396624"/>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89" w:name="_Toc1328523734"/>
      <w:r>
        <w:rPr>
          <w:rFonts w:hint="eastAsia" w:ascii="仿宋_GB2312" w:hAnsi="仿宋_GB2312" w:eastAsia="仿宋_GB2312" w:cs="仿宋_GB2312"/>
          <w:sz w:val="32"/>
          <w:szCs w:val="32"/>
        </w:rPr>
        <w:t>六、一般公共预算财政拨款支出决算表</w:t>
      </w:r>
      <w:bookmarkEnd w:id="88"/>
      <w:bookmarkEnd w:id="89"/>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90" w:name="_Toc140481490"/>
      <w:bookmarkStart w:id="91" w:name="_Toc15396625"/>
      <w:r>
        <w:rPr>
          <w:rFonts w:hint="eastAsia" w:ascii="仿宋_GB2312" w:hAnsi="仿宋_GB2312" w:eastAsia="仿宋_GB2312" w:cs="仿宋_GB2312"/>
          <w:sz w:val="32"/>
          <w:szCs w:val="32"/>
        </w:rPr>
        <w:t>七、一般公共预算财政拨款支出决算明细表</w:t>
      </w:r>
      <w:bookmarkEnd w:id="90"/>
      <w:bookmarkEnd w:id="91"/>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92" w:name="_Toc15396626"/>
      <w:bookmarkStart w:id="93" w:name="_Toc1552957605"/>
      <w:r>
        <w:rPr>
          <w:rFonts w:hint="eastAsia" w:ascii="仿宋_GB2312" w:hAnsi="仿宋_GB2312" w:eastAsia="仿宋_GB2312" w:cs="仿宋_GB2312"/>
          <w:sz w:val="32"/>
          <w:szCs w:val="32"/>
        </w:rPr>
        <w:t>八、一般公共预算财政拨款基本支出决算表</w:t>
      </w:r>
      <w:bookmarkEnd w:id="92"/>
      <w:bookmarkEnd w:id="93"/>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94" w:name="_Toc1892528950"/>
      <w:bookmarkStart w:id="95" w:name="_Toc15396627"/>
      <w:r>
        <w:rPr>
          <w:rFonts w:hint="eastAsia" w:ascii="仿宋_GB2312" w:hAnsi="仿宋_GB2312" w:eastAsia="仿宋_GB2312" w:cs="仿宋_GB2312"/>
          <w:sz w:val="32"/>
          <w:szCs w:val="32"/>
        </w:rPr>
        <w:t>九、一般公共预算财政拨款项目支出决算表</w:t>
      </w:r>
      <w:bookmarkEnd w:id="94"/>
      <w:bookmarkEnd w:id="95"/>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96" w:name="_Toc15396628"/>
      <w:bookmarkStart w:id="97" w:name="_Toc1061171276"/>
      <w:r>
        <w:rPr>
          <w:rFonts w:hint="eastAsia" w:ascii="仿宋_GB2312" w:hAnsi="仿宋_GB2312" w:eastAsia="仿宋_GB2312" w:cs="仿宋_GB2312"/>
          <w:sz w:val="32"/>
          <w:szCs w:val="32"/>
        </w:rPr>
        <w:t>十、</w:t>
      </w:r>
      <w:bookmarkEnd w:id="96"/>
      <w:r>
        <w:rPr>
          <w:rFonts w:hint="eastAsia" w:ascii="仿宋_GB2312" w:hAnsi="仿宋_GB2312" w:eastAsia="仿宋_GB2312" w:cs="仿宋_GB2312"/>
          <w:sz w:val="32"/>
          <w:szCs w:val="32"/>
        </w:rPr>
        <w:t>政府性基金预算财政拨款收入支出决算表</w:t>
      </w:r>
      <w:bookmarkEnd w:id="97"/>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98" w:name="_Toc15396629"/>
      <w:bookmarkStart w:id="99" w:name="_Toc1536539687"/>
      <w:r>
        <w:rPr>
          <w:rFonts w:hint="eastAsia" w:ascii="仿宋_GB2312" w:hAnsi="仿宋_GB2312" w:eastAsia="仿宋_GB2312" w:cs="仿宋_GB2312"/>
          <w:sz w:val="32"/>
          <w:szCs w:val="32"/>
        </w:rPr>
        <w:t>十一、</w:t>
      </w:r>
      <w:bookmarkEnd w:id="98"/>
      <w:r>
        <w:rPr>
          <w:rFonts w:hint="eastAsia" w:ascii="仿宋_GB2312" w:hAnsi="仿宋_GB2312" w:eastAsia="仿宋_GB2312" w:cs="仿宋_GB2312"/>
          <w:sz w:val="32"/>
          <w:szCs w:val="32"/>
        </w:rPr>
        <w:t>国有资本经营预算财政拨款收入支出决算表</w:t>
      </w:r>
      <w:bookmarkEnd w:id="99"/>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100" w:name="_Toc15396630"/>
      <w:bookmarkStart w:id="101" w:name="_Toc738725905"/>
      <w:r>
        <w:rPr>
          <w:rFonts w:hint="eastAsia" w:ascii="仿宋_GB2312" w:hAnsi="仿宋_GB2312" w:eastAsia="仿宋_GB2312" w:cs="仿宋_GB2312"/>
          <w:sz w:val="32"/>
          <w:szCs w:val="32"/>
        </w:rPr>
        <w:t>十二、</w:t>
      </w:r>
      <w:bookmarkEnd w:id="100"/>
      <w:r>
        <w:rPr>
          <w:rFonts w:hint="eastAsia" w:ascii="仿宋_GB2312" w:hAnsi="仿宋_GB2312" w:eastAsia="仿宋_GB2312" w:cs="仿宋_GB2312"/>
          <w:sz w:val="32"/>
          <w:szCs w:val="32"/>
        </w:rPr>
        <w:t>国有资本经营预算财政拨款支出决算表</w:t>
      </w:r>
      <w:bookmarkEnd w:id="101"/>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bookmarkStart w:id="102" w:name="_Toc15396631"/>
      <w:bookmarkStart w:id="103" w:name="_Toc1740957348"/>
      <w:r>
        <w:rPr>
          <w:rFonts w:hint="eastAsia" w:ascii="仿宋_GB2312" w:hAnsi="仿宋_GB2312" w:eastAsia="仿宋_GB2312" w:cs="仿宋_GB2312"/>
          <w:sz w:val="32"/>
          <w:szCs w:val="32"/>
        </w:rPr>
        <w:t>十三、</w:t>
      </w:r>
      <w:bookmarkEnd w:id="102"/>
      <w:r>
        <w:rPr>
          <w:rFonts w:hint="eastAsia" w:ascii="仿宋_GB2312" w:hAnsi="仿宋_GB2312" w:eastAsia="仿宋_GB2312" w:cs="仿宋_GB2312"/>
          <w:sz w:val="32"/>
          <w:szCs w:val="32"/>
        </w:rPr>
        <w:t>财政拨款“三公”经费支出决算表</w:t>
      </w:r>
      <w:bookmarkEnd w:id="103"/>
    </w:p>
    <w:p>
      <w:pPr>
        <w:pStyle w:val="15"/>
        <w:keepNext w:val="0"/>
        <w:keepLines w:val="0"/>
        <w:pageBreakBefore w:val="0"/>
        <w:widowControl w:val="0"/>
        <w:kinsoku/>
        <w:wordWrap/>
        <w:overflowPunct/>
        <w:topLinePunct w:val="0"/>
        <w:autoSpaceDE/>
        <w:autoSpaceDN/>
        <w:bidi w:val="0"/>
        <w:adjustRightInd/>
        <w:snapToGrid/>
        <w:spacing w:line="560" w:lineRule="atLeast"/>
        <w:ind w:firstLine="0" w:firstLineChars="0"/>
        <w:textAlignment w:val="auto"/>
        <w:rPr>
          <w:rFonts w:hint="eastAsia" w:ascii="仿宋_GB2312" w:hAnsi="仿宋_GB2312" w:eastAsia="仿宋_GB2312" w:cs="仿宋_GB2312"/>
          <w:sz w:val="32"/>
          <w:szCs w:val="32"/>
        </w:rPr>
      </w:pPr>
    </w:p>
    <w:sectPr>
      <w:footerReference r:id="rId8" w:type="first"/>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Am1VpzKgIAAFUEAAAOAAAAAAAAAAEAIAAAADUBAABkcnMv&#10;ZTJvRG9jLnhtbFBLBQYAAAAABgAGAFkBAADRBQ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4E95D5"/>
    <w:multiLevelType w:val="singleLevel"/>
    <w:tmpl w:val="FD4E95D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BFFC072"/>
    <w:rsid w:val="1D155CEE"/>
    <w:rsid w:val="1E740ACF"/>
    <w:rsid w:val="1EBE45C4"/>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2F38A38"/>
    <w:rsid w:val="3304709D"/>
    <w:rsid w:val="34281836"/>
    <w:rsid w:val="349D6851"/>
    <w:rsid w:val="35BA6CAF"/>
    <w:rsid w:val="364D14C1"/>
    <w:rsid w:val="36AA5135"/>
    <w:rsid w:val="36BE0DA7"/>
    <w:rsid w:val="376B6AA6"/>
    <w:rsid w:val="376D39B2"/>
    <w:rsid w:val="37E16F03"/>
    <w:rsid w:val="37E74F84"/>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AB2E63"/>
    <w:rsid w:val="3FF4CAE0"/>
    <w:rsid w:val="3FF7B227"/>
    <w:rsid w:val="40E54C45"/>
    <w:rsid w:val="43A407DF"/>
    <w:rsid w:val="44515BEA"/>
    <w:rsid w:val="44E268DA"/>
    <w:rsid w:val="453F7E5B"/>
    <w:rsid w:val="486A6C7A"/>
    <w:rsid w:val="49176D9B"/>
    <w:rsid w:val="4A627F82"/>
    <w:rsid w:val="4AB6B872"/>
    <w:rsid w:val="4B0E749A"/>
    <w:rsid w:val="4B4F25DA"/>
    <w:rsid w:val="4BDA0CFB"/>
    <w:rsid w:val="4BE068DB"/>
    <w:rsid w:val="4D3C0CCC"/>
    <w:rsid w:val="4D577224"/>
    <w:rsid w:val="4DBF1CEB"/>
    <w:rsid w:val="4EAB630A"/>
    <w:rsid w:val="4ECE2238"/>
    <w:rsid w:val="4F833267"/>
    <w:rsid w:val="4FE9BD67"/>
    <w:rsid w:val="4FED13BD"/>
    <w:rsid w:val="4FFB052F"/>
    <w:rsid w:val="53083A92"/>
    <w:rsid w:val="537E6D0A"/>
    <w:rsid w:val="53AF27A2"/>
    <w:rsid w:val="53F74C96"/>
    <w:rsid w:val="56E47B74"/>
    <w:rsid w:val="57BD3DD4"/>
    <w:rsid w:val="5AD5F3C3"/>
    <w:rsid w:val="5AF92295"/>
    <w:rsid w:val="5BDD79E6"/>
    <w:rsid w:val="5BF561CA"/>
    <w:rsid w:val="5BFF5DFC"/>
    <w:rsid w:val="5CD71FC4"/>
    <w:rsid w:val="5D1F11B5"/>
    <w:rsid w:val="5DAE1B18"/>
    <w:rsid w:val="5DE7D9E5"/>
    <w:rsid w:val="5EBF687A"/>
    <w:rsid w:val="5ECEC941"/>
    <w:rsid w:val="5EFF2010"/>
    <w:rsid w:val="5F493CB7"/>
    <w:rsid w:val="5FBF9FF3"/>
    <w:rsid w:val="5FCD4E2C"/>
    <w:rsid w:val="5FD15F49"/>
    <w:rsid w:val="5FEF394A"/>
    <w:rsid w:val="5FF67715"/>
    <w:rsid w:val="5FFB31E0"/>
    <w:rsid w:val="62BF3928"/>
    <w:rsid w:val="647F5392"/>
    <w:rsid w:val="664B1D71"/>
    <w:rsid w:val="67AA3209"/>
    <w:rsid w:val="681C4F0D"/>
    <w:rsid w:val="69046D0F"/>
    <w:rsid w:val="698D0931"/>
    <w:rsid w:val="6991923C"/>
    <w:rsid w:val="6A993CED"/>
    <w:rsid w:val="6B053271"/>
    <w:rsid w:val="6B7385B4"/>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6FFFCDF6"/>
    <w:rsid w:val="70496804"/>
    <w:rsid w:val="712A28F1"/>
    <w:rsid w:val="715C0E4B"/>
    <w:rsid w:val="72233669"/>
    <w:rsid w:val="72734D90"/>
    <w:rsid w:val="72DDB920"/>
    <w:rsid w:val="7332FE48"/>
    <w:rsid w:val="73AB61DA"/>
    <w:rsid w:val="73AD73D5"/>
    <w:rsid w:val="73B6EB34"/>
    <w:rsid w:val="73DF62AB"/>
    <w:rsid w:val="73FA497D"/>
    <w:rsid w:val="744731E5"/>
    <w:rsid w:val="74527205"/>
    <w:rsid w:val="74BBD01D"/>
    <w:rsid w:val="74ED5379"/>
    <w:rsid w:val="74FC2395"/>
    <w:rsid w:val="75DEEEC2"/>
    <w:rsid w:val="76E3355F"/>
    <w:rsid w:val="76FF5125"/>
    <w:rsid w:val="776F6FFA"/>
    <w:rsid w:val="778769C8"/>
    <w:rsid w:val="77DC22F5"/>
    <w:rsid w:val="77FD0DB5"/>
    <w:rsid w:val="79086DAD"/>
    <w:rsid w:val="79974F09"/>
    <w:rsid w:val="79D7FD79"/>
    <w:rsid w:val="79EE5BA4"/>
    <w:rsid w:val="7A894339"/>
    <w:rsid w:val="7AFF7572"/>
    <w:rsid w:val="7B6C7DFB"/>
    <w:rsid w:val="7BBFBED0"/>
    <w:rsid w:val="7BC3E394"/>
    <w:rsid w:val="7C1F3737"/>
    <w:rsid w:val="7CAAF055"/>
    <w:rsid w:val="7CBFC87B"/>
    <w:rsid w:val="7CFE0F48"/>
    <w:rsid w:val="7D3FCD56"/>
    <w:rsid w:val="7D7EC23E"/>
    <w:rsid w:val="7D916348"/>
    <w:rsid w:val="7E8ADEBF"/>
    <w:rsid w:val="7EE7BE0E"/>
    <w:rsid w:val="7EEF11D3"/>
    <w:rsid w:val="7F0971A6"/>
    <w:rsid w:val="7F3F679B"/>
    <w:rsid w:val="7F4FC4EF"/>
    <w:rsid w:val="7F5E4D54"/>
    <w:rsid w:val="7F6E0135"/>
    <w:rsid w:val="7FA30C79"/>
    <w:rsid w:val="7FAF8ABF"/>
    <w:rsid w:val="7FB7269E"/>
    <w:rsid w:val="7FBF71E9"/>
    <w:rsid w:val="7FC96657"/>
    <w:rsid w:val="7FDA9588"/>
    <w:rsid w:val="7FDE91AC"/>
    <w:rsid w:val="7FDF220F"/>
    <w:rsid w:val="7FDF5894"/>
    <w:rsid w:val="7FEDC5F7"/>
    <w:rsid w:val="7FEDD9DE"/>
    <w:rsid w:val="7FF5890D"/>
    <w:rsid w:val="7FF93490"/>
    <w:rsid w:val="99FF2014"/>
    <w:rsid w:val="A6DD0D7F"/>
    <w:rsid w:val="ADC6F725"/>
    <w:rsid w:val="B7CF06AB"/>
    <w:rsid w:val="B7CFA926"/>
    <w:rsid w:val="B7EA8ADB"/>
    <w:rsid w:val="B7F8786B"/>
    <w:rsid w:val="B91E6C07"/>
    <w:rsid w:val="B98C81B8"/>
    <w:rsid w:val="BABB6AA1"/>
    <w:rsid w:val="BB2F4199"/>
    <w:rsid w:val="BD079C78"/>
    <w:rsid w:val="BD733540"/>
    <w:rsid w:val="BF3735D5"/>
    <w:rsid w:val="BF6F329F"/>
    <w:rsid w:val="BF7F09AC"/>
    <w:rsid w:val="BFAFA4A6"/>
    <w:rsid w:val="BFD475C3"/>
    <w:rsid w:val="BFDE5EA6"/>
    <w:rsid w:val="BFFFA66C"/>
    <w:rsid w:val="C90E3205"/>
    <w:rsid w:val="CEFF3912"/>
    <w:rsid w:val="CF2BA577"/>
    <w:rsid w:val="CF6FC6F3"/>
    <w:rsid w:val="CFD3D3D7"/>
    <w:rsid w:val="CFDF1009"/>
    <w:rsid w:val="D43D21CC"/>
    <w:rsid w:val="D7D7B16A"/>
    <w:rsid w:val="D8D6DB89"/>
    <w:rsid w:val="DB6F4CAB"/>
    <w:rsid w:val="DB777682"/>
    <w:rsid w:val="DD1FB521"/>
    <w:rsid w:val="DDBB3C70"/>
    <w:rsid w:val="DEFBFEAE"/>
    <w:rsid w:val="DF1F3B80"/>
    <w:rsid w:val="DF6F9789"/>
    <w:rsid w:val="DFEBC118"/>
    <w:rsid w:val="DFFFA9E8"/>
    <w:rsid w:val="E3BD3458"/>
    <w:rsid w:val="E5F4E9DC"/>
    <w:rsid w:val="E70FE695"/>
    <w:rsid w:val="EBD9B79C"/>
    <w:rsid w:val="ECFED1BC"/>
    <w:rsid w:val="ED1D69BB"/>
    <w:rsid w:val="ED7FD312"/>
    <w:rsid w:val="EEBD8297"/>
    <w:rsid w:val="EF53993F"/>
    <w:rsid w:val="EF6FD633"/>
    <w:rsid w:val="EFBFB2F4"/>
    <w:rsid w:val="EFBFFA21"/>
    <w:rsid w:val="EFFE0AEE"/>
    <w:rsid w:val="F2BEBCB8"/>
    <w:rsid w:val="F36FB518"/>
    <w:rsid w:val="F3DE1A04"/>
    <w:rsid w:val="F3F722E5"/>
    <w:rsid w:val="F7FECE1E"/>
    <w:rsid w:val="FA5F1E70"/>
    <w:rsid w:val="FA5FDB97"/>
    <w:rsid w:val="FB7F486A"/>
    <w:rsid w:val="FBFF5B2E"/>
    <w:rsid w:val="FD7F8CA2"/>
    <w:rsid w:val="FD7FFE2B"/>
    <w:rsid w:val="FDEE196B"/>
    <w:rsid w:val="FDFE6575"/>
    <w:rsid w:val="FEDFDDC2"/>
    <w:rsid w:val="FEED32F6"/>
    <w:rsid w:val="FEF781DD"/>
    <w:rsid w:val="FF3F7E3F"/>
    <w:rsid w:val="FFBA12D7"/>
    <w:rsid w:val="FFBEDCA7"/>
    <w:rsid w:val="FFD70053"/>
    <w:rsid w:val="FFDFFAEE"/>
    <w:rsid w:val="FFF9B57B"/>
    <w:rsid w:val="FFFD61D9"/>
    <w:rsid w:val="FFFD8F59"/>
    <w:rsid w:val="FFFF2456"/>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36"/>
    <w:unhideWhenUsed/>
    <w:qFormat/>
    <w:uiPriority w:val="99"/>
    <w:pPr>
      <w:ind w:firstLine="420" w:firstLineChars="200"/>
    </w:pPr>
  </w:style>
  <w:style w:type="paragraph" w:styleId="3">
    <w:name w:val="Body Text Indent"/>
    <w:basedOn w:val="1"/>
    <w:next w:val="4"/>
    <w:qFormat/>
    <w:uiPriority w:val="0"/>
    <w:pPr>
      <w:spacing w:after="120"/>
      <w:ind w:left="200" w:leftChars="200"/>
    </w:pPr>
    <w:rPr>
      <w:rFonts w:ascii="仿宋_GB2312"/>
      <w:szCs w:val="32"/>
    </w:rPr>
  </w:style>
  <w:style w:type="paragraph" w:customStyle="1" w:styleId="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2"/>
    <w:qFormat/>
    <w:uiPriority w:val="99"/>
    <w:rPr>
      <w:rFonts w:ascii="仿宋_GB2312"/>
      <w:kern w:val="2"/>
      <w:sz w:val="21"/>
      <w:szCs w:val="32"/>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3575"/>
          <c:y val="0.2345"/>
          <c:w val="0.905175"/>
          <c:h val="0.7169"/>
        </c:manualLayout>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Sheet1!$A$2:$A$5</c:f>
              <c:strCache>
                <c:ptCount val="4"/>
                <c:pt idx="0">
                  <c:v>收入总计</c:v>
                </c:pt>
                <c:pt idx="1">
                  <c:v>支出总计</c:v>
                </c:pt>
              </c:strCache>
            </c:strRef>
          </c:cat>
          <c:val>
            <c:numRef>
              <c:f>Sheet1!$B$2:$B$5</c:f>
              <c:numCache>
                <c:formatCode>General</c:formatCode>
                <c:ptCount val="4"/>
                <c:pt idx="0">
                  <c:v>307.96</c:v>
                </c:pt>
                <c:pt idx="1">
                  <c:v>307.96</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Sheet1!$A$2:$A$5</c:f>
              <c:strCache>
                <c:ptCount val="4"/>
                <c:pt idx="0">
                  <c:v>收入总计</c:v>
                </c:pt>
                <c:pt idx="1">
                  <c:v>支出总计</c:v>
                </c:pt>
              </c:strCache>
            </c:strRef>
          </c:cat>
          <c:val>
            <c:numRef>
              <c:f>Sheet1!$C$2:$C$5</c:f>
              <c:numCache>
                <c:formatCode>General</c:formatCode>
                <c:ptCount val="4"/>
                <c:pt idx="0">
                  <c:v>268.94</c:v>
                </c:pt>
                <c:pt idx="1">
                  <c:v>268.94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收入总计</c:v>
                </c:pt>
                <c:pt idx="1">
                  <c:v>支出总计</c:v>
                </c:pt>
              </c:strCache>
            </c:strRef>
          </c:cat>
          <c:val>
            <c:numRef>
              <c:f>Sheet1!$D$2:$D$5</c:f>
              <c:numCache>
                <c:formatCode>General</c:formatCode>
                <c:ptCount val="4"/>
              </c:numCache>
            </c:numRef>
          </c:val>
        </c:ser>
        <c:ser>
          <c:idx val="3"/>
          <c:order val="3"/>
          <c:tx>
            <c:strRef>
              <c:f>Sheet1!$E$1</c:f>
              <c:strCache>
                <c:ptCount val="1"/>
                <c:pt idx="0">
                  <c:v/>
                </c:pt>
              </c:strCache>
            </c:strRef>
          </c:tx>
          <c:spPr>
            <a:solidFill>
              <a:schemeClr val="accent4"/>
            </a:solidFill>
            <a:ln>
              <a:noFill/>
            </a:ln>
            <a:effectLst/>
          </c:spPr>
          <c:invertIfNegative val="0"/>
          <c:dLbls>
            <c:delete val="1"/>
          </c:dLbls>
          <c:cat>
            <c:strRef>
              <c:f>Sheet1!$A$2:$A$5</c:f>
              <c:strCache>
                <c:ptCount val="4"/>
                <c:pt idx="0">
                  <c:v>收入总计</c:v>
                </c:pt>
                <c:pt idx="1">
                  <c:v>支出总计</c:v>
                </c:pt>
              </c:strCache>
            </c:strRef>
          </c:cat>
          <c:val>
            <c:numRef>
              <c:f>Sheet1!$E$2:$E$5</c:f>
              <c:numCache>
                <c:formatCode>General</c:formatCode>
                <c:ptCount val="4"/>
              </c:numCache>
            </c:numRef>
          </c:val>
        </c:ser>
        <c:dLbls>
          <c:showLegendKey val="0"/>
          <c:showVal val="0"/>
          <c:showCatName val="0"/>
          <c:showSerName val="0"/>
          <c:showPercent val="0"/>
          <c:showBubbleSize val="0"/>
        </c:dLbls>
        <c:gapWidth val="5"/>
        <c:overlap val="2"/>
        <c:axId val="722654342"/>
        <c:axId val="800092641"/>
      </c:barChart>
      <c:catAx>
        <c:axId val="72265434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092641"/>
        <c:crosses val="autoZero"/>
        <c:auto val="1"/>
        <c:lblAlgn val="ctr"/>
        <c:lblOffset val="100"/>
        <c:noMultiLvlLbl val="0"/>
      </c:catAx>
      <c:valAx>
        <c:axId val="80009264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2654342"/>
        <c:crosses val="autoZero"/>
        <c:crossBetween val="between"/>
      </c:valAx>
      <c:spPr>
        <a:noFill/>
        <a:ln>
          <a:noFill/>
        </a:ln>
        <a:effectLst/>
      </c:spPr>
    </c:plotArea>
    <c:legend>
      <c:legendPos val="b"/>
      <c:legendEntry>
        <c:idx val="2"/>
        <c:delete val="1"/>
      </c:legendEntry>
      <c:legendEntry>
        <c:idx val="3"/>
        <c:delete val="1"/>
      </c:legendEntry>
      <c:layout>
        <c:manualLayout>
          <c:xMode val="edge"/>
          <c:yMode val="edge"/>
          <c:x val="0.5851875"/>
          <c:y val="0.93177763272410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86125"/>
          <c:y val="0.1925"/>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214875"/>
          <c:y val="0.0725"/>
          <c:w val="0.57025"/>
          <c:h val="0.760333333333333"/>
        </c:manualLayout>
      </c:layout>
      <c:pieChart>
        <c:varyColors val="1"/>
        <c:ser>
          <c:idx val="0"/>
          <c:order val="0"/>
          <c:tx>
            <c:strRef>
              <c:f>Sheet1!$B$1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749989044208846"/>
                  <c:y val="-0.71343405862135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100</a:t>
                    </a:r>
                    <a:r>
                      <a:rPr lang="en-US" altLang="zh-CN"/>
                      <a:t>%</a:t>
                    </a:r>
                    <a:endParaRPr lang="en-US" altLang="zh-CN"/>
                  </a:p>
                </c:rich>
              </c:tx>
              <c:dLblPos val="bestFit"/>
              <c:showLegendKey val="0"/>
              <c:showVal val="1"/>
              <c:showCatName val="0"/>
              <c:showSerName val="0"/>
              <c:showPercent val="1"/>
              <c:showBubbleSize val="0"/>
              <c:extLst>
                <c:ext xmlns:c15="http://schemas.microsoft.com/office/drawing/2012/chart" uri="{CE6537A1-D6FC-4f65-9D91-7224C49458BB}">
                  <c15:layout>
                    <c:manualLayout>
                      <c:w val="0.147375"/>
                      <c:h val="0.0558333333333333"/>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一般公共预算财政收入</c:v>
                </c:pt>
              </c:strCache>
            </c:strRef>
          </c:cat>
          <c:val>
            <c:numRef>
              <c:f>Sheet1!$B$2:$B$5</c:f>
              <c:numCache>
                <c:formatCode>0%</c:formatCode>
                <c:ptCount val="4"/>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1"/>
        <c:delete val="1"/>
      </c:legendEntry>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80456026058632"/>
          <c:y val="0.0267697798929209"/>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321894262089702"/>
          <c:y val="0.218218033840223"/>
          <c:w val="0.356211475820596"/>
          <c:h val="0.608969800813879"/>
        </c:manualLayout>
      </c:layout>
      <c:pieChart>
        <c:varyColors val="1"/>
        <c:ser>
          <c:idx val="0"/>
          <c:order val="0"/>
          <c:tx>
            <c:strRef>
              <c:f>Sheet1!$B$1</c:f>
              <c:strCache>
                <c:ptCount val="1"/>
                <c:pt idx="0">
                  <c:v/>
                </c:pt>
              </c:strCache>
            </c:strRef>
          </c:tx>
          <c:spPr>
            <a:ln w="19050">
              <a:gradFill>
                <a:gsLst>
                  <a:gs pos="2000">
                    <a:schemeClr val="accent1">
                      <a:lumMod val="5000"/>
                      <a:lumOff val="95000"/>
                      <a:alpha val="91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280000" scaled="0"/>
              </a:gradFill>
            </a:ln>
          </c:spPr>
          <c:explosion val="0"/>
          <c:dPt>
            <c:idx val="0"/>
            <c:bubble3D val="0"/>
            <c:spPr>
              <a:solidFill>
                <a:schemeClr val="accent1"/>
              </a:solidFill>
              <a:ln w="19050">
                <a:gradFill>
                  <a:gsLst>
                    <a:gs pos="2000">
                      <a:schemeClr val="accent1">
                        <a:lumMod val="5000"/>
                        <a:lumOff val="95000"/>
                        <a:alpha val="91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280000" scaled="0"/>
                </a:gradFill>
              </a:ln>
              <a:effectLst/>
            </c:spPr>
          </c:dPt>
          <c:dPt>
            <c:idx val="1"/>
            <c:bubble3D val="0"/>
            <c:spPr>
              <a:solidFill>
                <a:schemeClr val="accent2"/>
              </a:solidFill>
              <a:ln w="19050">
                <a:gradFill>
                  <a:gsLst>
                    <a:gs pos="2000">
                      <a:schemeClr val="accent1">
                        <a:lumMod val="5000"/>
                        <a:lumOff val="95000"/>
                        <a:alpha val="91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280000" scaled="0"/>
                </a:gradFill>
              </a:ln>
              <a:effectLst/>
            </c:spPr>
          </c:dPt>
          <c:dPt>
            <c:idx val="2"/>
            <c:bubble3D val="0"/>
            <c:spPr>
              <a:solidFill>
                <a:schemeClr val="accent3"/>
              </a:solidFill>
              <a:ln w="19050">
                <a:gradFill>
                  <a:gsLst>
                    <a:gs pos="2000">
                      <a:schemeClr val="accent1">
                        <a:lumMod val="5000"/>
                        <a:lumOff val="95000"/>
                        <a:alpha val="91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280000" scaled="0"/>
                </a:gradFill>
              </a:ln>
              <a:effectLst/>
            </c:spPr>
          </c:dPt>
          <c:dPt>
            <c:idx val="3"/>
            <c:bubble3D val="0"/>
            <c:spPr>
              <a:solidFill>
                <a:schemeClr val="accent4"/>
              </a:solidFill>
              <a:ln w="19050">
                <a:gradFill>
                  <a:gsLst>
                    <a:gs pos="2000">
                      <a:schemeClr val="accent1">
                        <a:lumMod val="5000"/>
                        <a:lumOff val="95000"/>
                        <a:alpha val="91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280000" scaled="0"/>
                </a:gradFill>
              </a:ln>
              <a:effectLst/>
            </c:spPr>
          </c:dPt>
          <c:dLbls>
            <c:dLbl>
              <c:idx val="0"/>
              <c:layout>
                <c:manualLayout>
                  <c:x val="-0.0404476621187374"/>
                  <c:y val="-0.24473612148565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89.6%</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171625"/>
                      <c:h val="0.0693333333333333"/>
                    </c:manualLayout>
                  </c15:layout>
                </c:ext>
              </c:extLst>
            </c:dLbl>
            <c:dLbl>
              <c:idx val="1"/>
              <c:layout>
                <c:manualLayout>
                  <c:x val="0.0294877454653327"/>
                  <c:y val="0.099941649089108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10.4%</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11345481777334"/>
                      <c:h val="0.0870345446388515"/>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0.00%</c:formatCode>
                <c:ptCount val="4"/>
                <c:pt idx="0">
                  <c:v>0.896</c:v>
                </c:pt>
                <c:pt idx="1">
                  <c:v>0.104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layout>
        <c:manualLayout>
          <c:xMode val="edge"/>
          <c:yMode val="edge"/>
          <c:x val="0.349097970433475"/>
          <c:y val="0.91496151680120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76470588235294"/>
          <c:y val="0.0320571955719557"/>
          <c:w val="0.874299917149958"/>
          <c:h val="0.679267371601208"/>
        </c:manualLayout>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Sheet1!$A$2:$A$5</c:f>
              <c:strCache>
                <c:ptCount val="4"/>
                <c:pt idx="0">
                  <c:v>财政拨款收入</c:v>
                </c:pt>
                <c:pt idx="1">
                  <c:v>财政拨款支出</c:v>
                </c:pt>
              </c:strCache>
            </c:strRef>
          </c:cat>
          <c:val>
            <c:numRef>
              <c:f>Sheet1!$B$2:$B$5</c:f>
              <c:numCache>
                <c:formatCode>General</c:formatCode>
                <c:ptCount val="4"/>
                <c:pt idx="0">
                  <c:v>307.96</c:v>
                </c:pt>
                <c:pt idx="1">
                  <c:v>307.96</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Sheet1!$A$2:$A$5</c:f>
              <c:strCache>
                <c:ptCount val="4"/>
                <c:pt idx="0">
                  <c:v>财政拨款收入</c:v>
                </c:pt>
                <c:pt idx="1">
                  <c:v>财政拨款支出</c:v>
                </c:pt>
              </c:strCache>
            </c:strRef>
          </c:cat>
          <c:val>
            <c:numRef>
              <c:f>Sheet1!$C$2:$C$5</c:f>
              <c:numCache>
                <c:formatCode>General</c:formatCode>
                <c:ptCount val="4"/>
                <c:pt idx="0">
                  <c:v>268.94</c:v>
                </c:pt>
                <c:pt idx="1">
                  <c:v>268.94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财政拨款收入</c:v>
                </c:pt>
                <c:pt idx="1">
                  <c:v>财政拨款支出</c:v>
                </c:pt>
              </c:strCache>
            </c:strRef>
          </c:cat>
          <c:val>
            <c:numRef>
              <c:f>Sheet1!$D$2:$D$5</c:f>
              <c:numCache>
                <c:formatCode>General</c:formatCode>
                <c:ptCount val="4"/>
              </c:numCache>
            </c:numRef>
          </c:val>
        </c:ser>
        <c:dLbls>
          <c:showLegendKey val="0"/>
          <c:showVal val="0"/>
          <c:showCatName val="0"/>
          <c:showSerName val="0"/>
          <c:showPercent val="0"/>
          <c:showBubbleSize val="0"/>
        </c:dLbls>
        <c:gapWidth val="5"/>
        <c:overlap val="2"/>
        <c:axId val="20685151"/>
        <c:axId val="657536115"/>
      </c:barChart>
      <c:catAx>
        <c:axId val="206851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536115"/>
        <c:crosses val="autoZero"/>
        <c:auto val="1"/>
        <c:lblAlgn val="ctr"/>
        <c:lblOffset val="100"/>
        <c:noMultiLvlLbl val="0"/>
      </c:catAx>
      <c:valAx>
        <c:axId val="6575361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685151"/>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8575"/>
          <c:y val="0.104321907600596"/>
          <c:w val="0.905175"/>
          <c:h val="0.753757717692144"/>
        </c:manualLayout>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Sheet1!$A$2:$A$5</c:f>
              <c:strCache>
                <c:ptCount val="4"/>
                <c:pt idx="0">
                  <c:v>一般公共预算财政拨款支出</c:v>
                </c:pt>
              </c:strCache>
            </c:strRef>
          </c:cat>
          <c:val>
            <c:numRef>
              <c:f>Sheet1!$B$2:$B$5</c:f>
              <c:numCache>
                <c:formatCode>General</c:formatCode>
                <c:ptCount val="4"/>
                <c:pt idx="0">
                  <c:v>307.96</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Sheet1!$A$2:$A$5</c:f>
              <c:strCache>
                <c:ptCount val="4"/>
                <c:pt idx="0">
                  <c:v>一般公共预算财政拨款支出</c:v>
                </c:pt>
              </c:strCache>
            </c:strRef>
          </c:cat>
          <c:val>
            <c:numRef>
              <c:f>Sheet1!$C$2:$C$5</c:f>
              <c:numCache>
                <c:formatCode>General</c:formatCode>
                <c:ptCount val="4"/>
                <c:pt idx="0">
                  <c:v>268.94</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5"/>
        <c:overlap val="2"/>
        <c:axId val="881741837"/>
        <c:axId val="817818091"/>
      </c:barChart>
      <c:catAx>
        <c:axId val="88174183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818091"/>
        <c:crosses val="autoZero"/>
        <c:auto val="1"/>
        <c:lblAlgn val="ctr"/>
        <c:lblOffset val="100"/>
        <c:noMultiLvlLbl val="0"/>
      </c:catAx>
      <c:valAx>
        <c:axId val="8178180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1741837"/>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accent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baseline="0">
              <a:solidFill>
                <a:schemeClr val="tx2"/>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68% </a:t>
                    </a:r>
                  </a:p>
                </c:rich>
              </c:tx>
              <c:dLblPos val="ctr"/>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0.3% </a:t>
                    </a:r>
                  </a:p>
                </c:rich>
              </c:tx>
              <c:dLblPos val="ctr"/>
              <c:showLegendKey val="0"/>
              <c:showVal val="1"/>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22.5%  </a:t>
                    </a:r>
                  </a:p>
                </c:rich>
              </c:tx>
              <c:dLblPos val="ctr"/>
              <c:showLegendKey val="0"/>
              <c:showVal val="1"/>
              <c:showCatName val="0"/>
              <c:showSerName val="0"/>
              <c:showPercent val="1"/>
              <c:showBubbleSize val="0"/>
              <c:extLst>
                <c:ext xmlns:c15="http://schemas.microsoft.com/office/drawing/2012/chart" uri="{CE6537A1-D6FC-4f65-9D91-7224C49458BB}"/>
              </c:extLst>
            </c:dLbl>
            <c:dLbl>
              <c:idx val="3"/>
              <c:layout>
                <c:manualLayout>
                  <c:x val="0.00651976717095582"/>
                  <c:y val="0.046295445706910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4% </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0386644894085423"/>
                  <c:y val="0.068011985170020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t>5.5% </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_);[Red]\(#,##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Sheet1!$A$2:$A$6</c:f>
              <c:strCache>
                <c:ptCount val="5"/>
                <c:pt idx="0">
                  <c:v>一般公共服务支出</c:v>
                </c:pt>
                <c:pt idx="1">
                  <c:v>公共安全支出</c:v>
                </c:pt>
                <c:pt idx="2">
                  <c:v>社会保障和就业支出</c:v>
                </c:pt>
                <c:pt idx="3">
                  <c:v>卫生健康支出</c:v>
                </c:pt>
                <c:pt idx="4">
                  <c:v>住房保障支出</c:v>
                </c:pt>
              </c:strCache>
            </c:strRef>
          </c:cat>
          <c:val>
            <c:numRef>
              <c:f>Sheet1!$B$2:$B$6</c:f>
              <c:numCache>
                <c:formatCode>0%</c:formatCode>
                <c:ptCount val="5"/>
                <c:pt idx="0">
                  <c:v>0.68</c:v>
                </c:pt>
                <c:pt idx="1" c:formatCode="0.00%">
                  <c:v>0.003</c:v>
                </c:pt>
                <c:pt idx="2" c:formatCode="0.00%">
                  <c:v>0.225</c:v>
                </c:pt>
                <c:pt idx="3">
                  <c:v>0.04</c:v>
                </c:pt>
                <c:pt idx="4" c:formatCode="0.00%">
                  <c:v>0.055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768742244493727"/>
                  <c:y val="-0.495690577090493"/>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025"/>
                      <c:h val="0.0642012389712784"/>
                    </c:manualLayout>
                  </c15:layout>
                </c:ext>
              </c:extLst>
            </c:dLbl>
            <c:dLbl>
              <c:idx val="1"/>
              <c:delete val="1"/>
            </c:dLbl>
            <c:dLbl>
              <c:idx val="2"/>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公务接待费</c:v>
                </c:pt>
                <c:pt idx="1">
                  <c:v>因公出国（境）费</c:v>
                </c:pt>
                <c:pt idx="2">
                  <c:v>公务用车购置及运行维护费</c:v>
                </c:pt>
              </c:strCache>
            </c:strRef>
          </c:cat>
          <c:val>
            <c:numRef>
              <c:f>Sheet1!$B$2:$B$5</c:f>
              <c:numCache>
                <c:formatCode>0%</c:formatCode>
                <c:ptCount val="4"/>
                <c:pt idx="0">
                  <c:v>1</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1334</Words>
  <Characters>7606</Characters>
  <Lines>63</Lines>
  <Paragraphs>17</Paragraphs>
  <TotalTime>1</TotalTime>
  <ScaleCrop>false</ScaleCrop>
  <LinksUpToDate>false</LinksUpToDate>
  <CharactersWithSpaces>8923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2020-08-16T09:49:00Z</dcterms:created>
  <dc:creator>曹颖</dc:creator>
  <cp:lastModifiedBy>user</cp:lastModifiedBy>
  <cp:lastPrinted>2026-09-17T01:08:00Z</cp:lastPrinted>
  <dcterms:modified xsi:type="dcterms:W3CDTF">2026-09-16T09:40:12Z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41A3BBAC8949FD7DE44C956A482DCECC</vt:lpwstr>
  </property>
</Properties>
</file>