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default"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96475"/>
      <w:bookmarkStart w:id="2" w:name="_Toc15396597"/>
      <w:bookmarkStart w:id="3" w:name="_Toc15377425"/>
      <w:bookmarkStart w:id="4" w:name="_Toc15378441"/>
      <w:bookmarkStart w:id="5" w:name="_Toc15306267"/>
    </w:p>
    <w:p>
      <w:pPr>
        <w:pStyle w:val="6"/>
        <w:rPr>
          <w:rFonts w:hint="default" w:ascii="Times New Roman" w:hAnsi="Times New Roman" w:eastAsia="方正小标宋简体" w:cs="Times New Roman"/>
          <w:color w:val="auto"/>
          <w:kern w:val="2"/>
          <w:sz w:val="72"/>
          <w:szCs w:val="72"/>
          <w:highlight w:val="none"/>
          <w:lang w:val="en-US" w:eastAsia="zh-CN" w:bidi="ar-SA"/>
        </w:rPr>
      </w:pPr>
    </w:p>
    <w:p>
      <w:pPr>
        <w:pStyle w:val="6"/>
        <w:rPr>
          <w:rFonts w:hint="default" w:ascii="Times New Roman" w:hAnsi="Times New Roman" w:eastAsia="方正小标宋简体" w:cs="Times New Roman"/>
          <w:color w:val="auto"/>
          <w:kern w:val="2"/>
          <w:sz w:val="72"/>
          <w:szCs w:val="72"/>
          <w:highlight w:val="none"/>
          <w:lang w:val="en-US" w:eastAsia="zh-CN" w:bidi="ar-SA"/>
        </w:rPr>
      </w:pP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2025年度市级</w:t>
      </w:r>
      <w:r>
        <w:rPr>
          <w:rFonts w:hint="eastAsia" w:ascii="Times New Roman" w:eastAsia="方正小标宋简体" w:cs="Times New Roman"/>
          <w:color w:val="auto"/>
          <w:kern w:val="2"/>
          <w:sz w:val="44"/>
          <w:szCs w:val="44"/>
          <w:highlight w:val="none"/>
          <w:lang w:val="en-US" w:eastAsia="zh-CN" w:bidi="ar-SA"/>
        </w:rPr>
        <w:t>单位</w:t>
      </w:r>
      <w:r>
        <w:rPr>
          <w:rFonts w:hint="default" w:ascii="Times New Roman" w:hAnsi="Times New Roman" w:eastAsia="方正小标宋简体" w:cs="Times New Roman"/>
          <w:color w:val="auto"/>
          <w:kern w:val="2"/>
          <w:sz w:val="44"/>
          <w:szCs w:val="44"/>
          <w:highlight w:val="none"/>
          <w:lang w:val="en-US" w:eastAsia="zh-CN" w:bidi="ar-SA"/>
        </w:rPr>
        <w:t>决算</w:t>
      </w:r>
      <w:r>
        <w:rPr>
          <w:rFonts w:hint="eastAsia" w:ascii="Times New Roman" w:eastAsia="方正小标宋简体"/>
          <w:kern w:val="2"/>
          <w:sz w:val="44"/>
          <w:szCs w:val="44"/>
        </w:rPr>
        <w:t>公开编制说明</w:t>
      </w:r>
    </w:p>
    <w:p>
      <w:pPr>
        <w:spacing w:line="600" w:lineRule="exact"/>
        <w:jc w:val="center"/>
        <w:outlineLvl w:val="0"/>
        <w:rPr>
          <w:rFonts w:hint="default" w:ascii="Times New Roman" w:hAnsi="Times New Roman" w:eastAsia="方正小标宋简体" w:cs="Times New Roman"/>
          <w:color w:val="auto"/>
          <w:sz w:val="72"/>
          <w:szCs w:val="72"/>
          <w:highlight w:val="none"/>
        </w:rPr>
      </w:pPr>
    </w:p>
    <w:p>
      <w:pPr>
        <w:pStyle w:val="21"/>
        <w:rPr>
          <w:rFonts w:hint="default" w:ascii="Times New Roman" w:hAnsi="Times New Roman" w:cs="Times New Roman"/>
          <w:color w:val="auto"/>
        </w:rPr>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p>
      <w:pPr>
        <w:rPr>
          <w:rFonts w:hint="default" w:ascii="Times New Roman" w:hAnsi="Times New Roman" w:cs="Times New Roman"/>
          <w:color w:val="auto"/>
        </w:rPr>
      </w:pP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bookmarkStart w:id="6" w:name="_Toc15377194"/>
      <w:bookmarkStart w:id="7" w:name="_Toc15396598"/>
      <w:bookmarkStart w:id="8" w:name="_Toc15378442"/>
      <w:bookmarkStart w:id="9" w:name="_Toc15396476"/>
      <w:bookmarkStart w:id="10" w:name="_Toc15377426"/>
      <w:r>
        <w:rPr>
          <w:rFonts w:hint="default" w:ascii="Times New Roman" w:hAnsi="Times New Roman" w:eastAsia="方正小标宋简体" w:cs="Times New Roman"/>
          <w:color w:val="auto"/>
          <w:kern w:val="2"/>
          <w:sz w:val="44"/>
          <w:szCs w:val="44"/>
          <w:highlight w:val="none"/>
          <w:lang w:val="en-US" w:eastAsia="zh-CN" w:bidi="ar-SA"/>
        </w:rPr>
        <w:t>2025年度</w:t>
      </w:r>
      <w:bookmarkEnd w:id="5"/>
      <w:bookmarkStart w:id="11" w:name="_Toc15306268"/>
      <w:r>
        <w:rPr>
          <w:rFonts w:hint="default" w:ascii="Times New Roman" w:hAnsi="Times New Roman" w:eastAsia="方正小标宋简体" w:cs="Times New Roman"/>
          <w:color w:val="auto"/>
          <w:kern w:val="2"/>
          <w:sz w:val="44"/>
          <w:szCs w:val="44"/>
          <w:highlight w:val="none"/>
          <w:lang w:val="en-US" w:eastAsia="zh-CN" w:bidi="ar-SA"/>
        </w:rPr>
        <w:t>攀枝花市机关事务服务中心</w:t>
      </w: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单位</w:t>
      </w:r>
      <w:r>
        <w:rPr>
          <w:rFonts w:hint="default"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pPr>
        <w:pStyle w:val="6"/>
        <w:jc w:val="both"/>
        <w:rPr>
          <w:rFonts w:hint="default" w:ascii="Times New Roman" w:hAnsi="Times New Roman" w:eastAsia="方正小标宋简体" w:cs="Times New Roman"/>
          <w:color w:val="auto"/>
          <w:kern w:val="2"/>
          <w:sz w:val="44"/>
          <w:szCs w:val="44"/>
          <w:highlight w:val="none"/>
          <w:lang w:val="en-US" w:eastAsia="zh-CN" w:bidi="ar-SA"/>
        </w:rPr>
        <w:sectPr>
          <w:footerReference r:id="rId7" w:type="first"/>
          <w:footerReference r:id="rId6" w:type="default"/>
          <w:pgSz w:w="11906" w:h="16838"/>
          <w:pgMar w:top="1440" w:right="1800" w:bottom="1440" w:left="1800" w:header="851" w:footer="992" w:gutter="0"/>
          <w:pgNumType w:fmt="numberInDash" w:start="1"/>
          <w:cols w:space="425" w:num="1"/>
          <w:titlePg/>
          <w:docGrid w:type="lines" w:linePitch="312" w:charSpace="0"/>
        </w:sectPr>
      </w:pPr>
    </w:p>
    <w:p>
      <w:pPr>
        <w:widowControl/>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目录</w:t>
      </w:r>
    </w:p>
    <w:p>
      <w:pPr>
        <w:widowControl/>
        <w:jc w:val="center"/>
        <w:rPr>
          <w:rFonts w:hint="default" w:ascii="Times New Roman" w:hAnsi="Times New Roman" w:eastAsia="黑体" w:cs="Times New Roman"/>
          <w:color w:val="auto"/>
          <w:sz w:val="28"/>
          <w:szCs w:val="28"/>
          <w:highlight w:val="none"/>
        </w:rPr>
      </w:pPr>
    </w:p>
    <w:p>
      <w:pPr>
        <w:pStyle w:val="13"/>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公开时间：202</w:t>
      </w:r>
      <w:r>
        <w:rPr>
          <w:rFonts w:hint="eastAsia" w:ascii="Times New Roman" w:hAnsi="Times New Roman" w:eastAsia="仿宋_GB2312" w:cs="Times New Roman"/>
          <w:color w:val="auto"/>
          <w:kern w:val="2"/>
          <w:sz w:val="32"/>
          <w:szCs w:val="32"/>
          <w:highlight w:val="none"/>
          <w:lang w:val="en-US" w:eastAsia="zh-CN" w:bidi="ar-SA"/>
        </w:rPr>
        <w:t>6</w:t>
      </w:r>
      <w:r>
        <w:rPr>
          <w:rFonts w:hint="default" w:ascii="Times New Roman" w:hAnsi="Times New Roman" w:eastAsia="仿宋_GB2312" w:cs="Times New Roman"/>
          <w:color w:val="auto"/>
          <w:kern w:val="2"/>
          <w:sz w:val="32"/>
          <w:szCs w:val="32"/>
          <w:highlight w:val="none"/>
          <w:lang w:val="en-US" w:eastAsia="zh-CN" w:bidi="ar-SA"/>
        </w:rPr>
        <w:t>年9月</w:t>
      </w:r>
      <w:r>
        <w:rPr>
          <w:rFonts w:hint="eastAsia" w:ascii="Times New Roman" w:hAnsi="Times New Roman" w:eastAsia="仿宋_GB2312" w:cs="Times New Roman"/>
          <w:color w:val="auto"/>
          <w:kern w:val="2"/>
          <w:sz w:val="32"/>
          <w:szCs w:val="32"/>
          <w:highlight w:val="none"/>
          <w:lang w:val="en-US" w:eastAsia="zh-CN" w:bidi="ar-SA"/>
        </w:rPr>
        <w:t>15</w:t>
      </w:r>
      <w:r>
        <w:rPr>
          <w:rFonts w:hint="default" w:ascii="Times New Roman" w:hAnsi="Times New Roman" w:eastAsia="仿宋_GB2312" w:cs="Times New Roman"/>
          <w:color w:val="auto"/>
          <w:kern w:val="2"/>
          <w:sz w:val="32"/>
          <w:szCs w:val="32"/>
          <w:highlight w:val="none"/>
          <w:lang w:val="en-US" w:eastAsia="zh-CN" w:bidi="ar-SA"/>
        </w:rPr>
        <w:t>日</w:t>
      </w:r>
    </w:p>
    <w:p>
      <w:pPr>
        <w:rPr>
          <w:rFonts w:hint="default" w:ascii="Times New Roman" w:hAnsi="Times New Roman" w:cs="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第一部分 部门概况</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一、</w:t>
      </w:r>
      <w:r>
        <w:rPr>
          <w:rFonts w:hint="default" w:ascii="Times New Roman" w:hAnsi="Times New Roman" w:eastAsia="仿宋_GB2312" w:cs="Times New Roman"/>
          <w:color w:val="auto"/>
          <w:sz w:val="32"/>
          <w:szCs w:val="32"/>
          <w:highlight w:val="none"/>
          <w:lang w:eastAsia="zh-CN"/>
        </w:rPr>
        <w:t>部门职责</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二、机构设置</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3</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第二部分</w:t>
      </w:r>
      <w:r>
        <w:rPr>
          <w:rFonts w:hint="default" w:ascii="Times New Roman" w:hAnsi="Times New Roman" w:eastAsia="黑体" w:cs="Times New Roman"/>
          <w:color w:val="auto"/>
          <w:sz w:val="32"/>
          <w:szCs w:val="32"/>
          <w:highlight w:val="none"/>
          <w:lang w:val="en-US" w:eastAsia="zh-CN"/>
        </w:rPr>
        <w:t xml:space="preserve"> 2025年度</w:t>
      </w:r>
      <w:r>
        <w:rPr>
          <w:rFonts w:hint="default" w:ascii="Times New Roman" w:hAnsi="Times New Roman" w:eastAsia="黑体" w:cs="Times New Roman"/>
          <w:color w:val="auto"/>
          <w:sz w:val="32"/>
          <w:szCs w:val="32"/>
          <w:highlight w:val="none"/>
        </w:rPr>
        <w:t>部门决算情况说明</w:t>
      </w:r>
      <w:r>
        <w:rPr>
          <w:rFonts w:hint="default" w:ascii="Times New Roman" w:hAnsi="Times New Roman" w:cs="Times New Roman"/>
          <w:color w:val="auto"/>
          <w:sz w:val="24"/>
          <w:szCs w:val="24"/>
        </w:rPr>
        <w:tab/>
      </w:r>
      <w:r>
        <w:rPr>
          <w:rFonts w:hint="eastAsia" w:ascii="Times New Roman" w:hAnsi="Times New Roman" w:cs="Times New Roman"/>
          <w:color w:val="auto"/>
          <w:sz w:val="24"/>
          <w:szCs w:val="24"/>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一、收入支出决算总体情况说明</w:t>
      </w:r>
      <w:r>
        <w:rPr>
          <w:rFonts w:hint="default" w:ascii="Times New Roman" w:hAnsi="Times New Roman" w:cs="Times New Roman"/>
          <w:color w:val="auto"/>
          <w:sz w:val="24"/>
          <w:szCs w:val="24"/>
        </w:rPr>
        <w:tab/>
      </w:r>
      <w:r>
        <w:rPr>
          <w:rFonts w:hint="eastAsia" w:cs="Times New Roman"/>
          <w:color w:val="auto"/>
          <w:sz w:val="24"/>
          <w:szCs w:val="24"/>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二、收入决算情况说明</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4</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三、支出决算情况说明</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四、财政拨款收入支出决算总体情况说明</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五、一般公共预算财政拨款支出决算情况说明</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6</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六、一般公共预算财政拨款基本支出决算情况说明</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9</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七、财政拨款</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三公”经费支出决算情况说明</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10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八、政府性基金预算支出决算情况说明</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12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九、</w:t>
      </w:r>
      <w:r>
        <w:rPr>
          <w:rFonts w:hint="default" w:ascii="Times New Roman" w:hAnsi="Times New Roman" w:eastAsia="仿宋_GB2312" w:cs="Times New Roman"/>
          <w:color w:val="auto"/>
          <w:sz w:val="32"/>
          <w:szCs w:val="32"/>
          <w:highlight w:val="none"/>
          <w:lang w:eastAsia="zh-CN"/>
        </w:rPr>
        <w:t>国</w:t>
      </w:r>
      <w:r>
        <w:rPr>
          <w:rFonts w:hint="default" w:ascii="Times New Roman" w:hAnsi="Times New Roman" w:eastAsia="仿宋_GB2312" w:cs="Times New Roman"/>
          <w:color w:val="auto"/>
          <w:sz w:val="32"/>
          <w:szCs w:val="32"/>
          <w:highlight w:val="none"/>
        </w:rPr>
        <w:t>有资本经营预算支出决算情况说明</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12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十</w:t>
      </w:r>
      <w:r>
        <w:rPr>
          <w:rFonts w:hint="default" w:ascii="Times New Roman" w:hAnsi="Times New Roman" w:eastAsia="仿宋_GB2312" w:cs="Times New Roman"/>
          <w:color w:val="auto"/>
          <w:sz w:val="32"/>
          <w:szCs w:val="32"/>
          <w:highlight w:val="none"/>
        </w:rPr>
        <w:t>、其他重要事项的情况说明</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1</w:t>
      </w:r>
      <w:r>
        <w:rPr>
          <w:rFonts w:hint="eastAsia" w:cs="Times New Roman"/>
          <w:color w:val="auto"/>
          <w:sz w:val="24"/>
          <w:szCs w:val="24"/>
          <w:lang w:val="en-US" w:eastAsia="zh-CN"/>
        </w:rPr>
        <w:t>2</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第三部分 名词解释</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1</w:t>
      </w:r>
      <w:r>
        <w:rPr>
          <w:rFonts w:hint="eastAsia" w:ascii="Times New Roman" w:hAnsi="Times New Roman" w:cs="Times New Roman"/>
          <w:color w:val="auto"/>
          <w:sz w:val="24"/>
          <w:szCs w:val="24"/>
          <w:lang w:val="en-US" w:eastAsia="zh-CN"/>
        </w:rPr>
        <w:t>4</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第四部分 附件</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1</w:t>
      </w:r>
      <w:r>
        <w:rPr>
          <w:rFonts w:hint="eastAsia" w:ascii="Times New Roman" w:hAnsi="Times New Roman" w:cs="Times New Roman"/>
          <w:color w:val="auto"/>
          <w:sz w:val="24"/>
          <w:szCs w:val="24"/>
          <w:lang w:val="en-US" w:eastAsia="zh-CN"/>
        </w:rPr>
        <w:t>7</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第五部分 附表</w:t>
      </w:r>
      <w:r>
        <w:rPr>
          <w:rFonts w:hint="default" w:ascii="Times New Roman" w:hAnsi="Times New Roman" w:cs="Times New Roman"/>
          <w:color w:val="auto"/>
          <w:sz w:val="24"/>
          <w:szCs w:val="24"/>
        </w:rPr>
        <w:tab/>
      </w:r>
      <w:r>
        <w:rPr>
          <w:rFonts w:hint="eastAsia" w:ascii="Times New Roman" w:hAnsi="Times New Roman" w:cs="Times New Roman"/>
          <w:color w:val="auto"/>
          <w:sz w:val="24"/>
          <w:szCs w:val="24"/>
          <w:lang w:val="en-US" w:eastAsia="zh-CN"/>
        </w:rPr>
        <w:t>18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一、收入支出决算总表</w:t>
      </w:r>
      <w:r>
        <w:rPr>
          <w:rFonts w:hint="default" w:ascii="Times New Roman" w:hAnsi="Times New Roman" w:cs="Times New Roman"/>
          <w:color w:val="auto"/>
          <w:sz w:val="24"/>
          <w:szCs w:val="24"/>
        </w:rPr>
        <w:tab/>
      </w:r>
      <w:r>
        <w:rPr>
          <w:rFonts w:hint="eastAsia" w:cs="Times New Roman"/>
          <w:color w:val="auto"/>
          <w:sz w:val="24"/>
          <w:szCs w:val="24"/>
          <w:lang w:val="en-US" w:eastAsia="zh-CN"/>
        </w:rPr>
        <w:t>18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二、收入决算表</w:t>
      </w:r>
      <w:r>
        <w:rPr>
          <w:rFonts w:hint="default" w:ascii="Times New Roman" w:hAnsi="Times New Roman" w:cs="Times New Roman"/>
          <w:color w:val="auto"/>
          <w:sz w:val="24"/>
          <w:szCs w:val="24"/>
        </w:rPr>
        <w:tab/>
      </w:r>
      <w:r>
        <w:rPr>
          <w:rFonts w:hint="eastAsia" w:cs="Times New Roman"/>
          <w:color w:val="auto"/>
          <w:sz w:val="24"/>
          <w:szCs w:val="24"/>
          <w:lang w:val="en-US" w:eastAsia="zh-CN"/>
        </w:rPr>
        <w:t>18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三、支出决算表</w:t>
      </w:r>
      <w:r>
        <w:rPr>
          <w:rFonts w:hint="default" w:ascii="Times New Roman" w:hAnsi="Times New Roman" w:cs="Times New Roman"/>
          <w:color w:val="auto"/>
          <w:sz w:val="24"/>
          <w:szCs w:val="24"/>
        </w:rPr>
        <w:tab/>
      </w:r>
      <w:r>
        <w:rPr>
          <w:rFonts w:hint="eastAsia" w:cs="Times New Roman"/>
          <w:color w:val="auto"/>
          <w:sz w:val="24"/>
          <w:szCs w:val="24"/>
          <w:lang w:val="en-US" w:eastAsia="zh-CN"/>
        </w:rPr>
        <w:t>18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四、财政拨款收入支出决算总表</w:t>
      </w:r>
      <w:r>
        <w:rPr>
          <w:rFonts w:hint="default" w:ascii="Times New Roman" w:hAnsi="Times New Roman" w:cs="Times New Roman"/>
          <w:color w:val="auto"/>
          <w:sz w:val="24"/>
          <w:szCs w:val="24"/>
        </w:rPr>
        <w:tab/>
      </w:r>
      <w:r>
        <w:rPr>
          <w:rFonts w:hint="eastAsia" w:cs="Times New Roman"/>
          <w:color w:val="auto"/>
          <w:sz w:val="24"/>
          <w:szCs w:val="24"/>
          <w:lang w:val="en-US" w:eastAsia="zh-CN"/>
        </w:rPr>
        <w:t>18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五、财政拨款支出决算明细表</w:t>
      </w:r>
      <w:r>
        <w:rPr>
          <w:rFonts w:hint="default" w:ascii="Times New Roman" w:hAnsi="Times New Roman" w:cs="Times New Roman"/>
          <w:color w:val="auto"/>
          <w:sz w:val="24"/>
          <w:szCs w:val="24"/>
        </w:rPr>
        <w:tab/>
      </w:r>
      <w:r>
        <w:rPr>
          <w:rFonts w:hint="eastAsia" w:cs="Times New Roman"/>
          <w:color w:val="auto"/>
          <w:sz w:val="24"/>
          <w:szCs w:val="24"/>
          <w:lang w:val="en-US" w:eastAsia="zh-CN"/>
        </w:rPr>
        <w:t>18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六、一般公共预算财政拨款支出决算表</w:t>
      </w:r>
      <w:r>
        <w:rPr>
          <w:rFonts w:hint="default" w:ascii="Times New Roman" w:hAnsi="Times New Roman" w:cs="Times New Roman"/>
          <w:color w:val="auto"/>
          <w:sz w:val="24"/>
          <w:szCs w:val="24"/>
        </w:rPr>
        <w:tab/>
      </w:r>
      <w:r>
        <w:rPr>
          <w:rFonts w:hint="eastAsia" w:cs="Times New Roman"/>
          <w:color w:val="auto"/>
          <w:sz w:val="24"/>
          <w:szCs w:val="24"/>
          <w:lang w:val="en-US" w:eastAsia="zh-CN"/>
        </w:rPr>
        <w:t>18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七、一般公共预算财政拨款支出决算明细表</w:t>
      </w:r>
      <w:r>
        <w:rPr>
          <w:rFonts w:hint="default" w:ascii="Times New Roman" w:hAnsi="Times New Roman" w:cs="Times New Roman"/>
          <w:color w:val="auto"/>
          <w:sz w:val="24"/>
          <w:szCs w:val="24"/>
        </w:rPr>
        <w:tab/>
      </w:r>
      <w:r>
        <w:rPr>
          <w:rFonts w:hint="eastAsia" w:cs="Times New Roman"/>
          <w:color w:val="auto"/>
          <w:sz w:val="24"/>
          <w:szCs w:val="24"/>
          <w:lang w:val="en-US" w:eastAsia="zh-CN"/>
        </w:rPr>
        <w:t>18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八、一般公共预算财政拨款基本支出决算</w:t>
      </w:r>
      <w:r>
        <w:rPr>
          <w:rFonts w:hint="default" w:ascii="Times New Roman" w:hAnsi="Times New Roman" w:eastAsia="仿宋_GB2312" w:cs="Times New Roman"/>
          <w:color w:val="auto"/>
          <w:sz w:val="32"/>
          <w:szCs w:val="32"/>
          <w:highlight w:val="none"/>
          <w:lang w:eastAsia="zh-CN"/>
        </w:rPr>
        <w:t>明细</w:t>
      </w:r>
      <w:r>
        <w:rPr>
          <w:rFonts w:hint="default" w:ascii="Times New Roman" w:hAnsi="Times New Roman" w:eastAsia="仿宋_GB2312" w:cs="Times New Roman"/>
          <w:color w:val="auto"/>
          <w:sz w:val="32"/>
          <w:szCs w:val="32"/>
          <w:highlight w:val="none"/>
        </w:rPr>
        <w:t>表</w:t>
      </w:r>
      <w:r>
        <w:rPr>
          <w:rFonts w:hint="default" w:ascii="Times New Roman" w:hAnsi="Times New Roman" w:cs="Times New Roman"/>
          <w:color w:val="auto"/>
          <w:sz w:val="24"/>
          <w:szCs w:val="24"/>
        </w:rPr>
        <w:tab/>
      </w:r>
      <w:r>
        <w:rPr>
          <w:rFonts w:hint="eastAsia" w:cs="Times New Roman"/>
          <w:color w:val="auto"/>
          <w:sz w:val="24"/>
          <w:szCs w:val="24"/>
          <w:lang w:val="en-US" w:eastAsia="zh-CN"/>
        </w:rPr>
        <w:t>18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九、一般公共预算财政拨款项目支出决算表</w:t>
      </w:r>
      <w:r>
        <w:rPr>
          <w:rFonts w:hint="default" w:ascii="Times New Roman" w:hAnsi="Times New Roman" w:cs="Times New Roman"/>
          <w:color w:val="auto"/>
          <w:sz w:val="24"/>
          <w:szCs w:val="24"/>
        </w:rPr>
        <w:tab/>
      </w:r>
      <w:r>
        <w:rPr>
          <w:rFonts w:hint="eastAsia" w:cs="Times New Roman"/>
          <w:color w:val="auto"/>
          <w:sz w:val="24"/>
          <w:szCs w:val="24"/>
          <w:lang w:val="en-US" w:eastAsia="zh-CN"/>
        </w:rPr>
        <w:t>18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十、政府性基金预算财政拨款收入支出决算表</w:t>
      </w:r>
      <w:r>
        <w:rPr>
          <w:rFonts w:hint="default" w:ascii="Times New Roman" w:hAnsi="Times New Roman" w:cs="Times New Roman"/>
          <w:color w:val="auto"/>
          <w:sz w:val="24"/>
          <w:szCs w:val="24"/>
        </w:rPr>
        <w:tab/>
      </w:r>
      <w:r>
        <w:rPr>
          <w:rFonts w:hint="eastAsia" w:cs="Times New Roman"/>
          <w:color w:val="auto"/>
          <w:sz w:val="24"/>
          <w:szCs w:val="24"/>
          <w:lang w:val="en-US" w:eastAsia="zh-CN"/>
        </w:rPr>
        <w:t>18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十一、国有资本经营预算财政拨款收入支出决算表</w:t>
      </w:r>
      <w:r>
        <w:rPr>
          <w:rFonts w:hint="default" w:ascii="Times New Roman" w:hAnsi="Times New Roman" w:cs="Times New Roman"/>
          <w:color w:val="auto"/>
          <w:sz w:val="24"/>
          <w:szCs w:val="24"/>
        </w:rPr>
        <w:tab/>
      </w:r>
      <w:r>
        <w:rPr>
          <w:rFonts w:hint="eastAsia" w:cs="Times New Roman"/>
          <w:color w:val="auto"/>
          <w:sz w:val="24"/>
          <w:szCs w:val="24"/>
          <w:lang w:val="en-US" w:eastAsia="zh-CN"/>
        </w:rPr>
        <w:t>18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十二、</w:t>
      </w:r>
      <w:r>
        <w:rPr>
          <w:rFonts w:hint="default" w:ascii="Times New Roman" w:hAnsi="Times New Roman" w:eastAsia="仿宋_GB2312" w:cs="Times New Roman"/>
          <w:color w:val="auto"/>
          <w:sz w:val="32"/>
          <w:szCs w:val="32"/>
          <w:highlight w:val="none"/>
          <w:lang w:val="en-US" w:eastAsia="zh-CN"/>
        </w:rPr>
        <w:t>国有资本经营预算财政拨款支出决算表</w:t>
      </w:r>
      <w:r>
        <w:rPr>
          <w:rFonts w:hint="default" w:ascii="Times New Roman" w:hAnsi="Times New Roman" w:cs="Times New Roman"/>
          <w:color w:val="auto"/>
          <w:sz w:val="24"/>
          <w:szCs w:val="24"/>
        </w:rPr>
        <w:tab/>
      </w:r>
      <w:r>
        <w:rPr>
          <w:rFonts w:hint="eastAsia" w:cs="Times New Roman"/>
          <w:color w:val="auto"/>
          <w:sz w:val="24"/>
          <w:szCs w:val="24"/>
          <w:lang w:val="en-US" w:eastAsia="zh-CN"/>
        </w:rPr>
        <w:t>18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十三、财政拨款“三公”经费支出决算表</w:t>
      </w:r>
      <w:r>
        <w:rPr>
          <w:rFonts w:hint="default" w:ascii="Times New Roman" w:hAnsi="Times New Roman" w:cs="Times New Roman"/>
          <w:color w:val="auto"/>
          <w:sz w:val="24"/>
          <w:szCs w:val="24"/>
        </w:rPr>
        <w:tab/>
      </w:r>
      <w:r>
        <w:rPr>
          <w:rFonts w:hint="eastAsia" w:cs="Times New Roman"/>
          <w:color w:val="auto"/>
          <w:sz w:val="24"/>
          <w:szCs w:val="24"/>
          <w:lang w:val="en-US" w:eastAsia="zh-CN"/>
        </w:rPr>
        <w:t>18</w:t>
      </w:r>
    </w:p>
    <w:p>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仿宋_GB2312" w:cs="Times New Roman"/>
          <w:bCs/>
          <w:color w:val="auto"/>
          <w:kern w:val="44"/>
          <w:sz w:val="32"/>
          <w:szCs w:val="32"/>
          <w:highlight w:val="none"/>
        </w:rPr>
      </w:pPr>
      <w:bookmarkStart w:id="12" w:name="_Toc15396599"/>
      <w:bookmarkStart w:id="13" w:name="_Toc15377196"/>
      <w:r>
        <w:rPr>
          <w:rFonts w:hint="default" w:ascii="Times New Roman" w:hAnsi="Times New Roman" w:eastAsia="仿宋_GB2312" w:cs="Times New Roman"/>
          <w:b/>
          <w:color w:val="auto"/>
          <w:sz w:val="32"/>
          <w:szCs w:val="32"/>
          <w:highlight w:val="none"/>
        </w:rPr>
        <w:br w:type="page"/>
      </w:r>
    </w:p>
    <w:bookmarkEnd w:id="12"/>
    <w:bookmarkEnd w:id="13"/>
    <w:p>
      <w:pPr>
        <w:pStyle w:val="3"/>
        <w:jc w:val="center"/>
        <w:rPr>
          <w:rStyle w:val="30"/>
          <w:rFonts w:hint="default" w:ascii="Times New Roman" w:hAnsi="Times New Roman" w:eastAsia="方正小标宋简体" w:cs="Times New Roman"/>
          <w:b/>
          <w:bCs w:val="0"/>
          <w:color w:val="auto"/>
          <w:highlight w:val="none"/>
        </w:rPr>
      </w:pPr>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Style w:val="30"/>
          <w:rFonts w:hint="default" w:ascii="Times New Roman" w:hAnsi="Times New Roman" w:eastAsia="方正小标宋简体" w:cs="Times New Roman"/>
          <w:b w:val="0"/>
          <w:bCs w:val="0"/>
          <w:color w:val="auto"/>
          <w:highlight w:val="none"/>
        </w:rPr>
        <w:t>部门概况</w:t>
      </w:r>
    </w:p>
    <w:p>
      <w:pPr>
        <w:widowControl/>
        <w:jc w:val="left"/>
        <w:rPr>
          <w:rFonts w:hint="default" w:ascii="Times New Roman" w:hAnsi="Times New Roman" w:eastAsia="黑体" w:cs="Times New Roman"/>
          <w:color w:val="auto"/>
          <w:sz w:val="32"/>
          <w:szCs w:val="32"/>
          <w:highlight w:val="none"/>
        </w:rPr>
      </w:pPr>
    </w:p>
    <w:p>
      <w:pPr>
        <w:pStyle w:val="4"/>
        <w:keepNext/>
        <w:keepLines/>
        <w:pageBreakBefore w:val="0"/>
        <w:widowControl w:val="0"/>
        <w:numPr>
          <w:ilvl w:val="0"/>
          <w:numId w:val="1"/>
        </w:numPr>
        <w:kinsoku/>
        <w:wordWrap/>
        <w:overflowPunct/>
        <w:topLinePunct w:val="0"/>
        <w:autoSpaceDE/>
        <w:autoSpaceDN/>
        <w:bidi w:val="0"/>
        <w:adjustRightInd/>
        <w:snapToGrid/>
        <w:spacing w:line="416" w:lineRule="auto"/>
        <w:ind w:firstLine="640" w:firstLineChars="200"/>
        <w:textAlignment w:val="auto"/>
        <w:rPr>
          <w:rFonts w:hint="default" w:ascii="Times New Roman" w:hAnsi="Times New Roman" w:eastAsia="黑体" w:cs="Times New Roman"/>
          <w:b w:val="0"/>
          <w:color w:val="auto"/>
          <w:highlight w:val="none"/>
          <w:lang w:eastAsia="zh-CN"/>
        </w:rPr>
      </w:pPr>
      <w:r>
        <w:rPr>
          <w:rFonts w:hint="default" w:ascii="Times New Roman" w:hAnsi="Times New Roman" w:eastAsia="黑体" w:cs="Times New Roman"/>
          <w:b w:val="0"/>
          <w:color w:val="auto"/>
          <w:highlight w:val="none"/>
          <w:lang w:eastAsia="zh-CN"/>
        </w:rPr>
        <w:t>部门职责</w:t>
      </w:r>
    </w:p>
    <w:p>
      <w:pPr>
        <w:pStyle w:val="4"/>
        <w:keepNext/>
        <w:keepLines/>
        <w:pageBreakBefore w:val="0"/>
        <w:widowControl w:val="0"/>
        <w:numPr>
          <w:ilvl w:val="0"/>
          <w:numId w:val="2"/>
        </w:numPr>
        <w:kinsoku/>
        <w:wordWrap/>
        <w:overflowPunct/>
        <w:topLinePunct w:val="0"/>
        <w:autoSpaceDE/>
        <w:autoSpaceDN/>
        <w:bidi w:val="0"/>
        <w:adjustRightInd/>
        <w:snapToGrid/>
        <w:spacing w:line="416" w:lineRule="auto"/>
        <w:ind w:firstLine="640" w:firstLineChars="20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市机关事务服务中心职能职责是：负责市级党政机关（含参照公务员法管理的事业单位）的房地产管理、房地产租用及大中型维修改造的审批、闲置房地产处置和全市公务用车日常管理、全市公共机构节能管理等工作。</w:t>
      </w:r>
    </w:p>
    <w:p>
      <w:pPr>
        <w:pStyle w:val="4"/>
        <w:keepNext/>
        <w:keepLines/>
        <w:pageBreakBefore w:val="0"/>
        <w:widowControl w:val="0"/>
        <w:numPr>
          <w:ilvl w:val="0"/>
          <w:numId w:val="0"/>
        </w:numPr>
        <w:kinsoku/>
        <w:wordWrap/>
        <w:overflowPunct/>
        <w:topLinePunct w:val="0"/>
        <w:autoSpaceDE/>
        <w:autoSpaceDN/>
        <w:bidi w:val="0"/>
        <w:adjustRightInd/>
        <w:snapToGrid/>
        <w:spacing w:line="416" w:lineRule="auto"/>
        <w:ind w:firstLine="640" w:firstLineChars="20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（二）</w:t>
      </w:r>
      <w:r>
        <w:rPr>
          <w:rFonts w:hint="default" w:ascii="Times New Roman" w:hAnsi="Times New Roman" w:eastAsia="仿宋_GB2312" w:cs="Times New Roman"/>
          <w:b w:val="0"/>
          <w:bCs w:val="0"/>
          <w:color w:val="auto"/>
          <w:kern w:val="2"/>
          <w:sz w:val="32"/>
          <w:szCs w:val="32"/>
          <w:highlight w:val="none"/>
          <w:lang w:val="en-US" w:eastAsia="zh-CN" w:bidi="ar-SA"/>
        </w:rPr>
        <w:t>市机关后勤服务中心职能职责是</w:t>
      </w:r>
      <w:r>
        <w:rPr>
          <w:rFonts w:hint="eastAsia"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负责市级机关职工食堂的日常监督管理及食品卫生安全保障工作和公务用车集中后的日常管理服务等。</w:t>
      </w:r>
    </w:p>
    <w:p>
      <w:pPr>
        <w:numPr>
          <w:ilvl w:val="0"/>
          <w:numId w:val="0"/>
        </w:numPr>
        <w:rPr>
          <w:rFonts w:hint="default" w:ascii="Times New Roman" w:hAnsi="Times New Roman" w:cs="Times New Roman"/>
          <w:color w:val="auto"/>
          <w:lang w:eastAsia="zh-CN"/>
        </w:rPr>
      </w:pPr>
    </w:p>
    <w:p>
      <w:pPr>
        <w:pStyle w:val="4"/>
        <w:keepNext/>
        <w:keepLines/>
        <w:pageBreakBefore w:val="0"/>
        <w:widowControl w:val="0"/>
        <w:kinsoku/>
        <w:wordWrap/>
        <w:overflowPunct/>
        <w:topLinePunct w:val="0"/>
        <w:autoSpaceDE/>
        <w:autoSpaceDN/>
        <w:bidi w:val="0"/>
        <w:adjustRightInd/>
        <w:snapToGrid/>
        <w:spacing w:line="416" w:lineRule="auto"/>
        <w:ind w:firstLine="640" w:firstLineChars="200"/>
        <w:textAlignment w:val="auto"/>
        <w:rPr>
          <w:rStyle w:val="31"/>
          <w:rFonts w:hint="default" w:ascii="Times New Roman" w:hAnsi="Times New Roman" w:cs="Times New Roman"/>
          <w:b w:val="0"/>
          <w:bCs w:val="0"/>
          <w:color w:val="auto"/>
          <w:highlight w:val="none"/>
        </w:rPr>
      </w:pPr>
      <w:bookmarkStart w:id="14" w:name="_Toc15377200"/>
      <w:bookmarkStart w:id="15" w:name="_Toc15396601"/>
      <w:r>
        <w:rPr>
          <w:rFonts w:hint="default" w:ascii="Times New Roman" w:hAnsi="Times New Roman" w:eastAsia="黑体" w:cs="Times New Roman"/>
          <w:b w:val="0"/>
          <w:color w:val="auto"/>
          <w:highlight w:val="none"/>
        </w:rPr>
        <w:t>二、机</w:t>
      </w:r>
      <w:r>
        <w:rPr>
          <w:rStyle w:val="31"/>
          <w:rFonts w:hint="default" w:ascii="Times New Roman" w:hAnsi="Times New Roman" w:eastAsia="黑体" w:cs="Times New Roman"/>
          <w:b w:val="0"/>
          <w:bCs w:val="0"/>
          <w:color w:val="auto"/>
          <w:highlight w:val="none"/>
        </w:rPr>
        <w:t>构设置</w:t>
      </w:r>
      <w:bookmarkEnd w:id="14"/>
      <w:bookmarkEnd w:id="15"/>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攀枝花市机关事务服务中心下属二级</w:t>
      </w:r>
      <w:r>
        <w:rPr>
          <w:rFonts w:hint="default" w:ascii="Times New Roman" w:hAnsi="Times New Roman" w:eastAsia="仿宋_GB2312" w:cs="Times New Roman"/>
          <w:color w:val="auto"/>
          <w:sz w:val="32"/>
          <w:szCs w:val="32"/>
          <w:highlight w:val="none"/>
          <w:lang w:eastAsia="zh-CN"/>
        </w:rPr>
        <w:t>预算</w:t>
      </w:r>
      <w:r>
        <w:rPr>
          <w:rFonts w:hint="default" w:ascii="Times New Roman" w:hAnsi="Times New Roman" w:eastAsia="仿宋_GB2312" w:cs="Times New Roman"/>
          <w:color w:val="auto"/>
          <w:sz w:val="32"/>
          <w:szCs w:val="32"/>
          <w:highlight w:val="none"/>
        </w:rPr>
        <w:t>单位</w:t>
      </w:r>
      <w:r>
        <w:rPr>
          <w:rFonts w:hint="eastAsia"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个，其中行政单位</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个，参照公务员法管理的事业单位</w:t>
      </w:r>
      <w:r>
        <w:rPr>
          <w:rFonts w:hint="default" w:ascii="Times New Roman" w:hAnsi="Times New Roman" w:eastAsia="仿宋_GB2312" w:cs="Times New Roman"/>
          <w:bCs/>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个，其他事业单位</w:t>
      </w:r>
      <w:r>
        <w:rPr>
          <w:rFonts w:hint="eastAsia"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个。</w:t>
      </w:r>
    </w:p>
    <w:p>
      <w:pPr>
        <w:pStyle w:val="3"/>
        <w:jc w:val="center"/>
        <w:rPr>
          <w:rFonts w:hint="default" w:ascii="Times New Roman" w:hAnsi="Times New Roman" w:eastAsia="方正小标宋简体" w:cs="Times New Roman"/>
          <w:b w:val="0"/>
          <w:color w:val="auto"/>
          <w:highlight w:val="none"/>
        </w:rPr>
      </w:pPr>
      <w:bookmarkStart w:id="16" w:name="_Toc15396602"/>
      <w:bookmarkStart w:id="17" w:name="_Toc15377204"/>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2025年度</w:t>
      </w:r>
      <w:r>
        <w:rPr>
          <w:rFonts w:hint="default" w:ascii="Times New Roman" w:hAnsi="Times New Roman" w:eastAsia="方正小标宋简体" w:cs="Times New Roman"/>
          <w:b w:val="0"/>
          <w:color w:val="auto"/>
          <w:highlight w:val="none"/>
        </w:rPr>
        <w:t>部门决算情况说明</w:t>
      </w:r>
      <w:bookmarkEnd w:id="16"/>
      <w:bookmarkEnd w:id="17"/>
    </w:p>
    <w:p>
      <w:pPr>
        <w:rPr>
          <w:rFonts w:hint="default" w:ascii="Times New Roman" w:hAnsi="Times New Roman" w:cs="Times New Roman"/>
          <w:color w:val="auto"/>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default" w:ascii="Times New Roman" w:hAnsi="Times New Roman" w:eastAsia="黑体" w:cs="Times New Roman"/>
          <w:b w:val="0"/>
          <w:color w:val="auto"/>
          <w:highlight w:val="none"/>
        </w:rPr>
      </w:pPr>
      <w:bookmarkStart w:id="18" w:name="_Toc15396603"/>
      <w:bookmarkStart w:id="19" w:name="_Toc15377205"/>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31"/>
          <w:rFonts w:hint="default" w:ascii="Times New Roman" w:hAnsi="Times New Roman" w:eastAsia="黑体" w:cs="Times New Roman"/>
          <w:b w:val="0"/>
          <w:color w:val="auto"/>
          <w:highlight w:val="none"/>
        </w:rPr>
        <w:t>入支出决算总体情况说明</w:t>
      </w:r>
      <w:bookmarkEnd w:id="18"/>
      <w:bookmarkEnd w:id="19"/>
    </w:p>
    <w:p>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2025年度收入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color w:val="auto"/>
          <w:sz w:val="32"/>
          <w:szCs w:val="32"/>
          <w:highlight w:val="none"/>
          <w:lang w:val="en-US" w:eastAsia="zh-CN"/>
        </w:rPr>
        <w:t>5930.78万</w:t>
      </w:r>
      <w:r>
        <w:rPr>
          <w:rFonts w:hint="default" w:ascii="Times New Roman" w:hAnsi="Times New Roman" w:eastAsia="仿宋_GB2312" w:cs="Times New Roman"/>
          <w:color w:val="auto"/>
          <w:sz w:val="32"/>
          <w:szCs w:val="32"/>
          <w:highlight w:val="none"/>
        </w:rPr>
        <w:t>元。与</w:t>
      </w:r>
      <w:r>
        <w:rPr>
          <w:rFonts w:hint="eastAsia" w:ascii="Times New Roman" w:hAnsi="Times New Roman" w:eastAsia="仿宋_GB2312" w:cs="Times New Roman"/>
          <w:color w:val="auto"/>
          <w:sz w:val="32"/>
          <w:szCs w:val="32"/>
          <w:highlight w:val="none"/>
          <w:lang w:eastAsia="zh-CN"/>
        </w:rPr>
        <w:t>上</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总计各减少</w:t>
      </w:r>
      <w:r>
        <w:rPr>
          <w:rFonts w:hint="default" w:ascii="Times New Roman" w:hAnsi="Times New Roman" w:eastAsia="仿宋_GB2312" w:cs="Times New Roman"/>
          <w:color w:val="auto"/>
          <w:sz w:val="32"/>
          <w:szCs w:val="32"/>
          <w:highlight w:val="none"/>
          <w:lang w:val="en-US" w:eastAsia="zh-CN"/>
        </w:rPr>
        <w:t>17.79</w:t>
      </w:r>
      <w:r>
        <w:rPr>
          <w:rFonts w:hint="default" w:ascii="Times New Roman" w:hAnsi="Times New Roman" w:eastAsia="仿宋_GB2312" w:cs="Times New Roman"/>
          <w:color w:val="auto"/>
          <w:sz w:val="32"/>
          <w:szCs w:val="32"/>
          <w:highlight w:val="none"/>
        </w:rPr>
        <w:t>万元，</w:t>
      </w:r>
      <w:r>
        <w:rPr>
          <w:rFonts w:hint="default" w:ascii="Times New Roman" w:hAnsi="Times New Roman" w:eastAsia="仿宋_GB2312" w:cs="Times New Roman"/>
          <w:color w:val="auto"/>
          <w:sz w:val="32"/>
          <w:szCs w:val="32"/>
          <w:highlight w:val="none"/>
          <w:lang w:eastAsia="zh-CN"/>
        </w:rPr>
        <w:t>同比下降</w:t>
      </w:r>
      <w:r>
        <w:rPr>
          <w:rFonts w:hint="default" w:ascii="Times New Roman" w:hAnsi="Times New Roman" w:eastAsia="仿宋_GB2312" w:cs="Times New Roman"/>
          <w:color w:val="auto"/>
          <w:sz w:val="32"/>
          <w:szCs w:val="32"/>
          <w:highlight w:val="none"/>
          <w:lang w:val="en-US" w:eastAsia="zh-CN"/>
        </w:rPr>
        <w:t>0.3</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outlineLvl w:val="1"/>
        <w:rPr>
          <w:rFonts w:hint="default" w:ascii="Times New Roman" w:hAnsi="Times New Roman" w:eastAsia="仿宋_GB2312" w:cs="Times New Roman"/>
          <w:color w:val="auto"/>
          <w:sz w:val="32"/>
          <w:szCs w:val="32"/>
          <w:highlight w:val="none"/>
          <w:lang w:val="en-US" w:eastAsia="zh-CN"/>
        </w:rPr>
      </w:pPr>
      <w:r>
        <w:drawing>
          <wp:inline distT="0" distB="0" distL="114300" distR="114300">
            <wp:extent cx="4847590" cy="3866515"/>
            <wp:effectExtent l="4445" t="5080" r="5715" b="1460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（图1：</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决算总计变动情况图）</w:t>
      </w:r>
    </w:p>
    <w:p>
      <w:pPr>
        <w:pStyle w:val="2"/>
        <w:rPr>
          <w:rFonts w:hint="default" w:ascii="Times New Roman" w:hAnsi="Times New Roman" w:cs="Times New Roman"/>
          <w:color w:val="auto"/>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20" w:name="_Toc15377206"/>
      <w:bookmarkStart w:id="21" w:name="_Toc15396604"/>
      <w:r>
        <w:rPr>
          <w:rFonts w:hint="default" w:ascii="Times New Roman" w:hAnsi="Times New Roman" w:eastAsia="黑体" w:cs="Times New Roman"/>
          <w:color w:val="auto"/>
          <w:sz w:val="32"/>
          <w:szCs w:val="32"/>
          <w:highlight w:val="none"/>
          <w:lang w:eastAsia="zh-CN"/>
        </w:rPr>
        <w:t>二、收入决算情况说明</w:t>
      </w:r>
      <w:bookmarkEnd w:id="20"/>
      <w:bookmarkEnd w:id="21"/>
    </w:p>
    <w:p>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2025年度本年收入合计</w:t>
      </w:r>
      <w:r>
        <w:rPr>
          <w:rFonts w:hint="default" w:ascii="Times New Roman" w:hAnsi="Times New Roman" w:eastAsia="仿宋_GB2312" w:cs="Times New Roman"/>
          <w:color w:val="auto"/>
          <w:sz w:val="32"/>
          <w:szCs w:val="32"/>
          <w:lang w:eastAsia="zh-CN"/>
        </w:rPr>
        <w:t>5930.78</w:t>
      </w:r>
      <w:r>
        <w:rPr>
          <w:rFonts w:hint="default" w:ascii="Times New Roman" w:hAnsi="Times New Roman" w:eastAsia="仿宋_GB2312" w:cs="Times New Roman"/>
          <w:color w:val="auto"/>
          <w:sz w:val="32"/>
          <w:szCs w:val="32"/>
        </w:rPr>
        <w:t>万元，其中：一般公共预算财政拨款收入</w:t>
      </w:r>
      <w:r>
        <w:rPr>
          <w:rFonts w:hint="default" w:ascii="Times New Roman" w:hAnsi="Times New Roman" w:eastAsia="仿宋_GB2312" w:cs="Times New Roman"/>
          <w:color w:val="auto"/>
          <w:sz w:val="32"/>
          <w:szCs w:val="32"/>
          <w:lang w:eastAsia="zh-CN"/>
        </w:rPr>
        <w:t>5930.78</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color w:val="auto"/>
          <w:sz w:val="32"/>
          <w:szCs w:val="32"/>
        </w:rPr>
        <w:t>100</w:t>
      </w:r>
      <w:r>
        <w:rPr>
          <w:rFonts w:hint="default" w:ascii="Times New Roman" w:hAnsi="Times New Roman" w:eastAsia="仿宋_GB2312" w:cs="Times New Roman"/>
          <w:color w:val="auto"/>
          <w:sz w:val="32"/>
          <w:szCs w:val="32"/>
          <w:highlight w:val="none"/>
          <w:lang w:eastAsia="zh-CN"/>
        </w:rPr>
        <w:t>%。</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1"/>
        <w:rPr>
          <w:rFonts w:hint="default" w:ascii="Times New Roman" w:hAnsi="Times New Roman" w:eastAsia="仿宋_GB2312" w:cs="Times New Roman"/>
          <w:color w:val="auto"/>
          <w:sz w:val="32"/>
          <w:szCs w:val="32"/>
          <w:highlight w:val="none"/>
          <w:lang w:eastAsia="zh-CN"/>
        </w:rPr>
      </w:pPr>
      <w:r>
        <w:drawing>
          <wp:inline distT="0" distB="0" distL="114300" distR="114300">
            <wp:extent cx="4572000" cy="2743200"/>
            <wp:effectExtent l="4445" t="4445" r="14605" b="14605"/>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（图2：收入决算结构图）</w:t>
      </w:r>
    </w:p>
    <w:p>
      <w:pPr>
        <w:pStyle w:val="2"/>
        <w:rPr>
          <w:rFonts w:hint="default" w:ascii="Times New Roman" w:hAnsi="Times New Roman" w:cs="Times New Roman"/>
          <w:color w:val="auto"/>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default" w:ascii="Times New Roman" w:hAnsi="Times New Roman" w:eastAsia="黑体" w:cs="Times New Roman"/>
          <w:b w:val="0"/>
          <w:color w:val="auto"/>
          <w:highlight w:val="none"/>
        </w:rPr>
      </w:pPr>
      <w:bookmarkStart w:id="22" w:name="_Toc15377207"/>
      <w:bookmarkStart w:id="23" w:name="_Toc15396605"/>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31"/>
          <w:rFonts w:hint="default" w:ascii="Times New Roman" w:hAnsi="Times New Roman" w:eastAsia="黑体" w:cs="Times New Roman"/>
          <w:b w:val="0"/>
          <w:color w:val="auto"/>
          <w:highlight w:val="none"/>
        </w:rPr>
        <w:t>出决算情况说明</w:t>
      </w:r>
      <w:bookmarkEnd w:id="22"/>
      <w:bookmarkEnd w:id="23"/>
    </w:p>
    <w:p>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outlineLvl w:val="1"/>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2025年度本年支出合计</w:t>
      </w:r>
      <w:r>
        <w:rPr>
          <w:rFonts w:hint="default" w:ascii="Times New Roman" w:hAnsi="Times New Roman" w:eastAsia="仿宋_GB2312" w:cs="Times New Roman"/>
          <w:color w:val="auto"/>
          <w:sz w:val="32"/>
          <w:szCs w:val="32"/>
          <w:lang w:eastAsia="zh-CN"/>
        </w:rPr>
        <w:t>5930.78</w:t>
      </w:r>
      <w:r>
        <w:rPr>
          <w:rFonts w:hint="default" w:ascii="Times New Roman" w:hAnsi="Times New Roman" w:eastAsia="仿宋_GB2312" w:cs="Times New Roman"/>
          <w:color w:val="auto"/>
          <w:sz w:val="32"/>
          <w:szCs w:val="32"/>
          <w:highlight w:val="none"/>
          <w:lang w:eastAsia="zh-CN"/>
        </w:rPr>
        <w:t>万元，其中：基本支出</w:t>
      </w:r>
      <w:r>
        <w:rPr>
          <w:rFonts w:hint="default" w:ascii="Times New Roman" w:hAnsi="Times New Roman" w:eastAsia="仿宋_GB2312" w:cs="Times New Roman"/>
          <w:color w:val="auto"/>
          <w:sz w:val="32"/>
          <w:szCs w:val="32"/>
          <w:lang w:val="en-US" w:eastAsia="zh-CN"/>
        </w:rPr>
        <w:t>711.58</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highlight w:val="none"/>
          <w:lang w:eastAsia="zh-CN"/>
        </w:rPr>
        <w:t>%；项目支出</w:t>
      </w:r>
      <w:r>
        <w:rPr>
          <w:rFonts w:hint="default" w:ascii="Times New Roman" w:hAnsi="Times New Roman" w:eastAsia="仿宋_GB2312" w:cs="Times New Roman"/>
          <w:color w:val="auto"/>
          <w:sz w:val="32"/>
          <w:szCs w:val="32"/>
          <w:lang w:val="en-US" w:eastAsia="zh-CN"/>
        </w:rPr>
        <w:t>5219.2</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color w:val="auto"/>
          <w:sz w:val="32"/>
          <w:szCs w:val="32"/>
          <w:lang w:val="en-US" w:eastAsia="zh-CN"/>
        </w:rPr>
        <w:t>88</w:t>
      </w:r>
      <w:r>
        <w:rPr>
          <w:rFonts w:hint="default" w:ascii="Times New Roman" w:hAnsi="Times New Roman" w:eastAsia="仿宋_GB2312" w:cs="Times New Roman"/>
          <w:color w:val="auto"/>
          <w:sz w:val="32"/>
          <w:szCs w:val="32"/>
          <w:highlight w:val="none"/>
          <w:lang w:eastAsia="zh-CN"/>
        </w:rPr>
        <w:t>%。</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left"/>
        <w:textAlignment w:val="auto"/>
        <w:outlineLvl w:val="1"/>
        <w:rPr>
          <w:rFonts w:hint="default" w:ascii="Times New Roman" w:hAnsi="Times New Roman" w:eastAsia="仿宋_GB2312" w:cs="Times New Roman"/>
          <w:b/>
          <w:bCs/>
          <w:color w:val="auto"/>
          <w:sz w:val="32"/>
          <w:szCs w:val="32"/>
          <w:highlight w:val="none"/>
          <w:lang w:eastAsia="zh-CN"/>
        </w:rPr>
      </w:pPr>
      <w:r>
        <w:drawing>
          <wp:inline distT="0" distB="0" distL="114300" distR="114300">
            <wp:extent cx="4572000" cy="2743200"/>
            <wp:effectExtent l="4445" t="4445" r="1460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（图3：支出决算结构图）</w:t>
      </w:r>
    </w:p>
    <w:p>
      <w:pPr>
        <w:pStyle w:val="2"/>
        <w:rPr>
          <w:rFonts w:hint="default" w:ascii="Times New Roman" w:hAnsi="Times New Roman" w:cs="Times New Roman"/>
          <w:color w:val="auto"/>
          <w:lang w:eastAsia="zh-CN"/>
        </w:rPr>
      </w:pPr>
    </w:p>
    <w:p>
      <w:pPr>
        <w:spacing w:line="600" w:lineRule="exact"/>
        <w:ind w:firstLine="640" w:firstLineChars="200"/>
        <w:outlineLvl w:val="1"/>
        <w:rPr>
          <w:rStyle w:val="31"/>
          <w:rFonts w:hint="default" w:ascii="Times New Roman" w:hAnsi="Times New Roman" w:eastAsia="黑体" w:cs="Times New Roman"/>
          <w:b w:val="0"/>
          <w:color w:val="auto"/>
          <w:highlight w:val="none"/>
        </w:rPr>
      </w:pPr>
      <w:bookmarkStart w:id="24" w:name="_Toc15377208"/>
      <w:bookmarkStart w:id="25" w:name="_Toc15396606"/>
      <w:r>
        <w:rPr>
          <w:rFonts w:hint="default" w:ascii="Times New Roman" w:hAnsi="Times New Roman" w:eastAsia="黑体" w:cs="Times New Roman"/>
          <w:color w:val="auto"/>
          <w:sz w:val="32"/>
          <w:szCs w:val="32"/>
          <w:highlight w:val="none"/>
        </w:rPr>
        <w:t>四、财</w:t>
      </w:r>
      <w:r>
        <w:rPr>
          <w:rStyle w:val="31"/>
          <w:rFonts w:hint="default" w:ascii="Times New Roman" w:hAnsi="Times New Roman" w:eastAsia="黑体" w:cs="Times New Roman"/>
          <w:b w:val="0"/>
          <w:color w:val="auto"/>
          <w:highlight w:val="none"/>
        </w:rPr>
        <w:t>政拨款收入支出决算总体情况说明</w:t>
      </w:r>
      <w:bookmarkEnd w:id="24"/>
      <w:bookmarkEnd w:id="25"/>
    </w:p>
    <w:p>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2025年度财政拨款收入、支出总计均为5930.78万元。与</w:t>
      </w:r>
      <w:r>
        <w:rPr>
          <w:rFonts w:hint="eastAsia" w:ascii="Times New Roman" w:hAnsi="Times New Roman" w:eastAsia="仿宋_GB2312" w:cs="Times New Roman"/>
          <w:color w:val="auto"/>
          <w:kern w:val="2"/>
          <w:sz w:val="32"/>
          <w:szCs w:val="32"/>
          <w:highlight w:val="none"/>
          <w:lang w:val="en-US" w:eastAsia="zh-CN" w:bidi="ar-SA"/>
        </w:rPr>
        <w:t>上</w:t>
      </w:r>
      <w:r>
        <w:rPr>
          <w:rFonts w:hint="default" w:ascii="Times New Roman" w:hAnsi="Times New Roman" w:eastAsia="仿宋_GB2312" w:cs="Times New Roman"/>
          <w:color w:val="auto"/>
          <w:kern w:val="2"/>
          <w:sz w:val="32"/>
          <w:szCs w:val="32"/>
          <w:highlight w:val="none"/>
          <w:lang w:val="en-US" w:eastAsia="zh-CN" w:bidi="ar-SA"/>
        </w:rPr>
        <w:t>年度相比，财政拨款收入总计、支出总计各减少17.79万元，同比下降0.3%</w:t>
      </w:r>
      <w:r>
        <w:rPr>
          <w:rFonts w:hint="default" w:ascii="Times New Roman" w:hAnsi="Times New Roman" w:eastAsia="仿宋_GB2312" w:cs="Times New Roman"/>
          <w:color w:val="auto"/>
          <w:sz w:val="32"/>
          <w:szCs w:val="32"/>
          <w:highlight w:val="none"/>
          <w:lang w:val="en-US" w:eastAsia="zh-CN"/>
        </w:rPr>
        <w:t>。</w:t>
      </w:r>
    </w:p>
    <w:p>
      <w:pPr>
        <w:pStyle w:val="2"/>
        <w:keepNext w:val="0"/>
        <w:keepLines w:val="0"/>
        <w:pageBreakBefore w:val="0"/>
        <w:widowControl w:val="0"/>
        <w:kinsoku/>
        <w:wordWrap/>
        <w:overflowPunct/>
        <w:topLinePunct w:val="0"/>
        <w:autoSpaceDE/>
        <w:autoSpaceDN/>
        <w:bidi w:val="0"/>
        <w:adjustRightInd/>
        <w:snapToGrid/>
        <w:spacing w:line="240" w:lineRule="auto"/>
        <w:rPr>
          <w:rFonts w:hint="default" w:ascii="Times New Roman" w:hAnsi="Times New Roman" w:cs="Times New Roman"/>
          <w:color w:val="auto"/>
          <w:lang w:val="en-US" w:eastAsia="zh-CN"/>
        </w:rPr>
      </w:pPr>
      <w:r>
        <w:drawing>
          <wp:inline distT="0" distB="0" distL="114300" distR="114300">
            <wp:extent cx="4581525" cy="3533775"/>
            <wp:effectExtent l="4445" t="4445" r="5080" b="5080"/>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（图4：财政拨款收、支决算总计变动情况）</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pPr>
        <w:spacing w:line="600" w:lineRule="exact"/>
        <w:ind w:firstLine="640" w:firstLineChars="200"/>
        <w:outlineLvl w:val="1"/>
        <w:rPr>
          <w:rStyle w:val="31"/>
          <w:rFonts w:hint="default" w:ascii="Times New Roman" w:hAnsi="Times New Roman" w:eastAsia="黑体" w:cs="Times New Roman"/>
          <w:b w:val="0"/>
          <w:color w:val="auto"/>
          <w:highlight w:val="none"/>
        </w:rPr>
      </w:pPr>
      <w:bookmarkStart w:id="26" w:name="_Toc15377209"/>
      <w:bookmarkStart w:id="27" w:name="_Toc15396607"/>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val="0"/>
          <w:bCs/>
          <w:color w:val="auto"/>
          <w:sz w:val="32"/>
          <w:szCs w:val="32"/>
          <w:highlight w:val="none"/>
        </w:rPr>
        <w:t>一</w:t>
      </w:r>
      <w:r>
        <w:rPr>
          <w:rStyle w:val="31"/>
          <w:rFonts w:hint="default" w:ascii="Times New Roman" w:hAnsi="Times New Roman" w:eastAsia="黑体" w:cs="Times New Roman"/>
          <w:b w:val="0"/>
          <w:bCs/>
          <w:color w:val="auto"/>
          <w:highlight w:val="none"/>
        </w:rPr>
        <w:t>般</w:t>
      </w:r>
      <w:r>
        <w:rPr>
          <w:rStyle w:val="31"/>
          <w:rFonts w:hint="default" w:ascii="Times New Roman" w:hAnsi="Times New Roman" w:eastAsia="黑体" w:cs="Times New Roman"/>
          <w:b w:val="0"/>
          <w:color w:val="auto"/>
          <w:highlight w:val="none"/>
        </w:rPr>
        <w:t>公共预算财政拨款支出决算情况说明</w:t>
      </w:r>
      <w:bookmarkEnd w:id="26"/>
      <w:bookmarkEnd w:id="27"/>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28"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28"/>
    </w:p>
    <w:p>
      <w:pPr>
        <w:keepNext w:val="0"/>
        <w:keepLines w:val="0"/>
        <w:pageBreakBefore w:val="0"/>
        <w:widowControl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color w:val="auto"/>
          <w:sz w:val="32"/>
          <w:szCs w:val="32"/>
          <w:highlight w:val="none"/>
          <w:lang w:eastAsia="zh-CN"/>
        </w:rPr>
        <w:t>5930.78</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color w:val="auto"/>
          <w:sz w:val="32"/>
          <w:szCs w:val="32"/>
          <w:highlight w:val="none"/>
        </w:rPr>
        <w:t>100</w:t>
      </w:r>
      <w:r>
        <w:rPr>
          <w:rFonts w:hint="default" w:ascii="Times New Roman" w:hAnsi="Times New Roman" w:eastAsia="仿宋_GB2312" w:cs="Times New Roman"/>
          <w:color w:val="auto"/>
          <w:kern w:val="2"/>
          <w:sz w:val="32"/>
          <w:szCs w:val="32"/>
          <w:highlight w:val="none"/>
          <w:lang w:val="en-US" w:eastAsia="zh-CN" w:bidi="ar-SA"/>
        </w:rPr>
        <w:t>%。与</w:t>
      </w:r>
      <w:r>
        <w:rPr>
          <w:rFonts w:hint="eastAsia" w:ascii="Times New Roman" w:hAnsi="Times New Roman" w:eastAsia="仿宋_GB2312" w:cs="Times New Roman"/>
          <w:color w:val="auto"/>
          <w:kern w:val="2"/>
          <w:sz w:val="32"/>
          <w:szCs w:val="32"/>
          <w:highlight w:val="none"/>
          <w:lang w:val="en-US" w:eastAsia="zh-CN" w:bidi="ar-SA"/>
        </w:rPr>
        <w:t>上</w:t>
      </w:r>
      <w:r>
        <w:rPr>
          <w:rFonts w:hint="default" w:ascii="Times New Roman" w:hAnsi="Times New Roman" w:eastAsia="仿宋_GB2312" w:cs="Times New Roman"/>
          <w:color w:val="auto"/>
          <w:kern w:val="2"/>
          <w:sz w:val="32"/>
          <w:szCs w:val="32"/>
          <w:highlight w:val="none"/>
          <w:lang w:val="en-US" w:eastAsia="zh-CN" w:bidi="ar-SA"/>
        </w:rPr>
        <w:t>年度相比，一般公共预算财政拨款支出减少17.79万元，同比下降0.3%。</w:t>
      </w:r>
    </w:p>
    <w:p>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default" w:ascii="Times New Roman" w:hAnsi="Times New Roman" w:eastAsia="仿宋_GB2312" w:cs="Times New Roman"/>
          <w:color w:val="auto"/>
          <w:kern w:val="2"/>
          <w:sz w:val="32"/>
          <w:szCs w:val="32"/>
          <w:highlight w:val="none"/>
          <w:lang w:val="en-US" w:eastAsia="zh-CN" w:bidi="ar-SA"/>
        </w:rPr>
      </w:pPr>
      <w:r>
        <w:drawing>
          <wp:inline distT="0" distB="0" distL="114300" distR="114300">
            <wp:extent cx="4572000" cy="2943225"/>
            <wp:effectExtent l="4445" t="4445" r="14605" b="5080"/>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（图5：一般公共预算财政拨款支出决算变动情况）</w:t>
      </w:r>
    </w:p>
    <w:p>
      <w:pPr>
        <w:pStyle w:val="2"/>
        <w:rPr>
          <w:rFonts w:hint="default" w:ascii="Times New Roman" w:hAnsi="Times New Roman" w:cs="Times New Roman"/>
          <w:color w:val="auto"/>
          <w:lang w:val="en-US" w:eastAsia="zh-CN"/>
        </w:rPr>
      </w:pPr>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29" w:name="_Toc15377211"/>
      <w:r>
        <w:rPr>
          <w:rFonts w:hint="default" w:ascii="Times New Roman" w:hAnsi="Times New Roman" w:eastAsia="楷体_GB2312" w:cs="Times New Roman"/>
          <w:b/>
          <w:color w:val="auto"/>
          <w:sz w:val="32"/>
          <w:szCs w:val="32"/>
          <w:highlight w:val="none"/>
        </w:rPr>
        <w:t>（二）一般公共预算财政拨款支出决算结构情况</w:t>
      </w:r>
      <w:bookmarkEnd w:id="29"/>
    </w:p>
    <w:p>
      <w:pPr>
        <w:keepNext w:val="0"/>
        <w:keepLines w:val="0"/>
        <w:pageBreakBefore w:val="0"/>
        <w:widowControl w:val="0"/>
        <w:kinsoku/>
        <w:wordWrap/>
        <w:overflowPunct/>
        <w:topLinePunct w:val="0"/>
        <w:autoSpaceDE/>
        <w:autoSpaceDN/>
        <w:bidi w:val="0"/>
        <w:adjustRightInd/>
        <w:snapToGrid/>
        <w:spacing w:line="24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color w:val="auto"/>
          <w:sz w:val="32"/>
          <w:szCs w:val="32"/>
          <w:lang w:eastAsia="zh-CN"/>
        </w:rPr>
        <w:t>5930.78</w:t>
      </w:r>
      <w:r>
        <w:rPr>
          <w:rFonts w:hint="default" w:ascii="Times New Roman" w:hAnsi="Times New Roman" w:eastAsia="仿宋_GB2312" w:cs="Times New Roman"/>
          <w:color w:val="auto"/>
          <w:kern w:val="2"/>
          <w:sz w:val="32"/>
          <w:szCs w:val="32"/>
          <w:highlight w:val="none"/>
          <w:lang w:val="en-US" w:eastAsia="zh-CN" w:bidi="ar-SA"/>
        </w:rPr>
        <w:t>万元，主要用于以下方面：一般公共服务支出5776.66万元，占97.4%；社会保障和就业支出67.32万元，占1.14%；卫生健康支出37.18万元，占0.63%；住房保障支出49.62万元，占0.84%。</w:t>
      </w:r>
    </w:p>
    <w:p>
      <w:pPr>
        <w:pStyle w:val="2"/>
        <w:keepNext w:val="0"/>
        <w:keepLines w:val="0"/>
        <w:pageBreakBefore w:val="0"/>
        <w:widowControl w:val="0"/>
        <w:kinsoku/>
        <w:wordWrap/>
        <w:overflowPunct/>
        <w:topLinePunct w:val="0"/>
        <w:autoSpaceDE/>
        <w:autoSpaceDN/>
        <w:bidi w:val="0"/>
        <w:adjustRightInd/>
        <w:snapToGrid/>
        <w:spacing w:line="240" w:lineRule="auto"/>
        <w:rPr>
          <w:rFonts w:hint="default" w:ascii="Times New Roman" w:hAnsi="Times New Roman" w:cs="Times New Roman"/>
          <w:color w:val="auto"/>
          <w:lang w:val="en-US" w:eastAsia="zh-CN"/>
        </w:rPr>
      </w:pPr>
      <w:r>
        <w:drawing>
          <wp:inline distT="0" distB="0" distL="114300" distR="114300">
            <wp:extent cx="4572000" cy="2743200"/>
            <wp:effectExtent l="4445" t="4445" r="14605" b="14605"/>
            <wp:docPr id="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（图6：一般公共预算财政拨款支出决算结构）</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30" w:name="_Toc15377212"/>
      <w:r>
        <w:rPr>
          <w:rFonts w:hint="default" w:ascii="Times New Roman" w:hAnsi="Times New Roman" w:eastAsia="楷体_GB2312" w:cs="Times New Roman"/>
          <w:b/>
          <w:color w:val="auto"/>
          <w:sz w:val="32"/>
          <w:szCs w:val="32"/>
          <w:highlight w:val="none"/>
        </w:rPr>
        <w:t>（三）一般公共预算财政拨款支出决算具体情况</w:t>
      </w:r>
      <w:bookmarkEnd w:id="30"/>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bookmarkStart w:id="31" w:name="_Toc15377444"/>
      <w:bookmarkStart w:id="32" w:name="_Toc15378460"/>
      <w:bookmarkStart w:id="33" w:name="_Toc15377213"/>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2025年度一般公共预算财政拨款支出决算数为5930.78万元，完成预算100%。其中：</w:t>
      </w:r>
      <w:bookmarkEnd w:id="31"/>
      <w:bookmarkEnd w:id="32"/>
      <w:bookmarkEnd w:id="33"/>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1.一般公共服务（类）政府办公厅（室）及相关机构事务（款）行政运行（项）: 支出决算为454.14万元，完成预算100%，决算数等于预算数。</w:t>
      </w:r>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2.一般公共服务（类）政府办公厅（室）及相关机构事务（款）一般行政管理事务（项）: 支出决算为5219.2万元，完成预算100%，决算数等于预算数。</w:t>
      </w:r>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3.一般公共服务（类）政府办公厅（室）及相关机构事务（款）事业运行（项）: 支出决算为103.32万元，完成预算100%，决算数等于预算数。</w:t>
      </w:r>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4.社会保障和就业（类）行政事业单位养老支出（款）行政单位离退休（项）: 支出决算为0.6万元，完成预算100%，决算数等于预算数。</w:t>
      </w:r>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5.社会保障和就业（类）行政事业单位养老支出（款）机关事业单位基本养老保险缴费（项）: 支出决算为66.72万元，完成预算100%，决算数等于预算数。</w:t>
      </w:r>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6.卫生健康（类）行政事业单位医疗（款）行政单位医疗（项）: 支出决算为28.17万元，完成预算100%，决算数等于预算数。</w:t>
      </w:r>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7.卫生健康（类）行政事业单位医疗（款）事业单位医疗（项）: 支出决算为6.06万元，完成预算100%，决算数等于预算数。</w:t>
      </w:r>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8.卫生健康（类）行政事业单位医疗（款）公务员医疗补助（项）: 支出决算为2.95万元，完成预算100%，决算数等于预算数。</w:t>
      </w:r>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9.住房保障（类）住房改革（款）住房公积金（项）: 支出决算为49.62万元，完成预算100%，决算数等于预算数。</w:t>
      </w:r>
    </w:p>
    <w:p>
      <w:pPr>
        <w:spacing w:line="600" w:lineRule="exact"/>
        <w:rPr>
          <w:rFonts w:hint="default" w:ascii="Times New Roman" w:hAnsi="Times New Roman" w:eastAsia="仿宋_GB2312" w:cs="Times New Roman"/>
          <w:color w:val="auto"/>
          <w:kern w:val="2"/>
          <w:sz w:val="32"/>
          <w:szCs w:val="32"/>
          <w:highlight w:val="none"/>
          <w:lang w:val="en-US" w:eastAsia="zh-CN" w:bidi="ar-SA"/>
        </w:rPr>
      </w:pPr>
    </w:p>
    <w:p>
      <w:pPr>
        <w:tabs>
          <w:tab w:val="right" w:pos="8306"/>
        </w:tabs>
        <w:spacing w:line="600" w:lineRule="exact"/>
        <w:ind w:firstLine="640"/>
        <w:outlineLvl w:val="1"/>
        <w:rPr>
          <w:rStyle w:val="31"/>
          <w:rFonts w:hint="default" w:ascii="Times New Roman" w:hAnsi="Times New Roman" w:cs="Times New Roman"/>
          <w:color w:val="auto"/>
          <w:highlight w:val="none"/>
        </w:rPr>
      </w:pPr>
      <w:bookmarkStart w:id="34" w:name="_Toc15396608"/>
      <w:bookmarkStart w:id="35" w:name="_Toc15377214"/>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w:t>
      </w:r>
      <w:r>
        <w:rPr>
          <w:rFonts w:hint="default" w:ascii="Times New Roman" w:hAnsi="Times New Roman" w:eastAsia="黑体" w:cs="Times New Roman"/>
          <w:b w:val="0"/>
          <w:bCs/>
          <w:color w:val="auto"/>
          <w:sz w:val="32"/>
          <w:szCs w:val="32"/>
          <w:highlight w:val="none"/>
        </w:rPr>
        <w:t>一</w:t>
      </w:r>
      <w:r>
        <w:rPr>
          <w:rStyle w:val="31"/>
          <w:rFonts w:hint="default" w:ascii="Times New Roman" w:hAnsi="Times New Roman" w:eastAsia="黑体" w:cs="Times New Roman"/>
          <w:b w:val="0"/>
          <w:color w:val="auto"/>
          <w:highlight w:val="none"/>
        </w:rPr>
        <w:t>般公共预算财政拨款基本支出决算情况说明</w:t>
      </w:r>
      <w:bookmarkEnd w:id="34"/>
      <w:bookmarkEnd w:id="35"/>
      <w:r>
        <w:rPr>
          <w:rStyle w:val="31"/>
          <w:rFonts w:hint="default" w:ascii="Times New Roman" w:hAnsi="Times New Roman" w:eastAsia="黑体" w:cs="Times New Roman"/>
          <w:b w:val="0"/>
          <w:color w:val="auto"/>
          <w:highlight w:val="none"/>
        </w:rPr>
        <w:tab/>
      </w:r>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2025年度一般公共预算财政拨款基本支出711.58万元，其中：</w:t>
      </w:r>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644.51万元，主要包括：基本工资、津贴补贴、奖金、绩效工资、机关事业单位基本养老保险缴费、职工基本医疗保险缴费、其他社会保障缴费、公务员医疗补助缴费、住房公积金、其它工资福利支出、生活补助、医疗费补助、奖励金等。</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default" w:ascii="Times New Roman" w:hAnsi="Times New Roman" w:eastAsia="仿宋_GB2312" w:cs="Times New Roman"/>
          <w:color w:val="auto"/>
          <w:kern w:val="2"/>
          <w:sz w:val="32"/>
          <w:szCs w:val="32"/>
          <w:highlight w:val="none"/>
          <w:lang w:val="en-US" w:eastAsia="zh-CN" w:bidi="ar-SA"/>
        </w:rPr>
        <w:t>　　公用经费67.07万元，主要包括：办公费、印刷费、水费、电费、邮电费、物业管理费、差旅费、维修（护）费、公务接待费、劳务费、工会经费、福利费、公务用车运行维护费、其他交通费用、其他商品和服务支出等。</w:t>
      </w:r>
    </w:p>
    <w:p>
      <w:pPr>
        <w:pStyle w:val="2"/>
        <w:rPr>
          <w:rFonts w:hint="default" w:ascii="Times New Roman" w:hAnsi="Times New Roman" w:cs="Times New Roman"/>
          <w:color w:val="auto"/>
          <w:lang w:val="en-US" w:eastAsia="zh-CN"/>
        </w:rPr>
      </w:pPr>
    </w:p>
    <w:p>
      <w:pPr>
        <w:spacing w:line="600" w:lineRule="exact"/>
        <w:ind w:firstLine="640"/>
        <w:outlineLvl w:val="1"/>
        <w:rPr>
          <w:rStyle w:val="31"/>
          <w:rFonts w:hint="default" w:ascii="Times New Roman" w:hAnsi="Times New Roman" w:eastAsia="黑体" w:cs="Times New Roman"/>
          <w:b w:val="0"/>
          <w:color w:val="auto"/>
          <w:highlight w:val="none"/>
        </w:rPr>
      </w:pPr>
      <w:bookmarkStart w:id="36" w:name="_Toc15396609"/>
      <w:bookmarkStart w:id="37" w:name="_Toc15377215"/>
      <w:r>
        <w:rPr>
          <w:rFonts w:hint="default" w:ascii="Times New Roman" w:hAnsi="Times New Roman" w:eastAsia="黑体" w:cs="Times New Roman"/>
          <w:color w:val="auto"/>
          <w:sz w:val="32"/>
          <w:szCs w:val="32"/>
          <w:highlight w:val="none"/>
        </w:rPr>
        <w:t>七、</w:t>
      </w:r>
      <w:r>
        <w:rPr>
          <w:rStyle w:val="31"/>
          <w:rFonts w:hint="default" w:ascii="Times New Roman" w:hAnsi="Times New Roman" w:eastAsia="黑体" w:cs="Times New Roman"/>
          <w:b w:val="0"/>
          <w:color w:val="auto"/>
          <w:highlight w:val="none"/>
        </w:rPr>
        <w:t>财政拨款</w:t>
      </w:r>
      <w:r>
        <w:rPr>
          <w:rStyle w:val="31"/>
          <w:rFonts w:hint="eastAsia" w:eastAsia="黑体" w:cs="Times New Roman"/>
          <w:b w:val="0"/>
          <w:color w:val="auto"/>
          <w:highlight w:val="none"/>
          <w:lang w:eastAsia="zh-CN"/>
        </w:rPr>
        <w:t>“</w:t>
      </w:r>
      <w:r>
        <w:rPr>
          <w:rStyle w:val="31"/>
          <w:rFonts w:hint="default" w:ascii="Times New Roman" w:hAnsi="Times New Roman" w:eastAsia="黑体" w:cs="Times New Roman"/>
          <w:b w:val="0"/>
          <w:color w:val="auto"/>
          <w:highlight w:val="none"/>
        </w:rPr>
        <w:t>三公</w:t>
      </w:r>
      <w:r>
        <w:rPr>
          <w:rStyle w:val="31"/>
          <w:rFonts w:hint="eastAsia" w:eastAsia="黑体" w:cs="Times New Roman"/>
          <w:b w:val="0"/>
          <w:color w:val="auto"/>
          <w:highlight w:val="none"/>
          <w:lang w:eastAsia="zh-CN"/>
        </w:rPr>
        <w:t>”</w:t>
      </w:r>
      <w:r>
        <w:rPr>
          <w:rStyle w:val="31"/>
          <w:rFonts w:hint="default" w:ascii="Times New Roman" w:hAnsi="Times New Roman" w:eastAsia="黑体" w:cs="Times New Roman"/>
          <w:b w:val="0"/>
          <w:color w:val="auto"/>
          <w:highlight w:val="none"/>
        </w:rPr>
        <w:t>经费支出决算情况说明</w:t>
      </w:r>
      <w:bookmarkEnd w:id="36"/>
      <w:bookmarkEnd w:id="37"/>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38" w:name="_Toc15377216"/>
      <w:r>
        <w:rPr>
          <w:rFonts w:hint="default" w:ascii="Times New Roman" w:hAnsi="Times New Roman" w:eastAsia="楷体_GB2312" w:cs="Times New Roman"/>
          <w:b/>
          <w:color w:val="auto"/>
          <w:sz w:val="32"/>
          <w:szCs w:val="32"/>
          <w:highlight w:val="none"/>
        </w:rPr>
        <w:t>（一）</w:t>
      </w:r>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楷体_GB2312" w:cs="Times New Roman"/>
          <w:b/>
          <w:color w:val="auto"/>
          <w:sz w:val="32"/>
          <w:szCs w:val="32"/>
          <w:highlight w:val="none"/>
        </w:rPr>
        <w:t>三公</w:t>
      </w:r>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楷体_GB2312" w:cs="Times New Roman"/>
          <w:b/>
          <w:color w:val="auto"/>
          <w:sz w:val="32"/>
          <w:szCs w:val="32"/>
          <w:highlight w:val="none"/>
        </w:rPr>
        <w:t>经费财政拨款支出决算总体情况说明</w:t>
      </w:r>
      <w:bookmarkEnd w:id="38"/>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eastAsia" w:eastAsia="仿宋_GB2312" w:cs="Times New Roman"/>
          <w:color w:val="auto"/>
          <w:kern w:val="2"/>
          <w:sz w:val="32"/>
          <w:szCs w:val="32"/>
          <w:highlight w:val="none"/>
          <w:lang w:val="en-US" w:eastAsia="zh-CN" w:bidi="ar-SA"/>
        </w:rPr>
        <w:t>“三公”</w:t>
      </w:r>
      <w:r>
        <w:rPr>
          <w:rFonts w:hint="default" w:ascii="Times New Roman" w:hAnsi="Times New Roman" w:eastAsia="仿宋_GB2312" w:cs="Times New Roman"/>
          <w:color w:val="auto"/>
          <w:kern w:val="2"/>
          <w:sz w:val="32"/>
          <w:szCs w:val="32"/>
          <w:highlight w:val="none"/>
          <w:lang w:val="en-US" w:eastAsia="zh-CN" w:bidi="ar-SA"/>
        </w:rPr>
        <w:t>经费财政拨款支出决算为</w:t>
      </w:r>
      <w:r>
        <w:rPr>
          <w:rFonts w:hint="default" w:ascii="Times New Roman" w:hAnsi="Times New Roman" w:eastAsia="仿宋_GB2312" w:cs="Times New Roman"/>
          <w:color w:val="auto"/>
          <w:sz w:val="32"/>
          <w:szCs w:val="32"/>
          <w:lang w:val="en-US" w:eastAsia="zh-CN"/>
        </w:rPr>
        <w:t>14.4</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default" w:ascii="Times New Roman" w:hAnsi="Times New Roman" w:eastAsia="仿宋_GB2312" w:cs="Times New Roman"/>
          <w:color w:val="auto"/>
          <w:sz w:val="32"/>
          <w:szCs w:val="32"/>
        </w:rPr>
        <w:t>100</w:t>
      </w:r>
      <w:r>
        <w:rPr>
          <w:rFonts w:hint="default" w:ascii="Times New Roman" w:hAnsi="Times New Roman" w:eastAsia="仿宋_GB2312" w:cs="Times New Roman"/>
          <w:color w:val="auto"/>
          <w:kern w:val="2"/>
          <w:sz w:val="32"/>
          <w:szCs w:val="32"/>
          <w:highlight w:val="none"/>
          <w:lang w:val="en-US" w:eastAsia="zh-CN" w:bidi="ar-SA"/>
        </w:rPr>
        <w:t>%，较上年度减少3.82万元，下降20.97%。决算数预算数持平。</w:t>
      </w:r>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39" w:name="_Toc15377217"/>
      <w:r>
        <w:rPr>
          <w:rFonts w:hint="default" w:ascii="Times New Roman" w:hAnsi="Times New Roman" w:eastAsia="楷体_GB2312" w:cs="Times New Roman"/>
          <w:b/>
          <w:color w:val="auto"/>
          <w:sz w:val="32"/>
          <w:szCs w:val="32"/>
          <w:highlight w:val="none"/>
        </w:rPr>
        <w:t>（二）</w:t>
      </w:r>
      <w:r>
        <w:rPr>
          <w:rFonts w:hint="eastAsia" w:eastAsia="楷体_GB2312" w:cs="Times New Roman"/>
          <w:b/>
          <w:color w:val="auto"/>
          <w:sz w:val="32"/>
          <w:szCs w:val="32"/>
          <w:highlight w:val="none"/>
          <w:lang w:eastAsia="zh-CN"/>
        </w:rPr>
        <w:t>“三公”</w:t>
      </w:r>
      <w:r>
        <w:rPr>
          <w:rFonts w:hint="default" w:ascii="Times New Roman" w:hAnsi="Times New Roman" w:eastAsia="楷体_GB2312" w:cs="Times New Roman"/>
          <w:b/>
          <w:color w:val="auto"/>
          <w:sz w:val="32"/>
          <w:szCs w:val="32"/>
          <w:highlight w:val="none"/>
        </w:rPr>
        <w:t>经费财政拨款支出决算具体情况说明</w:t>
      </w:r>
      <w:bookmarkEnd w:id="39"/>
    </w:p>
    <w:p>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eastAsia" w:eastAsia="仿宋_GB2312" w:cs="Times New Roman"/>
          <w:color w:val="auto"/>
          <w:kern w:val="2"/>
          <w:sz w:val="32"/>
          <w:szCs w:val="32"/>
          <w:highlight w:val="none"/>
          <w:lang w:val="en-US" w:eastAsia="zh-CN" w:bidi="ar-SA"/>
        </w:rPr>
        <w:t>“三公”</w:t>
      </w:r>
      <w:r>
        <w:rPr>
          <w:rFonts w:hint="default" w:ascii="Times New Roman" w:hAnsi="Times New Roman" w:eastAsia="仿宋_GB2312" w:cs="Times New Roman"/>
          <w:color w:val="auto"/>
          <w:kern w:val="2"/>
          <w:sz w:val="32"/>
          <w:szCs w:val="32"/>
          <w:highlight w:val="none"/>
          <w:lang w:val="en-US" w:eastAsia="zh-CN" w:bidi="ar-SA"/>
        </w:rPr>
        <w:t>经费财政拨款支出决算中，因公出国（境）费支出决算</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万元，占0%；公务用车购置及运行维护费支出决算</w:t>
      </w:r>
      <w:r>
        <w:rPr>
          <w:rFonts w:hint="default" w:ascii="Times New Roman" w:hAnsi="Times New Roman" w:eastAsia="仿宋_GB2312" w:cs="Times New Roman"/>
          <w:color w:val="auto"/>
          <w:sz w:val="32"/>
          <w:szCs w:val="32"/>
          <w:lang w:val="en-US" w:eastAsia="zh-CN"/>
        </w:rPr>
        <w:t>14.03</w:t>
      </w:r>
      <w:r>
        <w:rPr>
          <w:rFonts w:hint="default" w:ascii="Times New Roman" w:hAnsi="Times New Roman" w:eastAsia="仿宋_GB2312" w:cs="Times New Roman"/>
          <w:color w:val="auto"/>
          <w:kern w:val="2"/>
          <w:sz w:val="32"/>
          <w:szCs w:val="32"/>
          <w:highlight w:val="none"/>
          <w:lang w:val="en-US" w:eastAsia="zh-CN" w:bidi="ar-SA"/>
        </w:rPr>
        <w:t>万元，占97.43%；公务接待费支出决算</w:t>
      </w:r>
      <w:r>
        <w:rPr>
          <w:rFonts w:hint="default" w:ascii="Times New Roman" w:hAnsi="Times New Roman" w:eastAsia="仿宋_GB2312" w:cs="Times New Roman"/>
          <w:color w:val="auto"/>
          <w:sz w:val="32"/>
          <w:szCs w:val="32"/>
          <w:lang w:val="en-US" w:eastAsia="zh-CN"/>
        </w:rPr>
        <w:t>0.37</w:t>
      </w:r>
      <w:r>
        <w:rPr>
          <w:rFonts w:hint="default" w:ascii="Times New Roman" w:hAnsi="Times New Roman" w:eastAsia="仿宋_GB2312" w:cs="Times New Roman"/>
          <w:color w:val="auto"/>
          <w:kern w:val="2"/>
          <w:sz w:val="32"/>
          <w:szCs w:val="32"/>
          <w:highlight w:val="none"/>
          <w:lang w:val="en-US" w:eastAsia="zh-CN" w:bidi="ar-SA"/>
        </w:rPr>
        <w:t>万元，占2.57%。具体情况如下：</w:t>
      </w:r>
    </w:p>
    <w:p>
      <w:pPr>
        <w:pStyle w:val="2"/>
        <w:keepNext w:val="0"/>
        <w:keepLines w:val="0"/>
        <w:pageBreakBefore w:val="0"/>
        <w:widowControl w:val="0"/>
        <w:kinsoku/>
        <w:wordWrap/>
        <w:overflowPunct/>
        <w:topLinePunct w:val="0"/>
        <w:autoSpaceDE/>
        <w:autoSpaceDN/>
        <w:bidi w:val="0"/>
        <w:adjustRightInd/>
        <w:snapToGrid/>
        <w:spacing w:line="240" w:lineRule="auto"/>
        <w:rPr>
          <w:rFonts w:hint="default" w:ascii="Times New Roman" w:hAnsi="Times New Roman" w:cs="Times New Roman"/>
          <w:color w:val="auto"/>
          <w:lang w:val="en-US" w:eastAsia="zh-CN"/>
        </w:rPr>
      </w:pPr>
      <w:r>
        <w:rPr>
          <w:rFonts w:hint="default" w:ascii="Times New Roman" w:hAnsi="Times New Roman" w:cs="Times New Roman"/>
          <w:color w:val="auto"/>
        </w:rPr>
        <w:drawing>
          <wp:inline distT="0" distB="0" distL="114300" distR="114300">
            <wp:extent cx="4572000" cy="2743200"/>
            <wp:effectExtent l="4445" t="4445" r="14605" b="1460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（图7：</w:t>
      </w:r>
      <w:r>
        <w:rPr>
          <w:rFonts w:hint="eastAsia" w:eastAsia="仿宋_GB2312" w:cs="Times New Roman"/>
          <w:color w:val="auto"/>
          <w:kern w:val="2"/>
          <w:sz w:val="32"/>
          <w:szCs w:val="32"/>
          <w:highlight w:val="none"/>
          <w:lang w:val="en-US" w:eastAsia="zh-CN" w:bidi="ar-SA"/>
        </w:rPr>
        <w:t>“三公”</w:t>
      </w:r>
      <w:r>
        <w:rPr>
          <w:rFonts w:hint="default" w:ascii="Times New Roman" w:hAnsi="Times New Roman" w:eastAsia="仿宋_GB2312" w:cs="Times New Roman"/>
          <w:color w:val="auto"/>
          <w:kern w:val="2"/>
          <w:sz w:val="32"/>
          <w:szCs w:val="32"/>
          <w:highlight w:val="none"/>
          <w:lang w:val="en-US" w:eastAsia="zh-CN" w:bidi="ar-SA"/>
        </w:rPr>
        <w:t>经费财政拨款支出结构）</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1.因公出国（境）经费支出0万元，完成预算0%。</w:t>
      </w:r>
      <w:r>
        <w:rPr>
          <w:rFonts w:hint="default" w:ascii="Times New Roman" w:hAnsi="Times New Roman" w:eastAsia="仿宋_GB2312" w:cs="Times New Roman"/>
          <w:color w:val="auto"/>
          <w:kern w:val="2"/>
          <w:sz w:val="32"/>
          <w:szCs w:val="32"/>
          <w:highlight w:val="none"/>
          <w:lang w:val="en-US" w:eastAsia="zh-CN" w:bidi="ar-SA"/>
        </w:rPr>
        <w:t>全年安排因公出国（境）团组</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次，出国（境）</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人。因公出国（境）支出决算与</w:t>
      </w:r>
      <w:r>
        <w:rPr>
          <w:rFonts w:hint="eastAsia" w:ascii="Times New Roman" w:hAnsi="Times New Roman" w:eastAsia="仿宋_GB2312" w:cs="Times New Roman"/>
          <w:color w:val="auto"/>
          <w:kern w:val="2"/>
          <w:sz w:val="32"/>
          <w:szCs w:val="32"/>
          <w:highlight w:val="none"/>
          <w:lang w:val="en-US" w:eastAsia="zh-CN" w:bidi="ar-SA"/>
        </w:rPr>
        <w:t>上</w:t>
      </w:r>
      <w:r>
        <w:rPr>
          <w:rFonts w:hint="default" w:ascii="Times New Roman" w:hAnsi="Times New Roman" w:eastAsia="仿宋_GB2312" w:cs="Times New Roman"/>
          <w:color w:val="auto"/>
          <w:kern w:val="2"/>
          <w:sz w:val="32"/>
          <w:szCs w:val="32"/>
          <w:highlight w:val="none"/>
          <w:lang w:val="en-US" w:eastAsia="zh-CN" w:bidi="ar-SA"/>
        </w:rPr>
        <w:t>年度持平。</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2.公务用车购置及运行维护费支出14.03万元，完成预算100%。</w:t>
      </w:r>
      <w:r>
        <w:rPr>
          <w:rFonts w:hint="default" w:ascii="Times New Roman" w:hAnsi="Times New Roman" w:eastAsia="仿宋_GB2312" w:cs="Times New Roman"/>
          <w:color w:val="auto"/>
          <w:kern w:val="2"/>
          <w:sz w:val="32"/>
          <w:szCs w:val="32"/>
          <w:highlight w:val="none"/>
          <w:lang w:val="en-US" w:eastAsia="zh-CN" w:bidi="ar-SA"/>
        </w:rPr>
        <w:t>公务用车购置及运行维护费支出决算比上年度减少3.78万元，下降21.22%。主要原因是2025年度拍卖1辆公车，公车运行维护费减少。</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其中：公务用车购置支出</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万元。全年按规定更新购置公务用车0辆，其中：轿车0辆、金额0万元，越野车0辆、金额0万元，载客汽车0辆、金额0万元。截至2025年12月31日，单位共有公务用车9辆，其中：轿车</w:t>
      </w:r>
      <w:r>
        <w:rPr>
          <w:rFonts w:hint="eastAsia"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en-US" w:eastAsia="zh-CN" w:bidi="ar-SA"/>
        </w:rPr>
        <w:t>辆、越野车</w:t>
      </w:r>
      <w:r>
        <w:rPr>
          <w:rFonts w:hint="eastAsia"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en-US" w:eastAsia="zh-CN" w:bidi="ar-SA"/>
        </w:rPr>
        <w:t>辆、载客汽车</w:t>
      </w:r>
      <w:r>
        <w:rPr>
          <w:rFonts w:hint="eastAsia"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en-US" w:eastAsia="zh-CN" w:bidi="ar-SA"/>
        </w:rPr>
        <w:t>辆</w:t>
      </w:r>
      <w:r>
        <w:rPr>
          <w:rFonts w:hint="eastAsia" w:eastAsia="仿宋_GB2312" w:cs="Times New Roman"/>
          <w:color w:val="auto"/>
          <w:kern w:val="2"/>
          <w:sz w:val="32"/>
          <w:szCs w:val="32"/>
          <w:highlight w:val="none"/>
          <w:lang w:val="en-US" w:eastAsia="zh-CN" w:bidi="ar-SA"/>
        </w:rPr>
        <w:t>、其它汽车1辆</w:t>
      </w:r>
      <w:r>
        <w:rPr>
          <w:rFonts w:hint="default" w:ascii="Times New Roman" w:hAnsi="Times New Roman" w:eastAsia="仿宋_GB2312" w:cs="Times New Roman"/>
          <w:color w:val="auto"/>
          <w:kern w:val="2"/>
          <w:sz w:val="32"/>
          <w:szCs w:val="32"/>
          <w:highlight w:val="none"/>
          <w:lang w:val="en-US" w:eastAsia="zh-CN" w:bidi="ar-SA"/>
        </w:rPr>
        <w:t>。</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公务用车运行维护费支出</w:t>
      </w:r>
      <w:r>
        <w:rPr>
          <w:rFonts w:hint="default" w:ascii="Times New Roman" w:hAnsi="Times New Roman" w:eastAsia="仿宋_GB2312" w:cs="Times New Roman"/>
          <w:color w:val="auto"/>
          <w:sz w:val="32"/>
          <w:szCs w:val="32"/>
          <w:lang w:val="en-US" w:eastAsia="zh-CN"/>
        </w:rPr>
        <w:t>14.03</w:t>
      </w:r>
      <w:r>
        <w:rPr>
          <w:rFonts w:hint="default" w:ascii="Times New Roman" w:hAnsi="Times New Roman" w:eastAsia="仿宋_GB2312" w:cs="Times New Roman"/>
          <w:color w:val="auto"/>
          <w:kern w:val="2"/>
          <w:sz w:val="32"/>
          <w:szCs w:val="32"/>
          <w:highlight w:val="none"/>
          <w:lang w:val="en-US" w:eastAsia="zh-CN" w:bidi="ar-SA"/>
        </w:rPr>
        <w:t>万元。主要用于</w:t>
      </w:r>
      <w:r>
        <w:rPr>
          <w:rFonts w:hint="default" w:ascii="Times New Roman" w:hAnsi="Times New Roman" w:eastAsia="仿宋" w:cs="Times New Roman"/>
          <w:color w:val="auto"/>
          <w:sz w:val="32"/>
          <w:szCs w:val="32"/>
        </w:rPr>
        <w:t>市机关后勤服务中心</w:t>
      </w:r>
      <w:r>
        <w:rPr>
          <w:rFonts w:hint="default" w:ascii="Times New Roman" w:hAnsi="Times New Roman" w:eastAsia="仿宋" w:cs="Times New Roman"/>
          <w:color w:val="auto"/>
          <w:sz w:val="32"/>
          <w:szCs w:val="32"/>
          <w:lang w:eastAsia="zh-CN"/>
        </w:rPr>
        <w:t>车辆</w:t>
      </w:r>
      <w:r>
        <w:rPr>
          <w:rFonts w:hint="default" w:ascii="Times New Roman" w:hAnsi="Times New Roman" w:eastAsia="仿宋" w:cs="Times New Roman"/>
          <w:color w:val="auto"/>
          <w:sz w:val="32"/>
          <w:szCs w:val="32"/>
        </w:rPr>
        <w:t>保障平台</w:t>
      </w:r>
      <w:r>
        <w:rPr>
          <w:rFonts w:hint="default" w:ascii="Times New Roman" w:hAnsi="Times New Roman" w:eastAsia="仿宋_GB2312" w:cs="Times New Roman"/>
          <w:color w:val="auto"/>
          <w:kern w:val="2"/>
          <w:sz w:val="32"/>
          <w:szCs w:val="32"/>
          <w:highlight w:val="none"/>
          <w:lang w:val="en-US" w:eastAsia="zh-CN" w:bidi="ar-SA"/>
        </w:rPr>
        <w:t>公务用车燃料费、维修费、过路过桥费、保险费等支出。</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3.公务接待费支出0.37万元，完成预算100%。</w:t>
      </w:r>
      <w:r>
        <w:rPr>
          <w:rFonts w:hint="default" w:ascii="Times New Roman" w:hAnsi="Times New Roman" w:eastAsia="仿宋_GB2312" w:cs="Times New Roman"/>
          <w:color w:val="auto"/>
          <w:kern w:val="2"/>
          <w:sz w:val="32"/>
          <w:szCs w:val="32"/>
          <w:highlight w:val="none"/>
          <w:lang w:val="en-US" w:eastAsia="zh-CN" w:bidi="ar-SA"/>
        </w:rPr>
        <w:t>公务接待费支出决算较上年度减少，其中：</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国内公务接待支出</w:t>
      </w:r>
      <w:r>
        <w:rPr>
          <w:rFonts w:hint="default" w:ascii="Times New Roman" w:hAnsi="Times New Roman" w:eastAsia="仿宋_GB2312" w:cs="Times New Roman"/>
          <w:color w:val="auto"/>
          <w:sz w:val="32"/>
          <w:szCs w:val="32"/>
          <w:lang w:val="en-US" w:eastAsia="zh-CN"/>
        </w:rPr>
        <w:t>0.37</w:t>
      </w:r>
      <w:r>
        <w:rPr>
          <w:rFonts w:hint="default" w:ascii="Times New Roman" w:hAnsi="Times New Roman" w:eastAsia="仿宋_GB2312" w:cs="Times New Roman"/>
          <w:color w:val="auto"/>
          <w:kern w:val="2"/>
          <w:sz w:val="32"/>
          <w:szCs w:val="32"/>
          <w:highlight w:val="none"/>
          <w:lang w:val="en-US" w:eastAsia="zh-CN" w:bidi="ar-SA"/>
        </w:rPr>
        <w:t>万元，主要用于</w:t>
      </w:r>
      <w:r>
        <w:rPr>
          <w:rFonts w:hint="default" w:ascii="Times New Roman" w:hAnsi="Times New Roman" w:eastAsia="仿宋_GB2312" w:cs="Times New Roman"/>
          <w:color w:val="auto"/>
          <w:sz w:val="32"/>
          <w:szCs w:val="32"/>
          <w:highlight w:val="none"/>
          <w:lang w:eastAsia="zh-CN"/>
        </w:rPr>
        <w:t>接待省机关事务管理局</w:t>
      </w:r>
      <w:r>
        <w:rPr>
          <w:rFonts w:hint="default" w:ascii="Times New Roman" w:hAnsi="Times New Roman" w:eastAsia="仿宋_GB2312" w:cs="Times New Roman"/>
          <w:color w:val="auto"/>
          <w:kern w:val="2"/>
          <w:sz w:val="32"/>
          <w:szCs w:val="32"/>
          <w:highlight w:val="none"/>
          <w:lang w:val="en-US" w:eastAsia="zh-CN" w:bidi="ar-SA"/>
        </w:rPr>
        <w:t>开展</w:t>
      </w:r>
      <w:r>
        <w:rPr>
          <w:rFonts w:hint="eastAsia" w:eastAsia="仿宋_GB2312" w:cs="Times New Roman"/>
          <w:color w:val="auto"/>
          <w:kern w:val="2"/>
          <w:sz w:val="32"/>
          <w:szCs w:val="32"/>
          <w:highlight w:val="none"/>
          <w:lang w:val="en-US" w:eastAsia="zh-CN" w:bidi="ar-SA"/>
        </w:rPr>
        <w:t>调研</w:t>
      </w:r>
      <w:r>
        <w:rPr>
          <w:rFonts w:hint="default" w:ascii="Times New Roman" w:hAnsi="Times New Roman" w:eastAsia="仿宋_GB2312" w:cs="Times New Roman"/>
          <w:color w:val="auto"/>
          <w:kern w:val="2"/>
          <w:sz w:val="32"/>
          <w:szCs w:val="32"/>
          <w:highlight w:val="none"/>
          <w:lang w:val="en-US" w:eastAsia="zh-CN" w:bidi="ar-SA"/>
        </w:rPr>
        <w:t>活动开支餐费。国内公务接待</w:t>
      </w:r>
      <w:r>
        <w:rPr>
          <w:rFonts w:hint="default" w:ascii="Times New Roman" w:hAnsi="Times New Roman" w:eastAsia="仿宋_GB2312" w:cs="Times New Roman"/>
          <w:color w:val="auto"/>
          <w:sz w:val="32"/>
          <w:szCs w:val="32"/>
        </w:rPr>
        <w:t>3</w:t>
      </w:r>
      <w:r>
        <w:rPr>
          <w:rFonts w:hint="default" w:ascii="Times New Roman" w:hAnsi="Times New Roman" w:eastAsia="仿宋_GB2312" w:cs="Times New Roman"/>
          <w:color w:val="auto"/>
          <w:kern w:val="2"/>
          <w:sz w:val="32"/>
          <w:szCs w:val="32"/>
          <w:highlight w:val="none"/>
          <w:lang w:val="en-US" w:eastAsia="zh-CN" w:bidi="ar-SA"/>
        </w:rPr>
        <w:t>批次，</w:t>
      </w:r>
      <w:r>
        <w:rPr>
          <w:rFonts w:hint="default" w:ascii="Times New Roman" w:hAnsi="Times New Roman" w:eastAsia="仿宋_GB2312" w:cs="Times New Roman"/>
          <w:color w:val="auto"/>
          <w:sz w:val="32"/>
          <w:szCs w:val="32"/>
        </w:rPr>
        <w:t>38</w:t>
      </w:r>
      <w:r>
        <w:rPr>
          <w:rFonts w:hint="default" w:ascii="Times New Roman" w:hAnsi="Times New Roman" w:eastAsia="仿宋_GB2312" w:cs="Times New Roman"/>
          <w:color w:val="auto"/>
          <w:kern w:val="2"/>
          <w:sz w:val="32"/>
          <w:szCs w:val="32"/>
          <w:highlight w:val="none"/>
          <w:lang w:val="en-US" w:eastAsia="zh-CN" w:bidi="ar-SA"/>
        </w:rPr>
        <w:t>人次（不包括陪同人员），共计支出</w:t>
      </w:r>
      <w:r>
        <w:rPr>
          <w:rFonts w:hint="eastAsia" w:eastAsia="仿宋_GB2312" w:cs="Times New Roman"/>
          <w:color w:val="auto"/>
          <w:kern w:val="2"/>
          <w:sz w:val="32"/>
          <w:szCs w:val="32"/>
          <w:highlight w:val="none"/>
          <w:lang w:val="en-US" w:eastAsia="zh-CN" w:bidi="ar-SA"/>
        </w:rPr>
        <w:t>0.37</w:t>
      </w:r>
      <w:r>
        <w:rPr>
          <w:rFonts w:hint="default" w:ascii="Times New Roman" w:hAnsi="Times New Roman" w:eastAsia="仿宋_GB2312" w:cs="Times New Roman"/>
          <w:color w:val="auto"/>
          <w:kern w:val="2"/>
          <w:sz w:val="32"/>
          <w:szCs w:val="32"/>
          <w:highlight w:val="none"/>
          <w:lang w:val="en-US" w:eastAsia="zh-CN" w:bidi="ar-SA"/>
        </w:rPr>
        <w:t>万元，具体内容包括：省局赴攀开展学习调研0.1万元、省局赴攀开展办公用房安全管理工作调研0.05万元、省局赴攀开展机关食堂反食品浪费工作成效评估和节约型公共机构示范单位创建实地查看接待费0.22万元。</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外事接待支出</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万元。外事接待</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批次，</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人次（不包括陪同人员），共计支出0万元。</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bookmarkStart w:id="40" w:name="_Toc15377218"/>
      <w:bookmarkStart w:id="41" w:name="_Toc15396610"/>
    </w:p>
    <w:p>
      <w:pPr>
        <w:spacing w:line="600" w:lineRule="exact"/>
        <w:ind w:firstLine="640"/>
        <w:outlineLvl w:val="1"/>
        <w:rPr>
          <w:rStyle w:val="31"/>
          <w:rFonts w:hint="default" w:ascii="Times New Roman" w:hAnsi="Times New Roman" w:eastAsia="黑体" w:cs="Times New Roman"/>
          <w:color w:val="auto"/>
          <w:highlight w:val="none"/>
        </w:rPr>
      </w:pPr>
      <w:r>
        <w:rPr>
          <w:rFonts w:hint="default" w:ascii="Times New Roman" w:hAnsi="Times New Roman" w:eastAsia="黑体" w:cs="Times New Roman"/>
          <w:color w:val="auto"/>
          <w:sz w:val="32"/>
          <w:szCs w:val="32"/>
          <w:highlight w:val="none"/>
        </w:rPr>
        <w:t>八、</w:t>
      </w:r>
      <w:r>
        <w:rPr>
          <w:rStyle w:val="31"/>
          <w:rFonts w:hint="default" w:ascii="Times New Roman" w:hAnsi="Times New Roman" w:eastAsia="黑体" w:cs="Times New Roman"/>
          <w:b w:val="0"/>
          <w:color w:val="auto"/>
          <w:highlight w:val="none"/>
        </w:rPr>
        <w:t>政府性基金预算支出决算情况说明</w:t>
      </w:r>
      <w:bookmarkEnd w:id="40"/>
      <w:bookmarkEnd w:id="41"/>
    </w:p>
    <w:p>
      <w:pPr>
        <w:spacing w:line="600"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2025年度政府性基金预算财政拨款支出</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%。与上年度相比，政府性基金预算财政拨款支出与上年持平。</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pPr>
        <w:numPr>
          <w:ilvl w:val="0"/>
          <w:numId w:val="0"/>
        </w:numPr>
        <w:spacing w:line="600" w:lineRule="exact"/>
        <w:ind w:left="630" w:leftChars="0"/>
        <w:outlineLvl w:val="1"/>
        <w:rPr>
          <w:rStyle w:val="31"/>
          <w:rFonts w:hint="default" w:ascii="Times New Roman" w:hAnsi="Times New Roman" w:eastAsia="黑体" w:cs="Times New Roman"/>
          <w:b w:val="0"/>
          <w:color w:val="auto"/>
          <w:highlight w:val="none"/>
        </w:rPr>
      </w:pPr>
      <w:bookmarkStart w:id="42" w:name="_Toc15377219"/>
      <w:bookmarkStart w:id="43" w:name="_Toc15396611"/>
      <w:r>
        <w:rPr>
          <w:rStyle w:val="31"/>
          <w:rFonts w:hint="default" w:ascii="Times New Roman" w:hAnsi="Times New Roman" w:eastAsia="黑体" w:cs="Times New Roman"/>
          <w:b w:val="0"/>
          <w:color w:val="auto"/>
          <w:highlight w:val="none"/>
          <w:lang w:eastAsia="zh-CN"/>
        </w:rPr>
        <w:t>九、</w:t>
      </w:r>
      <w:r>
        <w:rPr>
          <w:rStyle w:val="31"/>
          <w:rFonts w:hint="default" w:ascii="Times New Roman" w:hAnsi="Times New Roman" w:eastAsia="黑体" w:cs="Times New Roman"/>
          <w:b w:val="0"/>
          <w:color w:val="auto"/>
          <w:highlight w:val="none"/>
        </w:rPr>
        <w:t>国有资本经营预算支出决算情况说明</w:t>
      </w:r>
      <w:bookmarkEnd w:id="42"/>
      <w:bookmarkEnd w:id="43"/>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%。与上年度相比，国有资本经营预算财政拨款支出与上年持平。</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pPr>
        <w:numPr>
          <w:ilvl w:val="0"/>
          <w:numId w:val="0"/>
        </w:numPr>
        <w:spacing w:line="600" w:lineRule="exact"/>
        <w:ind w:left="630" w:leftChars="0"/>
        <w:outlineLvl w:val="1"/>
        <w:rPr>
          <w:rStyle w:val="31"/>
          <w:rFonts w:hint="default" w:ascii="Times New Roman" w:hAnsi="Times New Roman" w:eastAsia="黑体" w:cs="Times New Roman"/>
          <w:b w:val="0"/>
          <w:color w:val="auto"/>
          <w:highlight w:val="none"/>
        </w:rPr>
      </w:pPr>
      <w:bookmarkStart w:id="44" w:name="_Toc15396612"/>
      <w:bookmarkStart w:id="45" w:name="_Toc15377221"/>
      <w:r>
        <w:rPr>
          <w:rStyle w:val="31"/>
          <w:rFonts w:hint="default" w:ascii="Times New Roman" w:hAnsi="Times New Roman" w:eastAsia="黑体" w:cs="Times New Roman"/>
          <w:b w:val="0"/>
          <w:color w:val="auto"/>
          <w:highlight w:val="none"/>
          <w:lang w:eastAsia="zh-CN"/>
        </w:rPr>
        <w:t>十、</w:t>
      </w:r>
      <w:r>
        <w:rPr>
          <w:rStyle w:val="31"/>
          <w:rFonts w:hint="default" w:ascii="Times New Roman" w:hAnsi="Times New Roman" w:eastAsia="黑体" w:cs="Times New Roman"/>
          <w:b w:val="0"/>
          <w:color w:val="auto"/>
          <w:highlight w:val="none"/>
        </w:rPr>
        <w:t>其他重要事项的情况说明</w:t>
      </w:r>
      <w:bookmarkEnd w:id="44"/>
      <w:bookmarkEnd w:id="45"/>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46" w:name="_Toc15377222"/>
      <w:r>
        <w:rPr>
          <w:rFonts w:hint="default" w:ascii="Times New Roman" w:hAnsi="Times New Roman" w:eastAsia="楷体_GB2312" w:cs="Times New Roman"/>
          <w:b/>
          <w:color w:val="auto"/>
          <w:sz w:val="32"/>
          <w:szCs w:val="32"/>
          <w:highlight w:val="none"/>
        </w:rPr>
        <w:t>（一）机关运行经费支出情况</w:t>
      </w:r>
      <w:bookmarkEnd w:id="46"/>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sz w:val="32"/>
          <w:szCs w:val="32"/>
        </w:rPr>
        <w:t>攀枝花市机关事务服务中心</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default" w:ascii="Times New Roman" w:hAnsi="Times New Roman" w:eastAsia="仿宋_GB2312" w:cs="Times New Roman"/>
          <w:color w:val="auto"/>
          <w:sz w:val="32"/>
          <w:szCs w:val="32"/>
          <w:lang w:val="en-US" w:eastAsia="zh-CN"/>
        </w:rPr>
        <w:t>67.07</w:t>
      </w:r>
      <w:r>
        <w:rPr>
          <w:rFonts w:hint="default" w:ascii="Times New Roman" w:hAnsi="Times New Roman" w:eastAsia="仿宋_GB2312" w:cs="Times New Roman"/>
          <w:color w:val="auto"/>
          <w:kern w:val="2"/>
          <w:sz w:val="32"/>
          <w:szCs w:val="32"/>
          <w:highlight w:val="none"/>
          <w:lang w:val="en-US" w:eastAsia="zh-CN" w:bidi="ar-SA"/>
        </w:rPr>
        <w:t>万元，比上年度减少10.73万元，下降13.79%，主要原因是本年度拍卖一辆公车，压减一般性支出。</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47" w:name="_Toc15377223"/>
      <w:r>
        <w:rPr>
          <w:rFonts w:hint="default" w:ascii="Times New Roman" w:hAnsi="Times New Roman" w:eastAsia="楷体_GB2312" w:cs="Times New Roman"/>
          <w:b/>
          <w:color w:val="auto"/>
          <w:sz w:val="32"/>
          <w:szCs w:val="32"/>
          <w:highlight w:val="none"/>
        </w:rPr>
        <w:t>（二）政府采购支出情况</w:t>
      </w:r>
      <w:bookmarkEnd w:id="47"/>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sz w:val="32"/>
          <w:szCs w:val="32"/>
        </w:rPr>
        <w:t>攀枝花市机关事务服务中心</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default" w:ascii="Times New Roman" w:hAnsi="Times New Roman" w:eastAsia="仿宋_GB2312" w:cs="Times New Roman"/>
          <w:color w:val="auto"/>
          <w:sz w:val="32"/>
          <w:szCs w:val="32"/>
          <w:lang w:val="en-US" w:eastAsia="zh-CN"/>
        </w:rPr>
        <w:t>627.30</w:t>
      </w:r>
      <w:r>
        <w:rPr>
          <w:rFonts w:hint="default" w:ascii="Times New Roman" w:hAnsi="Times New Roman" w:eastAsia="仿宋_GB2312" w:cs="Times New Roman"/>
          <w:color w:val="auto"/>
          <w:kern w:val="2"/>
          <w:sz w:val="32"/>
          <w:szCs w:val="32"/>
          <w:highlight w:val="none"/>
          <w:lang w:val="en-US" w:eastAsia="zh-CN" w:bidi="ar-SA"/>
        </w:rPr>
        <w:t>万元，其中：政府采购货物支出</w:t>
      </w:r>
      <w:r>
        <w:rPr>
          <w:rFonts w:hint="default" w:ascii="Times New Roman" w:hAnsi="Times New Roman" w:eastAsia="仿宋_GB2312" w:cs="Times New Roman"/>
          <w:color w:val="auto"/>
          <w:sz w:val="32"/>
          <w:szCs w:val="32"/>
          <w:lang w:val="en-US" w:eastAsia="zh-CN"/>
        </w:rPr>
        <w:t>0.81</w:t>
      </w:r>
      <w:r>
        <w:rPr>
          <w:rFonts w:hint="default" w:ascii="Times New Roman" w:hAnsi="Times New Roman" w:eastAsia="仿宋_GB2312" w:cs="Times New Roman"/>
          <w:color w:val="auto"/>
          <w:kern w:val="2"/>
          <w:sz w:val="32"/>
          <w:szCs w:val="32"/>
          <w:highlight w:val="none"/>
          <w:lang w:val="en-US" w:eastAsia="zh-CN" w:bidi="ar-SA"/>
        </w:rPr>
        <w:t>万元、政府采购工程支出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kern w:val="2"/>
          <w:sz w:val="32"/>
          <w:szCs w:val="32"/>
          <w:highlight w:val="none"/>
          <w:lang w:val="en-US" w:eastAsia="zh-CN" w:bidi="ar-SA"/>
        </w:rPr>
        <w:t>万元、政府采购服务支出</w:t>
      </w:r>
      <w:r>
        <w:rPr>
          <w:rFonts w:hint="default" w:ascii="Times New Roman" w:hAnsi="Times New Roman" w:eastAsia="仿宋_GB2312" w:cs="Times New Roman"/>
          <w:color w:val="auto"/>
          <w:sz w:val="32"/>
          <w:szCs w:val="32"/>
          <w:lang w:val="en-US" w:eastAsia="zh-CN"/>
        </w:rPr>
        <w:t>626.49</w:t>
      </w:r>
      <w:r>
        <w:rPr>
          <w:rFonts w:hint="default" w:ascii="Times New Roman" w:hAnsi="Times New Roman" w:eastAsia="仿宋_GB2312" w:cs="Times New Roman"/>
          <w:color w:val="auto"/>
          <w:kern w:val="2"/>
          <w:sz w:val="32"/>
          <w:szCs w:val="32"/>
          <w:highlight w:val="none"/>
          <w:lang w:val="en-US" w:eastAsia="zh-CN" w:bidi="ar-SA"/>
        </w:rPr>
        <w:t>万元。主要用于食堂空调采购、食堂餐饮加工服务采购等。授予中小企业合同金额</w:t>
      </w:r>
      <w:r>
        <w:rPr>
          <w:rFonts w:hint="default" w:ascii="Times New Roman" w:hAnsi="Times New Roman" w:eastAsia="仿宋_GB2312" w:cs="Times New Roman"/>
          <w:color w:val="auto"/>
          <w:sz w:val="32"/>
          <w:szCs w:val="32"/>
          <w:lang w:val="en-US" w:eastAsia="zh-CN"/>
        </w:rPr>
        <w:t>76.34</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color w:val="auto"/>
          <w:sz w:val="32"/>
          <w:szCs w:val="32"/>
          <w:lang w:val="en-US" w:eastAsia="zh-CN"/>
        </w:rPr>
        <w:t>12.17</w:t>
      </w:r>
      <w:r>
        <w:rPr>
          <w:rFonts w:hint="default" w:ascii="Times New Roman" w:hAnsi="Times New Roman" w:eastAsia="仿宋_GB2312" w:cs="Times New Roman"/>
          <w:color w:val="auto"/>
          <w:kern w:val="2"/>
          <w:sz w:val="32"/>
          <w:szCs w:val="32"/>
          <w:highlight w:val="none"/>
          <w:lang w:val="en-US" w:eastAsia="zh-CN" w:bidi="ar-SA"/>
        </w:rPr>
        <w:t>%，其中：授予小微企业合同金额</w:t>
      </w:r>
      <w:r>
        <w:rPr>
          <w:rFonts w:hint="default" w:ascii="Times New Roman" w:hAnsi="Times New Roman" w:eastAsia="仿宋_GB2312" w:cs="Times New Roman"/>
          <w:color w:val="auto"/>
          <w:sz w:val="32"/>
          <w:szCs w:val="32"/>
          <w:lang w:val="en-US" w:eastAsia="zh-CN"/>
        </w:rPr>
        <w:t>69.78</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color w:val="auto"/>
          <w:sz w:val="32"/>
          <w:szCs w:val="32"/>
          <w:lang w:val="en-US" w:eastAsia="zh-CN"/>
        </w:rPr>
        <w:t>11.12</w:t>
      </w:r>
      <w:r>
        <w:rPr>
          <w:rFonts w:hint="default" w:ascii="Times New Roman" w:hAnsi="Times New Roman" w:eastAsia="仿宋_GB2312" w:cs="Times New Roman"/>
          <w:color w:val="auto"/>
          <w:kern w:val="2"/>
          <w:sz w:val="32"/>
          <w:szCs w:val="32"/>
          <w:highlight w:val="none"/>
          <w:lang w:val="en-US" w:eastAsia="zh-CN" w:bidi="ar-SA"/>
        </w:rPr>
        <w:t>%。</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48" w:name="_Toc15377224"/>
      <w:r>
        <w:rPr>
          <w:rFonts w:hint="default" w:ascii="Times New Roman" w:hAnsi="Times New Roman" w:eastAsia="楷体_GB2312" w:cs="Times New Roman"/>
          <w:b/>
          <w:color w:val="auto"/>
          <w:sz w:val="32"/>
          <w:szCs w:val="32"/>
          <w:highlight w:val="none"/>
        </w:rPr>
        <w:t>（三）国有资产占有使用情况</w:t>
      </w:r>
      <w:bookmarkEnd w:id="48"/>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截至2025年12月31日，</w:t>
      </w:r>
      <w:r>
        <w:rPr>
          <w:rFonts w:hint="default" w:ascii="Times New Roman" w:hAnsi="Times New Roman" w:eastAsia="仿宋_GB2312" w:cs="Times New Roman"/>
          <w:color w:val="auto"/>
          <w:sz w:val="32"/>
          <w:szCs w:val="32"/>
          <w:highlight w:val="none"/>
        </w:rPr>
        <w:t>攀枝花市机关事务服务中心</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kern w:val="2"/>
          <w:sz w:val="32"/>
          <w:szCs w:val="32"/>
          <w:highlight w:val="none"/>
          <w:lang w:val="en-US" w:eastAsia="zh-CN" w:bidi="ar-SA"/>
        </w:rPr>
        <w:t>辆，其中：</w:t>
      </w:r>
      <w:r>
        <w:rPr>
          <w:rFonts w:hint="eastAsia" w:eastAsia="仿宋_GB2312" w:cs="仿宋_GB2312"/>
          <w:sz w:val="32"/>
          <w:szCs w:val="32"/>
        </w:rPr>
        <w:t>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w:t>
      </w:r>
      <w:r>
        <w:rPr>
          <w:rFonts w:hint="default" w:ascii="Times New Roman" w:hAnsi="Times New Roman" w:eastAsia="仿宋_GB2312" w:cs="Times New Roman"/>
          <w:color w:val="auto"/>
          <w:kern w:val="2"/>
          <w:sz w:val="32"/>
          <w:szCs w:val="32"/>
          <w:highlight w:val="none"/>
          <w:lang w:val="en-US" w:eastAsia="zh-CN" w:bidi="ar-SA"/>
        </w:rPr>
        <w:t>主要负责人用车</w:t>
      </w:r>
      <w:r>
        <w:rPr>
          <w:rFonts w:hint="default" w:ascii="Times New Roman" w:hAnsi="Times New Roman" w:eastAsia="仿宋_GB2312" w:cs="Times New Roman"/>
          <w:color w:val="auto"/>
          <w:sz w:val="32"/>
          <w:szCs w:val="32"/>
          <w:highlight w:val="none"/>
        </w:rPr>
        <w:t>0</w:t>
      </w:r>
      <w:r>
        <w:rPr>
          <w:rFonts w:hint="default" w:ascii="Times New Roman" w:hAnsi="Times New Roman" w:eastAsia="仿宋_GB2312" w:cs="Times New Roman"/>
          <w:color w:val="auto"/>
          <w:kern w:val="2"/>
          <w:sz w:val="32"/>
          <w:szCs w:val="32"/>
          <w:highlight w:val="none"/>
          <w:lang w:val="en-US" w:eastAsia="zh-CN" w:bidi="ar-SA"/>
        </w:rPr>
        <w:t>辆、机要通信用车</w:t>
      </w:r>
      <w:r>
        <w:rPr>
          <w:rFonts w:hint="default" w:ascii="Times New Roman" w:hAnsi="Times New Roman" w:eastAsia="仿宋_GB2312" w:cs="Times New Roman"/>
          <w:color w:val="auto"/>
          <w:sz w:val="32"/>
          <w:szCs w:val="32"/>
          <w:highlight w:val="none"/>
        </w:rPr>
        <w:t>0</w:t>
      </w:r>
      <w:r>
        <w:rPr>
          <w:rFonts w:hint="default" w:ascii="Times New Roman" w:hAnsi="Times New Roman" w:eastAsia="仿宋_GB2312" w:cs="Times New Roman"/>
          <w:color w:val="auto"/>
          <w:kern w:val="2"/>
          <w:sz w:val="32"/>
          <w:szCs w:val="32"/>
          <w:highlight w:val="none"/>
          <w:lang w:val="en-US" w:eastAsia="zh-CN" w:bidi="ar-SA"/>
        </w:rPr>
        <w:t>辆、应急保障用车</w:t>
      </w:r>
      <w:r>
        <w:rPr>
          <w:rFonts w:hint="eastAsia" w:eastAsia="仿宋_GB2312" w:cs="Times New Roman"/>
          <w:color w:val="auto"/>
          <w:sz w:val="32"/>
          <w:szCs w:val="32"/>
          <w:highlight w:val="none"/>
          <w:lang w:val="en-US" w:eastAsia="zh-CN"/>
        </w:rPr>
        <w:t>7</w:t>
      </w:r>
      <w:r>
        <w:rPr>
          <w:rFonts w:hint="default" w:ascii="Times New Roman" w:hAnsi="Times New Roman" w:eastAsia="仿宋_GB2312" w:cs="Times New Roman"/>
          <w:color w:val="auto"/>
          <w:kern w:val="2"/>
          <w:sz w:val="32"/>
          <w:szCs w:val="32"/>
          <w:highlight w:val="none"/>
          <w:lang w:val="en-US" w:eastAsia="zh-CN" w:bidi="ar-SA"/>
        </w:rPr>
        <w:t>辆、</w:t>
      </w:r>
      <w:r>
        <w:rPr>
          <w:rFonts w:hint="eastAsia" w:eastAsia="仿宋_GB2312" w:cs="仿宋_GB2312"/>
          <w:sz w:val="32"/>
          <w:szCs w:val="32"/>
        </w:rPr>
        <w:t>执法执勤用车</w:t>
      </w:r>
      <w:r>
        <w:rPr>
          <w:rFonts w:hint="eastAsia" w:eastAsia="仿宋_GB2312" w:cs="仿宋_GB2312"/>
          <w:sz w:val="32"/>
          <w:szCs w:val="32"/>
          <w:lang w:val="en-US" w:eastAsia="zh-CN"/>
        </w:rPr>
        <w:t>0</w:t>
      </w:r>
      <w:r>
        <w:rPr>
          <w:rFonts w:hint="eastAsia" w:eastAsia="仿宋_GB2312" w:cs="仿宋_GB2312"/>
          <w:sz w:val="32"/>
          <w:szCs w:val="32"/>
        </w:rPr>
        <w:t>辆</w:t>
      </w:r>
      <w:r>
        <w:rPr>
          <w:rFonts w:hint="eastAsia" w:eastAsia="仿宋_GB2312" w:cs="仿宋_GB2312"/>
          <w:sz w:val="32"/>
          <w:szCs w:val="32"/>
          <w:lang w:eastAsia="zh-CN"/>
        </w:rPr>
        <w:t>、</w:t>
      </w:r>
      <w:r>
        <w:rPr>
          <w:rFonts w:hint="eastAsia" w:eastAsia="仿宋_GB2312" w:cs="仿宋_GB2312"/>
          <w:sz w:val="32"/>
          <w:szCs w:val="32"/>
        </w:rPr>
        <w:t>特种专业技术用车</w:t>
      </w:r>
      <w:r>
        <w:rPr>
          <w:rFonts w:hint="eastAsia" w:eastAsia="仿宋_GB2312" w:cs="仿宋_GB2312"/>
          <w:sz w:val="32"/>
          <w:szCs w:val="32"/>
          <w:lang w:val="en-US" w:eastAsia="zh-CN"/>
        </w:rPr>
        <w:t>1</w:t>
      </w:r>
      <w:r>
        <w:rPr>
          <w:rFonts w:hint="eastAsia" w:eastAsia="仿宋_GB2312" w:cs="仿宋_GB2312"/>
          <w:sz w:val="32"/>
          <w:szCs w:val="32"/>
        </w:rPr>
        <w:t>辆</w:t>
      </w:r>
      <w:r>
        <w:rPr>
          <w:rFonts w:hint="eastAsia" w:eastAsia="仿宋_GB2312" w:cs="仿宋_GB2312"/>
          <w:sz w:val="32"/>
          <w:szCs w:val="32"/>
          <w:lang w:eastAsia="zh-CN"/>
        </w:rPr>
        <w:t>、</w:t>
      </w:r>
      <w:r>
        <w:rPr>
          <w:rFonts w:hint="eastAsia" w:eastAsia="仿宋_GB2312" w:cs="仿宋_GB2312"/>
          <w:sz w:val="32"/>
          <w:szCs w:val="32"/>
        </w:rPr>
        <w:t>离退休干部服务用车</w:t>
      </w:r>
      <w:r>
        <w:rPr>
          <w:rFonts w:hint="eastAsia" w:eastAsia="仿宋_GB2312" w:cs="仿宋_GB2312"/>
          <w:sz w:val="32"/>
          <w:szCs w:val="32"/>
          <w:lang w:val="en-US" w:eastAsia="zh-CN"/>
        </w:rPr>
        <w:t>0</w:t>
      </w:r>
      <w:r>
        <w:rPr>
          <w:rFonts w:hint="eastAsia" w:eastAsia="仿宋_GB2312" w:cs="仿宋_GB2312"/>
          <w:sz w:val="32"/>
          <w:szCs w:val="32"/>
        </w:rPr>
        <w:t>辆</w:t>
      </w:r>
      <w:r>
        <w:rPr>
          <w:rFonts w:hint="eastAsia" w:eastAsia="仿宋_GB2312" w:cs="仿宋_GB2312"/>
          <w:sz w:val="32"/>
          <w:szCs w:val="32"/>
          <w:lang w:eastAsia="zh-CN"/>
        </w:rPr>
        <w:t>、</w:t>
      </w:r>
      <w:r>
        <w:rPr>
          <w:rFonts w:hint="default" w:ascii="Times New Roman" w:hAnsi="Times New Roman" w:eastAsia="仿宋_GB2312" w:cs="Times New Roman"/>
          <w:color w:val="auto"/>
          <w:kern w:val="2"/>
          <w:sz w:val="32"/>
          <w:szCs w:val="32"/>
          <w:highlight w:val="none"/>
          <w:lang w:val="en-US" w:eastAsia="zh-CN" w:bidi="ar-SA"/>
        </w:rPr>
        <w:t>其他用车</w:t>
      </w:r>
      <w:r>
        <w:rPr>
          <w:rFonts w:hint="eastAsia" w:eastAsia="仿宋_GB2312" w:cs="Times New Roman"/>
          <w:color w:val="auto"/>
          <w:sz w:val="32"/>
          <w:szCs w:val="32"/>
          <w:highlight w:val="none"/>
          <w:lang w:val="en-US" w:eastAsia="zh-CN"/>
        </w:rPr>
        <w:t>1</w:t>
      </w:r>
      <w:r>
        <w:rPr>
          <w:rFonts w:hint="default" w:ascii="Times New Roman" w:hAnsi="Times New Roman" w:eastAsia="仿宋_GB2312" w:cs="Times New Roman"/>
          <w:color w:val="auto"/>
          <w:kern w:val="2"/>
          <w:sz w:val="32"/>
          <w:szCs w:val="32"/>
          <w:highlight w:val="none"/>
          <w:lang w:val="en-US" w:eastAsia="zh-CN" w:bidi="ar-SA"/>
        </w:rPr>
        <w:t>辆，主要是用于</w:t>
      </w:r>
      <w:r>
        <w:rPr>
          <w:rFonts w:hint="default" w:ascii="Times New Roman" w:hAnsi="Times New Roman" w:eastAsia="仿宋" w:cs="Times New Roman"/>
          <w:color w:val="auto"/>
          <w:sz w:val="32"/>
          <w:szCs w:val="32"/>
          <w:highlight w:val="none"/>
        </w:rPr>
        <w:t>保障</w:t>
      </w:r>
      <w:r>
        <w:rPr>
          <w:rFonts w:hint="eastAsia" w:eastAsia="仿宋" w:cs="Times New Roman"/>
          <w:color w:val="auto"/>
          <w:sz w:val="32"/>
          <w:szCs w:val="32"/>
          <w:highlight w:val="none"/>
          <w:lang w:eastAsia="zh-CN"/>
        </w:rPr>
        <w:t>市级无车单位</w:t>
      </w:r>
      <w:r>
        <w:rPr>
          <w:rFonts w:hint="default" w:ascii="Times New Roman" w:hAnsi="Times New Roman" w:eastAsia="仿宋" w:cs="Times New Roman"/>
          <w:color w:val="auto"/>
          <w:sz w:val="32"/>
          <w:szCs w:val="32"/>
          <w:highlight w:val="none"/>
          <w:lang w:eastAsia="zh-CN"/>
        </w:rPr>
        <w:t>用车</w:t>
      </w:r>
      <w:r>
        <w:rPr>
          <w:rFonts w:hint="default" w:ascii="Times New Roman" w:hAnsi="Times New Roman" w:eastAsia="仿宋_GB2312" w:cs="Times New Roman"/>
          <w:color w:val="auto"/>
          <w:kern w:val="2"/>
          <w:sz w:val="32"/>
          <w:szCs w:val="32"/>
          <w:highlight w:val="none"/>
          <w:lang w:val="en-US" w:eastAsia="zh-CN" w:bidi="ar-SA"/>
        </w:rPr>
        <w:t>。单价100万元（含）以上设备（不含车辆）</w:t>
      </w:r>
      <w:r>
        <w:rPr>
          <w:rFonts w:hint="default" w:ascii="Times New Roman" w:hAnsi="Times New Roman" w:eastAsia="仿宋_GB2312" w:cs="Times New Roman"/>
          <w:color w:val="auto"/>
          <w:sz w:val="32"/>
          <w:szCs w:val="32"/>
          <w:highlight w:val="none"/>
        </w:rPr>
        <w:t>0</w:t>
      </w:r>
      <w:r>
        <w:rPr>
          <w:rFonts w:hint="default" w:ascii="Times New Roman" w:hAnsi="Times New Roman" w:eastAsia="仿宋_GB2312" w:cs="Times New Roman"/>
          <w:color w:val="auto"/>
          <w:kern w:val="2"/>
          <w:sz w:val="32"/>
          <w:szCs w:val="32"/>
          <w:highlight w:val="none"/>
          <w:lang w:val="en-US" w:eastAsia="zh-CN" w:bidi="ar-SA"/>
        </w:rPr>
        <w:t>台（套）。</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（四）预算绩效管理情况</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根据预算绩效管理要求，</w:t>
      </w:r>
      <w:r>
        <w:rPr>
          <w:rFonts w:hint="eastAsia" w:eastAsia="仿宋_GB2312" w:cs="Times New Roman"/>
          <w:color w:val="auto"/>
          <w:kern w:val="2"/>
          <w:sz w:val="32"/>
          <w:szCs w:val="32"/>
          <w:highlight w:val="none"/>
          <w:lang w:val="en-US" w:eastAsia="zh-CN" w:bidi="ar-SA"/>
        </w:rPr>
        <w:t>攀枝花</w:t>
      </w:r>
      <w:r>
        <w:rPr>
          <w:rFonts w:hint="default" w:ascii="Times New Roman" w:hAnsi="Times New Roman" w:eastAsia="仿宋_GB2312" w:cs="Times New Roman"/>
          <w:color w:val="auto"/>
          <w:kern w:val="2"/>
          <w:sz w:val="32"/>
          <w:szCs w:val="32"/>
          <w:highlight w:val="none"/>
          <w:lang w:val="en-US" w:eastAsia="zh-CN" w:bidi="ar-SA"/>
        </w:rPr>
        <w:t>市机关事务服务中心在2025年度预算编制阶段，组织对2025年机关食堂专项、市级党政机关办公（业务）用房年度维修工程计划、市级党政机关租赁办公用房等10个项目开展了事前绩效评估，对9个项目编制了绩效目标，预算执行过程中，选取9个项目开展绩效监控</w:t>
      </w:r>
      <w:bookmarkStart w:id="67" w:name="_GoBack"/>
      <w:bookmarkEnd w:id="67"/>
      <w:r>
        <w:rPr>
          <w:rFonts w:hint="default" w:ascii="Times New Roman" w:hAnsi="Times New Roman" w:eastAsia="仿宋_GB2312" w:cs="Times New Roman"/>
          <w:color w:val="auto"/>
          <w:kern w:val="2"/>
          <w:sz w:val="32"/>
          <w:szCs w:val="32"/>
          <w:highlight w:val="none"/>
          <w:lang w:val="en-US" w:eastAsia="zh-CN" w:bidi="ar-SA"/>
        </w:rPr>
        <w:t>。</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pPr>
        <w:rPr>
          <w:rFonts w:hint="default" w:ascii="Times New Roman" w:hAnsi="Times New Roman" w:eastAsia="黑体" w:cs="Times New Roman"/>
          <w:color w:val="auto"/>
          <w:sz w:val="44"/>
          <w:szCs w:val="44"/>
          <w:highlight w:val="none"/>
        </w:rPr>
      </w:pPr>
      <w:bookmarkStart w:id="49" w:name="_Toc15377225"/>
      <w:bookmarkStart w:id="50" w:name="_Toc15396613"/>
      <w:r>
        <w:rPr>
          <w:rFonts w:hint="default" w:ascii="Times New Roman" w:hAnsi="Times New Roman" w:eastAsia="黑体" w:cs="Times New Roman"/>
          <w:color w:val="auto"/>
          <w:sz w:val="44"/>
          <w:szCs w:val="44"/>
          <w:highlight w:val="none"/>
        </w:rPr>
        <w:br w:type="page"/>
      </w:r>
    </w:p>
    <w:p>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r>
        <w:rPr>
          <w:rFonts w:hint="default" w:ascii="Times New Roman" w:hAnsi="Times New Roman" w:eastAsia="黑体" w:cs="Times New Roman"/>
          <w:color w:val="auto"/>
          <w:sz w:val="44"/>
          <w:szCs w:val="44"/>
          <w:highlight w:val="none"/>
        </w:rPr>
        <w:t>第</w:t>
      </w:r>
      <w:r>
        <w:rPr>
          <w:rFonts w:hint="default" w:ascii="Times New Roman" w:hAnsi="Times New Roman" w:eastAsia="黑体" w:cs="Times New Roman"/>
          <w:color w:val="auto"/>
          <w:sz w:val="44"/>
          <w:szCs w:val="44"/>
          <w:highlight w:val="none"/>
          <w:lang w:eastAsia="zh-CN"/>
        </w:rPr>
        <w:t>三</w:t>
      </w:r>
      <w:r>
        <w:rPr>
          <w:rFonts w:hint="default" w:ascii="Times New Roman" w:hAnsi="Times New Roman" w:eastAsia="黑体" w:cs="Times New Roman"/>
          <w:color w:val="auto"/>
          <w:sz w:val="44"/>
          <w:szCs w:val="44"/>
          <w:highlight w:val="none"/>
        </w:rPr>
        <w:t>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名词解释</w:t>
      </w:r>
      <w:bookmarkEnd w:id="49"/>
      <w:bookmarkEnd w:id="50"/>
    </w:p>
    <w:p>
      <w:pPr>
        <w:spacing w:line="600" w:lineRule="exact"/>
        <w:jc w:val="left"/>
        <w:rPr>
          <w:rFonts w:hint="default" w:ascii="Times New Roman" w:hAnsi="Times New Roman" w:cs="Times New Roman"/>
          <w:b/>
          <w:color w:val="auto"/>
          <w:sz w:val="44"/>
          <w:szCs w:val="44"/>
          <w:highlight w:val="none"/>
        </w:rPr>
      </w:pP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2.事业收入：指事业单位开展专业业务活动及辅助活动取得的收入。</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3.经营收入：指事业单位在专业业务活动及其辅助活动之外开展非独立核算经营活动取得的收入。</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4.其他收入：指单位取得的除上述收入以外的各项收入。 </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9.一般公共服务（类）政府办公厅（室）及相关机构事务（款）行政运行（项）:反映行政单位（包括实行公务员管理的事业单位）的基本支出。</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10.一般公共服务（类）政府办公厅（室）及相关机构事务（款）一般行政管理事务（项）：反映行政单位（包括实行公务员管理的事业单位）未单独设置项级科目的其他项目支出。</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11.一般公共服务（类）政府办公厅（室）及相关机构事务（款）事业运行（项）：反映事业单位的基本支出，不包括行政单位（包括实行公务员管理的事业单位）后勤服务中心、医务室等附属事业单位</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12.社会保障和就业（类）行政事业单位养老（款）行政单位离退休（项）：反映行政单位（包括实行公务员管理的事业单位）开支的离退休经费。</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13.社会保障和就业（类）行政事业单位养老（款）机关事业单位基本养老保险缴费（项）：反映机关事业单位实施养老保险制度由单位缴纳的基本养老保险费支出。</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14、卫生健康（类）行政事业单位医疗（款）行政单位医疗（项）：指财政部门集中安排的行政单位基本医疗保险缴费。</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15、卫生健康（类）行政事业单位医疗（款）事业单位医疗（项）：指财政部门集中安排的事业单位基本医疗保险缴费。</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16、卫生健康（类）行政事业单位医疗（款）公务员医疗补助（项）：指财政部门集中安排的公务员医疗补助经费。</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18.</w:t>
      </w:r>
      <w:r>
        <w:rPr>
          <w:rFonts w:hint="default" w:ascii="Times New Roman" w:hAnsi="Times New Roman" w:eastAsia="仿宋_GB2312" w:cs="Times New Roman"/>
          <w:color w:val="auto"/>
          <w:sz w:val="32"/>
          <w:szCs w:val="32"/>
          <w:highlight w:val="none"/>
        </w:rPr>
        <w:t>住房保障（类）住房改革（款）住房公积金（项）：</w:t>
      </w:r>
      <w:r>
        <w:rPr>
          <w:rFonts w:hint="default" w:ascii="Times New Roman" w:hAnsi="Times New Roman" w:eastAsia="仿宋_GB2312" w:cs="Times New Roman"/>
          <w:color w:val="auto"/>
          <w:sz w:val="32"/>
          <w:szCs w:val="32"/>
          <w:highlight w:val="none"/>
          <w:lang w:eastAsia="zh-CN"/>
        </w:rPr>
        <w:t>反映行政事业单位按人力资源和社会保障部、财政部规定的基本工资和津贴补贴以及规定比例为职工缴纳的住房公积金</w:t>
      </w:r>
      <w:r>
        <w:rPr>
          <w:rFonts w:hint="default" w:ascii="Times New Roman" w:hAnsi="Times New Roman" w:eastAsia="仿宋_GB2312" w:cs="Times New Roman"/>
          <w:color w:val="auto"/>
          <w:sz w:val="32"/>
          <w:szCs w:val="32"/>
          <w:highlight w:val="none"/>
        </w:rPr>
        <w:t>。</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19.基本支出：指为保障机构正常运转、完成日常工作任务而发生的人员支出和公用支出。</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20.项目支出：指在基本支出之外为完成特定行政任务和事业发展目标所发生的支出。 </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21.经营支出：指事业单位在专业业务活动及其辅助活动之外开展非独立核算经营活动发生的支出。</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hint="default" w:ascii="Times New Roman" w:hAnsi="Times New Roman" w:eastAsia="黑体" w:cs="Times New Roman"/>
          <w:color w:val="auto"/>
          <w:sz w:val="44"/>
          <w:szCs w:val="44"/>
          <w:highlight w:val="none"/>
        </w:rPr>
      </w:pPr>
      <w:bookmarkStart w:id="51" w:name="_Toc15377226"/>
      <w:r>
        <w:rPr>
          <w:rFonts w:hint="default" w:ascii="Times New Roman" w:hAnsi="Times New Roman" w:eastAsia="仿宋_GB2312" w:cs="Times New Roman"/>
          <w:color w:val="auto"/>
          <w:kern w:val="2"/>
          <w:sz w:val="32"/>
          <w:szCs w:val="32"/>
          <w:highlight w:val="none"/>
          <w:lang w:val="en-US" w:eastAsia="zh-CN" w:bidi="ar-SA"/>
        </w:rPr>
        <w:br w:type="page"/>
      </w:r>
      <w:bookmarkStart w:id="52" w:name="_Toc15396614"/>
      <w:r>
        <w:rPr>
          <w:rFonts w:hint="default" w:ascii="Times New Roman" w:hAnsi="Times New Roman" w:eastAsia="黑体" w:cs="Times New Roman"/>
          <w:color w:val="auto"/>
          <w:sz w:val="44"/>
          <w:szCs w:val="44"/>
          <w:highlight w:val="none"/>
        </w:rPr>
        <w:t>第四部分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附件</w:t>
      </w:r>
      <w:bookmarkEnd w:id="52"/>
      <w:bookmarkStart w:id="53" w:name="_Toc15396618"/>
    </w:p>
    <w:p>
      <w:pPr>
        <w:pStyle w:val="2"/>
        <w:rPr>
          <w:rFonts w:hint="default"/>
        </w:rPr>
      </w:pPr>
    </w:p>
    <w:p>
      <w:pPr>
        <w:spacing w:line="600" w:lineRule="exact"/>
        <w:jc w:val="center"/>
        <w:rPr>
          <w:rFonts w:hint="default" w:ascii="Times New Roman" w:hAnsi="Times New Roman" w:eastAsia="仿宋_GB2312" w:cs="Times New Roman"/>
          <w:color w:val="auto"/>
          <w:kern w:val="2"/>
          <w:sz w:val="32"/>
          <w:szCs w:val="32"/>
          <w:u w:val="none"/>
          <w:lang w:val="zh-CN" w:eastAsia="zh-CN" w:bidi="ar"/>
        </w:rPr>
      </w:pPr>
      <w:r>
        <w:rPr>
          <w:rFonts w:hint="eastAsia" w:ascii="Times New Roman" w:eastAsia="仿宋_GB2312" w:cs="Times New Roman"/>
          <w:color w:val="auto"/>
          <w:kern w:val="2"/>
          <w:sz w:val="32"/>
          <w:szCs w:val="32"/>
          <w:u w:val="none"/>
          <w:lang w:val="zh-CN" w:eastAsia="zh-CN" w:bidi="ar"/>
        </w:rPr>
        <w:t>单位</w:t>
      </w:r>
      <w:r>
        <w:rPr>
          <w:rFonts w:hint="default" w:ascii="Times New Roman" w:hAnsi="Times New Roman" w:eastAsia="仿宋_GB2312" w:cs="Times New Roman"/>
          <w:color w:val="auto"/>
          <w:kern w:val="2"/>
          <w:sz w:val="32"/>
          <w:szCs w:val="32"/>
          <w:u w:val="none"/>
          <w:lang w:val="en-US" w:eastAsia="zh-CN" w:bidi="ar"/>
        </w:rPr>
        <w:t>预算项目支出绩效自评表（20</w:t>
      </w:r>
      <w:r>
        <w:rPr>
          <w:rFonts w:hint="eastAsia" w:ascii="Times New Roman" w:hAnsi="Times New Roman" w:eastAsia="仿宋_GB2312" w:cs="Times New Roman"/>
          <w:color w:val="auto"/>
          <w:kern w:val="2"/>
          <w:sz w:val="32"/>
          <w:szCs w:val="32"/>
          <w:u w:val="none"/>
          <w:lang w:val="en-US" w:eastAsia="zh-CN" w:bidi="ar"/>
        </w:rPr>
        <w:t>25</w:t>
      </w:r>
      <w:r>
        <w:rPr>
          <w:rFonts w:hint="default" w:ascii="Times New Roman" w:hAnsi="Times New Roman" w:eastAsia="仿宋_GB2312" w:cs="Times New Roman"/>
          <w:color w:val="auto"/>
          <w:kern w:val="2"/>
          <w:sz w:val="32"/>
          <w:szCs w:val="32"/>
          <w:u w:val="none"/>
          <w:lang w:val="en-US" w:eastAsia="zh-CN" w:bidi="ar"/>
        </w:rPr>
        <w:t>年度）</w:t>
      </w:r>
      <w:r>
        <w:rPr>
          <w:rFonts w:hint="eastAsia" w:ascii="Times New Roman" w:eastAsia="仿宋_GB2312" w:cs="Times New Roman"/>
          <w:color w:val="auto"/>
          <w:kern w:val="2"/>
          <w:sz w:val="32"/>
          <w:szCs w:val="32"/>
          <w:u w:val="none"/>
          <w:lang w:val="en-US" w:eastAsia="zh-CN" w:bidi="ar"/>
        </w:rPr>
        <w:t>（见公开附件3）</w:t>
      </w:r>
    </w:p>
    <w:p>
      <w:pPr>
        <w:rPr>
          <w:rFonts w:hint="default" w:ascii="Times New Roman" w:hAnsi="Times New Roman" w:eastAsia="黑体" w:cs="Times New Roman"/>
          <w:color w:val="auto"/>
          <w:sz w:val="44"/>
          <w:szCs w:val="44"/>
          <w:highlight w:val="none"/>
        </w:rPr>
      </w:pPr>
    </w:p>
    <w:p>
      <w:pPr>
        <w:rPr>
          <w:rFonts w:hint="default" w:ascii="Times New Roman" w:hAnsi="Times New Roman" w:eastAsia="黑体" w:cs="Times New Roman"/>
          <w:color w:val="auto"/>
          <w:sz w:val="44"/>
          <w:szCs w:val="44"/>
          <w:highlight w:val="none"/>
        </w:rPr>
      </w:pPr>
      <w:r>
        <w:rPr>
          <w:rFonts w:hint="default" w:ascii="Times New Roman" w:hAnsi="Times New Roman" w:eastAsia="黑体" w:cs="Times New Roman"/>
          <w:color w:val="auto"/>
          <w:sz w:val="44"/>
          <w:szCs w:val="44"/>
          <w:highlight w:val="none"/>
        </w:rPr>
        <w:br w:type="page"/>
      </w:r>
    </w:p>
    <w:p>
      <w:pPr>
        <w:widowControl/>
        <w:jc w:val="center"/>
        <w:rPr>
          <w:rFonts w:hint="default" w:ascii="Times New Roman" w:hAnsi="Times New Roman" w:eastAsia="仿宋" w:cs="Times New Roman"/>
          <w:b w:val="0"/>
          <w:color w:val="auto"/>
          <w:highlight w:val="none"/>
        </w:rPr>
      </w:pPr>
      <w:r>
        <w:rPr>
          <w:rFonts w:hint="default" w:ascii="Times New Roman" w:hAnsi="Times New Roman" w:eastAsia="黑体" w:cs="Times New Roman"/>
          <w:color w:val="auto"/>
          <w:sz w:val="44"/>
          <w:szCs w:val="44"/>
          <w:highlight w:val="none"/>
        </w:rPr>
        <w:t>第</w:t>
      </w:r>
      <w:r>
        <w:rPr>
          <w:rStyle w:val="30"/>
          <w:rFonts w:hint="default" w:ascii="Times New Roman" w:hAnsi="Times New Roman" w:eastAsia="黑体" w:cs="Times New Roman"/>
          <w:b w:val="0"/>
          <w:color w:val="auto"/>
          <w:highlight w:val="none"/>
        </w:rPr>
        <w:t>五部分 附表</w:t>
      </w:r>
      <w:bookmarkEnd w:id="51"/>
      <w:bookmarkEnd w:id="53"/>
      <w:bookmarkStart w:id="54"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bookmarkEnd w:id="5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5" w:name="_Toc15396620"/>
      <w:r>
        <w:rPr>
          <w:rFonts w:hint="default" w:ascii="Times New Roman" w:hAnsi="Times New Roman" w:eastAsia="仿宋_GB2312" w:cs="Times New Roman"/>
          <w:color w:val="auto"/>
          <w:sz w:val="32"/>
          <w:szCs w:val="32"/>
          <w:highlight w:val="none"/>
        </w:rPr>
        <w:t>二、收入决算表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6" w:name="_Toc15396621"/>
      <w:r>
        <w:rPr>
          <w:rFonts w:hint="default" w:ascii="Times New Roman" w:hAnsi="Times New Roman" w:eastAsia="仿宋_GB2312" w:cs="Times New Roman"/>
          <w:color w:val="auto"/>
          <w:sz w:val="32"/>
          <w:szCs w:val="32"/>
          <w:highlight w:val="none"/>
        </w:rPr>
        <w:t>三、支出决算表</w:t>
      </w:r>
      <w:bookmarkEnd w:id="5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7" w:name="_Toc15396622"/>
      <w:r>
        <w:rPr>
          <w:rFonts w:hint="default" w:ascii="Times New Roman" w:hAnsi="Times New Roman" w:eastAsia="仿宋_GB2312" w:cs="Times New Roman"/>
          <w:color w:val="auto"/>
          <w:sz w:val="32"/>
          <w:szCs w:val="32"/>
          <w:highlight w:val="none"/>
        </w:rPr>
        <w:t>四、财政拨款收入支出决算总表</w:t>
      </w:r>
      <w:bookmarkEnd w:id="5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8" w:name="_Toc15396623"/>
      <w:r>
        <w:rPr>
          <w:rFonts w:hint="default" w:ascii="Times New Roman" w:hAnsi="Times New Roman" w:eastAsia="仿宋_GB2312" w:cs="Times New Roman"/>
          <w:color w:val="auto"/>
          <w:sz w:val="32"/>
          <w:szCs w:val="32"/>
          <w:highlight w:val="none"/>
        </w:rPr>
        <w:t>五、财政拨款支出决算明细表</w:t>
      </w:r>
      <w:bookmarkEnd w:id="58"/>
      <w:bookmarkStart w:id="59"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bookmarkEnd w:id="5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0" w:name="_Toc15396625"/>
      <w:r>
        <w:rPr>
          <w:rFonts w:hint="default" w:ascii="Times New Roman" w:hAnsi="Times New Roman" w:eastAsia="仿宋_GB2312" w:cs="Times New Roman"/>
          <w:color w:val="auto"/>
          <w:sz w:val="32"/>
          <w:szCs w:val="32"/>
          <w:highlight w:val="none"/>
        </w:rPr>
        <w:t>七、一般公共预算财政拨款支出决算明细表</w:t>
      </w:r>
      <w:bookmarkEnd w:id="6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1" w:name="_Toc15396626"/>
      <w:r>
        <w:rPr>
          <w:rFonts w:hint="default" w:ascii="Times New Roman" w:hAnsi="Times New Roman" w:eastAsia="仿宋_GB2312" w:cs="Times New Roman"/>
          <w:color w:val="auto"/>
          <w:sz w:val="32"/>
          <w:szCs w:val="32"/>
          <w:highlight w:val="none"/>
        </w:rPr>
        <w:t>八、一般公共预算财政拨款基本支出决算表</w:t>
      </w:r>
      <w:bookmarkEnd w:id="6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2" w:name="_Toc15396627"/>
      <w:r>
        <w:rPr>
          <w:rFonts w:hint="default" w:ascii="Times New Roman" w:hAnsi="Times New Roman" w:eastAsia="仿宋_GB2312" w:cs="Times New Roman"/>
          <w:color w:val="auto"/>
          <w:sz w:val="32"/>
          <w:szCs w:val="32"/>
          <w:highlight w:val="none"/>
        </w:rPr>
        <w:t>九、一般公共预算财政拨款项目支出决算表</w:t>
      </w:r>
      <w:bookmarkEnd w:id="6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3" w:name="_Toc15396628"/>
      <w:r>
        <w:rPr>
          <w:rFonts w:hint="default" w:ascii="Times New Roman" w:hAnsi="Times New Roman" w:eastAsia="仿宋_GB2312" w:cs="Times New Roman"/>
          <w:color w:val="auto"/>
          <w:sz w:val="32"/>
          <w:szCs w:val="32"/>
          <w:highlight w:val="none"/>
        </w:rPr>
        <w:t>十、</w:t>
      </w:r>
      <w:bookmarkEnd w:id="63"/>
      <w:r>
        <w:rPr>
          <w:rFonts w:hint="default" w:ascii="Times New Roman" w:hAnsi="Times New Roman" w:eastAsia="仿宋_GB2312" w:cs="Times New Roman"/>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4" w:name="_Toc15396629"/>
      <w:r>
        <w:rPr>
          <w:rFonts w:hint="default" w:ascii="Times New Roman" w:hAnsi="Times New Roman" w:eastAsia="仿宋_GB2312" w:cs="Times New Roman"/>
          <w:color w:val="auto"/>
          <w:sz w:val="32"/>
          <w:szCs w:val="32"/>
          <w:highlight w:val="none"/>
        </w:rPr>
        <w:t>十一、</w:t>
      </w:r>
      <w:bookmarkEnd w:id="64"/>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5" w:name="_Toc15396630"/>
      <w:r>
        <w:rPr>
          <w:rFonts w:hint="default" w:ascii="Times New Roman" w:hAnsi="Times New Roman" w:eastAsia="仿宋_GB2312" w:cs="Times New Roman"/>
          <w:color w:val="auto"/>
          <w:sz w:val="32"/>
          <w:szCs w:val="32"/>
          <w:highlight w:val="none"/>
        </w:rPr>
        <w:t>十二、</w:t>
      </w:r>
      <w:bookmarkEnd w:id="65"/>
      <w:r>
        <w:rPr>
          <w:rFonts w:hint="default" w:ascii="Times New Roman" w:hAnsi="Times New Roman" w:eastAsia="仿宋_GB2312" w:cs="Times New Roman"/>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lang w:eastAsia="zh-CN"/>
        </w:rPr>
      </w:pPr>
      <w:bookmarkStart w:id="66" w:name="_Toc15396631"/>
      <w:r>
        <w:rPr>
          <w:rFonts w:hint="default" w:ascii="Times New Roman" w:hAnsi="Times New Roman" w:eastAsia="仿宋_GB2312" w:cs="Times New Roman"/>
          <w:color w:val="auto"/>
          <w:sz w:val="32"/>
          <w:szCs w:val="32"/>
          <w:highlight w:val="none"/>
        </w:rPr>
        <w:t>十三、</w:t>
      </w:r>
      <w:bookmarkEnd w:id="66"/>
      <w:r>
        <w:rPr>
          <w:rFonts w:hint="default" w:ascii="Times New Roman" w:hAnsi="Times New Roman" w:eastAsia="仿宋_GB2312" w:cs="Times New Roman"/>
          <w:color w:val="auto"/>
          <w:sz w:val="32"/>
          <w:szCs w:val="32"/>
          <w:highlight w:val="none"/>
          <w:lang w:eastAsia="zh-CN"/>
        </w:rPr>
        <w:t>财政拨款“三公”经费支出决算表</w:t>
      </w:r>
    </w:p>
    <w:p>
      <w:pPr>
        <w:rPr>
          <w:rFonts w:hint="default" w:ascii="Times New Roman" w:hAnsi="Times New Roman" w:cs="Times New Roman"/>
          <w:color w:val="auto"/>
          <w:lang w:eastAsia="zh-CN"/>
        </w:rPr>
      </w:pPr>
    </w:p>
    <w:sectPr>
      <w:footerReference r:id="rId9" w:type="first"/>
      <w:footerReference r:id="rId8"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ESI仿宋-GB2312">
    <w:panose1 w:val="02000500000000000000"/>
    <w:charset w:val="86"/>
    <w:family w:val="auto"/>
    <w:pitch w:val="default"/>
    <w:sig w:usb0="800002AF" w:usb1="084F6CF8" w:usb2="00000010" w:usb3="00000000" w:csb0="0004000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BgkQdHQIAACsEAAAOAAAAZHJz&#10;L2Uyb0RvYy54bWytU82O0zAQviPxDpbvNGlXrK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N6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MGCRB0dAgAAKwQAAA4AAAAAAAAAAQAgAAAANQEAAGRycy9lMm9Eb2MueG1sUEsF&#10;BgAAAAAGAAYAWQEAAMQFAAAAAA==&#10;">
              <v:fill on="f" focussize="0,0"/>
              <v:stroke on="f" weight="0.5pt"/>
              <v:imagedata o:title=""/>
              <o:lock v:ext="edit" aspectratio="f"/>
              <v:textbox inset="0mm,0mm,0mm,0mm" style="mso-fit-shape-to-text:t;">
                <w:txbxContent>
                  <w:p>
                    <w:pPr>
                      <w:pStyle w:val="11"/>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vA/AhHQIAACs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rm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8D8CE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- 2 -</w:t>
                    </w:r>
                    <w:r>
                      <w:fldChar w:fldCharType="end"/>
                    </w:r>
                  </w:p>
                </w:txbxContent>
              </v:textbox>
            </v:shape>
          </w:pict>
        </mc:Fallback>
      </mc:AlternateContent>
    </w:r>
  </w:p>
  <w:p>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EOqPxwCAAArBAAADgAAAAAAAAABACAAAAA1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9A7E81"/>
    <w:multiLevelType w:val="singleLevel"/>
    <w:tmpl w:val="FB9A7E81"/>
    <w:lvl w:ilvl="0" w:tentative="0">
      <w:start w:val="1"/>
      <w:numFmt w:val="chineseCounting"/>
      <w:suff w:val="nothing"/>
      <w:lvlText w:val="%1、"/>
      <w:lvlJc w:val="left"/>
      <w:rPr>
        <w:rFonts w:hint="eastAsia"/>
      </w:rPr>
    </w:lvl>
  </w:abstractNum>
  <w:abstractNum w:abstractNumId="1">
    <w:nsid w:val="4CBF7617"/>
    <w:multiLevelType w:val="singleLevel"/>
    <w:tmpl w:val="4CBF7617"/>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F35744"/>
    <w:rsid w:val="1FF6BC77"/>
    <w:rsid w:val="1FF7B0C6"/>
    <w:rsid w:val="2186353C"/>
    <w:rsid w:val="23860B96"/>
    <w:rsid w:val="240371BF"/>
    <w:rsid w:val="244F3473"/>
    <w:rsid w:val="24C97D99"/>
    <w:rsid w:val="25A718F0"/>
    <w:rsid w:val="25BB59F6"/>
    <w:rsid w:val="260F557C"/>
    <w:rsid w:val="26970054"/>
    <w:rsid w:val="281408E2"/>
    <w:rsid w:val="29FD04D3"/>
    <w:rsid w:val="2B3E2A50"/>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6AA5135"/>
    <w:rsid w:val="36BE0DA7"/>
    <w:rsid w:val="376B6AA6"/>
    <w:rsid w:val="376D39B2"/>
    <w:rsid w:val="3795840C"/>
    <w:rsid w:val="37E16F03"/>
    <w:rsid w:val="37F53A3B"/>
    <w:rsid w:val="389B6C89"/>
    <w:rsid w:val="38D469F0"/>
    <w:rsid w:val="39627CCD"/>
    <w:rsid w:val="397BAF1F"/>
    <w:rsid w:val="3AB79AF3"/>
    <w:rsid w:val="3AE834C0"/>
    <w:rsid w:val="3B2E6375"/>
    <w:rsid w:val="3B7EF35A"/>
    <w:rsid w:val="3B9FDB6C"/>
    <w:rsid w:val="3BD4F507"/>
    <w:rsid w:val="3BF5BC2F"/>
    <w:rsid w:val="3CDB004D"/>
    <w:rsid w:val="3CEBA265"/>
    <w:rsid w:val="3D98207C"/>
    <w:rsid w:val="3DEE7CF3"/>
    <w:rsid w:val="3DF7413C"/>
    <w:rsid w:val="3E740A63"/>
    <w:rsid w:val="3E78745D"/>
    <w:rsid w:val="3E7F3B33"/>
    <w:rsid w:val="3EE17838"/>
    <w:rsid w:val="3F55381A"/>
    <w:rsid w:val="3F778510"/>
    <w:rsid w:val="3F7F7599"/>
    <w:rsid w:val="3FD7050B"/>
    <w:rsid w:val="3FF4CAE0"/>
    <w:rsid w:val="3FF7B227"/>
    <w:rsid w:val="3FFB00AE"/>
    <w:rsid w:val="3FFE07F4"/>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4FFECFDC"/>
    <w:rsid w:val="537E6D0A"/>
    <w:rsid w:val="53F74C96"/>
    <w:rsid w:val="55170BA8"/>
    <w:rsid w:val="553218C9"/>
    <w:rsid w:val="55D9D3FD"/>
    <w:rsid w:val="567E1AA5"/>
    <w:rsid w:val="56E47B74"/>
    <w:rsid w:val="57175D52"/>
    <w:rsid w:val="57BD3DD4"/>
    <w:rsid w:val="59EDFBB6"/>
    <w:rsid w:val="5AF92295"/>
    <w:rsid w:val="5B250254"/>
    <w:rsid w:val="5BDD79E6"/>
    <w:rsid w:val="5BF561CA"/>
    <w:rsid w:val="5BFF5DFC"/>
    <w:rsid w:val="5CD71FC4"/>
    <w:rsid w:val="5D1F11B5"/>
    <w:rsid w:val="5D695134"/>
    <w:rsid w:val="5DAE1B18"/>
    <w:rsid w:val="5DCD3F28"/>
    <w:rsid w:val="5DE7D9E5"/>
    <w:rsid w:val="5ECEC941"/>
    <w:rsid w:val="5FBF9FF3"/>
    <w:rsid w:val="5FCD4E2C"/>
    <w:rsid w:val="5FEF394A"/>
    <w:rsid w:val="5FF67715"/>
    <w:rsid w:val="5FFE66F4"/>
    <w:rsid w:val="62BF3928"/>
    <w:rsid w:val="63B3701E"/>
    <w:rsid w:val="647F5392"/>
    <w:rsid w:val="65E66580"/>
    <w:rsid w:val="664B1D71"/>
    <w:rsid w:val="664B4E8E"/>
    <w:rsid w:val="67277B67"/>
    <w:rsid w:val="67AA3209"/>
    <w:rsid w:val="697F027E"/>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BF5A94"/>
    <w:rsid w:val="6FCE6052"/>
    <w:rsid w:val="6FD57C00"/>
    <w:rsid w:val="6FEFFFD8"/>
    <w:rsid w:val="6FF5CC65"/>
    <w:rsid w:val="6FFB47EC"/>
    <w:rsid w:val="6FFF034A"/>
    <w:rsid w:val="70484440"/>
    <w:rsid w:val="712A28F1"/>
    <w:rsid w:val="715C0E4B"/>
    <w:rsid w:val="71992E7C"/>
    <w:rsid w:val="719FEA72"/>
    <w:rsid w:val="72233669"/>
    <w:rsid w:val="72734D90"/>
    <w:rsid w:val="73160E6D"/>
    <w:rsid w:val="7332FE48"/>
    <w:rsid w:val="73AB61DA"/>
    <w:rsid w:val="73AD73D5"/>
    <w:rsid w:val="73B6EB34"/>
    <w:rsid w:val="73FA497D"/>
    <w:rsid w:val="744731E5"/>
    <w:rsid w:val="74BBD01D"/>
    <w:rsid w:val="74ED5379"/>
    <w:rsid w:val="75BFA2EE"/>
    <w:rsid w:val="75DEEEC2"/>
    <w:rsid w:val="75E32345"/>
    <w:rsid w:val="76E3355F"/>
    <w:rsid w:val="76F920D2"/>
    <w:rsid w:val="76FF5125"/>
    <w:rsid w:val="776F6FFA"/>
    <w:rsid w:val="778769C8"/>
    <w:rsid w:val="77A75DCA"/>
    <w:rsid w:val="77DC22F5"/>
    <w:rsid w:val="77EF12C0"/>
    <w:rsid w:val="783E271A"/>
    <w:rsid w:val="78616DE9"/>
    <w:rsid w:val="78E875D7"/>
    <w:rsid w:val="79086DAD"/>
    <w:rsid w:val="796E0E45"/>
    <w:rsid w:val="79D7FD79"/>
    <w:rsid w:val="79EE5BA4"/>
    <w:rsid w:val="79F5E6DF"/>
    <w:rsid w:val="7A894339"/>
    <w:rsid w:val="7AD284E8"/>
    <w:rsid w:val="7AFF7572"/>
    <w:rsid w:val="7B1F75D6"/>
    <w:rsid w:val="7B67F210"/>
    <w:rsid w:val="7B6C7DFB"/>
    <w:rsid w:val="7BBFBED0"/>
    <w:rsid w:val="7BC3E394"/>
    <w:rsid w:val="7C1F3737"/>
    <w:rsid w:val="7CBFC87B"/>
    <w:rsid w:val="7CFE0F48"/>
    <w:rsid w:val="7D272ABC"/>
    <w:rsid w:val="7D7EC23E"/>
    <w:rsid w:val="7E4615FC"/>
    <w:rsid w:val="7E8ADEBF"/>
    <w:rsid w:val="7EAF32C7"/>
    <w:rsid w:val="7EEF11D3"/>
    <w:rsid w:val="7EFE4840"/>
    <w:rsid w:val="7F0971A6"/>
    <w:rsid w:val="7F1D62E7"/>
    <w:rsid w:val="7F3F679B"/>
    <w:rsid w:val="7F4FC4EF"/>
    <w:rsid w:val="7F5E4D54"/>
    <w:rsid w:val="7F689E6F"/>
    <w:rsid w:val="7F6E0135"/>
    <w:rsid w:val="7F79F205"/>
    <w:rsid w:val="7FA30C79"/>
    <w:rsid w:val="7FA79C44"/>
    <w:rsid w:val="7FAF8ABF"/>
    <w:rsid w:val="7FB7269E"/>
    <w:rsid w:val="7FC96657"/>
    <w:rsid w:val="7FD58B5D"/>
    <w:rsid w:val="7FDA9588"/>
    <w:rsid w:val="7FDF220F"/>
    <w:rsid w:val="7FEDC5F7"/>
    <w:rsid w:val="7FEDD9DE"/>
    <w:rsid w:val="7FF5890D"/>
    <w:rsid w:val="7FF93490"/>
    <w:rsid w:val="7FFF14AE"/>
    <w:rsid w:val="8EA2FF84"/>
    <w:rsid w:val="8FFEC8A9"/>
    <w:rsid w:val="97F9E4A7"/>
    <w:rsid w:val="99FF2014"/>
    <w:rsid w:val="9B77EF57"/>
    <w:rsid w:val="A4746823"/>
    <w:rsid w:val="A6DD0D7F"/>
    <w:rsid w:val="ACFF4FBB"/>
    <w:rsid w:val="ADC6F725"/>
    <w:rsid w:val="AF7FCE0B"/>
    <w:rsid w:val="AFFD7333"/>
    <w:rsid w:val="B7CF06AB"/>
    <w:rsid w:val="B7CFA926"/>
    <w:rsid w:val="B7F8786B"/>
    <w:rsid w:val="BABB6AA1"/>
    <w:rsid w:val="BB2F4199"/>
    <w:rsid w:val="BCFFB442"/>
    <w:rsid w:val="BD079C78"/>
    <w:rsid w:val="BD733540"/>
    <w:rsid w:val="BDFE5588"/>
    <w:rsid w:val="BF3735D5"/>
    <w:rsid w:val="BF7F09AC"/>
    <w:rsid w:val="BFD475C3"/>
    <w:rsid w:val="BFDE5EA6"/>
    <w:rsid w:val="BFDF4E0B"/>
    <w:rsid w:val="BFDF666C"/>
    <w:rsid w:val="CF6FC6F3"/>
    <w:rsid w:val="CFD3D3D7"/>
    <w:rsid w:val="CFDF1009"/>
    <w:rsid w:val="D6B4FDCB"/>
    <w:rsid w:val="D7D7B16A"/>
    <w:rsid w:val="D8D6DB89"/>
    <w:rsid w:val="DAFF35BE"/>
    <w:rsid w:val="DB6F4CAB"/>
    <w:rsid w:val="DB777682"/>
    <w:rsid w:val="DD1FB521"/>
    <w:rsid w:val="DEFBFEAE"/>
    <w:rsid w:val="DF1F3B80"/>
    <w:rsid w:val="DF6F9789"/>
    <w:rsid w:val="DFE9BE81"/>
    <w:rsid w:val="DFFE7D24"/>
    <w:rsid w:val="DFFFA9E8"/>
    <w:rsid w:val="E5F4E9DC"/>
    <w:rsid w:val="E70FE695"/>
    <w:rsid w:val="EB2E368B"/>
    <w:rsid w:val="ECDF944C"/>
    <w:rsid w:val="ECFED1BC"/>
    <w:rsid w:val="ED1D69BB"/>
    <w:rsid w:val="ED7FD312"/>
    <w:rsid w:val="EF2E1AC6"/>
    <w:rsid w:val="EF53993F"/>
    <w:rsid w:val="EF6FD633"/>
    <w:rsid w:val="EFBFB2F4"/>
    <w:rsid w:val="EFBFFA21"/>
    <w:rsid w:val="EFD3B7F1"/>
    <w:rsid w:val="F2BEBCB8"/>
    <w:rsid w:val="F36FB518"/>
    <w:rsid w:val="F3DE1A04"/>
    <w:rsid w:val="F3F722E5"/>
    <w:rsid w:val="F3FDE507"/>
    <w:rsid w:val="F4B6343A"/>
    <w:rsid w:val="F4FBCD07"/>
    <w:rsid w:val="F5BD4CF8"/>
    <w:rsid w:val="FA5F1E70"/>
    <w:rsid w:val="FA5FDB97"/>
    <w:rsid w:val="FA75ADBA"/>
    <w:rsid w:val="FADD2C01"/>
    <w:rsid w:val="FB6B7879"/>
    <w:rsid w:val="FB7BD20E"/>
    <w:rsid w:val="FB7F486A"/>
    <w:rsid w:val="FBFE17C3"/>
    <w:rsid w:val="FBFF5B2E"/>
    <w:rsid w:val="FD5F8812"/>
    <w:rsid w:val="FD7FFE2B"/>
    <w:rsid w:val="FDEC9A93"/>
    <w:rsid w:val="FDEE196B"/>
    <w:rsid w:val="FDFD3AC9"/>
    <w:rsid w:val="FDFE6575"/>
    <w:rsid w:val="FE51D15F"/>
    <w:rsid w:val="FEDFDDC2"/>
    <w:rsid w:val="FEED32F6"/>
    <w:rsid w:val="FEF781DD"/>
    <w:rsid w:val="FF3F7E3F"/>
    <w:rsid w:val="FFBA12D7"/>
    <w:rsid w:val="FFBCA0CE"/>
    <w:rsid w:val="FFBF708E"/>
    <w:rsid w:val="FFCBD314"/>
    <w:rsid w:val="FFDFF91C"/>
    <w:rsid w:val="FFDFFAEE"/>
    <w:rsid w:val="FFEF6777"/>
    <w:rsid w:val="FFF9B57B"/>
    <w:rsid w:val="FFFBD288"/>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ToCaption"/>
    <w:basedOn w:val="1"/>
    <w:next w:val="1"/>
    <w:qFormat/>
    <w:uiPriority w:val="0"/>
    <w:pPr>
      <w:ind w:left="400" w:leftChars="200" w:hanging="200" w:hangingChars="200"/>
      <w:textAlignment w:val="baseline"/>
    </w:p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widowControl/>
      <w:spacing w:before="100" w:beforeAutospacing="1" w:after="100" w:afterAutospacing="1"/>
      <w:jc w:val="left"/>
    </w:pPr>
    <w:rPr>
      <w:rFonts w:ascii="宋体" w:eastAsia="宋体" w:cs="宋体"/>
      <w:kern w:val="0"/>
      <w:sz w:val="24"/>
      <w:szCs w:val="24"/>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home/user/&#26700;&#38754;/&#20915;&#31639;&#20844;&#24320;/2025&#30456;&#20851;&#25968;&#25454;/2025&#24180;&#20915;&#31639;&#22270;&#34920;&#25968;&#2545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ome/user/&#26700;&#38754;/&#20915;&#31639;&#20844;&#24320;/2025&#30456;&#20851;&#25968;&#25454;/2025&#24180;&#20915;&#31639;&#22270;&#34920;&#25968;&#25454;.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home/user/&#26700;&#38754;/&#20915;&#31639;&#20844;&#24320;/2025&#30456;&#20851;&#25968;&#25454;/2025&#24180;&#20915;&#31639;&#22270;&#34920;&#25968;&#2545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home/user/&#26700;&#38754;/&#20915;&#31639;&#20844;&#24320;/2025&#30456;&#20851;&#25968;&#25454;/2025&#24180;&#20915;&#31639;&#22270;&#34920;&#25968;&#2545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home/user/&#26700;&#38754;/&#20915;&#31639;&#20844;&#24320;/2025&#30456;&#20851;&#25968;&#25454;/2025&#24180;&#20915;&#31639;&#22270;&#34920;&#25968;&#25454;.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home/user/&#26700;&#38754;/&#20915;&#31639;&#20844;&#24320;/2025&#30456;&#20851;&#25968;&#25454;/2025&#24180;&#20915;&#31639;&#22270;&#34920;&#25968;&#25454;.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home/user/&#26700;&#38754;/2024&#20915;&#31639;&#20844;&#24320;/2025&#20915;&#31639;&#20844;&#24320;&#30456;&#20851;&#25968;&#25454;/2024&#24180;&#20915;&#31639;&#22270;&#34920;&#25968;&#2545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barChart>
        <c:barDir val="col"/>
        <c:grouping val="clustered"/>
        <c:varyColors val="false"/>
        <c:ser>
          <c:idx val="0"/>
          <c:order val="0"/>
          <c:tx>
            <c:strRef>
              <c:f>[2025年决算图表数据.xlsx]收支决算总计!$A$2</c:f>
              <c:strCache>
                <c:ptCount val="1"/>
                <c:pt idx="0">
                  <c:v>全年收入总计</c:v>
                </c:pt>
              </c:strCache>
            </c:strRef>
          </c:tx>
          <c:invertIfNegative val="false"/>
          <c:dLbls>
            <c:numFmt formatCode="General" sourceLinked="tru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strRef>
              <c:extLst>
                <c:ext xmlns:c15="http://schemas.microsoft.com/office/drawing/2012/chart" uri="{02D57815-91ED-43cb-92C2-25804820EDAC}">
                  <c15:fullRef>
                    <c15:sqref>[2025年决算图表数据.xlsx]收支决算总计!$B$1:$E$1</c15:sqref>
                  </c15:fullRef>
                </c:ext>
              </c:extLst>
              <c:f>[2025年决算图表数据.xlsx]收支决算总计!$B$1:$C$1</c:f>
              <c:strCache>
                <c:ptCount val="2"/>
                <c:pt idx="0">
                  <c:v>2024年度</c:v>
                </c:pt>
                <c:pt idx="1">
                  <c:v>2025年度</c:v>
                </c:pt>
              </c:strCache>
            </c:strRef>
          </c:cat>
          <c:val>
            <c:numRef>
              <c:extLst>
                <c:ext xmlns:c15="http://schemas.microsoft.com/office/drawing/2012/chart" uri="{02D57815-91ED-43cb-92C2-25804820EDAC}">
                  <c15:fullRef>
                    <c15:sqref>收支决算总计!$B$2:$E$2</c15:sqref>
                  </c15:fullRef>
                </c:ext>
              </c:extLst>
              <c:f>[2025年决算图表数据.xlsx]收支决算总计!$B$2:$C$2</c:f>
              <c:numCache>
                <c:formatCode>#,##0.00</c:formatCode>
                <c:ptCount val="2"/>
                <c:pt idx="0">
                  <c:v>5948.57</c:v>
                </c:pt>
                <c:pt idx="1">
                  <c:v>5930.78</c:v>
                </c:pt>
              </c:numCache>
            </c:numRef>
          </c:val>
        </c:ser>
        <c:ser>
          <c:idx val="1"/>
          <c:order val="1"/>
          <c:tx>
            <c:strRef>
              <c:f>[2025年决算图表数据.xlsx]收支决算总计!$A$3</c:f>
              <c:strCache>
                <c:ptCount val="1"/>
                <c:pt idx="0">
                  <c:v>全年支出总计</c:v>
                </c:pt>
              </c:strCache>
            </c:strRef>
          </c:tx>
          <c:invertIfNegative val="false"/>
          <c:dLbls>
            <c:numFmt formatCode="General" sourceLinked="tru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strRef>
              <c:extLst>
                <c:ext xmlns:c15="http://schemas.microsoft.com/office/drawing/2012/chart" uri="{02D57815-91ED-43cb-92C2-25804820EDAC}">
                  <c15:fullRef>
                    <c15:sqref>[2025年决算图表数据.xlsx]收支决算总计!$B$1:$E$1</c15:sqref>
                  </c15:fullRef>
                </c:ext>
              </c:extLst>
              <c:f>[2025年决算图表数据.xlsx]收支决算总计!$B$1:$C$1</c:f>
              <c:strCache>
                <c:ptCount val="2"/>
                <c:pt idx="0">
                  <c:v>2024年度</c:v>
                </c:pt>
                <c:pt idx="1">
                  <c:v>2025年度</c:v>
                </c:pt>
              </c:strCache>
            </c:strRef>
          </c:cat>
          <c:val>
            <c:numRef>
              <c:extLst>
                <c:ext xmlns:c15="http://schemas.microsoft.com/office/drawing/2012/chart" uri="{02D57815-91ED-43cb-92C2-25804820EDAC}">
                  <c15:fullRef>
                    <c15:sqref>收支决算总计!$B$3:$E$3</c15:sqref>
                  </c15:fullRef>
                </c:ext>
              </c:extLst>
              <c:f>[2025年决算图表数据.xlsx]收支决算总计!$B$3:$C$3</c:f>
              <c:numCache>
                <c:formatCode>#,##0.00</c:formatCode>
                <c:ptCount val="2"/>
                <c:pt idx="0">
                  <c:v>5948.57</c:v>
                </c:pt>
                <c:pt idx="1">
                  <c:v>5930.78</c:v>
                </c:pt>
              </c:numCache>
            </c:numRef>
          </c:val>
        </c:ser>
        <c:dLbls>
          <c:showLegendKey val="false"/>
          <c:showVal val="false"/>
          <c:showCatName val="false"/>
          <c:showSerName val="false"/>
          <c:showPercent val="false"/>
          <c:showBubbleSize val="false"/>
        </c:dLbls>
        <c:gapWidth val="75"/>
        <c:overlap val="0"/>
        <c:axId val="65180416"/>
        <c:axId val="65181952"/>
      </c:barChart>
      <c:catAx>
        <c:axId val="65180416"/>
        <c:scaling>
          <c:orientation val="minMax"/>
        </c:scaling>
        <c:delete val="false"/>
        <c:axPos val="b"/>
        <c:majorTickMark val="none"/>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65181952"/>
        <c:crosses val="autoZero"/>
        <c:auto val="true"/>
        <c:lblAlgn val="ctr"/>
        <c:lblOffset val="100"/>
        <c:noMultiLvlLbl val="false"/>
      </c:catAx>
      <c:valAx>
        <c:axId val="65181952"/>
        <c:scaling>
          <c:orientation val="minMax"/>
        </c:scaling>
        <c:delete val="false"/>
        <c:axPos val="l"/>
        <c:numFmt formatCode="#,##0.00" sourceLinked="true"/>
        <c:majorTickMark val="none"/>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65180416"/>
        <c:crosses val="autoZero"/>
        <c:crossBetween val="between"/>
      </c:valAx>
    </c:plotArea>
    <c:legend>
      <c:legendPos val="b"/>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gap"/>
    <c:showDLblsOverMax val="false"/>
  </c:chart>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0847222222222226"/>
          <c:y val="0.254050743657043"/>
          <c:w val="0.81388888888889"/>
          <c:h val="0.641898512685917"/>
        </c:manualLayout>
      </c:layout>
      <c:pieChart>
        <c:varyColors val="true"/>
        <c:ser>
          <c:idx val="0"/>
          <c:order val="0"/>
          <c:explosion val="0"/>
          <c:dPt>
            <c:idx val="0"/>
            <c:bubble3D val="false"/>
          </c:dPt>
          <c:dLbls>
            <c:dLbl>
              <c:idx val="0"/>
              <c:layout>
                <c:manualLayout>
                  <c:x val="0.062141023157951"/>
                  <c:y val="-0.45082506393057"/>
                </c:manualLayout>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zh-CN" altLang="en-US"/>
                      <a:t>一般公共预算财政拨款收入
</a:t>
                    </a:r>
                    <a:r>
                      <a:rPr lang="en-US" altLang="zh-CN"/>
                      <a:t>100%</a:t>
                    </a:r>
                    <a:endParaRPr lang="zh-CN" altLang="en-US"/>
                  </a:p>
                </c:rich>
              </c:tx>
              <c:dLblPos val="bestFit"/>
              <c:showLegendKey val="false"/>
              <c:showVal val="false"/>
              <c:showCatName val="true"/>
              <c:showSerName val="false"/>
              <c:showPercent val="true"/>
              <c:showBubbleSize val="false"/>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bestFit"/>
            <c:showLegendKey val="false"/>
            <c:showVal val="false"/>
            <c:showCatName val="true"/>
            <c:showSerName val="false"/>
            <c:showPercent val="true"/>
            <c:showBubbleSize val="false"/>
            <c:showLeaderLines val="true"/>
            <c:extLst>
              <c:ext xmlns:c15="http://schemas.microsoft.com/office/drawing/2012/chart" uri="{CE6537A1-D6FC-4f65-9D91-7224C49458BB}">
                <c15:layout/>
                <c15:showLeaderLines val="true"/>
                <c15:leaderLines/>
              </c:ext>
            </c:extLst>
          </c:dLbls>
          <c:cat>
            <c:strRef>
              <c:f>[2025年决算图表数据.xlsx]收入决算结构!$A$1</c:f>
              <c:strCache>
                <c:ptCount val="1"/>
                <c:pt idx="0">
                  <c:v>一般公共预算财政拨款收入</c:v>
                </c:pt>
              </c:strCache>
            </c:strRef>
          </c:cat>
          <c:val>
            <c:numRef>
              <c:f>[2025年决算图表数据.xlsx]收入决算结构!$B$1</c:f>
              <c:numCache>
                <c:formatCode>0.00%</c:formatCode>
                <c:ptCount val="1"/>
                <c:pt idx="0">
                  <c:v>1</c:v>
                </c:pt>
              </c:numCache>
            </c:numRef>
          </c:val>
        </c:ser>
        <c:ser>
          <c:idx val="1"/>
          <c:order val="1"/>
          <c:explosion val="0"/>
          <c:dPt>
            <c:idx val="0"/>
            <c:bubble3D val="false"/>
          </c:dPt>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bestFit"/>
            <c:showLegendKey val="false"/>
            <c:showVal val="false"/>
            <c:showCatName val="true"/>
            <c:showSerName val="false"/>
            <c:showPercent val="true"/>
            <c:showBubbleSize val="false"/>
            <c:showLeaderLines val="true"/>
            <c:extLst>
              <c:ext xmlns:c15="http://schemas.microsoft.com/office/drawing/2012/chart" uri="{CE6537A1-D6FC-4f65-9D91-7224C49458BB}">
                <c15:layout/>
                <c15:showLeaderLines val="true"/>
                <c15:leaderLines/>
              </c:ext>
            </c:extLst>
          </c:dLbls>
          <c:cat>
            <c:strRef>
              <c:f>[2025年决算图表数据.xlsx]收入决算结构!$A$1</c:f>
              <c:strCache>
                <c:ptCount val="1"/>
                <c:pt idx="0">
                  <c:v>一般公共预算财政拨款收入</c:v>
                </c:pt>
              </c:strCache>
            </c:strRef>
          </c:cat>
          <c:val>
            <c:numRef>
              <c:f>[2025年决算图表数据.xlsx]收入决算结构!$C$1</c:f>
              <c:numCache>
                <c:formatCode>General</c:formatCode>
                <c:ptCount val="1"/>
                <c:pt idx="0">
                  <c:v>5930.78</c:v>
                </c:pt>
              </c:numCache>
            </c:numRef>
          </c:val>
        </c:ser>
        <c:dLbls>
          <c:showLegendKey val="false"/>
          <c:showVal val="false"/>
          <c:showCatName val="true"/>
          <c:showSerName val="false"/>
          <c:showPercent val="true"/>
          <c:showBubbleSize val="false"/>
          <c:showLeaderLines val="true"/>
        </c:dLbls>
        <c:firstSliceAng val="15"/>
      </c:pieChart>
      <c:spPr>
        <a:noFill/>
        <a:ln>
          <a:noFill/>
        </a:ln>
        <a:effectLst/>
      </c:spPr>
    </c:plotArea>
    <c:plotVisOnly val="true"/>
    <c:dispBlanksAs val="zero"/>
    <c:showDLblsOverMax val="false"/>
  </c:chart>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3"/>
    </mc:Choice>
    <mc:Fallback>
      <c:style val="3"/>
    </mc:Fallback>
  </mc:AlternateContent>
  <c:chart>
    <c:autoTitleDeleted val="true"/>
    <c:plotArea>
      <c:layout/>
      <c:pieChart>
        <c:varyColors val="true"/>
        <c:ser>
          <c:idx val="0"/>
          <c:order val="0"/>
          <c:spPr/>
          <c:explosion val="0"/>
          <c:dPt>
            <c:idx val="0"/>
            <c:bubble3D val="false"/>
            <c:spPr>
              <a:solidFill>
                <a:schemeClr val="accent1">
                  <a:shade val="76667"/>
                </a:schemeClr>
              </a:solidFill>
              <a:ln>
                <a:noFill/>
              </a:ln>
              <a:effectLst/>
            </c:spPr>
          </c:dPt>
          <c:dPt>
            <c:idx val="1"/>
            <c:bubble3D val="false"/>
            <c:spPr>
              <a:solidFill>
                <a:schemeClr val="accent1">
                  <a:tint val="76667"/>
                </a:schemeClr>
              </a:solidFill>
              <a:ln>
                <a:noFill/>
              </a:ln>
              <a:effectLst/>
            </c:spPr>
          </c:dPt>
          <c:dLbls>
            <c:numFmt formatCode="General" sourceLinked="tru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inEnd"/>
            <c:showLegendKey val="false"/>
            <c:showVal val="false"/>
            <c:showCatName val="tru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shade val="95000"/>
                          <a:satMod val="105000"/>
                        </a:schemeClr>
                      </a:solidFill>
                      <a:prstDash val="solid"/>
                      <a:round/>
                    </a:ln>
                    <a:effectLst/>
                  </c:spPr>
                </c15:leaderLines>
              </c:ext>
            </c:extLst>
          </c:dLbls>
          <c:cat>
            <c:strRef>
              <c:f>[2025年决算图表数据.xlsx]支出决算结构!$A$1:$A$2</c:f>
              <c:strCache>
                <c:ptCount val="2"/>
                <c:pt idx="0">
                  <c:v>基本支出</c:v>
                </c:pt>
                <c:pt idx="1">
                  <c:v>项目支出</c:v>
                </c:pt>
              </c:strCache>
            </c:strRef>
          </c:cat>
          <c:val>
            <c:numRef>
              <c:f>[2025年决算图表数据.xlsx]支出决算结构!$B$1:$B$2</c:f>
              <c:numCache>
                <c:formatCode>0.00%</c:formatCode>
                <c:ptCount val="2"/>
                <c:pt idx="0">
                  <c:v>0.119980845689774</c:v>
                </c:pt>
                <c:pt idx="1">
                  <c:v>0.880019154310226</c:v>
                </c:pt>
              </c:numCache>
            </c:numRef>
          </c:val>
        </c:ser>
        <c:dLbls>
          <c:showLegendKey val="false"/>
          <c:showVal val="false"/>
          <c:showCatName val="true"/>
          <c:showSerName val="false"/>
          <c:showPercent val="true"/>
          <c:showBubbleSize val="false"/>
          <c:showLeaderLines val="true"/>
        </c:dLbls>
        <c:firstSliceAng val="15"/>
      </c:pieChart>
      <c:spPr>
        <a:noFill/>
        <a:ln>
          <a:noFill/>
        </a:ln>
        <a:effectLst/>
      </c:spPr>
    </c:plotArea>
    <c:plotVisOnly val="true"/>
    <c:dispBlanksAs val="zero"/>
    <c:showDLblsOverMax val="false"/>
  </c:chart>
  <c:spPr>
    <a:solidFill>
      <a:schemeClr val="bg1"/>
    </a:solidFill>
    <a:ln w="9525" cap="flat" cmpd="sng" algn="ctr">
      <a:solidFill>
        <a:schemeClr val="tx1">
          <a:tint val="75000"/>
          <a:shade val="95000"/>
          <a:satMod val="105000"/>
        </a:schemeClr>
      </a:solidFill>
      <a:prstDash val="solid"/>
      <a:round/>
    </a:ln>
    <a:effectLst/>
  </c:spPr>
  <c:txPr>
    <a:bodyPr/>
    <a:lstStyle/>
    <a:p>
      <a:pPr>
        <a:defRPr lang="zh-CN"/>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barChart>
        <c:barDir val="col"/>
        <c:grouping val="clustered"/>
        <c:varyColors val="false"/>
        <c:ser>
          <c:idx val="0"/>
          <c:order val="0"/>
          <c:tx>
            <c:strRef>
              <c:f>[2025年决算图表数据.xlsx]财政拨款收、支决算总计变动!$A$2</c:f>
              <c:strCache>
                <c:ptCount val="1"/>
                <c:pt idx="0">
                  <c:v>财政拨款收入总计</c:v>
                </c:pt>
              </c:strCache>
            </c:strRef>
          </c:tx>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ext>
            </c:extLst>
          </c:dLbls>
          <c:cat>
            <c:strRef>
              <c:f>[2025年决算图表数据.xlsx]财政拨款收、支决算总计变动!$B$1:$C$1</c:f>
              <c:strCache>
                <c:ptCount val="2"/>
                <c:pt idx="0">
                  <c:v>2024年度</c:v>
                </c:pt>
                <c:pt idx="1">
                  <c:v>2025年度</c:v>
                </c:pt>
              </c:strCache>
            </c:strRef>
          </c:cat>
          <c:val>
            <c:numRef>
              <c:f>[2025年决算图表数据.xlsx]财政拨款收、支决算总计变动!$B$2:$C$2</c:f>
              <c:numCache>
                <c:formatCode>_ * #,##0.00_ ;_ * \-#,##0.00_ ;_ * "-"??_ ;_ @_ </c:formatCode>
                <c:ptCount val="2"/>
                <c:pt idx="0">
                  <c:v>5948.57</c:v>
                </c:pt>
                <c:pt idx="1">
                  <c:v>5930.78</c:v>
                </c:pt>
              </c:numCache>
            </c:numRef>
          </c:val>
        </c:ser>
        <c:ser>
          <c:idx val="1"/>
          <c:order val="1"/>
          <c:tx>
            <c:strRef>
              <c:f>[2025年决算图表数据.xlsx]财政拨款收、支决算总计变动!$A$3</c:f>
              <c:strCache>
                <c:ptCount val="1"/>
                <c:pt idx="0">
                  <c:v>财政拨款支出总计</c:v>
                </c:pt>
              </c:strCache>
            </c:strRef>
          </c:tx>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ext>
            </c:extLst>
          </c:dLbls>
          <c:cat>
            <c:strRef>
              <c:f>[2025年决算图表数据.xlsx]财政拨款收、支决算总计变动!$B$1:$C$1</c:f>
              <c:strCache>
                <c:ptCount val="2"/>
                <c:pt idx="0">
                  <c:v>2024年度</c:v>
                </c:pt>
                <c:pt idx="1">
                  <c:v>2025年度</c:v>
                </c:pt>
              </c:strCache>
            </c:strRef>
          </c:cat>
          <c:val>
            <c:numRef>
              <c:f>[2025年决算图表数据.xlsx]财政拨款收、支决算总计变动!$B$3:$C$3</c:f>
              <c:numCache>
                <c:formatCode>_ * #,##0.00_ ;_ * \-#,##0.00_ ;_ * "-"??_ ;_ @_ </c:formatCode>
                <c:ptCount val="2"/>
                <c:pt idx="0">
                  <c:v>5948.57</c:v>
                </c:pt>
                <c:pt idx="1">
                  <c:v>5930.78</c:v>
                </c:pt>
              </c:numCache>
            </c:numRef>
          </c:val>
        </c:ser>
        <c:dLbls>
          <c:showLegendKey val="false"/>
          <c:showVal val="false"/>
          <c:showCatName val="false"/>
          <c:showSerName val="false"/>
          <c:showPercent val="false"/>
          <c:showBubbleSize val="false"/>
        </c:dLbls>
        <c:gapWidth val="75"/>
        <c:overlap val="0"/>
        <c:axId val="65911424"/>
        <c:axId val="65913216"/>
      </c:barChart>
      <c:catAx>
        <c:axId val="65911424"/>
        <c:scaling>
          <c:orientation val="minMax"/>
        </c:scaling>
        <c:delete val="false"/>
        <c:axPos val="b"/>
        <c:majorTickMark val="none"/>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65913216"/>
        <c:crosses val="autoZero"/>
        <c:auto val="true"/>
        <c:lblAlgn val="ctr"/>
        <c:lblOffset val="100"/>
        <c:noMultiLvlLbl val="false"/>
      </c:catAx>
      <c:valAx>
        <c:axId val="65913216"/>
        <c:scaling>
          <c:orientation val="minMax"/>
        </c:scaling>
        <c:delete val="false"/>
        <c:axPos val="l"/>
        <c:numFmt formatCode="_ * #,##0.00_ ;_ * \-#,##0.00_ ;_ * &quot;-&quot;??_ ;_ @_ " sourceLinked="true"/>
        <c:majorTickMark val="none"/>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65911424"/>
        <c:crosses val="autoZero"/>
        <c:crossBetween val="between"/>
      </c:valAx>
    </c:plotArea>
    <c:legend>
      <c:legendPos val="b"/>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gap"/>
    <c:showDLblsOverMax val="false"/>
  </c:chart>
  <c:txPr>
    <a:bodyPr/>
    <a:lstStyle/>
    <a:p>
      <a:pPr>
        <a:defRPr lang="zh-CN"/>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barChart>
        <c:barDir val="col"/>
        <c:grouping val="clustered"/>
        <c:varyColors val="false"/>
        <c:ser>
          <c:idx val="0"/>
          <c:order val="0"/>
          <c:tx>
            <c:strRef>
              <c:f>[2025年决算图表数据.xlsx]一般公共预算财政拨款支出1!$A$2</c:f>
              <c:strCache>
                <c:ptCount val="1"/>
                <c:pt idx="0">
                  <c:v>一般公共预算财政拨款支出总计</c:v>
                </c:pt>
              </c:strCache>
            </c:strRef>
          </c:tx>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ext>
            </c:extLst>
          </c:dLbls>
          <c:cat>
            <c:strRef>
              <c:f>[2025年决算图表数据.xlsx]一般公共预算财政拨款支出1!$B$1:$C$1</c:f>
              <c:strCache>
                <c:ptCount val="2"/>
                <c:pt idx="0">
                  <c:v>2024年度</c:v>
                </c:pt>
                <c:pt idx="1">
                  <c:v>2025年度</c:v>
                </c:pt>
              </c:strCache>
            </c:strRef>
          </c:cat>
          <c:val>
            <c:numRef>
              <c:f>[2025年决算图表数据.xlsx]一般公共预算财政拨款支出1!$B$2:$C$2</c:f>
              <c:numCache>
                <c:formatCode>_ * #,##0.00_ ;_ * \-#,##0.00_ ;_ * "-"??_ ;_ @_ </c:formatCode>
                <c:ptCount val="2"/>
                <c:pt idx="0">
                  <c:v>5948.57</c:v>
                </c:pt>
                <c:pt idx="1">
                  <c:v>5930.78</c:v>
                </c:pt>
              </c:numCache>
            </c:numRef>
          </c:val>
        </c:ser>
        <c:ser>
          <c:idx val="1"/>
          <c:order val="1"/>
          <c:tx>
            <c:strRef>
              <c:f>#REF!</c:f>
              <c:strCache>
                <c:ptCount val="1"/>
                <c:pt idx="0">
                  <c:v/>
                </c:pt>
              </c:strCache>
            </c:strRef>
          </c:tx>
          <c:invertIfNegative val="false"/>
          <c:dLbls>
            <c:delete val="true"/>
          </c:dLbls>
          <c:cat>
            <c:strRef>
              <c:f>[2025年决算图表数据.xlsx]一般公共预算财政拨款支出1!$B$1:$C$1</c:f>
              <c:strCache>
                <c:ptCount val="2"/>
                <c:pt idx="0">
                  <c:v>2024年度</c:v>
                </c:pt>
                <c:pt idx="1">
                  <c:v>2025年度</c:v>
                </c:pt>
              </c:strCache>
            </c:strRef>
          </c:cat>
          <c:val>
            <c:numRef>
              <c:f>#REF!</c:f>
              <c:numCache>
                <c:formatCode>General</c:formatCode>
                <c:ptCount val="1"/>
                <c:pt idx="0">
                  <c:v>1</c:v>
                </c:pt>
              </c:numCache>
            </c:numRef>
          </c:val>
        </c:ser>
        <c:dLbls>
          <c:showLegendKey val="false"/>
          <c:showVal val="false"/>
          <c:showCatName val="false"/>
          <c:showSerName val="false"/>
          <c:showPercent val="false"/>
          <c:showBubbleSize val="false"/>
        </c:dLbls>
        <c:gapWidth val="75"/>
        <c:overlap val="0"/>
        <c:axId val="65911424"/>
        <c:axId val="65913216"/>
      </c:barChart>
      <c:catAx>
        <c:axId val="65911424"/>
        <c:scaling>
          <c:orientation val="minMax"/>
        </c:scaling>
        <c:delete val="false"/>
        <c:axPos val="b"/>
        <c:majorTickMark val="none"/>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65913216"/>
        <c:crosses val="autoZero"/>
        <c:auto val="true"/>
        <c:lblAlgn val="ctr"/>
        <c:lblOffset val="100"/>
        <c:noMultiLvlLbl val="false"/>
      </c:catAx>
      <c:valAx>
        <c:axId val="65913216"/>
        <c:scaling>
          <c:orientation val="minMax"/>
        </c:scaling>
        <c:delete val="false"/>
        <c:axPos val="l"/>
        <c:numFmt formatCode="_ * #,##0.00_ ;_ * \-#,##0.00_ ;_ * &quot;-&quot;??_ ;_ @_ " sourceLinked="true"/>
        <c:majorTickMark val="none"/>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65911424"/>
        <c:crosses val="autoZero"/>
        <c:crossBetween val="between"/>
      </c:valAx>
    </c:plotArea>
    <c:legend>
      <c:legendPos val="b"/>
      <c:legendEntry>
        <c:idx val="1"/>
        <c:delete val="true"/>
      </c:legendEntry>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gap"/>
    <c:showDLblsOverMax val="false"/>
  </c:chart>
  <c:txPr>
    <a:bodyPr/>
    <a:lstStyle/>
    <a:p>
      <a:pPr>
        <a:defRPr lang="zh-CN"/>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pieChart>
        <c:varyColors val="true"/>
        <c:ser>
          <c:idx val="0"/>
          <c:order val="0"/>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Pt>
            <c:idx val="2"/>
            <c:bubble3D val="false"/>
            <c:spPr>
              <a:solidFill>
                <a:schemeClr val="accent3"/>
              </a:solidFill>
              <a:ln w="19050">
                <a:solidFill>
                  <a:schemeClr val="lt1"/>
                </a:solidFill>
              </a:ln>
              <a:effectLst/>
            </c:spPr>
          </c:dPt>
          <c:dPt>
            <c:idx val="3"/>
            <c:bubble3D val="false"/>
            <c:spPr>
              <a:solidFill>
                <a:schemeClr val="accent4"/>
              </a:solidFill>
              <a:ln w="19050">
                <a:solidFill>
                  <a:schemeClr val="lt1"/>
                </a:solidFill>
              </a:ln>
              <a:effectLst/>
            </c:spPr>
          </c:dPt>
          <c:dLbls>
            <c:dLbl>
              <c:idx val="1"/>
              <c:layout>
                <c:manualLayout>
                  <c:x val="-0.0809142538334443"/>
                  <c:y val="0.218545758211104"/>
                </c:manualLayout>
              </c:layout>
              <c:dLblPos val="bestFit"/>
              <c:showLegendKey val="false"/>
              <c:showVal val="false"/>
              <c:showCatName val="true"/>
              <c:showSerName val="false"/>
              <c:showPercent val="true"/>
              <c:showBubbleSize val="false"/>
              <c:separator>
</c:separator>
              <c:extLst>
                <c:ext xmlns:c15="http://schemas.microsoft.com/office/drawing/2012/chart" uri="{CE6537A1-D6FC-4f65-9D91-7224C49458BB}">
                  <c15:layout/>
                </c:ext>
              </c:extLst>
            </c:dLbl>
            <c:dLbl>
              <c:idx val="2"/>
              <c:layout>
                <c:manualLayout>
                  <c:x val="0.0241114695146126"/>
                  <c:y val="0.368644812780101"/>
                </c:manualLayout>
              </c:layout>
              <c:dLblPos val="bestFit"/>
              <c:showLegendKey val="false"/>
              <c:showVal val="false"/>
              <c:showCatName val="true"/>
              <c:showSerName val="false"/>
              <c:showPercent val="true"/>
              <c:showBubbleSize val="false"/>
              <c:separator>
</c:separator>
              <c:extLst>
                <c:ext xmlns:c15="http://schemas.microsoft.com/office/drawing/2012/chart" uri="{CE6537A1-D6FC-4f65-9D91-7224C49458BB}">
                  <c15:layout/>
                </c:ext>
              </c:extLst>
            </c:dLbl>
            <c:dLbl>
              <c:idx val="3"/>
              <c:layout>
                <c:manualLayout>
                  <c:x val="0.109150354743729"/>
                  <c:y val="0.146757822138749"/>
                </c:manualLayout>
              </c:layout>
              <c:tx>
                <c:rich>
                  <a:bodyPr rot="0" spcFirstLastPara="0" vertOverflow="ellipsis" vert="horz" wrap="square" lIns="38100" tIns="19050" rIns="38100" bIns="19050" anchor="ctr" anchorCtr="true"/>
                  <a:lstStyle/>
                  <a:p>
                    <a:pPr defTabSz="914400">
                      <a:defRPr lang="zh-CN" sz="900" b="0" i="0" u="none" strike="noStrike" kern="1200" baseline="0">
                        <a:solidFill>
                          <a:schemeClr val="tx1">
                            <a:lumMod val="75000"/>
                            <a:lumOff val="25000"/>
                          </a:schemeClr>
                        </a:solidFill>
                        <a:latin typeface="+mn-lt"/>
                        <a:ea typeface="+mn-ea"/>
                        <a:cs typeface="+mn-cs"/>
                      </a:defRPr>
                    </a:pPr>
                    <a:r>
                      <a:t>住房保障支出1%</a:t>
                    </a:r>
                  </a:p>
                </c:rich>
              </c:tx>
              <c:dLblPos val="bestFit"/>
              <c:showLegendKey val="false"/>
              <c:showVal val="false"/>
              <c:showCatName val="true"/>
              <c:showSerName val="false"/>
              <c:showPercent val="true"/>
              <c:showBubbleSize val="false"/>
              <c:separator>
</c:separator>
              <c:extLst>
                <c:ext xmlns:c15="http://schemas.microsoft.com/office/drawing/2012/chart" uri="{CE6537A1-D6FC-4f65-9D91-7224C49458BB}">
                  <c15:layout/>
                </c:ext>
              </c:extLst>
            </c:dLbl>
            <c:numFmt formatCode="0.00%" sourceLinked="fals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false"/>
            <c:showVal val="false"/>
            <c:showCatName val="tru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[2025年决算图表数据.xlsx]一般公共预算财政拨款支出决算结构!$A$1:$A$4</c:f>
              <c:strCache>
                <c:ptCount val="4"/>
                <c:pt idx="0">
                  <c:v>一般公共服务支出</c:v>
                </c:pt>
                <c:pt idx="1">
                  <c:v>社会保障和就业支出</c:v>
                </c:pt>
                <c:pt idx="2">
                  <c:v>卫生健康支出</c:v>
                </c:pt>
                <c:pt idx="3">
                  <c:v>住房保障支出</c:v>
                </c:pt>
              </c:strCache>
            </c:strRef>
          </c:cat>
          <c:val>
            <c:numRef>
              <c:f>[2025年决算图表数据.xlsx]一般公共预算财政拨款支出决算结构!$B$1:$B$4</c:f>
              <c:numCache>
                <c:formatCode>0.00%</c:formatCode>
                <c:ptCount val="4"/>
                <c:pt idx="0">
                  <c:v>0.974</c:v>
                </c:pt>
                <c:pt idx="1">
                  <c:v>0.0114</c:v>
                </c:pt>
                <c:pt idx="2">
                  <c:v>0.0063</c:v>
                </c:pt>
                <c:pt idx="3">
                  <c:v>0.0084</c:v>
                </c:pt>
              </c:numCache>
            </c:numRef>
          </c:val>
        </c:ser>
        <c:ser>
          <c:idx val="1"/>
          <c:order val="1"/>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Pt>
            <c:idx val="2"/>
            <c:bubble3D val="false"/>
            <c:spPr>
              <a:solidFill>
                <a:schemeClr val="accent3"/>
              </a:solidFill>
              <a:ln w="19050">
                <a:solidFill>
                  <a:schemeClr val="lt1"/>
                </a:solidFill>
              </a:ln>
              <a:effectLst/>
            </c:spPr>
          </c:dPt>
          <c:dPt>
            <c:idx val="3"/>
            <c:bubble3D val="false"/>
            <c:spPr>
              <a:solidFill>
                <a:schemeClr val="accent4"/>
              </a:solidFill>
              <a:ln w="19050">
                <a:solidFill>
                  <a:schemeClr val="lt1"/>
                </a:solidFill>
              </a:ln>
              <a:effectLst/>
            </c:spPr>
          </c:dPt>
          <c:dPt>
            <c:idx val="4"/>
            <c:bubble3D val="false"/>
            <c:spPr>
              <a:solidFill>
                <a:schemeClr val="accent5"/>
              </a:solidFill>
              <a:ln w="19050">
                <a:solidFill>
                  <a:schemeClr val="lt1"/>
                </a:solidFill>
              </a:ln>
              <a:effectLst/>
            </c:spPr>
          </c:dPt>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false"/>
            <c:showVal val="false"/>
            <c:showCatName val="tru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[2025年决算图表数据.xlsx]一般公共预算财政拨款支出决算结构!$A$1:$A$4</c:f>
              <c:strCache>
                <c:ptCount val="4"/>
                <c:pt idx="0">
                  <c:v>一般公共服务支出</c:v>
                </c:pt>
                <c:pt idx="1">
                  <c:v>社会保障和就业支出</c:v>
                </c:pt>
                <c:pt idx="2">
                  <c:v>卫生健康支出</c:v>
                </c:pt>
                <c:pt idx="3">
                  <c:v>住房保障支出</c:v>
                </c:pt>
              </c:strCache>
            </c:strRef>
          </c:cat>
          <c:val>
            <c:numRef>
              <c:f>[2025年决算图表数据.xlsx]一般公共预算财政拨款支出决算结构!$C$1:$C$5</c:f>
              <c:numCache>
                <c:formatCode>_ * #,##0.00_ ;_ * \-#,##0.00_ ;_ * "-"??_ ;_ @_ </c:formatCode>
                <c:ptCount val="5"/>
                <c:pt idx="0">
                  <c:v>5776.66</c:v>
                </c:pt>
                <c:pt idx="1" c:formatCode="General">
                  <c:v>67.32</c:v>
                </c:pt>
                <c:pt idx="2" c:formatCode="General">
                  <c:v>37.18</c:v>
                </c:pt>
                <c:pt idx="3" c:formatCode="General">
                  <c:v>49.62</c:v>
                </c:pt>
                <c:pt idx="4">
                  <c:v>5930.78</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zero"/>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t>“三公”经费财政拨款支出结构</a:t>
            </a:r>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true"/>
                  <a:lstStyle/>
                  <a:p>
                    <a:pPr defTabSz="914400">
                      <a:defRPr lang="zh-CN" sz="900" b="0" i="0" u="none" strike="noStrike" kern="1200" baseline="0">
                        <a:solidFill>
                          <a:schemeClr val="tx1">
                            <a:lumMod val="75000"/>
                            <a:lumOff val="25000"/>
                          </a:schemeClr>
                        </a:solidFill>
                        <a:latin typeface="+mn-lt"/>
                        <a:ea typeface="+mn-ea"/>
                        <a:cs typeface="+mn-cs"/>
                      </a:defRPr>
                    </a:pPr>
                    <a:r>
                      <a:t>公务用车购置及运行维护费支出9</a:t>
                    </a:r>
                    <a:r>
                      <a:rPr lang="en-US" altLang="zh-CN"/>
                      <a:t>7.75</a:t>
                    </a:r>
                    <a:r>
                      <a:t>%</a:t>
                    </a:r>
                  </a:p>
                </c:rich>
              </c:tx>
              <c:dLblPos val="inEnd"/>
              <c:showLegendKey val="false"/>
              <c:showVal val="false"/>
              <c:showCatName val="true"/>
              <c:showSerName val="false"/>
              <c:showPercent val="true"/>
              <c:showBubbleSize val="false"/>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true"/>
                  <a:lstStyle/>
                  <a:p>
                    <a:pPr defTabSz="914400">
                      <a:defRPr lang="zh-CN" sz="900" b="0" i="0" u="none" strike="noStrike" kern="1200" baseline="0">
                        <a:solidFill>
                          <a:schemeClr val="tx1">
                            <a:lumMod val="75000"/>
                            <a:lumOff val="25000"/>
                          </a:schemeClr>
                        </a:solidFill>
                        <a:latin typeface="+mn-lt"/>
                        <a:ea typeface="+mn-ea"/>
                        <a:cs typeface="+mn-cs"/>
                      </a:defRPr>
                    </a:pPr>
                    <a:r>
                      <a:t>公务接待费支出2</a:t>
                    </a:r>
                    <a:r>
                      <a:rPr lang="en-US" altLang="zh-CN"/>
                      <a:t>.25</a:t>
                    </a:r>
                    <a:r>
                      <a:t>%</a:t>
                    </a:r>
                  </a:p>
                </c:rich>
              </c:tx>
              <c:dLblPos val="inEnd"/>
              <c:showLegendKey val="false"/>
              <c:showVal val="false"/>
              <c:showCatName val="true"/>
              <c:showSerName val="false"/>
              <c:showPercent val="true"/>
              <c:showBubbleSize val="false"/>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false"/>
            <c:showVal val="false"/>
            <c:showCatName val="tru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[2024年决算图表数据.xlsx]“三公”经费财政拨款支出结构!$A$1:$A$2</c:f>
              <c:strCache>
                <c:ptCount val="2"/>
                <c:pt idx="0">
                  <c:v>公务用车购置及运行维护费支出</c:v>
                </c:pt>
                <c:pt idx="1">
                  <c:v>公务接待费支出</c:v>
                </c:pt>
              </c:strCache>
            </c:strRef>
          </c:cat>
          <c:val>
            <c:numRef>
              <c:f>[2024年决算图表数据.xlsx]“三公”经费财政拨款支出结构!$B$1:$B$2</c:f>
              <c:numCache>
                <c:formatCode>0.00%</c:formatCode>
                <c:ptCount val="2"/>
                <c:pt idx="0">
                  <c:v>0.9775</c:v>
                </c:pt>
                <c:pt idx="1">
                  <c:v>0.0225</c:v>
                </c:pt>
              </c:numCache>
            </c:numRef>
          </c:val>
        </c:ser>
        <c:dLbls>
          <c:showLegendKey val="false"/>
          <c:showVal val="false"/>
          <c:showCatName val="true"/>
          <c:showSerName val="false"/>
          <c:showPercent val="true"/>
          <c:showBubbleSize val="false"/>
          <c:showLeaderLines val="true"/>
        </c:dLbls>
        <c:firstSliceAng val="0"/>
      </c:pieChart>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107">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1299</Words>
  <Characters>7410</Characters>
  <Lines>61</Lines>
  <Paragraphs>17</Paragraphs>
  <TotalTime>0</TotalTime>
  <ScaleCrop>false</ScaleCrop>
  <LinksUpToDate>false</LinksUpToDate>
  <CharactersWithSpaces>8692</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2020-08-19T09:49:00Z</dcterms:created>
  <dc:creator>曹颖</dc:creator>
  <cp:lastModifiedBy>user</cp:lastModifiedBy>
  <cp:lastPrinted>2025-08-16T17:34:00Z</cp:lastPrinted>
  <dcterms:modified xsi:type="dcterms:W3CDTF">2026-09-15T16:53:58Z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04787F2533EB45DC91BCDE4AB213247F</vt:lpwstr>
  </property>
</Properties>
</file>