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rPr>
          <w:rFonts w:hint="default" w:ascii="Times New Roman" w:hAnsi="Times New Roman" w:eastAsia="方正小标宋简体" w:cs="Times New Roman"/>
          <w:color w:val="auto"/>
          <w:kern w:val="2"/>
          <w:sz w:val="72"/>
          <w:szCs w:val="72"/>
          <w:highlight w:val="none"/>
          <w:lang w:val="en-US" w:eastAsia="zh-CN" w:bidi="ar-SA"/>
        </w:rPr>
      </w:pPr>
      <w:bookmarkStart w:id="0" w:name="_Toc15396475"/>
      <w:bookmarkStart w:id="1" w:name="_Toc15377425"/>
      <w:bookmarkStart w:id="2" w:name="_Toc15377193"/>
      <w:bookmarkStart w:id="3" w:name="_Toc15378441"/>
      <w:bookmarkStart w:id="4" w:name="_Toc15396597"/>
      <w:bookmarkStart w:id="5" w:name="_Toc15306267"/>
    </w:p>
    <w:p>
      <w:pPr>
        <w:pStyle w:val="6"/>
        <w:rPr>
          <w:rFonts w:hint="default" w:ascii="Times New Roman" w:hAnsi="Times New Roman" w:eastAsia="方正小标宋简体" w:cs="Times New Roman"/>
          <w:color w:val="auto"/>
          <w:kern w:val="2"/>
          <w:sz w:val="72"/>
          <w:szCs w:val="72"/>
          <w:highlight w:val="none"/>
          <w:lang w:val="en-US" w:eastAsia="zh-CN" w:bidi="ar-SA"/>
        </w:rPr>
      </w:pPr>
    </w:p>
    <w:p>
      <w:pPr>
        <w:pStyle w:val="6"/>
        <w:rPr>
          <w:rFonts w:hint="default" w:ascii="Times New Roman" w:hAnsi="Times New Roman" w:eastAsia="方正小标宋简体" w:cs="Times New Roman"/>
          <w:color w:val="auto"/>
          <w:kern w:val="2"/>
          <w:sz w:val="72"/>
          <w:szCs w:val="72"/>
          <w:highlight w:val="none"/>
          <w:lang w:val="en-US" w:eastAsia="zh-CN" w:bidi="ar-SA"/>
        </w:rPr>
      </w:pPr>
    </w:p>
    <w:p>
      <w:pPr>
        <w:pStyle w:val="6"/>
        <w:jc w:val="center"/>
        <w:rPr>
          <w:rFonts w:hint="default" w:ascii="Times New Roman" w:hAnsi="Times New Roman" w:eastAsia="方正小标宋简体" w:cs="Times New Roman"/>
          <w:color w:val="auto"/>
          <w:kern w:val="2"/>
          <w:sz w:val="44"/>
          <w:szCs w:val="44"/>
          <w:highlight w:val="none"/>
          <w:lang w:val="en-US" w:eastAsia="zh-CN" w:bidi="ar-SA"/>
        </w:rPr>
      </w:pPr>
      <w:r>
        <w:rPr>
          <w:rFonts w:hint="default" w:ascii="Times New Roman" w:hAnsi="Times New Roman" w:eastAsia="方正小标宋简体" w:cs="Times New Roman"/>
          <w:color w:val="auto"/>
          <w:kern w:val="2"/>
          <w:sz w:val="44"/>
          <w:szCs w:val="44"/>
          <w:highlight w:val="none"/>
          <w:lang w:val="en-US" w:eastAsia="zh-CN" w:bidi="ar-SA"/>
        </w:rPr>
        <w:t>2025年度市级部门决算公开文字说明</w:t>
      </w:r>
    </w:p>
    <w:p>
      <w:pPr>
        <w:spacing w:line="600" w:lineRule="exact"/>
        <w:jc w:val="center"/>
        <w:outlineLvl w:val="0"/>
        <w:rPr>
          <w:rFonts w:hint="default" w:ascii="Times New Roman" w:hAnsi="Times New Roman" w:eastAsia="方正小标宋简体" w:cs="Times New Roman"/>
          <w:color w:val="auto"/>
          <w:sz w:val="72"/>
          <w:szCs w:val="72"/>
          <w:highlight w:val="none"/>
        </w:rPr>
      </w:pPr>
    </w:p>
    <w:p>
      <w:pPr>
        <w:pStyle w:val="21"/>
        <w:rPr>
          <w:rFonts w:hint="default" w:ascii="Times New Roman" w:hAnsi="Times New Roman" w:cs="Times New Roman"/>
          <w:color w:val="auto"/>
        </w:rPr>
        <w:sectPr>
          <w:footerReference r:id="rId5" w:type="first"/>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p>
    <w:p>
      <w:pPr>
        <w:rPr>
          <w:rFonts w:hint="default" w:ascii="Times New Roman" w:hAnsi="Times New Roman" w:cs="Times New Roman"/>
          <w:color w:val="auto"/>
        </w:rPr>
      </w:pPr>
    </w:p>
    <w:p>
      <w:pPr>
        <w:pStyle w:val="6"/>
        <w:jc w:val="center"/>
        <w:rPr>
          <w:rFonts w:hint="default" w:ascii="Times New Roman" w:hAnsi="Times New Roman" w:eastAsia="方正小标宋简体" w:cs="Times New Roman"/>
          <w:color w:val="auto"/>
          <w:kern w:val="2"/>
          <w:sz w:val="44"/>
          <w:szCs w:val="44"/>
          <w:highlight w:val="none"/>
          <w:lang w:val="en-US" w:eastAsia="zh-CN" w:bidi="ar-SA"/>
        </w:rPr>
      </w:pPr>
    </w:p>
    <w:p>
      <w:pPr>
        <w:pStyle w:val="6"/>
        <w:jc w:val="center"/>
        <w:rPr>
          <w:rFonts w:hint="default" w:ascii="Times New Roman" w:hAnsi="Times New Roman" w:eastAsia="方正小标宋简体" w:cs="Times New Roman"/>
          <w:color w:val="auto"/>
          <w:kern w:val="2"/>
          <w:sz w:val="44"/>
          <w:szCs w:val="44"/>
          <w:highlight w:val="none"/>
          <w:lang w:val="en-US" w:eastAsia="zh-CN" w:bidi="ar-SA"/>
        </w:rPr>
      </w:pPr>
    </w:p>
    <w:p>
      <w:pPr>
        <w:pStyle w:val="6"/>
        <w:jc w:val="center"/>
        <w:rPr>
          <w:rFonts w:hint="default" w:ascii="Times New Roman" w:hAnsi="Times New Roman" w:eastAsia="方正小标宋简体" w:cs="Times New Roman"/>
          <w:color w:val="auto"/>
          <w:kern w:val="2"/>
          <w:sz w:val="44"/>
          <w:szCs w:val="44"/>
          <w:highlight w:val="none"/>
          <w:lang w:val="en-US" w:eastAsia="zh-CN" w:bidi="ar-SA"/>
        </w:rPr>
      </w:pPr>
    </w:p>
    <w:p>
      <w:pPr>
        <w:pStyle w:val="6"/>
        <w:jc w:val="center"/>
        <w:rPr>
          <w:rFonts w:hint="default"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pPr>
        <w:pStyle w:val="6"/>
        <w:jc w:val="center"/>
        <w:rPr>
          <w:rFonts w:hint="default" w:ascii="Times New Roman" w:hAnsi="Times New Roman" w:eastAsia="方正小标宋简体" w:cs="Times New Roman"/>
          <w:color w:val="auto"/>
          <w:kern w:val="2"/>
          <w:sz w:val="44"/>
          <w:szCs w:val="44"/>
          <w:highlight w:val="none"/>
          <w:lang w:val="en-US" w:eastAsia="zh-CN" w:bidi="ar-SA"/>
        </w:rPr>
      </w:pPr>
      <w:bookmarkStart w:id="6" w:name="_Toc15378442"/>
      <w:bookmarkStart w:id="7" w:name="_Toc15396598"/>
      <w:bookmarkStart w:id="8" w:name="_Toc15377194"/>
      <w:bookmarkStart w:id="9" w:name="_Toc15377426"/>
      <w:bookmarkStart w:id="10" w:name="_Toc15396476"/>
      <w:r>
        <w:rPr>
          <w:rFonts w:hint="default" w:ascii="Times New Roman" w:hAnsi="Times New Roman" w:eastAsia="方正小标宋简体" w:cs="Times New Roman"/>
          <w:color w:val="auto"/>
          <w:kern w:val="2"/>
          <w:sz w:val="44"/>
          <w:szCs w:val="44"/>
          <w:highlight w:val="none"/>
          <w:lang w:val="en-US" w:eastAsia="zh-CN" w:bidi="ar-SA"/>
        </w:rPr>
        <w:t>2025年度</w:t>
      </w:r>
      <w:bookmarkEnd w:id="5"/>
      <w:bookmarkStart w:id="11" w:name="_Toc15306268"/>
      <w:r>
        <w:rPr>
          <w:rFonts w:hint="default" w:ascii="Times New Roman" w:hAnsi="Times New Roman" w:eastAsia="方正小标宋简体" w:cs="Times New Roman"/>
          <w:color w:val="auto"/>
          <w:kern w:val="2"/>
          <w:sz w:val="44"/>
          <w:szCs w:val="44"/>
          <w:highlight w:val="none"/>
          <w:lang w:val="en-US" w:eastAsia="zh-CN" w:bidi="ar-SA"/>
        </w:rPr>
        <w:t>攀枝花市机关事务服务中心</w:t>
      </w:r>
    </w:p>
    <w:p>
      <w:pPr>
        <w:pStyle w:val="6"/>
        <w:jc w:val="center"/>
        <w:rPr>
          <w:rFonts w:hint="default" w:ascii="Times New Roman" w:hAnsi="Times New Roman" w:eastAsia="方正小标宋简体" w:cs="Times New Roman"/>
          <w:color w:val="auto"/>
          <w:kern w:val="2"/>
          <w:sz w:val="44"/>
          <w:szCs w:val="44"/>
          <w:highlight w:val="none"/>
          <w:lang w:val="en-US" w:eastAsia="zh-CN" w:bidi="ar-SA"/>
        </w:rPr>
      </w:pPr>
      <w:r>
        <w:rPr>
          <w:rFonts w:hint="default"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pPr>
        <w:pStyle w:val="6"/>
        <w:jc w:val="both"/>
        <w:rPr>
          <w:rFonts w:hint="default" w:ascii="Times New Roman" w:hAnsi="Times New Roman" w:eastAsia="方正小标宋简体" w:cs="Times New Roman"/>
          <w:color w:val="auto"/>
          <w:kern w:val="2"/>
          <w:sz w:val="44"/>
          <w:szCs w:val="44"/>
          <w:highlight w:val="none"/>
          <w:lang w:val="en-US" w:eastAsia="zh-CN" w:bidi="ar-SA"/>
        </w:rPr>
        <w:sectPr>
          <w:footerReference r:id="rId7" w:type="first"/>
          <w:footerReference r:id="rId6" w:type="default"/>
          <w:pgSz w:w="11906" w:h="16838"/>
          <w:pgMar w:top="1440" w:right="1800" w:bottom="1440" w:left="1800" w:header="851" w:footer="992" w:gutter="0"/>
          <w:pgNumType w:fmt="numberInDash" w:start="1"/>
          <w:cols w:space="425" w:num="1"/>
          <w:titlePg/>
          <w:docGrid w:type="lines" w:linePitch="312" w:charSpace="0"/>
        </w:sectPr>
      </w:pPr>
    </w:p>
    <w:p>
      <w:pPr>
        <w:widowControl/>
        <w:jc w:val="center"/>
        <w:rPr>
          <w:rFonts w:hint="default" w:ascii="Times New Roman" w:hAnsi="Times New Roman" w:eastAsia="黑体" w:cs="Times New Roman"/>
          <w:color w:val="auto"/>
          <w:sz w:val="48"/>
          <w:szCs w:val="48"/>
          <w:highlight w:val="none"/>
        </w:rPr>
      </w:pPr>
      <w:r>
        <w:rPr>
          <w:rFonts w:hint="default" w:ascii="Times New Roman" w:hAnsi="Times New Roman" w:eastAsia="黑体" w:cs="Times New Roman"/>
          <w:color w:val="auto"/>
          <w:sz w:val="48"/>
          <w:szCs w:val="48"/>
          <w:highlight w:val="none"/>
        </w:rPr>
        <w:t>目录</w:t>
      </w:r>
    </w:p>
    <w:p>
      <w:pPr>
        <w:widowControl/>
        <w:jc w:val="center"/>
        <w:rPr>
          <w:rFonts w:hint="default" w:ascii="Times New Roman" w:hAnsi="Times New Roman" w:eastAsia="黑体" w:cs="Times New Roman"/>
          <w:color w:val="auto"/>
          <w:sz w:val="28"/>
          <w:szCs w:val="28"/>
          <w:highlight w:val="none"/>
        </w:rPr>
      </w:pP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center"/>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公开时间：</w:t>
      </w:r>
      <w:r>
        <w:rPr>
          <w:rFonts w:hint="default" w:ascii="Times New Roman" w:hAnsi="Times New Roman" w:eastAsia="仿宋_GB2312" w:cs="Times New Roman"/>
          <w:color w:val="auto"/>
          <w:sz w:val="32"/>
          <w:szCs w:val="32"/>
          <w:highlight w:val="none"/>
          <w:lang w:val="en-US" w:eastAsia="zh-CN"/>
        </w:rPr>
        <w:t>202</w:t>
      </w:r>
      <w:r>
        <w:rPr>
          <w:rFonts w:hint="eastAsia" w:ascii="Times New Roman" w:hAnsi="Times New Roman"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lang w:eastAsia="zh-CN"/>
        </w:rPr>
        <w:t>年</w:t>
      </w:r>
      <w:r>
        <w:rPr>
          <w:rFonts w:hint="default" w:ascii="Times New Roman" w:hAnsi="Times New Roman" w:eastAsia="仿宋_GB2312" w:cs="Times New Roman"/>
          <w:color w:val="auto"/>
          <w:sz w:val="32"/>
          <w:szCs w:val="32"/>
          <w:highlight w:val="none"/>
          <w:lang w:val="en-US" w:eastAsia="zh-CN"/>
        </w:rPr>
        <w:t>9</w:t>
      </w:r>
      <w:r>
        <w:rPr>
          <w:rFonts w:hint="default" w:ascii="Times New Roman" w:hAnsi="Times New Roman" w:eastAsia="仿宋_GB2312" w:cs="Times New Roman"/>
          <w:color w:val="auto"/>
          <w:sz w:val="32"/>
          <w:szCs w:val="32"/>
          <w:highlight w:val="none"/>
          <w:lang w:eastAsia="zh-CN"/>
        </w:rPr>
        <w:t>月</w:t>
      </w:r>
      <w:r>
        <w:rPr>
          <w:rFonts w:hint="eastAsia" w:eastAsia="仿宋_GB2312" w:cs="Times New Roman"/>
          <w:color w:val="auto"/>
          <w:sz w:val="32"/>
          <w:szCs w:val="32"/>
          <w:highlight w:val="none"/>
          <w:lang w:val="en-US" w:eastAsia="zh-CN"/>
        </w:rPr>
        <w:t>15</w:t>
      </w:r>
      <w:r>
        <w:rPr>
          <w:rFonts w:hint="default" w:ascii="Times New Roman" w:hAnsi="Times New Roman" w:eastAsia="仿宋_GB2312" w:cs="Times New Roman"/>
          <w:color w:val="auto"/>
          <w:sz w:val="32"/>
          <w:szCs w:val="32"/>
          <w:highlight w:val="none"/>
          <w:lang w:eastAsia="zh-CN"/>
        </w:rPr>
        <w:t>日</w:t>
      </w:r>
    </w:p>
    <w:p>
      <w:pPr>
        <w:rPr>
          <w:rFonts w:hint="default" w:ascii="Times New Roman" w:hAnsi="Times New Roman" w:cs="Times New Roman"/>
          <w:color w:val="auto"/>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rPr>
        <w:t>第一部分 部门概况</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lang w:val="en-US" w:eastAsia="zh-CN"/>
        </w:rPr>
        <w:t>3</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一、</w:t>
      </w:r>
      <w:r>
        <w:rPr>
          <w:rFonts w:hint="default" w:ascii="Times New Roman" w:hAnsi="Times New Roman" w:eastAsia="仿宋_GB2312" w:cs="Times New Roman"/>
          <w:color w:val="auto"/>
          <w:sz w:val="32"/>
          <w:szCs w:val="32"/>
          <w:highlight w:val="none"/>
          <w:lang w:eastAsia="zh-CN"/>
        </w:rPr>
        <w:t>部门职责</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lang w:val="en-US" w:eastAsia="zh-CN"/>
        </w:rPr>
        <w:t>3</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二、机构设置</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lang w:val="en-US" w:eastAsia="zh-CN"/>
        </w:rPr>
        <w:t>3</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rPr>
        <w:t>第二部分</w:t>
      </w:r>
      <w:r>
        <w:rPr>
          <w:rFonts w:hint="default" w:ascii="Times New Roman" w:hAnsi="Times New Roman" w:eastAsia="黑体" w:cs="Times New Roman"/>
          <w:color w:val="auto"/>
          <w:sz w:val="32"/>
          <w:szCs w:val="32"/>
          <w:highlight w:val="none"/>
          <w:lang w:val="en-US" w:eastAsia="zh-CN"/>
        </w:rPr>
        <w:t xml:space="preserve"> 2025年度</w:t>
      </w:r>
      <w:r>
        <w:rPr>
          <w:rFonts w:hint="default" w:ascii="Times New Roman" w:hAnsi="Times New Roman" w:eastAsia="黑体" w:cs="Times New Roman"/>
          <w:color w:val="auto"/>
          <w:sz w:val="32"/>
          <w:szCs w:val="32"/>
          <w:highlight w:val="none"/>
        </w:rPr>
        <w:t>部门决算情况说明</w:t>
      </w:r>
      <w:r>
        <w:rPr>
          <w:rFonts w:hint="default" w:ascii="Times New Roman" w:hAnsi="Times New Roman" w:cs="Times New Roman"/>
          <w:color w:val="auto"/>
          <w:sz w:val="24"/>
          <w:szCs w:val="24"/>
        </w:rPr>
        <w:tab/>
      </w:r>
      <w:r>
        <w:rPr>
          <w:rFonts w:hint="eastAsia" w:ascii="Times New Roman" w:hAnsi="Times New Roman" w:cs="Times New Roman"/>
          <w:color w:val="auto"/>
          <w:sz w:val="24"/>
          <w:szCs w:val="24"/>
          <w:lang w:val="en-US" w:eastAsia="zh-CN"/>
        </w:rPr>
        <w:t>3</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一、收入支出决算总体情况说明</w:t>
      </w:r>
      <w:r>
        <w:rPr>
          <w:rFonts w:hint="default" w:ascii="Times New Roman" w:hAnsi="Times New Roman" w:cs="Times New Roman"/>
          <w:color w:val="auto"/>
          <w:sz w:val="24"/>
          <w:szCs w:val="24"/>
        </w:rPr>
        <w:tab/>
      </w:r>
      <w:r>
        <w:rPr>
          <w:rFonts w:hint="eastAsia" w:cs="Times New Roman"/>
          <w:color w:val="auto"/>
          <w:sz w:val="24"/>
          <w:szCs w:val="24"/>
          <w:lang w:val="en-US" w:eastAsia="zh-CN"/>
        </w:rPr>
        <w:t>3</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二、收入决算情况说明</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lang w:val="en-US" w:eastAsia="zh-CN"/>
        </w:rPr>
        <w:t>4</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三、支出决算情况说明</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lang w:val="en-US" w:eastAsia="zh-CN"/>
        </w:rPr>
        <w:t>5</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四、财政拨款收入支出决算总体情况说明</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lang w:val="en-US" w:eastAsia="zh-CN"/>
        </w:rPr>
        <w:t>5</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五、一般公共预算财政拨款支出决算情况说明</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lang w:val="en-US" w:eastAsia="zh-CN"/>
        </w:rPr>
        <w:t>6</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六、一般公共预算财政拨款基本支出决算情况说明</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lang w:val="en-US" w:eastAsia="zh-CN"/>
        </w:rPr>
        <w:t>9</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七、财政拨款</w:t>
      </w:r>
      <w:r>
        <w:rPr>
          <w:rFonts w:hint="eastAsia"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三公</w:t>
      </w:r>
      <w:r>
        <w:rPr>
          <w:rFonts w:hint="eastAsia"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经费支出决算情况说明</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lang w:val="en-US" w:eastAsia="zh-CN"/>
        </w:rPr>
        <w:t>10</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八、政府性基金预算支出决算情况说明</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lang w:val="en-US" w:eastAsia="zh-CN"/>
        </w:rPr>
        <w:t>12</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九、</w:t>
      </w:r>
      <w:r>
        <w:rPr>
          <w:rFonts w:hint="default" w:ascii="Times New Roman" w:hAnsi="Times New Roman" w:eastAsia="仿宋_GB2312" w:cs="Times New Roman"/>
          <w:color w:val="auto"/>
          <w:sz w:val="32"/>
          <w:szCs w:val="32"/>
          <w:highlight w:val="none"/>
          <w:lang w:eastAsia="zh-CN"/>
        </w:rPr>
        <w:t>国</w:t>
      </w:r>
      <w:r>
        <w:rPr>
          <w:rFonts w:hint="default" w:ascii="Times New Roman" w:hAnsi="Times New Roman" w:eastAsia="仿宋_GB2312" w:cs="Times New Roman"/>
          <w:color w:val="auto"/>
          <w:sz w:val="32"/>
          <w:szCs w:val="32"/>
          <w:highlight w:val="none"/>
        </w:rPr>
        <w:t>有资本经营预算支出决算情况说明</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lang w:val="en-US" w:eastAsia="zh-CN"/>
        </w:rPr>
        <w:t>12</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eastAsia="zh-CN"/>
        </w:rPr>
        <w:t>十</w:t>
      </w:r>
      <w:r>
        <w:rPr>
          <w:rFonts w:hint="default" w:ascii="Times New Roman" w:hAnsi="Times New Roman" w:eastAsia="仿宋_GB2312" w:cs="Times New Roman"/>
          <w:color w:val="auto"/>
          <w:sz w:val="32"/>
          <w:szCs w:val="32"/>
          <w:highlight w:val="none"/>
        </w:rPr>
        <w:t>、其他重要事项的情况说明</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lang w:val="en-US" w:eastAsia="zh-CN"/>
        </w:rPr>
        <w:t>1</w:t>
      </w:r>
      <w:r>
        <w:rPr>
          <w:rFonts w:hint="eastAsia" w:cs="Times New Roman"/>
          <w:color w:val="auto"/>
          <w:sz w:val="24"/>
          <w:szCs w:val="24"/>
          <w:lang w:val="en-US" w:eastAsia="zh-CN"/>
        </w:rPr>
        <w:t>2</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rPr>
        <w:t>第三部分 名词解释</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lang w:val="en-US" w:eastAsia="zh-CN"/>
        </w:rPr>
        <w:t>15</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rPr>
        <w:t>第四部分 附件</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lang w:val="en-US" w:eastAsia="zh-CN"/>
        </w:rPr>
        <w:t>18</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rPr>
        <w:t>第五部分 附表</w:t>
      </w:r>
      <w:r>
        <w:rPr>
          <w:rFonts w:hint="default" w:ascii="Times New Roman" w:hAnsi="Times New Roman" w:cs="Times New Roman"/>
          <w:color w:val="auto"/>
          <w:sz w:val="24"/>
          <w:szCs w:val="24"/>
        </w:rPr>
        <w:tab/>
      </w:r>
      <w:r>
        <w:rPr>
          <w:rFonts w:hint="eastAsia" w:ascii="Times New Roman" w:hAnsi="Times New Roman" w:cs="Times New Roman"/>
          <w:color w:val="auto"/>
          <w:sz w:val="24"/>
          <w:szCs w:val="24"/>
          <w:lang w:val="en-US" w:eastAsia="zh-CN"/>
        </w:rPr>
        <w:t>38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一、收入支出决算总表</w:t>
      </w:r>
      <w:r>
        <w:rPr>
          <w:rFonts w:hint="default" w:ascii="Times New Roman" w:hAnsi="Times New Roman" w:cs="Times New Roman"/>
          <w:color w:val="auto"/>
          <w:sz w:val="24"/>
          <w:szCs w:val="24"/>
        </w:rPr>
        <w:tab/>
      </w:r>
      <w:r>
        <w:rPr>
          <w:rFonts w:hint="eastAsia" w:cs="Times New Roman"/>
          <w:color w:val="auto"/>
          <w:sz w:val="24"/>
          <w:szCs w:val="24"/>
          <w:lang w:val="en-US" w:eastAsia="zh-CN"/>
        </w:rPr>
        <w:t>38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二、收入决算表</w:t>
      </w:r>
      <w:r>
        <w:rPr>
          <w:rFonts w:hint="default" w:ascii="Times New Roman" w:hAnsi="Times New Roman" w:cs="Times New Roman"/>
          <w:color w:val="auto"/>
          <w:sz w:val="24"/>
          <w:szCs w:val="24"/>
        </w:rPr>
        <w:tab/>
      </w:r>
      <w:r>
        <w:rPr>
          <w:rFonts w:hint="eastAsia" w:cs="Times New Roman"/>
          <w:color w:val="auto"/>
          <w:sz w:val="24"/>
          <w:szCs w:val="24"/>
          <w:lang w:val="en-US" w:eastAsia="zh-CN"/>
        </w:rPr>
        <w:t>38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三、支出决算表</w:t>
      </w:r>
      <w:r>
        <w:rPr>
          <w:rFonts w:hint="default" w:ascii="Times New Roman" w:hAnsi="Times New Roman" w:cs="Times New Roman"/>
          <w:color w:val="auto"/>
          <w:sz w:val="24"/>
          <w:szCs w:val="24"/>
        </w:rPr>
        <w:tab/>
      </w:r>
      <w:r>
        <w:rPr>
          <w:rFonts w:hint="eastAsia" w:cs="Times New Roman"/>
          <w:color w:val="auto"/>
          <w:sz w:val="24"/>
          <w:szCs w:val="24"/>
          <w:lang w:val="en-US" w:eastAsia="zh-CN"/>
        </w:rPr>
        <w:t>38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四、财政拨款收入支出决算总表</w:t>
      </w:r>
      <w:r>
        <w:rPr>
          <w:rFonts w:hint="default" w:ascii="Times New Roman" w:hAnsi="Times New Roman" w:cs="Times New Roman"/>
          <w:color w:val="auto"/>
          <w:sz w:val="24"/>
          <w:szCs w:val="24"/>
        </w:rPr>
        <w:tab/>
      </w:r>
      <w:r>
        <w:rPr>
          <w:rFonts w:hint="eastAsia" w:cs="Times New Roman"/>
          <w:color w:val="auto"/>
          <w:sz w:val="24"/>
          <w:szCs w:val="24"/>
          <w:lang w:val="en-US" w:eastAsia="zh-CN"/>
        </w:rPr>
        <w:t>38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五、财政拨款支出决算明细表</w:t>
      </w:r>
      <w:r>
        <w:rPr>
          <w:rFonts w:hint="default" w:ascii="Times New Roman" w:hAnsi="Times New Roman" w:cs="Times New Roman"/>
          <w:color w:val="auto"/>
          <w:sz w:val="24"/>
          <w:szCs w:val="24"/>
        </w:rPr>
        <w:tab/>
      </w:r>
      <w:r>
        <w:rPr>
          <w:rFonts w:hint="eastAsia" w:cs="Times New Roman"/>
          <w:color w:val="auto"/>
          <w:sz w:val="24"/>
          <w:szCs w:val="24"/>
          <w:lang w:val="en-US" w:eastAsia="zh-CN"/>
        </w:rPr>
        <w:t>38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六、一般公共预算财政拨款支出决算表</w:t>
      </w:r>
      <w:r>
        <w:rPr>
          <w:rFonts w:hint="default" w:ascii="Times New Roman" w:hAnsi="Times New Roman" w:cs="Times New Roman"/>
          <w:color w:val="auto"/>
          <w:sz w:val="24"/>
          <w:szCs w:val="24"/>
        </w:rPr>
        <w:tab/>
      </w:r>
      <w:r>
        <w:rPr>
          <w:rFonts w:hint="eastAsia" w:cs="Times New Roman"/>
          <w:color w:val="auto"/>
          <w:sz w:val="24"/>
          <w:szCs w:val="24"/>
          <w:lang w:val="en-US" w:eastAsia="zh-CN"/>
        </w:rPr>
        <w:t>38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七、一般公共预算财政拨款支出决算明细表</w:t>
      </w:r>
      <w:r>
        <w:rPr>
          <w:rFonts w:hint="default" w:ascii="Times New Roman" w:hAnsi="Times New Roman" w:cs="Times New Roman"/>
          <w:color w:val="auto"/>
          <w:sz w:val="24"/>
          <w:szCs w:val="24"/>
        </w:rPr>
        <w:tab/>
      </w:r>
      <w:r>
        <w:rPr>
          <w:rFonts w:hint="eastAsia" w:cs="Times New Roman"/>
          <w:color w:val="auto"/>
          <w:sz w:val="24"/>
          <w:szCs w:val="24"/>
          <w:lang w:val="en-US" w:eastAsia="zh-CN"/>
        </w:rPr>
        <w:t>38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八、一般公共预算财政拨款基本支出决算</w:t>
      </w:r>
      <w:r>
        <w:rPr>
          <w:rFonts w:hint="default" w:ascii="Times New Roman" w:hAnsi="Times New Roman" w:eastAsia="仿宋_GB2312" w:cs="Times New Roman"/>
          <w:color w:val="auto"/>
          <w:sz w:val="32"/>
          <w:szCs w:val="32"/>
          <w:highlight w:val="none"/>
          <w:lang w:eastAsia="zh-CN"/>
        </w:rPr>
        <w:t>明细</w:t>
      </w:r>
      <w:r>
        <w:rPr>
          <w:rFonts w:hint="default" w:ascii="Times New Roman" w:hAnsi="Times New Roman" w:eastAsia="仿宋_GB2312" w:cs="Times New Roman"/>
          <w:color w:val="auto"/>
          <w:sz w:val="32"/>
          <w:szCs w:val="32"/>
          <w:highlight w:val="none"/>
        </w:rPr>
        <w:t>表</w:t>
      </w:r>
      <w:r>
        <w:rPr>
          <w:rFonts w:hint="default" w:ascii="Times New Roman" w:hAnsi="Times New Roman" w:cs="Times New Roman"/>
          <w:color w:val="auto"/>
          <w:sz w:val="24"/>
          <w:szCs w:val="24"/>
        </w:rPr>
        <w:tab/>
      </w:r>
      <w:r>
        <w:rPr>
          <w:rFonts w:hint="eastAsia" w:cs="Times New Roman"/>
          <w:color w:val="auto"/>
          <w:sz w:val="24"/>
          <w:szCs w:val="24"/>
          <w:lang w:val="en-US" w:eastAsia="zh-CN"/>
        </w:rPr>
        <w:t>38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九、一般公共预算财政拨款项目支出决算表</w:t>
      </w:r>
      <w:r>
        <w:rPr>
          <w:rFonts w:hint="default" w:ascii="Times New Roman" w:hAnsi="Times New Roman" w:cs="Times New Roman"/>
          <w:color w:val="auto"/>
          <w:sz w:val="24"/>
          <w:szCs w:val="24"/>
        </w:rPr>
        <w:tab/>
      </w:r>
      <w:r>
        <w:rPr>
          <w:rFonts w:hint="eastAsia" w:cs="Times New Roman"/>
          <w:color w:val="auto"/>
          <w:sz w:val="24"/>
          <w:szCs w:val="24"/>
          <w:lang w:val="en-US" w:eastAsia="zh-CN"/>
        </w:rPr>
        <w:t>38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十、政府性基金预算财政拨款收入支出决算表</w:t>
      </w:r>
      <w:r>
        <w:rPr>
          <w:rFonts w:hint="default" w:ascii="Times New Roman" w:hAnsi="Times New Roman" w:cs="Times New Roman"/>
          <w:color w:val="auto"/>
          <w:sz w:val="24"/>
          <w:szCs w:val="24"/>
        </w:rPr>
        <w:tab/>
      </w:r>
      <w:r>
        <w:rPr>
          <w:rFonts w:hint="eastAsia" w:cs="Times New Roman"/>
          <w:color w:val="auto"/>
          <w:sz w:val="24"/>
          <w:szCs w:val="24"/>
          <w:lang w:val="en-US" w:eastAsia="zh-CN"/>
        </w:rPr>
        <w:t>38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十一、国有资本经营预算财政拨款收入支出决算表</w:t>
      </w:r>
      <w:r>
        <w:rPr>
          <w:rFonts w:hint="default" w:ascii="Times New Roman" w:hAnsi="Times New Roman" w:cs="Times New Roman"/>
          <w:color w:val="auto"/>
          <w:sz w:val="24"/>
          <w:szCs w:val="24"/>
        </w:rPr>
        <w:tab/>
      </w:r>
      <w:r>
        <w:rPr>
          <w:rFonts w:hint="eastAsia" w:cs="Times New Roman"/>
          <w:color w:val="auto"/>
          <w:sz w:val="24"/>
          <w:szCs w:val="24"/>
          <w:lang w:val="en-US" w:eastAsia="zh-CN"/>
        </w:rPr>
        <w:t>38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十二、</w:t>
      </w:r>
      <w:r>
        <w:rPr>
          <w:rFonts w:hint="default" w:ascii="Times New Roman" w:hAnsi="Times New Roman" w:eastAsia="仿宋_GB2312" w:cs="Times New Roman"/>
          <w:color w:val="auto"/>
          <w:sz w:val="32"/>
          <w:szCs w:val="32"/>
          <w:highlight w:val="none"/>
          <w:lang w:val="en-US" w:eastAsia="zh-CN"/>
        </w:rPr>
        <w:t>国有资本经营预算财政拨款支出决算表</w:t>
      </w:r>
      <w:r>
        <w:rPr>
          <w:rFonts w:hint="default" w:ascii="Times New Roman" w:hAnsi="Times New Roman" w:cs="Times New Roman"/>
          <w:color w:val="auto"/>
          <w:sz w:val="24"/>
          <w:szCs w:val="24"/>
        </w:rPr>
        <w:tab/>
      </w:r>
      <w:r>
        <w:rPr>
          <w:rFonts w:hint="eastAsia" w:cs="Times New Roman"/>
          <w:color w:val="auto"/>
          <w:sz w:val="24"/>
          <w:szCs w:val="24"/>
          <w:lang w:val="en-US" w:eastAsia="zh-CN"/>
        </w:rPr>
        <w:t>38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十三、财政拨款</w:t>
      </w:r>
      <w:r>
        <w:rPr>
          <w:rFonts w:hint="eastAsia"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三公</w:t>
      </w:r>
      <w:r>
        <w:rPr>
          <w:rFonts w:hint="eastAsia"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经费支出决算表</w:t>
      </w:r>
      <w:r>
        <w:rPr>
          <w:rFonts w:hint="default" w:ascii="Times New Roman" w:hAnsi="Times New Roman" w:cs="Times New Roman"/>
          <w:color w:val="auto"/>
          <w:sz w:val="24"/>
          <w:szCs w:val="24"/>
        </w:rPr>
        <w:tab/>
      </w:r>
      <w:r>
        <w:rPr>
          <w:rFonts w:hint="eastAsia" w:cs="Times New Roman"/>
          <w:color w:val="auto"/>
          <w:sz w:val="24"/>
          <w:szCs w:val="24"/>
          <w:lang w:val="en-US" w:eastAsia="zh-CN"/>
        </w:rPr>
        <w:t>38</w:t>
      </w:r>
    </w:p>
    <w:p>
      <w:pPr>
        <w:keepNext w:val="0"/>
        <w:keepLines w:val="0"/>
        <w:pageBreakBefore w:val="0"/>
        <w:widowControl/>
        <w:kinsoku/>
        <w:wordWrap/>
        <w:overflowPunct/>
        <w:topLinePunct w:val="0"/>
        <w:autoSpaceDE/>
        <w:autoSpaceDN/>
        <w:bidi w:val="0"/>
        <w:spacing w:line="560" w:lineRule="exact"/>
        <w:jc w:val="left"/>
        <w:textAlignment w:val="auto"/>
        <w:rPr>
          <w:rFonts w:hint="default" w:ascii="Times New Roman" w:hAnsi="Times New Roman" w:eastAsia="仿宋_GB2312" w:cs="Times New Roman"/>
          <w:bCs/>
          <w:color w:val="auto"/>
          <w:kern w:val="44"/>
          <w:sz w:val="32"/>
          <w:szCs w:val="32"/>
          <w:highlight w:val="none"/>
        </w:rPr>
      </w:pPr>
      <w:bookmarkStart w:id="12" w:name="_Toc15377196"/>
      <w:bookmarkStart w:id="13" w:name="_Toc15396599"/>
      <w:r>
        <w:rPr>
          <w:rFonts w:hint="default" w:ascii="Times New Roman" w:hAnsi="Times New Roman" w:eastAsia="仿宋_GB2312" w:cs="Times New Roman"/>
          <w:b/>
          <w:color w:val="auto"/>
          <w:sz w:val="32"/>
          <w:szCs w:val="32"/>
          <w:highlight w:val="none"/>
        </w:rPr>
        <w:br w:type="page"/>
      </w:r>
    </w:p>
    <w:p>
      <w:pPr>
        <w:pStyle w:val="3"/>
        <w:jc w:val="center"/>
        <w:rPr>
          <w:rStyle w:val="30"/>
          <w:rFonts w:hint="default" w:ascii="Times New Roman" w:hAnsi="Times New Roman" w:eastAsia="方正小标宋简体" w:cs="Times New Roman"/>
          <w:b/>
          <w:bCs w:val="0"/>
          <w:color w:val="auto"/>
          <w:highlight w:val="none"/>
        </w:rPr>
      </w:pPr>
      <w:r>
        <w:rPr>
          <w:rFonts w:hint="eastAsia" w:eastAsia="方正小标宋简体" w:cs="Times New Roman"/>
          <w:b w:val="0"/>
          <w:color w:val="auto"/>
          <w:highlight w:val="none"/>
          <w:lang w:val="en-US" w:eastAsia="zh-CN"/>
        </w:rPr>
        <w:t xml:space="preserve">  </w:t>
      </w:r>
      <w:bookmarkStart w:id="68" w:name="_GoBack"/>
      <w:r>
        <w:rPr>
          <w:rFonts w:hint="default" w:ascii="Times New Roman" w:hAnsi="Times New Roman" w:eastAsia="方正小标宋简体" w:cs="Times New Roman"/>
          <w:b w:val="0"/>
          <w:color w:val="auto"/>
          <w:highlight w:val="none"/>
        </w:rPr>
        <w:t>第一部分</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 xml:space="preserve"> </w:t>
      </w:r>
      <w:r>
        <w:rPr>
          <w:rStyle w:val="30"/>
          <w:rFonts w:hint="default" w:ascii="Times New Roman" w:hAnsi="Times New Roman" w:eastAsia="方正小标宋简体" w:cs="Times New Roman"/>
          <w:b w:val="0"/>
          <w:bCs w:val="0"/>
          <w:color w:val="auto"/>
          <w:highlight w:val="none"/>
        </w:rPr>
        <w:t>部门概况</w:t>
      </w:r>
      <w:bookmarkEnd w:id="12"/>
      <w:bookmarkEnd w:id="13"/>
    </w:p>
    <w:p>
      <w:pPr>
        <w:widowControl/>
        <w:jc w:val="left"/>
        <w:rPr>
          <w:rFonts w:hint="default" w:ascii="Times New Roman" w:hAnsi="Times New Roman" w:eastAsia="黑体" w:cs="Times New Roman"/>
          <w:color w:val="auto"/>
          <w:sz w:val="32"/>
          <w:szCs w:val="32"/>
          <w:highlight w:val="none"/>
        </w:rPr>
      </w:pPr>
    </w:p>
    <w:p>
      <w:pPr>
        <w:pStyle w:val="4"/>
        <w:keepNext/>
        <w:keepLines/>
        <w:pageBreakBefore w:val="0"/>
        <w:widowControl w:val="0"/>
        <w:numPr>
          <w:ilvl w:val="0"/>
          <w:numId w:val="1"/>
        </w:numPr>
        <w:kinsoku/>
        <w:wordWrap/>
        <w:overflowPunct/>
        <w:topLinePunct w:val="0"/>
        <w:autoSpaceDE/>
        <w:autoSpaceDN/>
        <w:bidi w:val="0"/>
        <w:adjustRightInd/>
        <w:snapToGrid/>
        <w:spacing w:line="416" w:lineRule="auto"/>
        <w:ind w:firstLine="640" w:firstLineChars="200"/>
        <w:textAlignment w:val="auto"/>
        <w:rPr>
          <w:rFonts w:hint="default" w:ascii="Times New Roman" w:hAnsi="Times New Roman" w:eastAsia="黑体" w:cs="Times New Roman"/>
          <w:b w:val="0"/>
          <w:color w:val="auto"/>
          <w:highlight w:val="none"/>
          <w:lang w:eastAsia="zh-CN"/>
        </w:rPr>
      </w:pPr>
      <w:r>
        <w:rPr>
          <w:rFonts w:hint="default" w:ascii="Times New Roman" w:hAnsi="Times New Roman" w:eastAsia="黑体" w:cs="Times New Roman"/>
          <w:b w:val="0"/>
          <w:color w:val="auto"/>
          <w:highlight w:val="none"/>
          <w:lang w:eastAsia="zh-CN"/>
        </w:rPr>
        <w:t>部门职责</w:t>
      </w:r>
    </w:p>
    <w:p>
      <w:pPr>
        <w:pStyle w:val="4"/>
        <w:keepNext/>
        <w:keepLines/>
        <w:pageBreakBefore w:val="0"/>
        <w:widowControl w:val="0"/>
        <w:numPr>
          <w:ilvl w:val="0"/>
          <w:numId w:val="2"/>
        </w:numPr>
        <w:kinsoku/>
        <w:wordWrap/>
        <w:overflowPunct/>
        <w:topLinePunct w:val="0"/>
        <w:autoSpaceDE/>
        <w:autoSpaceDN/>
        <w:bidi w:val="0"/>
        <w:adjustRightInd/>
        <w:snapToGrid/>
        <w:spacing w:line="416" w:lineRule="auto"/>
        <w:ind w:firstLine="640" w:firstLineChars="200"/>
        <w:textAlignment w:val="auto"/>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市机关事务服务中心职能职责是：负责市级党政机关（含参照公务员法管理的事业单位）的房地产管理、房地产租用及大中型维修改造的审批、闲置房地产处置和全市公务用车日常管理、全市公共机构节能管理等工作。</w:t>
      </w:r>
    </w:p>
    <w:p>
      <w:pPr>
        <w:pStyle w:val="4"/>
        <w:keepNext/>
        <w:keepLines/>
        <w:pageBreakBefore w:val="0"/>
        <w:widowControl w:val="0"/>
        <w:numPr>
          <w:ilvl w:val="0"/>
          <w:numId w:val="0"/>
        </w:numPr>
        <w:kinsoku/>
        <w:wordWrap/>
        <w:overflowPunct/>
        <w:topLinePunct w:val="0"/>
        <w:autoSpaceDE/>
        <w:autoSpaceDN/>
        <w:bidi w:val="0"/>
        <w:adjustRightInd/>
        <w:snapToGrid/>
        <w:spacing w:line="416" w:lineRule="auto"/>
        <w:ind w:firstLine="640" w:firstLineChars="200"/>
        <w:textAlignment w:val="auto"/>
        <w:rPr>
          <w:rFonts w:hint="default" w:ascii="Times New Roman" w:hAnsi="Times New Roman" w:eastAsia="仿宋_GB2312" w:cs="Times New Roman"/>
          <w:b w:val="0"/>
          <w:bCs w:val="0"/>
          <w:color w:val="auto"/>
          <w:kern w:val="2"/>
          <w:sz w:val="32"/>
          <w:szCs w:val="32"/>
          <w:highlight w:val="none"/>
          <w:lang w:val="en-US" w:eastAsia="zh-CN" w:bidi="ar-SA"/>
        </w:rPr>
      </w:pPr>
      <w:r>
        <w:rPr>
          <w:rFonts w:hint="eastAsia" w:ascii="Times New Roman" w:hAnsi="Times New Roman" w:eastAsia="仿宋_GB2312" w:cs="Times New Roman"/>
          <w:b w:val="0"/>
          <w:bCs w:val="0"/>
          <w:color w:val="auto"/>
          <w:kern w:val="2"/>
          <w:sz w:val="32"/>
          <w:szCs w:val="32"/>
          <w:highlight w:val="none"/>
          <w:lang w:val="en-US" w:eastAsia="zh-CN" w:bidi="ar-SA"/>
        </w:rPr>
        <w:t>（二）</w:t>
      </w:r>
      <w:r>
        <w:rPr>
          <w:rFonts w:hint="default" w:ascii="Times New Roman" w:hAnsi="Times New Roman" w:eastAsia="仿宋_GB2312" w:cs="Times New Roman"/>
          <w:b w:val="0"/>
          <w:bCs w:val="0"/>
          <w:color w:val="auto"/>
          <w:kern w:val="2"/>
          <w:sz w:val="32"/>
          <w:szCs w:val="32"/>
          <w:highlight w:val="none"/>
          <w:lang w:val="en-US" w:eastAsia="zh-CN" w:bidi="ar-SA"/>
        </w:rPr>
        <w:t>市机关后勤服务中心职能职责是</w:t>
      </w:r>
      <w:r>
        <w:rPr>
          <w:rFonts w:hint="eastAsia" w:ascii="Times New Roman" w:hAnsi="Times New Roman" w:eastAsia="仿宋_GB2312"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负责市级机关职工食堂的日常监督管理及食品卫生安全保障工作和公务用车集中后的日常管理服务等。</w:t>
      </w:r>
    </w:p>
    <w:p>
      <w:pPr>
        <w:numPr>
          <w:ilvl w:val="0"/>
          <w:numId w:val="0"/>
        </w:numPr>
        <w:rPr>
          <w:rFonts w:hint="default" w:ascii="Times New Roman" w:hAnsi="Times New Roman" w:cs="Times New Roman"/>
          <w:color w:val="auto"/>
          <w:lang w:eastAsia="zh-CN"/>
        </w:rPr>
      </w:pPr>
    </w:p>
    <w:p>
      <w:pPr>
        <w:pStyle w:val="4"/>
        <w:keepNext/>
        <w:keepLines/>
        <w:pageBreakBefore w:val="0"/>
        <w:widowControl w:val="0"/>
        <w:kinsoku/>
        <w:wordWrap/>
        <w:overflowPunct/>
        <w:topLinePunct w:val="0"/>
        <w:autoSpaceDE/>
        <w:autoSpaceDN/>
        <w:bidi w:val="0"/>
        <w:adjustRightInd/>
        <w:snapToGrid/>
        <w:spacing w:line="416" w:lineRule="auto"/>
        <w:ind w:firstLine="640" w:firstLineChars="200"/>
        <w:textAlignment w:val="auto"/>
        <w:rPr>
          <w:rStyle w:val="31"/>
          <w:rFonts w:hint="default" w:ascii="Times New Roman" w:hAnsi="Times New Roman" w:cs="Times New Roman"/>
          <w:b w:val="0"/>
          <w:bCs w:val="0"/>
          <w:color w:val="auto"/>
          <w:highlight w:val="none"/>
        </w:rPr>
      </w:pPr>
      <w:bookmarkStart w:id="14" w:name="_Toc15377200"/>
      <w:bookmarkStart w:id="15" w:name="_Toc15396601"/>
      <w:r>
        <w:rPr>
          <w:rFonts w:hint="default" w:ascii="Times New Roman" w:hAnsi="Times New Roman" w:eastAsia="黑体" w:cs="Times New Roman"/>
          <w:b w:val="0"/>
          <w:color w:val="auto"/>
          <w:highlight w:val="none"/>
        </w:rPr>
        <w:t>二、机</w:t>
      </w:r>
      <w:r>
        <w:rPr>
          <w:rStyle w:val="31"/>
          <w:rFonts w:hint="default" w:ascii="Times New Roman" w:hAnsi="Times New Roman" w:eastAsia="黑体" w:cs="Times New Roman"/>
          <w:b w:val="0"/>
          <w:bCs w:val="0"/>
          <w:color w:val="auto"/>
          <w:highlight w:val="none"/>
        </w:rPr>
        <w:t>构设置</w:t>
      </w:r>
      <w:bookmarkEnd w:id="14"/>
      <w:bookmarkEnd w:id="15"/>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攀枝花市机关事务服务中心下属二级</w:t>
      </w:r>
      <w:r>
        <w:rPr>
          <w:rFonts w:hint="default" w:ascii="Times New Roman" w:hAnsi="Times New Roman" w:eastAsia="仿宋_GB2312" w:cs="Times New Roman"/>
          <w:color w:val="auto"/>
          <w:sz w:val="32"/>
          <w:szCs w:val="32"/>
          <w:highlight w:val="none"/>
          <w:lang w:eastAsia="zh-CN"/>
        </w:rPr>
        <w:t>预算</w:t>
      </w:r>
      <w:r>
        <w:rPr>
          <w:rFonts w:hint="default" w:ascii="Times New Roman" w:hAnsi="Times New Roman" w:eastAsia="仿宋_GB2312" w:cs="Times New Roman"/>
          <w:color w:val="auto"/>
          <w:sz w:val="32"/>
          <w:szCs w:val="32"/>
          <w:highlight w:val="none"/>
        </w:rPr>
        <w:t>单位</w:t>
      </w:r>
      <w:r>
        <w:rPr>
          <w:rFonts w:hint="eastAsia"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个，其中行政单位</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个，参照公务员法管理的事业单位</w:t>
      </w:r>
      <w:r>
        <w:rPr>
          <w:rFonts w:hint="default" w:ascii="Times New Roman" w:hAnsi="Times New Roman" w:eastAsia="仿宋_GB2312" w:cs="Times New Roman"/>
          <w:bCs/>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个，其他事业单位</w:t>
      </w:r>
      <w:r>
        <w:rPr>
          <w:rFonts w:hint="eastAsia"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个。</w:t>
      </w:r>
    </w:p>
    <w:p>
      <w:pPr>
        <w:pStyle w:val="3"/>
        <w:jc w:val="center"/>
        <w:rPr>
          <w:rFonts w:hint="default" w:ascii="Times New Roman" w:hAnsi="Times New Roman" w:eastAsia="方正小标宋简体" w:cs="Times New Roman"/>
          <w:b w:val="0"/>
          <w:color w:val="auto"/>
          <w:highlight w:val="none"/>
        </w:rPr>
      </w:pPr>
      <w:bookmarkStart w:id="16" w:name="_Toc15396602"/>
      <w:bookmarkStart w:id="17" w:name="_Toc15377204"/>
      <w:r>
        <w:rPr>
          <w:rFonts w:hint="default" w:ascii="Times New Roman" w:hAnsi="Times New Roman" w:eastAsia="方正小标宋简体" w:cs="Times New Roman"/>
          <w:b w:val="0"/>
          <w:color w:val="auto"/>
          <w:highlight w:val="none"/>
        </w:rPr>
        <w:t>第二部分</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 xml:space="preserve"> </w:t>
      </w:r>
      <w:r>
        <w:rPr>
          <w:rFonts w:hint="default" w:ascii="Times New Roman" w:hAnsi="Times New Roman" w:eastAsia="方正小标宋简体" w:cs="Times New Roman"/>
          <w:b w:val="0"/>
          <w:color w:val="auto"/>
          <w:highlight w:val="none"/>
          <w:lang w:val="en-US" w:eastAsia="zh-CN"/>
        </w:rPr>
        <w:t>2025年度</w:t>
      </w:r>
      <w:r>
        <w:rPr>
          <w:rFonts w:hint="default" w:ascii="Times New Roman" w:hAnsi="Times New Roman" w:eastAsia="方正小标宋简体" w:cs="Times New Roman"/>
          <w:b w:val="0"/>
          <w:color w:val="auto"/>
          <w:highlight w:val="none"/>
        </w:rPr>
        <w:t>部门决算情况说明</w:t>
      </w:r>
      <w:bookmarkEnd w:id="16"/>
      <w:bookmarkEnd w:id="17"/>
    </w:p>
    <w:p>
      <w:pPr>
        <w:rPr>
          <w:rFonts w:hint="default" w:ascii="Times New Roman" w:hAnsi="Times New Roman" w:cs="Times New Roman"/>
          <w:color w:val="auto"/>
          <w:highlight w:val="none"/>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default" w:ascii="Times New Roman" w:hAnsi="Times New Roman" w:eastAsia="黑体" w:cs="Times New Roman"/>
          <w:b w:val="0"/>
          <w:color w:val="auto"/>
          <w:highlight w:val="none"/>
        </w:rPr>
      </w:pPr>
      <w:bookmarkStart w:id="18" w:name="_Toc15377205"/>
      <w:bookmarkStart w:id="19" w:name="_Toc15396603"/>
      <w:r>
        <w:rPr>
          <w:rFonts w:hint="default" w:ascii="Times New Roman" w:hAnsi="Times New Roman" w:eastAsia="黑体" w:cs="Times New Roman"/>
          <w:color w:val="auto"/>
          <w:sz w:val="32"/>
          <w:szCs w:val="32"/>
          <w:highlight w:val="none"/>
          <w:lang w:eastAsia="zh-CN"/>
        </w:rPr>
        <w:t>一、</w:t>
      </w:r>
      <w:r>
        <w:rPr>
          <w:rFonts w:hint="default" w:ascii="Times New Roman" w:hAnsi="Times New Roman" w:eastAsia="黑体" w:cs="Times New Roman"/>
          <w:color w:val="auto"/>
          <w:sz w:val="32"/>
          <w:szCs w:val="32"/>
          <w:highlight w:val="none"/>
        </w:rPr>
        <w:t>收</w:t>
      </w:r>
      <w:r>
        <w:rPr>
          <w:rStyle w:val="31"/>
          <w:rFonts w:hint="default" w:ascii="Times New Roman" w:hAnsi="Times New Roman" w:eastAsia="黑体" w:cs="Times New Roman"/>
          <w:b w:val="0"/>
          <w:color w:val="auto"/>
          <w:highlight w:val="none"/>
        </w:rPr>
        <w:t>入支出决算总体情况说明</w:t>
      </w:r>
      <w:bookmarkEnd w:id="18"/>
      <w:bookmarkEnd w:id="19"/>
    </w:p>
    <w:p>
      <w:pPr>
        <w:pStyle w:val="29"/>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eastAsia="zh-CN"/>
        </w:rPr>
        <w:t>2025年度收入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w:t>
      </w:r>
      <w:r>
        <w:rPr>
          <w:rFonts w:hint="default" w:ascii="Times New Roman" w:hAnsi="Times New Roman" w:eastAsia="仿宋_GB2312" w:cs="Times New Roman"/>
          <w:color w:val="auto"/>
          <w:sz w:val="32"/>
          <w:szCs w:val="32"/>
          <w:highlight w:val="none"/>
          <w:lang w:eastAsia="zh-CN"/>
        </w:rPr>
        <w:t>均为</w:t>
      </w:r>
      <w:r>
        <w:rPr>
          <w:rFonts w:hint="default" w:ascii="Times New Roman" w:hAnsi="Times New Roman" w:eastAsia="仿宋_GB2312" w:cs="Times New Roman"/>
          <w:color w:val="auto"/>
          <w:sz w:val="32"/>
          <w:szCs w:val="32"/>
          <w:highlight w:val="none"/>
          <w:lang w:val="en-US" w:eastAsia="zh-CN"/>
        </w:rPr>
        <w:t>5930.78万</w:t>
      </w:r>
      <w:r>
        <w:rPr>
          <w:rFonts w:hint="default" w:ascii="Times New Roman" w:hAnsi="Times New Roman" w:eastAsia="仿宋_GB2312" w:cs="Times New Roman"/>
          <w:color w:val="auto"/>
          <w:sz w:val="32"/>
          <w:szCs w:val="32"/>
          <w:highlight w:val="none"/>
        </w:rPr>
        <w:t>元。与</w:t>
      </w:r>
      <w:r>
        <w:rPr>
          <w:rFonts w:hint="eastAsia" w:ascii="Times New Roman" w:hAnsi="Times New Roman" w:eastAsia="仿宋_GB2312" w:cs="Times New Roman"/>
          <w:color w:val="auto"/>
          <w:sz w:val="32"/>
          <w:szCs w:val="32"/>
          <w:highlight w:val="none"/>
          <w:lang w:eastAsia="zh-CN"/>
        </w:rPr>
        <w:t>上</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相比，</w:t>
      </w:r>
      <w:r>
        <w:rPr>
          <w:rFonts w:hint="default" w:ascii="Times New Roman" w:hAnsi="Times New Roman" w:eastAsia="仿宋_GB2312" w:cs="Times New Roman"/>
          <w:color w:val="auto"/>
          <w:sz w:val="32"/>
          <w:szCs w:val="32"/>
          <w:highlight w:val="none"/>
          <w:lang w:eastAsia="zh-CN"/>
        </w:rPr>
        <w:t>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总计各减少</w:t>
      </w:r>
      <w:r>
        <w:rPr>
          <w:rFonts w:hint="default" w:ascii="Times New Roman" w:hAnsi="Times New Roman" w:eastAsia="仿宋_GB2312" w:cs="Times New Roman"/>
          <w:color w:val="auto"/>
          <w:sz w:val="32"/>
          <w:szCs w:val="32"/>
          <w:highlight w:val="none"/>
          <w:lang w:val="en-US" w:eastAsia="zh-CN"/>
        </w:rPr>
        <w:t>17.79</w:t>
      </w:r>
      <w:r>
        <w:rPr>
          <w:rFonts w:hint="default" w:ascii="Times New Roman" w:hAnsi="Times New Roman" w:eastAsia="仿宋_GB2312" w:cs="Times New Roman"/>
          <w:color w:val="auto"/>
          <w:sz w:val="32"/>
          <w:szCs w:val="32"/>
          <w:highlight w:val="none"/>
        </w:rPr>
        <w:t>万元，</w:t>
      </w:r>
      <w:r>
        <w:rPr>
          <w:rFonts w:hint="default" w:ascii="Times New Roman" w:hAnsi="Times New Roman" w:eastAsia="仿宋_GB2312" w:cs="Times New Roman"/>
          <w:color w:val="auto"/>
          <w:sz w:val="32"/>
          <w:szCs w:val="32"/>
          <w:highlight w:val="none"/>
          <w:lang w:eastAsia="zh-CN"/>
        </w:rPr>
        <w:t>同比下降</w:t>
      </w:r>
      <w:r>
        <w:rPr>
          <w:rFonts w:hint="default" w:ascii="Times New Roman" w:hAnsi="Times New Roman" w:eastAsia="仿宋_GB2312" w:cs="Times New Roman"/>
          <w:color w:val="auto"/>
          <w:sz w:val="32"/>
          <w:szCs w:val="32"/>
          <w:highlight w:val="none"/>
          <w:lang w:val="en-US" w:eastAsia="zh-CN"/>
        </w:rPr>
        <w:t>0.3</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textAlignment w:val="auto"/>
        <w:outlineLvl w:val="1"/>
        <w:rPr>
          <w:rFonts w:hint="default" w:ascii="Times New Roman" w:hAnsi="Times New Roman" w:eastAsia="仿宋_GB2312" w:cs="Times New Roman"/>
          <w:color w:val="auto"/>
          <w:sz w:val="32"/>
          <w:szCs w:val="32"/>
          <w:highlight w:val="none"/>
          <w:lang w:val="en-US" w:eastAsia="zh-CN"/>
        </w:rPr>
      </w:pPr>
      <w:r>
        <w:drawing>
          <wp:inline distT="0" distB="0" distL="114300" distR="114300">
            <wp:extent cx="4847590" cy="3866515"/>
            <wp:effectExtent l="4445" t="5080" r="5715" b="1460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（图1：</w:t>
      </w:r>
      <w:r>
        <w:rPr>
          <w:rFonts w:hint="default" w:ascii="Times New Roman" w:hAnsi="Times New Roman" w:eastAsia="仿宋_GB2312" w:cs="Times New Roman"/>
          <w:color w:val="auto"/>
          <w:sz w:val="32"/>
          <w:szCs w:val="32"/>
          <w:highlight w:val="none"/>
          <w:lang w:eastAsia="zh-CN"/>
        </w:rPr>
        <w:t>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决算总计变动情况图）</w:t>
      </w:r>
    </w:p>
    <w:p>
      <w:pPr>
        <w:pStyle w:val="2"/>
        <w:rPr>
          <w:rFonts w:hint="default" w:ascii="Times New Roman" w:hAnsi="Times New Roman" w:cs="Times New Roman"/>
          <w:color w:val="auto"/>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黑体" w:cs="Times New Roman"/>
          <w:color w:val="auto"/>
          <w:sz w:val="32"/>
          <w:szCs w:val="32"/>
          <w:highlight w:val="none"/>
          <w:lang w:eastAsia="zh-CN"/>
        </w:rPr>
      </w:pPr>
      <w:bookmarkStart w:id="20" w:name="_Toc15377206"/>
      <w:bookmarkStart w:id="21" w:name="_Toc15396604"/>
      <w:r>
        <w:rPr>
          <w:rFonts w:hint="default" w:ascii="Times New Roman" w:hAnsi="Times New Roman" w:eastAsia="黑体" w:cs="Times New Roman"/>
          <w:color w:val="auto"/>
          <w:sz w:val="32"/>
          <w:szCs w:val="32"/>
          <w:highlight w:val="none"/>
          <w:lang w:eastAsia="zh-CN"/>
        </w:rPr>
        <w:t>二、收入决算情况说明</w:t>
      </w:r>
      <w:bookmarkEnd w:id="20"/>
      <w:bookmarkEnd w:id="21"/>
    </w:p>
    <w:p>
      <w:pPr>
        <w:pStyle w:val="29"/>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outlineLvl w:val="1"/>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2025年度本年收入合计</w:t>
      </w:r>
      <w:r>
        <w:rPr>
          <w:rFonts w:hint="default" w:ascii="Times New Roman" w:hAnsi="Times New Roman" w:eastAsia="仿宋_GB2312" w:cs="Times New Roman"/>
          <w:color w:val="auto"/>
          <w:sz w:val="32"/>
          <w:szCs w:val="32"/>
          <w:lang w:eastAsia="zh-CN"/>
        </w:rPr>
        <w:t>5930.78</w:t>
      </w:r>
      <w:r>
        <w:rPr>
          <w:rFonts w:hint="default" w:ascii="Times New Roman" w:hAnsi="Times New Roman" w:eastAsia="仿宋_GB2312" w:cs="Times New Roman"/>
          <w:color w:val="auto"/>
          <w:sz w:val="32"/>
          <w:szCs w:val="32"/>
        </w:rPr>
        <w:t>万元，其中：一般公共预算财政拨款收入</w:t>
      </w:r>
      <w:r>
        <w:rPr>
          <w:rFonts w:hint="default" w:ascii="Times New Roman" w:hAnsi="Times New Roman" w:eastAsia="仿宋_GB2312" w:cs="Times New Roman"/>
          <w:color w:val="auto"/>
          <w:sz w:val="32"/>
          <w:szCs w:val="32"/>
          <w:lang w:eastAsia="zh-CN"/>
        </w:rPr>
        <w:t>5930.78</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color w:val="auto"/>
          <w:sz w:val="32"/>
          <w:szCs w:val="32"/>
        </w:rPr>
        <w:t>100</w:t>
      </w:r>
      <w:r>
        <w:rPr>
          <w:rFonts w:hint="default" w:ascii="Times New Roman" w:hAnsi="Times New Roman" w:eastAsia="仿宋_GB2312" w:cs="Times New Roman"/>
          <w:color w:val="auto"/>
          <w:sz w:val="32"/>
          <w:szCs w:val="32"/>
          <w:highlight w:val="none"/>
          <w:lang w:eastAsia="zh-CN"/>
        </w:rPr>
        <w:t>%。</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1"/>
        <w:rPr>
          <w:rFonts w:hint="default" w:ascii="Times New Roman" w:hAnsi="Times New Roman" w:eastAsia="仿宋_GB2312" w:cs="Times New Roman"/>
          <w:color w:val="auto"/>
          <w:sz w:val="32"/>
          <w:szCs w:val="32"/>
          <w:highlight w:val="none"/>
          <w:lang w:eastAsia="zh-CN"/>
        </w:rPr>
      </w:pPr>
      <w:r>
        <w:drawing>
          <wp:inline distT="0" distB="0" distL="114300" distR="114300">
            <wp:extent cx="4572000" cy="2743200"/>
            <wp:effectExtent l="4445" t="4445" r="14605" b="14605"/>
            <wp:docPr id="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（图2：收入决算结构图）</w:t>
      </w:r>
    </w:p>
    <w:p>
      <w:pPr>
        <w:pStyle w:val="2"/>
        <w:rPr>
          <w:rFonts w:hint="default" w:ascii="Times New Roman" w:hAnsi="Times New Roman" w:cs="Times New Roman"/>
          <w:color w:val="auto"/>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default" w:ascii="Times New Roman" w:hAnsi="Times New Roman" w:eastAsia="黑体" w:cs="Times New Roman"/>
          <w:b w:val="0"/>
          <w:color w:val="auto"/>
          <w:highlight w:val="none"/>
        </w:rPr>
      </w:pPr>
      <w:bookmarkStart w:id="22" w:name="_Toc15396605"/>
      <w:bookmarkStart w:id="23" w:name="_Toc15377207"/>
      <w:r>
        <w:rPr>
          <w:rFonts w:hint="default" w:ascii="Times New Roman" w:hAnsi="Times New Roman" w:eastAsia="黑体" w:cs="Times New Roman"/>
          <w:color w:val="auto"/>
          <w:sz w:val="32"/>
          <w:szCs w:val="32"/>
          <w:highlight w:val="none"/>
          <w:lang w:eastAsia="zh-CN"/>
        </w:rPr>
        <w:t>三、</w:t>
      </w:r>
      <w:r>
        <w:rPr>
          <w:rFonts w:hint="default" w:ascii="Times New Roman" w:hAnsi="Times New Roman" w:eastAsia="黑体" w:cs="Times New Roman"/>
          <w:color w:val="auto"/>
          <w:sz w:val="32"/>
          <w:szCs w:val="32"/>
          <w:highlight w:val="none"/>
        </w:rPr>
        <w:t>支</w:t>
      </w:r>
      <w:r>
        <w:rPr>
          <w:rStyle w:val="31"/>
          <w:rFonts w:hint="default" w:ascii="Times New Roman" w:hAnsi="Times New Roman" w:eastAsia="黑体" w:cs="Times New Roman"/>
          <w:b w:val="0"/>
          <w:color w:val="auto"/>
          <w:highlight w:val="none"/>
        </w:rPr>
        <w:t>出决算情况说明</w:t>
      </w:r>
      <w:bookmarkEnd w:id="22"/>
      <w:bookmarkEnd w:id="23"/>
    </w:p>
    <w:p>
      <w:pPr>
        <w:pStyle w:val="29"/>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outlineLvl w:val="1"/>
        <w:rPr>
          <w:rFonts w:hint="default" w:ascii="Times New Roman" w:hAnsi="Times New Roman" w:eastAsia="仿宋_GB2312" w:cs="Times New Roman"/>
          <w:b/>
          <w:bCs/>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2025年度本年支出合计</w:t>
      </w:r>
      <w:r>
        <w:rPr>
          <w:rFonts w:hint="default" w:ascii="Times New Roman" w:hAnsi="Times New Roman" w:eastAsia="仿宋_GB2312" w:cs="Times New Roman"/>
          <w:color w:val="auto"/>
          <w:sz w:val="32"/>
          <w:szCs w:val="32"/>
          <w:lang w:eastAsia="zh-CN"/>
        </w:rPr>
        <w:t>5930.78</w:t>
      </w:r>
      <w:r>
        <w:rPr>
          <w:rFonts w:hint="default" w:ascii="Times New Roman" w:hAnsi="Times New Roman" w:eastAsia="仿宋_GB2312" w:cs="Times New Roman"/>
          <w:color w:val="auto"/>
          <w:sz w:val="32"/>
          <w:szCs w:val="32"/>
          <w:highlight w:val="none"/>
          <w:lang w:eastAsia="zh-CN"/>
        </w:rPr>
        <w:t>万元，其中：基本支出</w:t>
      </w:r>
      <w:r>
        <w:rPr>
          <w:rFonts w:hint="default" w:ascii="Times New Roman" w:hAnsi="Times New Roman" w:eastAsia="仿宋_GB2312" w:cs="Times New Roman"/>
          <w:color w:val="auto"/>
          <w:sz w:val="32"/>
          <w:szCs w:val="32"/>
          <w:lang w:val="en-US" w:eastAsia="zh-CN"/>
        </w:rPr>
        <w:t>711.58</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color w:val="auto"/>
          <w:sz w:val="32"/>
          <w:szCs w:val="32"/>
          <w:lang w:val="en-US" w:eastAsia="zh-CN"/>
        </w:rPr>
        <w:t>12</w:t>
      </w:r>
      <w:r>
        <w:rPr>
          <w:rFonts w:hint="default" w:ascii="Times New Roman" w:hAnsi="Times New Roman" w:eastAsia="仿宋_GB2312" w:cs="Times New Roman"/>
          <w:color w:val="auto"/>
          <w:sz w:val="32"/>
          <w:szCs w:val="32"/>
          <w:highlight w:val="none"/>
          <w:lang w:eastAsia="zh-CN"/>
        </w:rPr>
        <w:t>%；项目支出</w:t>
      </w:r>
      <w:r>
        <w:rPr>
          <w:rFonts w:hint="default" w:ascii="Times New Roman" w:hAnsi="Times New Roman" w:eastAsia="仿宋_GB2312" w:cs="Times New Roman"/>
          <w:color w:val="auto"/>
          <w:sz w:val="32"/>
          <w:szCs w:val="32"/>
          <w:lang w:val="en-US" w:eastAsia="zh-CN"/>
        </w:rPr>
        <w:t>5219.2</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color w:val="auto"/>
          <w:sz w:val="32"/>
          <w:szCs w:val="32"/>
          <w:lang w:val="en-US" w:eastAsia="zh-CN"/>
        </w:rPr>
        <w:t>88</w:t>
      </w:r>
      <w:r>
        <w:rPr>
          <w:rFonts w:hint="default" w:ascii="Times New Roman" w:hAnsi="Times New Roman" w:eastAsia="仿宋_GB2312" w:cs="Times New Roman"/>
          <w:color w:val="auto"/>
          <w:sz w:val="32"/>
          <w:szCs w:val="32"/>
          <w:highlight w:val="none"/>
          <w:lang w:eastAsia="zh-CN"/>
        </w:rPr>
        <w:t>%。</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jc w:val="left"/>
        <w:textAlignment w:val="auto"/>
        <w:outlineLvl w:val="1"/>
        <w:rPr>
          <w:rFonts w:hint="default" w:ascii="Times New Roman" w:hAnsi="Times New Roman" w:eastAsia="仿宋_GB2312" w:cs="Times New Roman"/>
          <w:b/>
          <w:bCs/>
          <w:color w:val="auto"/>
          <w:sz w:val="32"/>
          <w:szCs w:val="32"/>
          <w:highlight w:val="none"/>
          <w:lang w:eastAsia="zh-CN"/>
        </w:rPr>
      </w:pPr>
      <w:r>
        <w:drawing>
          <wp:inline distT="0" distB="0" distL="114300" distR="114300">
            <wp:extent cx="4572000" cy="2743200"/>
            <wp:effectExtent l="4445" t="4445" r="14605" b="14605"/>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（图3：支出决算结构图）</w:t>
      </w:r>
    </w:p>
    <w:p>
      <w:pPr>
        <w:pStyle w:val="2"/>
        <w:rPr>
          <w:rFonts w:hint="default" w:ascii="Times New Roman" w:hAnsi="Times New Roman" w:cs="Times New Roman"/>
          <w:color w:val="auto"/>
          <w:lang w:eastAsia="zh-CN"/>
        </w:rPr>
      </w:pPr>
    </w:p>
    <w:p>
      <w:pPr>
        <w:spacing w:line="600" w:lineRule="exact"/>
        <w:ind w:firstLine="640" w:firstLineChars="200"/>
        <w:outlineLvl w:val="1"/>
        <w:rPr>
          <w:rStyle w:val="31"/>
          <w:rFonts w:hint="default" w:ascii="Times New Roman" w:hAnsi="Times New Roman" w:eastAsia="黑体" w:cs="Times New Roman"/>
          <w:b w:val="0"/>
          <w:color w:val="auto"/>
          <w:highlight w:val="none"/>
        </w:rPr>
      </w:pPr>
      <w:bookmarkStart w:id="24" w:name="_Toc15396606"/>
      <w:bookmarkStart w:id="25" w:name="_Toc15377208"/>
      <w:r>
        <w:rPr>
          <w:rFonts w:hint="default" w:ascii="Times New Roman" w:hAnsi="Times New Roman" w:eastAsia="黑体" w:cs="Times New Roman"/>
          <w:color w:val="auto"/>
          <w:sz w:val="32"/>
          <w:szCs w:val="32"/>
          <w:highlight w:val="none"/>
        </w:rPr>
        <w:t>四、财</w:t>
      </w:r>
      <w:r>
        <w:rPr>
          <w:rStyle w:val="31"/>
          <w:rFonts w:hint="default" w:ascii="Times New Roman" w:hAnsi="Times New Roman" w:eastAsia="黑体" w:cs="Times New Roman"/>
          <w:b w:val="0"/>
          <w:color w:val="auto"/>
          <w:highlight w:val="none"/>
        </w:rPr>
        <w:t>政拨款收入支出决算总体情况说明</w:t>
      </w:r>
      <w:bookmarkEnd w:id="24"/>
      <w:bookmarkEnd w:id="25"/>
    </w:p>
    <w:p>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kern w:val="2"/>
          <w:sz w:val="32"/>
          <w:szCs w:val="32"/>
          <w:highlight w:val="none"/>
          <w:lang w:val="en-US" w:eastAsia="zh-CN" w:bidi="ar-SA"/>
        </w:rPr>
        <w:t>2025年度财政拨款收入、支出总计均为5930.78万元。与</w:t>
      </w:r>
      <w:r>
        <w:rPr>
          <w:rFonts w:hint="eastAsia" w:ascii="Times New Roman" w:hAnsi="Times New Roman" w:eastAsia="仿宋_GB2312" w:cs="Times New Roman"/>
          <w:color w:val="auto"/>
          <w:kern w:val="2"/>
          <w:sz w:val="32"/>
          <w:szCs w:val="32"/>
          <w:highlight w:val="none"/>
          <w:lang w:val="en-US" w:eastAsia="zh-CN" w:bidi="ar-SA"/>
        </w:rPr>
        <w:t>上</w:t>
      </w:r>
      <w:r>
        <w:rPr>
          <w:rFonts w:hint="default" w:ascii="Times New Roman" w:hAnsi="Times New Roman" w:eastAsia="仿宋_GB2312" w:cs="Times New Roman"/>
          <w:color w:val="auto"/>
          <w:kern w:val="2"/>
          <w:sz w:val="32"/>
          <w:szCs w:val="32"/>
          <w:highlight w:val="none"/>
          <w:lang w:val="en-US" w:eastAsia="zh-CN" w:bidi="ar-SA"/>
        </w:rPr>
        <w:t>年度相比，财政拨款收入总计、支出总计各减少17.79万元，同比下降0.3%</w:t>
      </w:r>
      <w:r>
        <w:rPr>
          <w:rFonts w:hint="default" w:ascii="Times New Roman" w:hAnsi="Times New Roman" w:eastAsia="仿宋_GB2312" w:cs="Times New Roman"/>
          <w:color w:val="auto"/>
          <w:sz w:val="32"/>
          <w:szCs w:val="32"/>
          <w:highlight w:val="none"/>
          <w:lang w:val="en-US" w:eastAsia="zh-CN"/>
        </w:rPr>
        <w:t>。</w:t>
      </w:r>
    </w:p>
    <w:p>
      <w:pPr>
        <w:pStyle w:val="2"/>
        <w:keepNext w:val="0"/>
        <w:keepLines w:val="0"/>
        <w:pageBreakBefore w:val="0"/>
        <w:widowControl w:val="0"/>
        <w:kinsoku/>
        <w:wordWrap/>
        <w:overflowPunct/>
        <w:topLinePunct w:val="0"/>
        <w:autoSpaceDE/>
        <w:autoSpaceDN/>
        <w:bidi w:val="0"/>
        <w:adjustRightInd/>
        <w:snapToGrid/>
        <w:spacing w:line="240" w:lineRule="auto"/>
        <w:rPr>
          <w:rFonts w:hint="default" w:ascii="Times New Roman" w:hAnsi="Times New Roman" w:cs="Times New Roman"/>
          <w:color w:val="auto"/>
          <w:lang w:val="en-US" w:eastAsia="zh-CN"/>
        </w:rPr>
      </w:pPr>
      <w:r>
        <w:drawing>
          <wp:inline distT="0" distB="0" distL="114300" distR="114300">
            <wp:extent cx="4581525" cy="3533775"/>
            <wp:effectExtent l="4445" t="4445" r="5080" b="5080"/>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center"/>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（图4：财政拨款收、支决算总计变动情况）</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p>
    <w:p>
      <w:pPr>
        <w:spacing w:line="600" w:lineRule="exact"/>
        <w:ind w:firstLine="640" w:firstLineChars="200"/>
        <w:outlineLvl w:val="1"/>
        <w:rPr>
          <w:rStyle w:val="31"/>
          <w:rFonts w:hint="default" w:ascii="Times New Roman" w:hAnsi="Times New Roman" w:eastAsia="黑体" w:cs="Times New Roman"/>
          <w:b w:val="0"/>
          <w:color w:val="auto"/>
          <w:highlight w:val="none"/>
        </w:rPr>
      </w:pPr>
      <w:bookmarkStart w:id="26" w:name="_Toc15396607"/>
      <w:bookmarkStart w:id="27" w:name="_Toc15377209"/>
      <w:r>
        <w:rPr>
          <w:rFonts w:hint="default" w:ascii="Times New Roman" w:hAnsi="Times New Roman" w:eastAsia="黑体" w:cs="Times New Roman"/>
          <w:color w:val="auto"/>
          <w:sz w:val="32"/>
          <w:szCs w:val="32"/>
          <w:highlight w:val="none"/>
        </w:rPr>
        <w:t>五、</w:t>
      </w:r>
      <w:r>
        <w:rPr>
          <w:rFonts w:hint="default" w:ascii="Times New Roman" w:hAnsi="Times New Roman" w:eastAsia="黑体" w:cs="Times New Roman"/>
          <w:b w:val="0"/>
          <w:bCs/>
          <w:color w:val="auto"/>
          <w:sz w:val="32"/>
          <w:szCs w:val="32"/>
          <w:highlight w:val="none"/>
        </w:rPr>
        <w:t>一</w:t>
      </w:r>
      <w:r>
        <w:rPr>
          <w:rStyle w:val="31"/>
          <w:rFonts w:hint="default" w:ascii="Times New Roman" w:hAnsi="Times New Roman" w:eastAsia="黑体" w:cs="Times New Roman"/>
          <w:b w:val="0"/>
          <w:bCs/>
          <w:color w:val="auto"/>
          <w:highlight w:val="none"/>
        </w:rPr>
        <w:t>般</w:t>
      </w:r>
      <w:r>
        <w:rPr>
          <w:rStyle w:val="31"/>
          <w:rFonts w:hint="default" w:ascii="Times New Roman" w:hAnsi="Times New Roman" w:eastAsia="黑体" w:cs="Times New Roman"/>
          <w:b w:val="0"/>
          <w:color w:val="auto"/>
          <w:highlight w:val="none"/>
        </w:rPr>
        <w:t>公共预算财政拨款支出决算情况说明</w:t>
      </w:r>
      <w:bookmarkEnd w:id="26"/>
      <w:bookmarkEnd w:id="27"/>
    </w:p>
    <w:p>
      <w:pPr>
        <w:spacing w:line="600" w:lineRule="exact"/>
        <w:ind w:firstLine="642" w:firstLineChars="200"/>
        <w:outlineLvl w:val="2"/>
        <w:rPr>
          <w:rFonts w:hint="default" w:ascii="Times New Roman" w:hAnsi="Times New Roman" w:eastAsia="楷体_GB2312" w:cs="Times New Roman"/>
          <w:b/>
          <w:color w:val="auto"/>
          <w:sz w:val="32"/>
          <w:szCs w:val="32"/>
          <w:highlight w:val="none"/>
        </w:rPr>
      </w:pPr>
      <w:bookmarkStart w:id="28" w:name="_Toc15377210"/>
      <w:r>
        <w:rPr>
          <w:rFonts w:hint="default" w:ascii="Times New Roman" w:hAnsi="Times New Roman" w:eastAsia="楷体_GB2312" w:cs="Times New Roman"/>
          <w:b/>
          <w:color w:val="auto"/>
          <w:sz w:val="32"/>
          <w:szCs w:val="32"/>
          <w:highlight w:val="none"/>
        </w:rPr>
        <w:t>（一）一般公共预算财政拨款支出决算总体情况</w:t>
      </w:r>
      <w:bookmarkEnd w:id="28"/>
    </w:p>
    <w:p>
      <w:pPr>
        <w:keepNext w:val="0"/>
        <w:keepLines w:val="0"/>
        <w:pageBreakBefore w:val="0"/>
        <w:widowControl w:val="0"/>
        <w:kinsoku/>
        <w:wordWrap/>
        <w:overflowPunct/>
        <w:topLinePunct w:val="0"/>
        <w:autoSpaceDE/>
        <w:autoSpaceDN/>
        <w:bidi w:val="0"/>
        <w:adjustRightInd/>
        <w:snapToGrid/>
        <w:spacing w:line="360" w:lineRule="auto"/>
        <w:ind w:firstLine="64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w:t>
      </w:r>
      <w:r>
        <w:rPr>
          <w:rFonts w:hint="default" w:ascii="Times New Roman" w:hAnsi="Times New Roman" w:eastAsia="仿宋_GB2312" w:cs="Times New Roman"/>
          <w:color w:val="auto"/>
          <w:sz w:val="32"/>
          <w:szCs w:val="32"/>
          <w:highlight w:val="none"/>
          <w:lang w:eastAsia="zh-CN"/>
        </w:rPr>
        <w:t>5930.78</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default" w:ascii="Times New Roman" w:hAnsi="Times New Roman" w:eastAsia="仿宋_GB2312" w:cs="Times New Roman"/>
          <w:color w:val="auto"/>
          <w:sz w:val="32"/>
          <w:szCs w:val="32"/>
          <w:highlight w:val="none"/>
        </w:rPr>
        <w:t>100</w:t>
      </w:r>
      <w:r>
        <w:rPr>
          <w:rFonts w:hint="default" w:ascii="Times New Roman" w:hAnsi="Times New Roman" w:eastAsia="仿宋_GB2312" w:cs="Times New Roman"/>
          <w:color w:val="auto"/>
          <w:kern w:val="2"/>
          <w:sz w:val="32"/>
          <w:szCs w:val="32"/>
          <w:highlight w:val="none"/>
          <w:lang w:val="en-US" w:eastAsia="zh-CN" w:bidi="ar-SA"/>
        </w:rPr>
        <w:t>%。与</w:t>
      </w:r>
      <w:r>
        <w:rPr>
          <w:rFonts w:hint="eastAsia" w:ascii="Times New Roman" w:hAnsi="Times New Roman" w:eastAsia="仿宋_GB2312" w:cs="Times New Roman"/>
          <w:color w:val="auto"/>
          <w:kern w:val="2"/>
          <w:sz w:val="32"/>
          <w:szCs w:val="32"/>
          <w:highlight w:val="none"/>
          <w:lang w:val="en-US" w:eastAsia="zh-CN" w:bidi="ar-SA"/>
        </w:rPr>
        <w:t>上</w:t>
      </w:r>
      <w:r>
        <w:rPr>
          <w:rFonts w:hint="default" w:ascii="Times New Roman" w:hAnsi="Times New Roman" w:eastAsia="仿宋_GB2312" w:cs="Times New Roman"/>
          <w:color w:val="auto"/>
          <w:kern w:val="2"/>
          <w:sz w:val="32"/>
          <w:szCs w:val="32"/>
          <w:highlight w:val="none"/>
          <w:lang w:val="en-US" w:eastAsia="zh-CN" w:bidi="ar-SA"/>
        </w:rPr>
        <w:t>年度相比，一般公共预算财政拨款支出减少17.79万元，同比下降0.3%。</w:t>
      </w:r>
    </w:p>
    <w:p>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default" w:ascii="Times New Roman" w:hAnsi="Times New Roman" w:eastAsia="仿宋_GB2312" w:cs="Times New Roman"/>
          <w:color w:val="auto"/>
          <w:kern w:val="2"/>
          <w:sz w:val="32"/>
          <w:szCs w:val="32"/>
          <w:highlight w:val="none"/>
          <w:lang w:val="en-US" w:eastAsia="zh-CN" w:bidi="ar-SA"/>
        </w:rPr>
      </w:pPr>
      <w:r>
        <w:drawing>
          <wp:inline distT="0" distB="0" distL="114300" distR="114300">
            <wp:extent cx="4572000" cy="2943225"/>
            <wp:effectExtent l="4445" t="4445" r="14605" b="5080"/>
            <wp:docPr id="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（图5：一般公共预算财政拨款支出决算变动情况）</w:t>
      </w:r>
    </w:p>
    <w:p>
      <w:pPr>
        <w:pStyle w:val="2"/>
        <w:rPr>
          <w:rFonts w:hint="default" w:ascii="Times New Roman" w:hAnsi="Times New Roman" w:cs="Times New Roman"/>
          <w:color w:val="auto"/>
          <w:lang w:val="en-US" w:eastAsia="zh-CN"/>
        </w:rPr>
      </w:pPr>
    </w:p>
    <w:p>
      <w:pPr>
        <w:spacing w:line="600" w:lineRule="exact"/>
        <w:ind w:firstLine="642" w:firstLineChars="200"/>
        <w:outlineLvl w:val="2"/>
        <w:rPr>
          <w:rFonts w:hint="default" w:ascii="Times New Roman" w:hAnsi="Times New Roman" w:eastAsia="楷体_GB2312" w:cs="Times New Roman"/>
          <w:b/>
          <w:color w:val="auto"/>
          <w:sz w:val="32"/>
          <w:szCs w:val="32"/>
          <w:highlight w:val="none"/>
        </w:rPr>
      </w:pPr>
      <w:bookmarkStart w:id="29" w:name="_Toc15377211"/>
      <w:r>
        <w:rPr>
          <w:rFonts w:hint="default" w:ascii="Times New Roman" w:hAnsi="Times New Roman" w:eastAsia="楷体_GB2312" w:cs="Times New Roman"/>
          <w:b/>
          <w:color w:val="auto"/>
          <w:sz w:val="32"/>
          <w:szCs w:val="32"/>
          <w:highlight w:val="none"/>
        </w:rPr>
        <w:t>（二）一般公共预算财政拨款支出决算结构情况</w:t>
      </w:r>
      <w:bookmarkEnd w:id="29"/>
    </w:p>
    <w:p>
      <w:pPr>
        <w:keepNext w:val="0"/>
        <w:keepLines w:val="0"/>
        <w:pageBreakBefore w:val="0"/>
        <w:widowControl w:val="0"/>
        <w:kinsoku/>
        <w:wordWrap/>
        <w:overflowPunct/>
        <w:topLinePunct w:val="0"/>
        <w:autoSpaceDE/>
        <w:autoSpaceDN/>
        <w:bidi w:val="0"/>
        <w:adjustRightInd/>
        <w:snapToGrid/>
        <w:spacing w:line="240" w:lineRule="auto"/>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w:t>
      </w:r>
      <w:r>
        <w:rPr>
          <w:rFonts w:hint="default" w:ascii="Times New Roman" w:hAnsi="Times New Roman" w:eastAsia="仿宋_GB2312" w:cs="Times New Roman"/>
          <w:color w:val="auto"/>
          <w:sz w:val="32"/>
          <w:szCs w:val="32"/>
          <w:lang w:eastAsia="zh-CN"/>
        </w:rPr>
        <w:t>5930.78</w:t>
      </w:r>
      <w:r>
        <w:rPr>
          <w:rFonts w:hint="default" w:ascii="Times New Roman" w:hAnsi="Times New Roman" w:eastAsia="仿宋_GB2312" w:cs="Times New Roman"/>
          <w:color w:val="auto"/>
          <w:kern w:val="2"/>
          <w:sz w:val="32"/>
          <w:szCs w:val="32"/>
          <w:highlight w:val="none"/>
          <w:lang w:val="en-US" w:eastAsia="zh-CN" w:bidi="ar-SA"/>
        </w:rPr>
        <w:t>万元，主要用于以下方面：一般公共服务支出5776.66万元，占97.4%；社会保障和就业支出67.32万元，占1.14%；卫生健康支出37.18万元，占0.63%；住房保障支出49.62万元，占0.84%。</w:t>
      </w:r>
    </w:p>
    <w:p>
      <w:pPr>
        <w:pStyle w:val="2"/>
        <w:keepNext w:val="0"/>
        <w:keepLines w:val="0"/>
        <w:pageBreakBefore w:val="0"/>
        <w:widowControl w:val="0"/>
        <w:kinsoku/>
        <w:wordWrap/>
        <w:overflowPunct/>
        <w:topLinePunct w:val="0"/>
        <w:autoSpaceDE/>
        <w:autoSpaceDN/>
        <w:bidi w:val="0"/>
        <w:adjustRightInd/>
        <w:snapToGrid/>
        <w:spacing w:line="240" w:lineRule="auto"/>
        <w:rPr>
          <w:rFonts w:hint="default" w:ascii="Times New Roman" w:hAnsi="Times New Roman" w:cs="Times New Roman"/>
          <w:color w:val="auto"/>
          <w:lang w:val="en-US" w:eastAsia="zh-CN"/>
        </w:rPr>
      </w:pPr>
      <w:r>
        <w:drawing>
          <wp:inline distT="0" distB="0" distL="114300" distR="114300">
            <wp:extent cx="4572000" cy="2743200"/>
            <wp:effectExtent l="4445" t="4445" r="14605" b="14605"/>
            <wp:docPr id="7"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（图6：一般公共预算财政拨款支出决算结构）</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p>
    <w:p>
      <w:pPr>
        <w:spacing w:line="600" w:lineRule="exact"/>
        <w:ind w:firstLine="642" w:firstLineChars="200"/>
        <w:outlineLvl w:val="2"/>
        <w:rPr>
          <w:rFonts w:hint="default" w:ascii="Times New Roman" w:hAnsi="Times New Roman" w:eastAsia="楷体_GB2312" w:cs="Times New Roman"/>
          <w:b/>
          <w:color w:val="auto"/>
          <w:sz w:val="32"/>
          <w:szCs w:val="32"/>
          <w:highlight w:val="none"/>
        </w:rPr>
      </w:pPr>
      <w:bookmarkStart w:id="30" w:name="_Toc15377212"/>
      <w:r>
        <w:rPr>
          <w:rFonts w:hint="default" w:ascii="Times New Roman" w:hAnsi="Times New Roman" w:eastAsia="楷体_GB2312" w:cs="Times New Roman"/>
          <w:b/>
          <w:color w:val="auto"/>
          <w:sz w:val="32"/>
          <w:szCs w:val="32"/>
          <w:highlight w:val="none"/>
        </w:rPr>
        <w:t>（三）一般公共预算财政拨款支出决算具体情况</w:t>
      </w:r>
      <w:bookmarkEnd w:id="30"/>
    </w:p>
    <w:p>
      <w:pPr>
        <w:spacing w:line="360" w:lineRule="auto"/>
        <w:ind w:firstLine="640"/>
        <w:rPr>
          <w:rFonts w:hint="default" w:ascii="Times New Roman" w:hAnsi="Times New Roman" w:eastAsia="仿宋_GB2312" w:cs="Times New Roman"/>
          <w:color w:val="auto"/>
          <w:kern w:val="2"/>
          <w:sz w:val="32"/>
          <w:szCs w:val="32"/>
          <w:highlight w:val="none"/>
          <w:lang w:val="en-US" w:eastAsia="zh-CN" w:bidi="ar-SA"/>
        </w:rPr>
      </w:pPr>
      <w:bookmarkStart w:id="31" w:name="_Toc15378460"/>
      <w:bookmarkStart w:id="32" w:name="_Toc15377444"/>
      <w:bookmarkStart w:id="33" w:name="_Toc15377213"/>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2025年度一般公共预算财政拨款支出决算数为5930.78万元，完成预算100%。其中：</w:t>
      </w:r>
      <w:bookmarkEnd w:id="31"/>
      <w:bookmarkEnd w:id="32"/>
      <w:bookmarkEnd w:id="33"/>
    </w:p>
    <w:p>
      <w:pPr>
        <w:spacing w:line="360" w:lineRule="auto"/>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1.一般公共服务（类）政府办公厅（室）及相关机构事务（款）行政运行（项）: 支出决算为454.14万元，完成预算100%，决算数等于预算数。</w:t>
      </w:r>
    </w:p>
    <w:p>
      <w:pPr>
        <w:spacing w:line="360" w:lineRule="auto"/>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2.一般公共服务（类）政府办公厅（室）及相关机构事务（款）一般行政管理事务（项）: 支出决算为5219.2万元，完成预算100%，决算数等于预算数。</w:t>
      </w:r>
    </w:p>
    <w:p>
      <w:pPr>
        <w:spacing w:line="360" w:lineRule="auto"/>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3.一般公共服务（类）政府办公厅（室）及相关机构事务（款）事业运行（项）: 支出决算为103.32万元，完成预算100%，决算数等于预算数。</w:t>
      </w:r>
    </w:p>
    <w:p>
      <w:pPr>
        <w:spacing w:line="360" w:lineRule="auto"/>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4.社会保障和就业（类）行政事业单位养老支出（款）行政单位离退休（项）: 支出决算为0.6万元，完成预算100%，决算数等于预算数。</w:t>
      </w:r>
    </w:p>
    <w:p>
      <w:pPr>
        <w:spacing w:line="360" w:lineRule="auto"/>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5.社会保障和就业（类）行政事业单位养老支出（款）机关事业单位基本养老保险缴费（项）: 支出决算为66.72万元，完成预算100%，决算数等于预算数。</w:t>
      </w:r>
    </w:p>
    <w:p>
      <w:pPr>
        <w:spacing w:line="360" w:lineRule="auto"/>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6.卫生健康（类）行政事业单位医疗（款）行政单位医疗（项）: 支出决算为28.17万元，完成预算100%，决算数等于预算数。</w:t>
      </w:r>
    </w:p>
    <w:p>
      <w:pPr>
        <w:spacing w:line="360" w:lineRule="auto"/>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7.卫生健康（类）行政事业单位医疗（款）事业单位医疗（项）: 支出决算为6.06万元，完成预算100%，决算数等于预算数。</w:t>
      </w:r>
    </w:p>
    <w:p>
      <w:pPr>
        <w:spacing w:line="360" w:lineRule="auto"/>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8.卫生健康（类）行政事业单位医疗（款）公务员医疗补助（项）: 支出决算为2.95万元，完成预算100%，决算数等于预算数。</w:t>
      </w:r>
    </w:p>
    <w:p>
      <w:pPr>
        <w:spacing w:line="360" w:lineRule="auto"/>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9.住房保障（类）住房改革（款）住房公积金（项）: 支出决算为49.62万元，完成预算100%，决算数等于预算数。</w:t>
      </w:r>
    </w:p>
    <w:p>
      <w:pPr>
        <w:spacing w:line="600" w:lineRule="exact"/>
        <w:rPr>
          <w:rFonts w:hint="default" w:ascii="Times New Roman" w:hAnsi="Times New Roman" w:eastAsia="仿宋_GB2312" w:cs="Times New Roman"/>
          <w:color w:val="auto"/>
          <w:kern w:val="2"/>
          <w:sz w:val="32"/>
          <w:szCs w:val="32"/>
          <w:highlight w:val="none"/>
          <w:lang w:val="en-US" w:eastAsia="zh-CN" w:bidi="ar-SA"/>
        </w:rPr>
      </w:pPr>
    </w:p>
    <w:p>
      <w:pPr>
        <w:tabs>
          <w:tab w:val="right" w:pos="8306"/>
        </w:tabs>
        <w:spacing w:line="600" w:lineRule="exact"/>
        <w:ind w:firstLine="640"/>
        <w:outlineLvl w:val="1"/>
        <w:rPr>
          <w:rStyle w:val="31"/>
          <w:rFonts w:hint="default" w:ascii="Times New Roman" w:hAnsi="Times New Roman" w:cs="Times New Roman"/>
          <w:color w:val="auto"/>
          <w:highlight w:val="none"/>
        </w:rPr>
      </w:pPr>
      <w:bookmarkStart w:id="34" w:name="_Toc15396608"/>
      <w:bookmarkStart w:id="35" w:name="_Toc15377214"/>
      <w:r>
        <w:rPr>
          <w:rFonts w:hint="default" w:ascii="Times New Roman" w:hAnsi="Times New Roman" w:eastAsia="黑体" w:cs="Times New Roman"/>
          <w:color w:val="auto"/>
          <w:sz w:val="32"/>
          <w:szCs w:val="32"/>
          <w:highlight w:val="none"/>
        </w:rPr>
        <w:t>六</w:t>
      </w:r>
      <w:r>
        <w:rPr>
          <w:rFonts w:hint="default" w:ascii="Times New Roman" w:hAnsi="Times New Roman" w:eastAsia="黑体" w:cs="Times New Roman"/>
          <w:b/>
          <w:color w:val="auto"/>
          <w:sz w:val="32"/>
          <w:szCs w:val="32"/>
          <w:highlight w:val="none"/>
        </w:rPr>
        <w:t>、</w:t>
      </w:r>
      <w:r>
        <w:rPr>
          <w:rFonts w:hint="default" w:ascii="Times New Roman" w:hAnsi="Times New Roman" w:eastAsia="黑体" w:cs="Times New Roman"/>
          <w:b w:val="0"/>
          <w:bCs/>
          <w:color w:val="auto"/>
          <w:sz w:val="32"/>
          <w:szCs w:val="32"/>
          <w:highlight w:val="none"/>
        </w:rPr>
        <w:t>一</w:t>
      </w:r>
      <w:r>
        <w:rPr>
          <w:rStyle w:val="31"/>
          <w:rFonts w:hint="default" w:ascii="Times New Roman" w:hAnsi="Times New Roman" w:eastAsia="黑体" w:cs="Times New Roman"/>
          <w:b w:val="0"/>
          <w:color w:val="auto"/>
          <w:highlight w:val="none"/>
        </w:rPr>
        <w:t>般公共预算财政拨款基本支出决算情况说明</w:t>
      </w:r>
      <w:bookmarkEnd w:id="34"/>
      <w:bookmarkEnd w:id="35"/>
      <w:r>
        <w:rPr>
          <w:rStyle w:val="31"/>
          <w:rFonts w:hint="default" w:ascii="Times New Roman" w:hAnsi="Times New Roman" w:eastAsia="黑体" w:cs="Times New Roman"/>
          <w:b w:val="0"/>
          <w:color w:val="auto"/>
          <w:highlight w:val="none"/>
        </w:rPr>
        <w:tab/>
      </w:r>
    </w:p>
    <w:p>
      <w:pPr>
        <w:spacing w:line="360" w:lineRule="auto"/>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2025年度一般公共预算财政拨款基本支出711.58万元，其中：</w:t>
      </w:r>
    </w:p>
    <w:p>
      <w:pPr>
        <w:spacing w:line="360" w:lineRule="auto"/>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人员经费644.51万元，主要包括：基本工资、津贴补贴、奖金、绩效工资、机关事业单位基本养老保险缴费、职工基本医疗保险缴费、其他社会保障缴费、公务员医疗补助缴费、住房公积金、其它工资福利支出、生活补助、医疗费补助、奖励金等。</w:t>
      </w:r>
      <w:r>
        <w:rPr>
          <w:rFonts w:hint="default" w:ascii="Times New Roman" w:hAnsi="Times New Roman" w:eastAsia="仿宋_GB2312" w:cs="Times New Roman"/>
          <w:color w:val="auto"/>
          <w:kern w:val="2"/>
          <w:sz w:val="32"/>
          <w:szCs w:val="32"/>
          <w:highlight w:val="none"/>
          <w:lang w:val="en-US" w:eastAsia="zh-CN" w:bidi="ar-SA"/>
        </w:rPr>
        <w:br w:type="textWrapping"/>
      </w:r>
      <w:r>
        <w:rPr>
          <w:rFonts w:hint="default" w:ascii="Times New Roman" w:hAnsi="Times New Roman" w:eastAsia="仿宋_GB2312" w:cs="Times New Roman"/>
          <w:color w:val="auto"/>
          <w:kern w:val="2"/>
          <w:sz w:val="32"/>
          <w:szCs w:val="32"/>
          <w:highlight w:val="none"/>
          <w:lang w:val="en-US" w:eastAsia="zh-CN" w:bidi="ar-SA"/>
        </w:rPr>
        <w:t>　　公用经费67.07万元，主要包括：办公费、印刷费、水费、电费、邮电费、物业管理费、差旅费、维修（护）费、公务接待费、劳务费、工会经费、福利费、公务用车运行维护费、其他交通费用、其他商品和服务支出等。</w:t>
      </w:r>
    </w:p>
    <w:p>
      <w:pPr>
        <w:pStyle w:val="2"/>
        <w:rPr>
          <w:rFonts w:hint="default" w:ascii="Times New Roman" w:hAnsi="Times New Roman" w:cs="Times New Roman"/>
          <w:color w:val="auto"/>
          <w:lang w:val="en-US" w:eastAsia="zh-CN"/>
        </w:rPr>
      </w:pPr>
    </w:p>
    <w:p>
      <w:pPr>
        <w:spacing w:line="600" w:lineRule="exact"/>
        <w:ind w:firstLine="640"/>
        <w:outlineLvl w:val="1"/>
        <w:rPr>
          <w:rStyle w:val="31"/>
          <w:rFonts w:hint="default" w:ascii="Times New Roman" w:hAnsi="Times New Roman" w:eastAsia="黑体" w:cs="Times New Roman"/>
          <w:b w:val="0"/>
          <w:color w:val="auto"/>
          <w:highlight w:val="none"/>
        </w:rPr>
      </w:pPr>
      <w:bookmarkStart w:id="36" w:name="_Toc15396609"/>
      <w:bookmarkStart w:id="37" w:name="_Toc15377215"/>
      <w:r>
        <w:rPr>
          <w:rFonts w:hint="default" w:ascii="Times New Roman" w:hAnsi="Times New Roman" w:eastAsia="黑体" w:cs="Times New Roman"/>
          <w:color w:val="auto"/>
          <w:sz w:val="32"/>
          <w:szCs w:val="32"/>
          <w:highlight w:val="none"/>
        </w:rPr>
        <w:t>七、</w:t>
      </w:r>
      <w:r>
        <w:rPr>
          <w:rStyle w:val="31"/>
          <w:rFonts w:hint="default" w:ascii="Times New Roman" w:hAnsi="Times New Roman" w:eastAsia="黑体" w:cs="Times New Roman"/>
          <w:b w:val="0"/>
          <w:color w:val="auto"/>
          <w:highlight w:val="none"/>
        </w:rPr>
        <w:t>财政拨款</w:t>
      </w:r>
      <w:r>
        <w:rPr>
          <w:rStyle w:val="31"/>
          <w:rFonts w:hint="eastAsia" w:eastAsia="黑体" w:cs="Times New Roman"/>
          <w:b w:val="0"/>
          <w:color w:val="auto"/>
          <w:highlight w:val="none"/>
          <w:lang w:eastAsia="zh-CN"/>
        </w:rPr>
        <w:t>“</w:t>
      </w:r>
      <w:r>
        <w:rPr>
          <w:rStyle w:val="31"/>
          <w:rFonts w:hint="default" w:ascii="Times New Roman" w:hAnsi="Times New Roman" w:eastAsia="黑体" w:cs="Times New Roman"/>
          <w:b w:val="0"/>
          <w:color w:val="auto"/>
          <w:highlight w:val="none"/>
        </w:rPr>
        <w:t>三公</w:t>
      </w:r>
      <w:r>
        <w:rPr>
          <w:rStyle w:val="31"/>
          <w:rFonts w:hint="eastAsia" w:eastAsia="黑体" w:cs="Times New Roman"/>
          <w:b w:val="0"/>
          <w:color w:val="auto"/>
          <w:highlight w:val="none"/>
          <w:lang w:eastAsia="zh-CN"/>
        </w:rPr>
        <w:t>”</w:t>
      </w:r>
      <w:r>
        <w:rPr>
          <w:rStyle w:val="31"/>
          <w:rFonts w:hint="default" w:ascii="Times New Roman" w:hAnsi="Times New Roman" w:eastAsia="黑体" w:cs="Times New Roman"/>
          <w:b w:val="0"/>
          <w:color w:val="auto"/>
          <w:highlight w:val="none"/>
        </w:rPr>
        <w:t>经费支出决算情况说明</w:t>
      </w:r>
      <w:bookmarkEnd w:id="36"/>
      <w:bookmarkEnd w:id="37"/>
    </w:p>
    <w:p>
      <w:pPr>
        <w:spacing w:line="600" w:lineRule="exact"/>
        <w:ind w:firstLine="642" w:firstLineChars="200"/>
        <w:outlineLvl w:val="2"/>
        <w:rPr>
          <w:rFonts w:hint="default" w:ascii="Times New Roman" w:hAnsi="Times New Roman" w:eastAsia="楷体_GB2312" w:cs="Times New Roman"/>
          <w:b/>
          <w:color w:val="auto"/>
          <w:sz w:val="32"/>
          <w:szCs w:val="32"/>
          <w:highlight w:val="none"/>
        </w:rPr>
      </w:pPr>
      <w:bookmarkStart w:id="38" w:name="_Toc15377216"/>
      <w:r>
        <w:rPr>
          <w:rFonts w:hint="default" w:ascii="Times New Roman" w:hAnsi="Times New Roman" w:eastAsia="楷体_GB2312" w:cs="Times New Roman"/>
          <w:b/>
          <w:color w:val="auto"/>
          <w:sz w:val="32"/>
          <w:szCs w:val="32"/>
          <w:highlight w:val="none"/>
        </w:rPr>
        <w:t>（一）</w:t>
      </w:r>
      <w:r>
        <w:rPr>
          <w:rFonts w:hint="eastAsia" w:ascii="Times New Roman" w:hAnsi="Times New Roman" w:eastAsia="楷体_GB2312" w:cs="Times New Roman"/>
          <w:b/>
          <w:color w:val="auto"/>
          <w:sz w:val="32"/>
          <w:szCs w:val="32"/>
          <w:highlight w:val="none"/>
          <w:lang w:eastAsia="zh-CN"/>
        </w:rPr>
        <w:t>“</w:t>
      </w:r>
      <w:r>
        <w:rPr>
          <w:rFonts w:hint="default" w:ascii="Times New Roman" w:hAnsi="Times New Roman" w:eastAsia="楷体_GB2312" w:cs="Times New Roman"/>
          <w:b/>
          <w:color w:val="auto"/>
          <w:sz w:val="32"/>
          <w:szCs w:val="32"/>
          <w:highlight w:val="none"/>
        </w:rPr>
        <w:t>三公</w:t>
      </w:r>
      <w:r>
        <w:rPr>
          <w:rFonts w:hint="eastAsia" w:ascii="Times New Roman" w:hAnsi="Times New Roman" w:eastAsia="楷体_GB2312" w:cs="Times New Roman"/>
          <w:b/>
          <w:color w:val="auto"/>
          <w:sz w:val="32"/>
          <w:szCs w:val="32"/>
          <w:highlight w:val="none"/>
          <w:lang w:eastAsia="zh-CN"/>
        </w:rPr>
        <w:t>”</w:t>
      </w:r>
      <w:r>
        <w:rPr>
          <w:rFonts w:hint="default" w:ascii="Times New Roman" w:hAnsi="Times New Roman" w:eastAsia="楷体_GB2312" w:cs="Times New Roman"/>
          <w:b/>
          <w:color w:val="auto"/>
          <w:sz w:val="32"/>
          <w:szCs w:val="32"/>
          <w:highlight w:val="none"/>
        </w:rPr>
        <w:t>经费财政拨款支出决算总体情况说明</w:t>
      </w:r>
      <w:bookmarkEnd w:id="38"/>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w:t>
      </w:r>
      <w:r>
        <w:rPr>
          <w:rFonts w:hint="eastAsia" w:eastAsia="仿宋_GB2312" w:cs="Times New Roman"/>
          <w:color w:val="auto"/>
          <w:kern w:val="2"/>
          <w:sz w:val="32"/>
          <w:szCs w:val="32"/>
          <w:highlight w:val="none"/>
          <w:lang w:val="en-US" w:eastAsia="zh-CN" w:bidi="ar-SA"/>
        </w:rPr>
        <w:t>“三公”</w:t>
      </w:r>
      <w:r>
        <w:rPr>
          <w:rFonts w:hint="default" w:ascii="Times New Roman" w:hAnsi="Times New Roman" w:eastAsia="仿宋_GB2312" w:cs="Times New Roman"/>
          <w:color w:val="auto"/>
          <w:kern w:val="2"/>
          <w:sz w:val="32"/>
          <w:szCs w:val="32"/>
          <w:highlight w:val="none"/>
          <w:lang w:val="en-US" w:eastAsia="zh-CN" w:bidi="ar-SA"/>
        </w:rPr>
        <w:t>经费财政拨款支出决算为</w:t>
      </w:r>
      <w:r>
        <w:rPr>
          <w:rFonts w:hint="default" w:ascii="Times New Roman" w:hAnsi="Times New Roman" w:eastAsia="仿宋_GB2312" w:cs="Times New Roman"/>
          <w:color w:val="auto"/>
          <w:sz w:val="32"/>
          <w:szCs w:val="32"/>
          <w:lang w:val="en-US" w:eastAsia="zh-CN"/>
        </w:rPr>
        <w:t>14.4</w:t>
      </w:r>
      <w:r>
        <w:rPr>
          <w:rFonts w:hint="default" w:ascii="Times New Roman" w:hAnsi="Times New Roman" w:eastAsia="仿宋_GB2312" w:cs="Times New Roman"/>
          <w:color w:val="auto"/>
          <w:kern w:val="2"/>
          <w:sz w:val="32"/>
          <w:szCs w:val="32"/>
          <w:highlight w:val="none"/>
          <w:lang w:val="en-US" w:eastAsia="zh-CN" w:bidi="ar-SA"/>
        </w:rPr>
        <w:t>万元，完成预算</w:t>
      </w:r>
      <w:r>
        <w:rPr>
          <w:rFonts w:hint="default" w:ascii="Times New Roman" w:hAnsi="Times New Roman" w:eastAsia="仿宋_GB2312" w:cs="Times New Roman"/>
          <w:color w:val="auto"/>
          <w:sz w:val="32"/>
          <w:szCs w:val="32"/>
        </w:rPr>
        <w:t>100</w:t>
      </w:r>
      <w:r>
        <w:rPr>
          <w:rFonts w:hint="default" w:ascii="Times New Roman" w:hAnsi="Times New Roman" w:eastAsia="仿宋_GB2312" w:cs="Times New Roman"/>
          <w:color w:val="auto"/>
          <w:kern w:val="2"/>
          <w:sz w:val="32"/>
          <w:szCs w:val="32"/>
          <w:highlight w:val="none"/>
          <w:lang w:val="en-US" w:eastAsia="zh-CN" w:bidi="ar-SA"/>
        </w:rPr>
        <w:t>%，较上年度减少3.82万元，下降20.97%。决算数预算数持平。</w:t>
      </w:r>
    </w:p>
    <w:p>
      <w:pPr>
        <w:spacing w:line="600" w:lineRule="exact"/>
        <w:ind w:firstLine="642" w:firstLineChars="200"/>
        <w:outlineLvl w:val="2"/>
        <w:rPr>
          <w:rFonts w:hint="default" w:ascii="Times New Roman" w:hAnsi="Times New Roman" w:eastAsia="楷体_GB2312" w:cs="Times New Roman"/>
          <w:b/>
          <w:color w:val="auto"/>
          <w:sz w:val="32"/>
          <w:szCs w:val="32"/>
          <w:highlight w:val="none"/>
        </w:rPr>
      </w:pPr>
      <w:bookmarkStart w:id="39" w:name="_Toc15377217"/>
      <w:r>
        <w:rPr>
          <w:rFonts w:hint="default" w:ascii="Times New Roman" w:hAnsi="Times New Roman" w:eastAsia="楷体_GB2312" w:cs="Times New Roman"/>
          <w:b/>
          <w:color w:val="auto"/>
          <w:sz w:val="32"/>
          <w:szCs w:val="32"/>
          <w:highlight w:val="none"/>
        </w:rPr>
        <w:t>（二）</w:t>
      </w:r>
      <w:r>
        <w:rPr>
          <w:rFonts w:hint="eastAsia" w:eastAsia="楷体_GB2312" w:cs="Times New Roman"/>
          <w:b/>
          <w:color w:val="auto"/>
          <w:sz w:val="32"/>
          <w:szCs w:val="32"/>
          <w:highlight w:val="none"/>
          <w:lang w:eastAsia="zh-CN"/>
        </w:rPr>
        <w:t>“三公”</w:t>
      </w:r>
      <w:r>
        <w:rPr>
          <w:rFonts w:hint="default" w:ascii="Times New Roman" w:hAnsi="Times New Roman" w:eastAsia="楷体_GB2312" w:cs="Times New Roman"/>
          <w:b/>
          <w:color w:val="auto"/>
          <w:sz w:val="32"/>
          <w:szCs w:val="32"/>
          <w:highlight w:val="none"/>
        </w:rPr>
        <w:t>经费财政拨款支出决算具体情况说明</w:t>
      </w:r>
      <w:bookmarkEnd w:id="39"/>
    </w:p>
    <w:p>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w:t>
      </w:r>
      <w:r>
        <w:rPr>
          <w:rFonts w:hint="eastAsia" w:eastAsia="仿宋_GB2312" w:cs="Times New Roman"/>
          <w:color w:val="auto"/>
          <w:kern w:val="2"/>
          <w:sz w:val="32"/>
          <w:szCs w:val="32"/>
          <w:highlight w:val="none"/>
          <w:lang w:val="en-US" w:eastAsia="zh-CN" w:bidi="ar-SA"/>
        </w:rPr>
        <w:t>“三公”</w:t>
      </w:r>
      <w:r>
        <w:rPr>
          <w:rFonts w:hint="default" w:ascii="Times New Roman" w:hAnsi="Times New Roman" w:eastAsia="仿宋_GB2312" w:cs="Times New Roman"/>
          <w:color w:val="auto"/>
          <w:kern w:val="2"/>
          <w:sz w:val="32"/>
          <w:szCs w:val="32"/>
          <w:highlight w:val="none"/>
          <w:lang w:val="en-US" w:eastAsia="zh-CN" w:bidi="ar-SA"/>
        </w:rPr>
        <w:t>经费财政拨款支出决算中，因公出国（境）费支出决算</w:t>
      </w:r>
      <w:r>
        <w:rPr>
          <w:rFonts w:hint="default" w:ascii="Times New Roman" w:hAnsi="Times New Roman" w:eastAsia="仿宋_GB2312" w:cs="Times New Roman"/>
          <w:color w:val="auto"/>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万元，占0%；公务用车购置及运行维护费支出决算</w:t>
      </w:r>
      <w:r>
        <w:rPr>
          <w:rFonts w:hint="default" w:ascii="Times New Roman" w:hAnsi="Times New Roman" w:eastAsia="仿宋_GB2312" w:cs="Times New Roman"/>
          <w:color w:val="auto"/>
          <w:sz w:val="32"/>
          <w:szCs w:val="32"/>
          <w:lang w:val="en-US" w:eastAsia="zh-CN"/>
        </w:rPr>
        <w:t>14.03</w:t>
      </w:r>
      <w:r>
        <w:rPr>
          <w:rFonts w:hint="default" w:ascii="Times New Roman" w:hAnsi="Times New Roman" w:eastAsia="仿宋_GB2312" w:cs="Times New Roman"/>
          <w:color w:val="auto"/>
          <w:kern w:val="2"/>
          <w:sz w:val="32"/>
          <w:szCs w:val="32"/>
          <w:highlight w:val="none"/>
          <w:lang w:val="en-US" w:eastAsia="zh-CN" w:bidi="ar-SA"/>
        </w:rPr>
        <w:t>万元，占97.43%；公务接待费支出决算</w:t>
      </w:r>
      <w:r>
        <w:rPr>
          <w:rFonts w:hint="default" w:ascii="Times New Roman" w:hAnsi="Times New Roman" w:eastAsia="仿宋_GB2312" w:cs="Times New Roman"/>
          <w:color w:val="auto"/>
          <w:sz w:val="32"/>
          <w:szCs w:val="32"/>
          <w:lang w:val="en-US" w:eastAsia="zh-CN"/>
        </w:rPr>
        <w:t>0.37</w:t>
      </w:r>
      <w:r>
        <w:rPr>
          <w:rFonts w:hint="default" w:ascii="Times New Roman" w:hAnsi="Times New Roman" w:eastAsia="仿宋_GB2312" w:cs="Times New Roman"/>
          <w:color w:val="auto"/>
          <w:kern w:val="2"/>
          <w:sz w:val="32"/>
          <w:szCs w:val="32"/>
          <w:highlight w:val="none"/>
          <w:lang w:val="en-US" w:eastAsia="zh-CN" w:bidi="ar-SA"/>
        </w:rPr>
        <w:t>万元，占2.57%。具体情况如下：</w:t>
      </w:r>
    </w:p>
    <w:p>
      <w:pPr>
        <w:pStyle w:val="2"/>
        <w:keepNext w:val="0"/>
        <w:keepLines w:val="0"/>
        <w:pageBreakBefore w:val="0"/>
        <w:widowControl w:val="0"/>
        <w:kinsoku/>
        <w:wordWrap/>
        <w:overflowPunct/>
        <w:topLinePunct w:val="0"/>
        <w:autoSpaceDE/>
        <w:autoSpaceDN/>
        <w:bidi w:val="0"/>
        <w:adjustRightInd/>
        <w:snapToGrid/>
        <w:spacing w:line="240" w:lineRule="auto"/>
        <w:rPr>
          <w:rFonts w:hint="default" w:ascii="Times New Roman" w:hAnsi="Times New Roman" w:cs="Times New Roman"/>
          <w:color w:val="auto"/>
          <w:lang w:val="en-US" w:eastAsia="zh-CN"/>
        </w:rPr>
      </w:pPr>
      <w:r>
        <w:rPr>
          <w:rFonts w:hint="default" w:ascii="Times New Roman" w:hAnsi="Times New Roman" w:cs="Times New Roman"/>
          <w:color w:val="auto"/>
        </w:rPr>
        <w:drawing>
          <wp:inline distT="0" distB="0" distL="114300" distR="114300">
            <wp:extent cx="4572000" cy="2743200"/>
            <wp:effectExtent l="4445" t="4445" r="14605" b="14605"/>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（图7：</w:t>
      </w:r>
      <w:r>
        <w:rPr>
          <w:rFonts w:hint="eastAsia" w:eastAsia="仿宋_GB2312" w:cs="Times New Roman"/>
          <w:color w:val="auto"/>
          <w:kern w:val="2"/>
          <w:sz w:val="32"/>
          <w:szCs w:val="32"/>
          <w:highlight w:val="none"/>
          <w:lang w:val="en-US" w:eastAsia="zh-CN" w:bidi="ar-SA"/>
        </w:rPr>
        <w:t>“三公”</w:t>
      </w:r>
      <w:r>
        <w:rPr>
          <w:rFonts w:hint="default" w:ascii="Times New Roman" w:hAnsi="Times New Roman" w:eastAsia="仿宋_GB2312" w:cs="Times New Roman"/>
          <w:color w:val="auto"/>
          <w:kern w:val="2"/>
          <w:sz w:val="32"/>
          <w:szCs w:val="32"/>
          <w:highlight w:val="none"/>
          <w:lang w:val="en-US" w:eastAsia="zh-CN" w:bidi="ar-SA"/>
        </w:rPr>
        <w:t>经费财政拨款支出结构）</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1.因公出国（境）经费支出0万元，完成预算0%。</w:t>
      </w:r>
      <w:r>
        <w:rPr>
          <w:rFonts w:hint="default" w:ascii="Times New Roman" w:hAnsi="Times New Roman" w:eastAsia="仿宋_GB2312" w:cs="Times New Roman"/>
          <w:color w:val="auto"/>
          <w:kern w:val="2"/>
          <w:sz w:val="32"/>
          <w:szCs w:val="32"/>
          <w:highlight w:val="none"/>
          <w:lang w:val="en-US" w:eastAsia="zh-CN" w:bidi="ar-SA"/>
        </w:rPr>
        <w:t>全年安排因公出国（境）团组</w:t>
      </w:r>
      <w:r>
        <w:rPr>
          <w:rFonts w:hint="default" w:ascii="Times New Roman" w:hAnsi="Times New Roman" w:eastAsia="仿宋_GB2312" w:cs="Times New Roman"/>
          <w:color w:val="auto"/>
          <w:sz w:val="32"/>
          <w:szCs w:val="32"/>
        </w:rPr>
        <w:t>0</w:t>
      </w:r>
      <w:r>
        <w:rPr>
          <w:rFonts w:hint="default" w:ascii="Times New Roman" w:hAnsi="Times New Roman" w:eastAsia="仿宋_GB2312" w:cs="Times New Roman"/>
          <w:color w:val="auto"/>
          <w:kern w:val="2"/>
          <w:sz w:val="32"/>
          <w:szCs w:val="32"/>
          <w:highlight w:val="none"/>
          <w:lang w:val="en-US" w:eastAsia="zh-CN" w:bidi="ar-SA"/>
        </w:rPr>
        <w:t>次，出国（境）</w:t>
      </w:r>
      <w:r>
        <w:rPr>
          <w:rFonts w:hint="default" w:ascii="Times New Roman" w:hAnsi="Times New Roman" w:eastAsia="仿宋_GB2312" w:cs="Times New Roman"/>
          <w:color w:val="auto"/>
          <w:sz w:val="32"/>
          <w:szCs w:val="32"/>
        </w:rPr>
        <w:t>0</w:t>
      </w:r>
      <w:r>
        <w:rPr>
          <w:rFonts w:hint="default" w:ascii="Times New Roman" w:hAnsi="Times New Roman" w:eastAsia="仿宋_GB2312" w:cs="Times New Roman"/>
          <w:color w:val="auto"/>
          <w:kern w:val="2"/>
          <w:sz w:val="32"/>
          <w:szCs w:val="32"/>
          <w:highlight w:val="none"/>
          <w:lang w:val="en-US" w:eastAsia="zh-CN" w:bidi="ar-SA"/>
        </w:rPr>
        <w:t>人。因公出国（境）支出决算与</w:t>
      </w:r>
      <w:r>
        <w:rPr>
          <w:rFonts w:hint="eastAsia" w:ascii="Times New Roman" w:hAnsi="Times New Roman" w:eastAsia="仿宋_GB2312" w:cs="Times New Roman"/>
          <w:color w:val="auto"/>
          <w:kern w:val="2"/>
          <w:sz w:val="32"/>
          <w:szCs w:val="32"/>
          <w:highlight w:val="none"/>
          <w:lang w:val="en-US" w:eastAsia="zh-CN" w:bidi="ar-SA"/>
        </w:rPr>
        <w:t>上</w:t>
      </w:r>
      <w:r>
        <w:rPr>
          <w:rFonts w:hint="default" w:ascii="Times New Roman" w:hAnsi="Times New Roman" w:eastAsia="仿宋_GB2312" w:cs="Times New Roman"/>
          <w:color w:val="auto"/>
          <w:kern w:val="2"/>
          <w:sz w:val="32"/>
          <w:szCs w:val="32"/>
          <w:highlight w:val="none"/>
          <w:lang w:val="en-US" w:eastAsia="zh-CN" w:bidi="ar-SA"/>
        </w:rPr>
        <w:t>年度持平。</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2.公务用车购置及运行维护费支出14.03万元，完成预算100%。</w:t>
      </w:r>
      <w:r>
        <w:rPr>
          <w:rFonts w:hint="default" w:ascii="Times New Roman" w:hAnsi="Times New Roman" w:eastAsia="仿宋_GB2312" w:cs="Times New Roman"/>
          <w:color w:val="auto"/>
          <w:kern w:val="2"/>
          <w:sz w:val="32"/>
          <w:szCs w:val="32"/>
          <w:highlight w:val="none"/>
          <w:lang w:val="en-US" w:eastAsia="zh-CN" w:bidi="ar-SA"/>
        </w:rPr>
        <w:t>公务用车购置及运行维护费支出决算比上年度减少3.78万元，下降21.22%。主要原因是2025年度拍卖1辆公车，公车运行维护费减少。</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其中：公务用车购置支出</w:t>
      </w:r>
      <w:r>
        <w:rPr>
          <w:rFonts w:hint="default" w:ascii="Times New Roman" w:hAnsi="Times New Roman" w:eastAsia="仿宋_GB2312" w:cs="Times New Roman"/>
          <w:color w:val="auto"/>
          <w:sz w:val="32"/>
          <w:szCs w:val="32"/>
        </w:rPr>
        <w:t>0</w:t>
      </w:r>
      <w:r>
        <w:rPr>
          <w:rFonts w:hint="default" w:ascii="Times New Roman" w:hAnsi="Times New Roman" w:eastAsia="仿宋_GB2312" w:cs="Times New Roman"/>
          <w:color w:val="auto"/>
          <w:kern w:val="2"/>
          <w:sz w:val="32"/>
          <w:szCs w:val="32"/>
          <w:highlight w:val="none"/>
          <w:lang w:val="en-US" w:eastAsia="zh-CN" w:bidi="ar-SA"/>
        </w:rPr>
        <w:t>万元。全年按规定更新购置公务用车0辆，其中：轿车0辆、金额0万元，越野车0辆、金额0万元，载客汽车0辆、金额0万元。截至2025年12月31日，单位共有公务用车9辆，其中：轿车</w:t>
      </w:r>
      <w:r>
        <w:rPr>
          <w:rFonts w:hint="eastAsia" w:eastAsia="仿宋_GB2312" w:cs="Times New Roman"/>
          <w:color w:val="auto"/>
          <w:kern w:val="2"/>
          <w:sz w:val="32"/>
          <w:szCs w:val="32"/>
          <w:highlight w:val="none"/>
          <w:lang w:val="en-US" w:eastAsia="zh-CN" w:bidi="ar-SA"/>
        </w:rPr>
        <w:t>3</w:t>
      </w:r>
      <w:r>
        <w:rPr>
          <w:rFonts w:hint="default" w:ascii="Times New Roman" w:hAnsi="Times New Roman" w:eastAsia="仿宋_GB2312" w:cs="Times New Roman"/>
          <w:color w:val="auto"/>
          <w:kern w:val="2"/>
          <w:sz w:val="32"/>
          <w:szCs w:val="32"/>
          <w:highlight w:val="none"/>
          <w:lang w:val="en-US" w:eastAsia="zh-CN" w:bidi="ar-SA"/>
        </w:rPr>
        <w:t>辆、越野车</w:t>
      </w:r>
      <w:r>
        <w:rPr>
          <w:rFonts w:hint="eastAsia" w:eastAsia="仿宋_GB2312" w:cs="Times New Roman"/>
          <w:color w:val="auto"/>
          <w:kern w:val="2"/>
          <w:sz w:val="32"/>
          <w:szCs w:val="32"/>
          <w:highlight w:val="none"/>
          <w:lang w:val="en-US" w:eastAsia="zh-CN" w:bidi="ar-SA"/>
        </w:rPr>
        <w:t>3</w:t>
      </w:r>
      <w:r>
        <w:rPr>
          <w:rFonts w:hint="default" w:ascii="Times New Roman" w:hAnsi="Times New Roman" w:eastAsia="仿宋_GB2312" w:cs="Times New Roman"/>
          <w:color w:val="auto"/>
          <w:kern w:val="2"/>
          <w:sz w:val="32"/>
          <w:szCs w:val="32"/>
          <w:highlight w:val="none"/>
          <w:lang w:val="en-US" w:eastAsia="zh-CN" w:bidi="ar-SA"/>
        </w:rPr>
        <w:t>辆、载客汽车</w:t>
      </w:r>
      <w:r>
        <w:rPr>
          <w:rFonts w:hint="eastAsia" w:eastAsia="仿宋_GB2312" w:cs="Times New Roman"/>
          <w:color w:val="auto"/>
          <w:kern w:val="2"/>
          <w:sz w:val="32"/>
          <w:szCs w:val="32"/>
          <w:highlight w:val="none"/>
          <w:lang w:val="en-US" w:eastAsia="zh-CN" w:bidi="ar-SA"/>
        </w:rPr>
        <w:t>2</w:t>
      </w:r>
      <w:r>
        <w:rPr>
          <w:rFonts w:hint="default" w:ascii="Times New Roman" w:hAnsi="Times New Roman" w:eastAsia="仿宋_GB2312" w:cs="Times New Roman"/>
          <w:color w:val="auto"/>
          <w:kern w:val="2"/>
          <w:sz w:val="32"/>
          <w:szCs w:val="32"/>
          <w:highlight w:val="none"/>
          <w:lang w:val="en-US" w:eastAsia="zh-CN" w:bidi="ar-SA"/>
        </w:rPr>
        <w:t>辆</w:t>
      </w:r>
      <w:r>
        <w:rPr>
          <w:rFonts w:hint="eastAsia" w:eastAsia="仿宋_GB2312" w:cs="Times New Roman"/>
          <w:color w:val="auto"/>
          <w:kern w:val="2"/>
          <w:sz w:val="32"/>
          <w:szCs w:val="32"/>
          <w:highlight w:val="none"/>
          <w:lang w:val="en-US" w:eastAsia="zh-CN" w:bidi="ar-SA"/>
        </w:rPr>
        <w:t>、其它汽车1辆</w:t>
      </w:r>
      <w:r>
        <w:rPr>
          <w:rFonts w:hint="default" w:ascii="Times New Roman" w:hAnsi="Times New Roman" w:eastAsia="仿宋_GB2312" w:cs="Times New Roman"/>
          <w:color w:val="auto"/>
          <w:kern w:val="2"/>
          <w:sz w:val="32"/>
          <w:szCs w:val="32"/>
          <w:highlight w:val="none"/>
          <w:lang w:val="en-US" w:eastAsia="zh-CN" w:bidi="ar-SA"/>
        </w:rPr>
        <w:t>。</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公务用车运行维护费支出</w:t>
      </w:r>
      <w:r>
        <w:rPr>
          <w:rFonts w:hint="default" w:ascii="Times New Roman" w:hAnsi="Times New Roman" w:eastAsia="仿宋_GB2312" w:cs="Times New Roman"/>
          <w:color w:val="auto"/>
          <w:sz w:val="32"/>
          <w:szCs w:val="32"/>
          <w:lang w:val="en-US" w:eastAsia="zh-CN"/>
        </w:rPr>
        <w:t>14.03</w:t>
      </w:r>
      <w:r>
        <w:rPr>
          <w:rFonts w:hint="default" w:ascii="Times New Roman" w:hAnsi="Times New Roman" w:eastAsia="仿宋_GB2312" w:cs="Times New Roman"/>
          <w:color w:val="auto"/>
          <w:kern w:val="2"/>
          <w:sz w:val="32"/>
          <w:szCs w:val="32"/>
          <w:highlight w:val="none"/>
          <w:lang w:val="en-US" w:eastAsia="zh-CN" w:bidi="ar-SA"/>
        </w:rPr>
        <w:t>万元。主要用于</w:t>
      </w:r>
      <w:r>
        <w:rPr>
          <w:rFonts w:hint="default" w:ascii="Times New Roman" w:hAnsi="Times New Roman" w:eastAsia="仿宋" w:cs="Times New Roman"/>
          <w:color w:val="auto"/>
          <w:sz w:val="32"/>
          <w:szCs w:val="32"/>
        </w:rPr>
        <w:t>市机关后勤服务中心</w:t>
      </w:r>
      <w:r>
        <w:rPr>
          <w:rFonts w:hint="default" w:ascii="Times New Roman" w:hAnsi="Times New Roman" w:eastAsia="仿宋" w:cs="Times New Roman"/>
          <w:color w:val="auto"/>
          <w:sz w:val="32"/>
          <w:szCs w:val="32"/>
          <w:lang w:eastAsia="zh-CN"/>
        </w:rPr>
        <w:t>车辆</w:t>
      </w:r>
      <w:r>
        <w:rPr>
          <w:rFonts w:hint="default" w:ascii="Times New Roman" w:hAnsi="Times New Roman" w:eastAsia="仿宋" w:cs="Times New Roman"/>
          <w:color w:val="auto"/>
          <w:sz w:val="32"/>
          <w:szCs w:val="32"/>
        </w:rPr>
        <w:t>保障平台</w:t>
      </w:r>
      <w:r>
        <w:rPr>
          <w:rFonts w:hint="default" w:ascii="Times New Roman" w:hAnsi="Times New Roman" w:eastAsia="仿宋_GB2312" w:cs="Times New Roman"/>
          <w:color w:val="auto"/>
          <w:kern w:val="2"/>
          <w:sz w:val="32"/>
          <w:szCs w:val="32"/>
          <w:highlight w:val="none"/>
          <w:lang w:val="en-US" w:eastAsia="zh-CN" w:bidi="ar-SA"/>
        </w:rPr>
        <w:t>公务用车燃料费、维修费、过路过桥费、保险费等支出。</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3.公务接待费支出0.37万元，完成预算100%。</w:t>
      </w:r>
      <w:r>
        <w:rPr>
          <w:rFonts w:hint="default" w:ascii="Times New Roman" w:hAnsi="Times New Roman" w:eastAsia="仿宋_GB2312" w:cs="Times New Roman"/>
          <w:color w:val="auto"/>
          <w:kern w:val="2"/>
          <w:sz w:val="32"/>
          <w:szCs w:val="32"/>
          <w:highlight w:val="none"/>
          <w:lang w:val="en-US" w:eastAsia="zh-CN" w:bidi="ar-SA"/>
        </w:rPr>
        <w:t>公务接待费支出决算较上年度减少，其中：</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国内公务接待支出</w:t>
      </w:r>
      <w:r>
        <w:rPr>
          <w:rFonts w:hint="default" w:ascii="Times New Roman" w:hAnsi="Times New Roman" w:eastAsia="仿宋_GB2312" w:cs="Times New Roman"/>
          <w:color w:val="auto"/>
          <w:sz w:val="32"/>
          <w:szCs w:val="32"/>
          <w:lang w:val="en-US" w:eastAsia="zh-CN"/>
        </w:rPr>
        <w:t>0.37</w:t>
      </w:r>
      <w:r>
        <w:rPr>
          <w:rFonts w:hint="default" w:ascii="Times New Roman" w:hAnsi="Times New Roman" w:eastAsia="仿宋_GB2312" w:cs="Times New Roman"/>
          <w:color w:val="auto"/>
          <w:kern w:val="2"/>
          <w:sz w:val="32"/>
          <w:szCs w:val="32"/>
          <w:highlight w:val="none"/>
          <w:lang w:val="en-US" w:eastAsia="zh-CN" w:bidi="ar-SA"/>
        </w:rPr>
        <w:t>万元，主要用于</w:t>
      </w:r>
      <w:r>
        <w:rPr>
          <w:rFonts w:hint="default" w:ascii="Times New Roman" w:hAnsi="Times New Roman" w:eastAsia="仿宋_GB2312" w:cs="Times New Roman"/>
          <w:color w:val="auto"/>
          <w:sz w:val="32"/>
          <w:szCs w:val="32"/>
          <w:highlight w:val="none"/>
          <w:lang w:eastAsia="zh-CN"/>
        </w:rPr>
        <w:t>接待省机关事务管理局</w:t>
      </w:r>
      <w:r>
        <w:rPr>
          <w:rFonts w:hint="default" w:ascii="Times New Roman" w:hAnsi="Times New Roman" w:eastAsia="仿宋_GB2312" w:cs="Times New Roman"/>
          <w:color w:val="auto"/>
          <w:kern w:val="2"/>
          <w:sz w:val="32"/>
          <w:szCs w:val="32"/>
          <w:highlight w:val="none"/>
          <w:lang w:val="en-US" w:eastAsia="zh-CN" w:bidi="ar-SA"/>
        </w:rPr>
        <w:t>开展</w:t>
      </w:r>
      <w:r>
        <w:rPr>
          <w:rFonts w:hint="eastAsia" w:eastAsia="仿宋_GB2312" w:cs="Times New Roman"/>
          <w:color w:val="auto"/>
          <w:kern w:val="2"/>
          <w:sz w:val="32"/>
          <w:szCs w:val="32"/>
          <w:highlight w:val="none"/>
          <w:lang w:val="en-US" w:eastAsia="zh-CN" w:bidi="ar-SA"/>
        </w:rPr>
        <w:t>调研</w:t>
      </w:r>
      <w:r>
        <w:rPr>
          <w:rFonts w:hint="default" w:ascii="Times New Roman" w:hAnsi="Times New Roman" w:eastAsia="仿宋_GB2312" w:cs="Times New Roman"/>
          <w:color w:val="auto"/>
          <w:kern w:val="2"/>
          <w:sz w:val="32"/>
          <w:szCs w:val="32"/>
          <w:highlight w:val="none"/>
          <w:lang w:val="en-US" w:eastAsia="zh-CN" w:bidi="ar-SA"/>
        </w:rPr>
        <w:t>活动开支餐费。国内公务接待</w:t>
      </w:r>
      <w:r>
        <w:rPr>
          <w:rFonts w:hint="default" w:ascii="Times New Roman" w:hAnsi="Times New Roman" w:eastAsia="仿宋_GB2312" w:cs="Times New Roman"/>
          <w:color w:val="auto"/>
          <w:sz w:val="32"/>
          <w:szCs w:val="32"/>
        </w:rPr>
        <w:t>3</w:t>
      </w:r>
      <w:r>
        <w:rPr>
          <w:rFonts w:hint="default" w:ascii="Times New Roman" w:hAnsi="Times New Roman" w:eastAsia="仿宋_GB2312" w:cs="Times New Roman"/>
          <w:color w:val="auto"/>
          <w:kern w:val="2"/>
          <w:sz w:val="32"/>
          <w:szCs w:val="32"/>
          <w:highlight w:val="none"/>
          <w:lang w:val="en-US" w:eastAsia="zh-CN" w:bidi="ar-SA"/>
        </w:rPr>
        <w:t>批次，</w:t>
      </w:r>
      <w:r>
        <w:rPr>
          <w:rFonts w:hint="default" w:ascii="Times New Roman" w:hAnsi="Times New Roman" w:eastAsia="仿宋_GB2312" w:cs="Times New Roman"/>
          <w:color w:val="auto"/>
          <w:sz w:val="32"/>
          <w:szCs w:val="32"/>
        </w:rPr>
        <w:t>38</w:t>
      </w:r>
      <w:r>
        <w:rPr>
          <w:rFonts w:hint="default" w:ascii="Times New Roman" w:hAnsi="Times New Roman" w:eastAsia="仿宋_GB2312" w:cs="Times New Roman"/>
          <w:color w:val="auto"/>
          <w:kern w:val="2"/>
          <w:sz w:val="32"/>
          <w:szCs w:val="32"/>
          <w:highlight w:val="none"/>
          <w:lang w:val="en-US" w:eastAsia="zh-CN" w:bidi="ar-SA"/>
        </w:rPr>
        <w:t>人次（不包括陪同人员），共计支出</w:t>
      </w:r>
      <w:r>
        <w:rPr>
          <w:rFonts w:hint="eastAsia" w:eastAsia="仿宋_GB2312" w:cs="Times New Roman"/>
          <w:color w:val="auto"/>
          <w:kern w:val="2"/>
          <w:sz w:val="32"/>
          <w:szCs w:val="32"/>
          <w:highlight w:val="none"/>
          <w:lang w:val="en-US" w:eastAsia="zh-CN" w:bidi="ar-SA"/>
        </w:rPr>
        <w:t>0.37</w:t>
      </w:r>
      <w:r>
        <w:rPr>
          <w:rFonts w:hint="default" w:ascii="Times New Roman" w:hAnsi="Times New Roman" w:eastAsia="仿宋_GB2312" w:cs="Times New Roman"/>
          <w:color w:val="auto"/>
          <w:kern w:val="2"/>
          <w:sz w:val="32"/>
          <w:szCs w:val="32"/>
          <w:highlight w:val="none"/>
          <w:lang w:val="en-US" w:eastAsia="zh-CN" w:bidi="ar-SA"/>
        </w:rPr>
        <w:t>万元，具体内容包括：省局赴攀开展学习调研0.1万元、省局赴攀开展办公用房安全管理工作调研0.05万元、省局赴攀开展机关食堂反食品浪费工作成效评估和节约型公共机构示范单位创建实地查看接待费0.22万元。</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外事接待支出</w:t>
      </w:r>
      <w:r>
        <w:rPr>
          <w:rFonts w:hint="default" w:ascii="Times New Roman" w:hAnsi="Times New Roman" w:eastAsia="仿宋_GB2312" w:cs="Times New Roman"/>
          <w:color w:val="auto"/>
          <w:sz w:val="32"/>
          <w:szCs w:val="32"/>
        </w:rPr>
        <w:t>0</w:t>
      </w:r>
      <w:r>
        <w:rPr>
          <w:rFonts w:hint="default" w:ascii="Times New Roman" w:hAnsi="Times New Roman" w:eastAsia="仿宋_GB2312" w:cs="Times New Roman"/>
          <w:color w:val="auto"/>
          <w:kern w:val="2"/>
          <w:sz w:val="32"/>
          <w:szCs w:val="32"/>
          <w:highlight w:val="none"/>
          <w:lang w:val="en-US" w:eastAsia="zh-CN" w:bidi="ar-SA"/>
        </w:rPr>
        <w:t>万元。外事接待</w:t>
      </w:r>
      <w:r>
        <w:rPr>
          <w:rFonts w:hint="default" w:ascii="Times New Roman" w:hAnsi="Times New Roman" w:eastAsia="仿宋_GB2312" w:cs="Times New Roman"/>
          <w:color w:val="auto"/>
          <w:sz w:val="32"/>
          <w:szCs w:val="32"/>
        </w:rPr>
        <w:t>0</w:t>
      </w:r>
      <w:r>
        <w:rPr>
          <w:rFonts w:hint="default" w:ascii="Times New Roman" w:hAnsi="Times New Roman" w:eastAsia="仿宋_GB2312" w:cs="Times New Roman"/>
          <w:color w:val="auto"/>
          <w:kern w:val="2"/>
          <w:sz w:val="32"/>
          <w:szCs w:val="32"/>
          <w:highlight w:val="none"/>
          <w:lang w:val="en-US" w:eastAsia="zh-CN" w:bidi="ar-SA"/>
        </w:rPr>
        <w:t>批次，</w:t>
      </w:r>
      <w:r>
        <w:rPr>
          <w:rFonts w:hint="default" w:ascii="Times New Roman" w:hAnsi="Times New Roman" w:eastAsia="仿宋_GB2312" w:cs="Times New Roman"/>
          <w:color w:val="auto"/>
          <w:sz w:val="32"/>
          <w:szCs w:val="32"/>
        </w:rPr>
        <w:t>0</w:t>
      </w:r>
      <w:r>
        <w:rPr>
          <w:rFonts w:hint="default" w:ascii="Times New Roman" w:hAnsi="Times New Roman" w:eastAsia="仿宋_GB2312" w:cs="Times New Roman"/>
          <w:color w:val="auto"/>
          <w:kern w:val="2"/>
          <w:sz w:val="32"/>
          <w:szCs w:val="32"/>
          <w:highlight w:val="none"/>
          <w:lang w:val="en-US" w:eastAsia="zh-CN" w:bidi="ar-SA"/>
        </w:rPr>
        <w:t>人次（不包括陪同人员），共计支出0万元。</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bookmarkStart w:id="40" w:name="_Toc15377218"/>
      <w:bookmarkStart w:id="41" w:name="_Toc15396610"/>
    </w:p>
    <w:p>
      <w:pPr>
        <w:spacing w:line="600" w:lineRule="exact"/>
        <w:ind w:firstLine="640"/>
        <w:outlineLvl w:val="1"/>
        <w:rPr>
          <w:rStyle w:val="31"/>
          <w:rFonts w:hint="default" w:ascii="Times New Roman" w:hAnsi="Times New Roman" w:eastAsia="黑体" w:cs="Times New Roman"/>
          <w:color w:val="auto"/>
          <w:highlight w:val="none"/>
        </w:rPr>
      </w:pPr>
      <w:r>
        <w:rPr>
          <w:rFonts w:hint="default" w:ascii="Times New Roman" w:hAnsi="Times New Roman" w:eastAsia="黑体" w:cs="Times New Roman"/>
          <w:color w:val="auto"/>
          <w:sz w:val="32"/>
          <w:szCs w:val="32"/>
          <w:highlight w:val="none"/>
        </w:rPr>
        <w:t>八、</w:t>
      </w:r>
      <w:r>
        <w:rPr>
          <w:rStyle w:val="31"/>
          <w:rFonts w:hint="default" w:ascii="Times New Roman" w:hAnsi="Times New Roman" w:eastAsia="黑体" w:cs="Times New Roman"/>
          <w:b w:val="0"/>
          <w:color w:val="auto"/>
          <w:highlight w:val="none"/>
        </w:rPr>
        <w:t>政府性基金预算支出决算情况说明</w:t>
      </w:r>
      <w:bookmarkEnd w:id="40"/>
      <w:bookmarkEnd w:id="41"/>
    </w:p>
    <w:p>
      <w:pPr>
        <w:spacing w:line="600" w:lineRule="exact"/>
        <w:ind w:firstLine="640"/>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2025年度政府性基金预算财政拨款支出</w:t>
      </w:r>
      <w:r>
        <w:rPr>
          <w:rFonts w:hint="default" w:ascii="Times New Roman" w:hAnsi="Times New Roman" w:eastAsia="仿宋_GB2312" w:cs="Times New Roman"/>
          <w:color w:val="auto"/>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default" w:ascii="Times New Roman" w:hAnsi="Times New Roman" w:eastAsia="仿宋_GB2312" w:cs="Times New Roman"/>
          <w:color w:val="auto"/>
          <w:sz w:val="32"/>
          <w:szCs w:val="32"/>
        </w:rPr>
        <w:t>0</w:t>
      </w:r>
      <w:r>
        <w:rPr>
          <w:rFonts w:hint="default" w:ascii="Times New Roman" w:hAnsi="Times New Roman" w:eastAsia="仿宋_GB2312" w:cs="Times New Roman"/>
          <w:color w:val="auto"/>
          <w:kern w:val="2"/>
          <w:sz w:val="32"/>
          <w:szCs w:val="32"/>
          <w:highlight w:val="none"/>
          <w:lang w:val="en-US" w:eastAsia="zh-CN" w:bidi="ar-SA"/>
        </w:rPr>
        <w:t>%。与上年度相比，政府性基金预算财政拨款支出与上年持平。</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p>
    <w:p>
      <w:pPr>
        <w:numPr>
          <w:ilvl w:val="0"/>
          <w:numId w:val="0"/>
        </w:numPr>
        <w:spacing w:line="600" w:lineRule="exact"/>
        <w:ind w:left="630" w:leftChars="0"/>
        <w:outlineLvl w:val="1"/>
        <w:rPr>
          <w:rStyle w:val="31"/>
          <w:rFonts w:hint="default" w:ascii="Times New Roman" w:hAnsi="Times New Roman" w:eastAsia="黑体" w:cs="Times New Roman"/>
          <w:b w:val="0"/>
          <w:color w:val="auto"/>
          <w:highlight w:val="none"/>
        </w:rPr>
      </w:pPr>
      <w:bookmarkStart w:id="42" w:name="_Toc15377219"/>
      <w:bookmarkStart w:id="43" w:name="_Toc15396611"/>
      <w:r>
        <w:rPr>
          <w:rStyle w:val="31"/>
          <w:rFonts w:hint="default" w:ascii="Times New Roman" w:hAnsi="Times New Roman" w:eastAsia="黑体" w:cs="Times New Roman"/>
          <w:b w:val="0"/>
          <w:color w:val="auto"/>
          <w:highlight w:val="none"/>
          <w:lang w:eastAsia="zh-CN"/>
        </w:rPr>
        <w:t>九、</w:t>
      </w:r>
      <w:r>
        <w:rPr>
          <w:rStyle w:val="31"/>
          <w:rFonts w:hint="default" w:ascii="Times New Roman" w:hAnsi="Times New Roman" w:eastAsia="黑体" w:cs="Times New Roman"/>
          <w:b w:val="0"/>
          <w:color w:val="auto"/>
          <w:highlight w:val="none"/>
        </w:rPr>
        <w:t>国有资本经营预算支出决算情况说明</w:t>
      </w:r>
      <w:bookmarkEnd w:id="42"/>
      <w:bookmarkEnd w:id="43"/>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2025年度国有资本经营预算财政拨款支出</w:t>
      </w:r>
      <w:r>
        <w:rPr>
          <w:rFonts w:hint="default" w:ascii="Times New Roman" w:hAnsi="Times New Roman" w:eastAsia="仿宋_GB2312" w:cs="Times New Roman"/>
          <w:color w:val="auto"/>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default" w:ascii="Times New Roman" w:hAnsi="Times New Roman" w:eastAsia="仿宋_GB2312" w:cs="Times New Roman"/>
          <w:color w:val="auto"/>
          <w:sz w:val="32"/>
          <w:szCs w:val="32"/>
        </w:rPr>
        <w:t>0</w:t>
      </w:r>
      <w:r>
        <w:rPr>
          <w:rFonts w:hint="default" w:ascii="Times New Roman" w:hAnsi="Times New Roman" w:eastAsia="仿宋_GB2312" w:cs="Times New Roman"/>
          <w:color w:val="auto"/>
          <w:kern w:val="2"/>
          <w:sz w:val="32"/>
          <w:szCs w:val="32"/>
          <w:highlight w:val="none"/>
          <w:lang w:val="en-US" w:eastAsia="zh-CN" w:bidi="ar-SA"/>
        </w:rPr>
        <w:t>%。与上年度相比，国有资本经营预算财政拨款支出与上年持平。</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p>
    <w:p>
      <w:pPr>
        <w:numPr>
          <w:ilvl w:val="0"/>
          <w:numId w:val="0"/>
        </w:numPr>
        <w:spacing w:line="600" w:lineRule="exact"/>
        <w:ind w:left="630" w:leftChars="0"/>
        <w:outlineLvl w:val="1"/>
        <w:rPr>
          <w:rStyle w:val="31"/>
          <w:rFonts w:hint="default" w:ascii="Times New Roman" w:hAnsi="Times New Roman" w:eastAsia="黑体" w:cs="Times New Roman"/>
          <w:b w:val="0"/>
          <w:color w:val="auto"/>
          <w:highlight w:val="none"/>
        </w:rPr>
      </w:pPr>
      <w:bookmarkStart w:id="44" w:name="_Toc15396612"/>
      <w:bookmarkStart w:id="45" w:name="_Toc15377221"/>
      <w:r>
        <w:rPr>
          <w:rStyle w:val="31"/>
          <w:rFonts w:hint="default" w:ascii="Times New Roman" w:hAnsi="Times New Roman" w:eastAsia="黑体" w:cs="Times New Roman"/>
          <w:b w:val="0"/>
          <w:color w:val="auto"/>
          <w:highlight w:val="none"/>
          <w:lang w:eastAsia="zh-CN"/>
        </w:rPr>
        <w:t>十、</w:t>
      </w:r>
      <w:r>
        <w:rPr>
          <w:rStyle w:val="31"/>
          <w:rFonts w:hint="default" w:ascii="Times New Roman" w:hAnsi="Times New Roman" w:eastAsia="黑体" w:cs="Times New Roman"/>
          <w:b w:val="0"/>
          <w:color w:val="auto"/>
          <w:highlight w:val="none"/>
        </w:rPr>
        <w:t>其他重要事项的情况说明</w:t>
      </w:r>
      <w:bookmarkEnd w:id="44"/>
      <w:bookmarkEnd w:id="45"/>
    </w:p>
    <w:p>
      <w:pPr>
        <w:spacing w:line="600" w:lineRule="exact"/>
        <w:ind w:firstLine="642" w:firstLineChars="200"/>
        <w:outlineLvl w:val="2"/>
        <w:rPr>
          <w:rFonts w:hint="default" w:ascii="Times New Roman" w:hAnsi="Times New Roman" w:eastAsia="楷体_GB2312" w:cs="Times New Roman"/>
          <w:b/>
          <w:color w:val="auto"/>
          <w:sz w:val="32"/>
          <w:szCs w:val="32"/>
          <w:highlight w:val="none"/>
        </w:rPr>
      </w:pPr>
      <w:bookmarkStart w:id="46" w:name="_Toc15377222"/>
      <w:r>
        <w:rPr>
          <w:rFonts w:hint="default" w:ascii="Times New Roman" w:hAnsi="Times New Roman" w:eastAsia="楷体_GB2312" w:cs="Times New Roman"/>
          <w:b/>
          <w:color w:val="auto"/>
          <w:sz w:val="32"/>
          <w:szCs w:val="32"/>
          <w:highlight w:val="none"/>
        </w:rPr>
        <w:t>（一）机关运行经费支出情况</w:t>
      </w:r>
      <w:bookmarkEnd w:id="46"/>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color w:val="auto"/>
          <w:sz w:val="32"/>
          <w:szCs w:val="32"/>
        </w:rPr>
        <w:t>攀枝花市机关事务服务中心</w:t>
      </w:r>
      <w:r>
        <w:rPr>
          <w:rFonts w:hint="default" w:ascii="Times New Roman" w:hAnsi="Times New Roman" w:eastAsia="仿宋_GB2312" w:cs="Times New Roman"/>
          <w:color w:val="auto"/>
          <w:kern w:val="2"/>
          <w:sz w:val="32"/>
          <w:szCs w:val="32"/>
          <w:highlight w:val="none"/>
          <w:lang w:val="en-US" w:eastAsia="zh-CN" w:bidi="ar-SA"/>
        </w:rPr>
        <w:t>机关运行经费支出</w:t>
      </w:r>
      <w:r>
        <w:rPr>
          <w:rFonts w:hint="default" w:ascii="Times New Roman" w:hAnsi="Times New Roman" w:eastAsia="仿宋_GB2312" w:cs="Times New Roman"/>
          <w:color w:val="auto"/>
          <w:sz w:val="32"/>
          <w:szCs w:val="32"/>
          <w:lang w:val="en-US" w:eastAsia="zh-CN"/>
        </w:rPr>
        <w:t>67.07</w:t>
      </w:r>
      <w:r>
        <w:rPr>
          <w:rFonts w:hint="default" w:ascii="Times New Roman" w:hAnsi="Times New Roman" w:eastAsia="仿宋_GB2312" w:cs="Times New Roman"/>
          <w:color w:val="auto"/>
          <w:kern w:val="2"/>
          <w:sz w:val="32"/>
          <w:szCs w:val="32"/>
          <w:highlight w:val="none"/>
          <w:lang w:val="en-US" w:eastAsia="zh-CN" w:bidi="ar-SA"/>
        </w:rPr>
        <w:t>万元，比上年度减少10.73万元，下降13.79%，主要原因是本年度拍卖一辆公车，压减一般性支出。</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p>
    <w:p>
      <w:pPr>
        <w:spacing w:line="600" w:lineRule="exact"/>
        <w:ind w:firstLine="642" w:firstLineChars="200"/>
        <w:outlineLvl w:val="2"/>
        <w:rPr>
          <w:rFonts w:hint="default" w:ascii="Times New Roman" w:hAnsi="Times New Roman" w:eastAsia="楷体_GB2312" w:cs="Times New Roman"/>
          <w:b/>
          <w:color w:val="auto"/>
          <w:sz w:val="32"/>
          <w:szCs w:val="32"/>
          <w:highlight w:val="none"/>
        </w:rPr>
      </w:pPr>
      <w:bookmarkStart w:id="47" w:name="_Toc15377223"/>
      <w:r>
        <w:rPr>
          <w:rFonts w:hint="default" w:ascii="Times New Roman" w:hAnsi="Times New Roman" w:eastAsia="楷体_GB2312" w:cs="Times New Roman"/>
          <w:b/>
          <w:color w:val="auto"/>
          <w:sz w:val="32"/>
          <w:szCs w:val="32"/>
          <w:highlight w:val="none"/>
        </w:rPr>
        <w:t>（二）政府采购支出情况</w:t>
      </w:r>
      <w:bookmarkEnd w:id="47"/>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color w:val="auto"/>
          <w:sz w:val="32"/>
          <w:szCs w:val="32"/>
        </w:rPr>
        <w:t>攀枝花市机关事务服务中心</w:t>
      </w:r>
      <w:r>
        <w:rPr>
          <w:rFonts w:hint="default" w:ascii="Times New Roman" w:hAnsi="Times New Roman" w:eastAsia="仿宋_GB2312" w:cs="Times New Roman"/>
          <w:color w:val="auto"/>
          <w:kern w:val="2"/>
          <w:sz w:val="32"/>
          <w:szCs w:val="32"/>
          <w:highlight w:val="none"/>
          <w:lang w:val="en-US" w:eastAsia="zh-CN" w:bidi="ar-SA"/>
        </w:rPr>
        <w:t>政府采购支出总额</w:t>
      </w:r>
      <w:r>
        <w:rPr>
          <w:rFonts w:hint="default" w:ascii="Times New Roman" w:hAnsi="Times New Roman" w:eastAsia="仿宋_GB2312" w:cs="Times New Roman"/>
          <w:color w:val="auto"/>
          <w:sz w:val="32"/>
          <w:szCs w:val="32"/>
          <w:lang w:val="en-US" w:eastAsia="zh-CN"/>
        </w:rPr>
        <w:t>627.30</w:t>
      </w:r>
      <w:r>
        <w:rPr>
          <w:rFonts w:hint="default" w:ascii="Times New Roman" w:hAnsi="Times New Roman" w:eastAsia="仿宋_GB2312" w:cs="Times New Roman"/>
          <w:color w:val="auto"/>
          <w:kern w:val="2"/>
          <w:sz w:val="32"/>
          <w:szCs w:val="32"/>
          <w:highlight w:val="none"/>
          <w:lang w:val="en-US" w:eastAsia="zh-CN" w:bidi="ar-SA"/>
        </w:rPr>
        <w:t>万元，其中：政府采购货物支出</w:t>
      </w:r>
      <w:r>
        <w:rPr>
          <w:rFonts w:hint="default" w:ascii="Times New Roman" w:hAnsi="Times New Roman" w:eastAsia="仿宋_GB2312" w:cs="Times New Roman"/>
          <w:color w:val="auto"/>
          <w:sz w:val="32"/>
          <w:szCs w:val="32"/>
          <w:lang w:val="en-US" w:eastAsia="zh-CN"/>
        </w:rPr>
        <w:t>0.81</w:t>
      </w:r>
      <w:r>
        <w:rPr>
          <w:rFonts w:hint="default" w:ascii="Times New Roman" w:hAnsi="Times New Roman" w:eastAsia="仿宋_GB2312" w:cs="Times New Roman"/>
          <w:color w:val="auto"/>
          <w:kern w:val="2"/>
          <w:sz w:val="32"/>
          <w:szCs w:val="32"/>
          <w:highlight w:val="none"/>
          <w:lang w:val="en-US" w:eastAsia="zh-CN" w:bidi="ar-SA"/>
        </w:rPr>
        <w:t>万元、政府采购工程支出</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kern w:val="2"/>
          <w:sz w:val="32"/>
          <w:szCs w:val="32"/>
          <w:highlight w:val="none"/>
          <w:lang w:val="en-US" w:eastAsia="zh-CN" w:bidi="ar-SA"/>
        </w:rPr>
        <w:t>万元、政府采购服务支出</w:t>
      </w:r>
      <w:r>
        <w:rPr>
          <w:rFonts w:hint="default" w:ascii="Times New Roman" w:hAnsi="Times New Roman" w:eastAsia="仿宋_GB2312" w:cs="Times New Roman"/>
          <w:color w:val="auto"/>
          <w:sz w:val="32"/>
          <w:szCs w:val="32"/>
          <w:lang w:val="en-US" w:eastAsia="zh-CN"/>
        </w:rPr>
        <w:t>626.49</w:t>
      </w:r>
      <w:r>
        <w:rPr>
          <w:rFonts w:hint="default" w:ascii="Times New Roman" w:hAnsi="Times New Roman" w:eastAsia="仿宋_GB2312" w:cs="Times New Roman"/>
          <w:color w:val="auto"/>
          <w:kern w:val="2"/>
          <w:sz w:val="32"/>
          <w:szCs w:val="32"/>
          <w:highlight w:val="none"/>
          <w:lang w:val="en-US" w:eastAsia="zh-CN" w:bidi="ar-SA"/>
        </w:rPr>
        <w:t>万元。主要用于食堂空调采购、食堂餐饮加工服务采购等。授予中小企业合同金额</w:t>
      </w:r>
      <w:r>
        <w:rPr>
          <w:rFonts w:hint="default" w:ascii="Times New Roman" w:hAnsi="Times New Roman" w:eastAsia="仿宋_GB2312" w:cs="Times New Roman"/>
          <w:color w:val="auto"/>
          <w:sz w:val="32"/>
          <w:szCs w:val="32"/>
          <w:lang w:val="en-US" w:eastAsia="zh-CN"/>
        </w:rPr>
        <w:t>76.34</w:t>
      </w:r>
      <w:r>
        <w:rPr>
          <w:rFonts w:hint="default" w:ascii="Times New Roman" w:hAnsi="Times New Roman" w:eastAsia="仿宋_GB2312" w:cs="Times New Roman"/>
          <w:color w:val="auto"/>
          <w:kern w:val="2"/>
          <w:sz w:val="32"/>
          <w:szCs w:val="32"/>
          <w:highlight w:val="none"/>
          <w:lang w:val="en-US" w:eastAsia="zh-CN" w:bidi="ar-SA"/>
        </w:rPr>
        <w:t>万元，占政府采购支出总额的</w:t>
      </w:r>
      <w:r>
        <w:rPr>
          <w:rFonts w:hint="default" w:ascii="Times New Roman" w:hAnsi="Times New Roman" w:eastAsia="仿宋_GB2312" w:cs="Times New Roman"/>
          <w:color w:val="auto"/>
          <w:sz w:val="32"/>
          <w:szCs w:val="32"/>
          <w:lang w:val="en-US" w:eastAsia="zh-CN"/>
        </w:rPr>
        <w:t>12.17</w:t>
      </w:r>
      <w:r>
        <w:rPr>
          <w:rFonts w:hint="default" w:ascii="Times New Roman" w:hAnsi="Times New Roman" w:eastAsia="仿宋_GB2312" w:cs="Times New Roman"/>
          <w:color w:val="auto"/>
          <w:kern w:val="2"/>
          <w:sz w:val="32"/>
          <w:szCs w:val="32"/>
          <w:highlight w:val="none"/>
          <w:lang w:val="en-US" w:eastAsia="zh-CN" w:bidi="ar-SA"/>
        </w:rPr>
        <w:t>%，其中：授予小微企业合同金额</w:t>
      </w:r>
      <w:r>
        <w:rPr>
          <w:rFonts w:hint="default" w:ascii="Times New Roman" w:hAnsi="Times New Roman" w:eastAsia="仿宋_GB2312" w:cs="Times New Roman"/>
          <w:color w:val="auto"/>
          <w:sz w:val="32"/>
          <w:szCs w:val="32"/>
          <w:lang w:val="en-US" w:eastAsia="zh-CN"/>
        </w:rPr>
        <w:t>69.78</w:t>
      </w:r>
      <w:r>
        <w:rPr>
          <w:rFonts w:hint="default" w:ascii="Times New Roman" w:hAnsi="Times New Roman" w:eastAsia="仿宋_GB2312" w:cs="Times New Roman"/>
          <w:color w:val="auto"/>
          <w:kern w:val="2"/>
          <w:sz w:val="32"/>
          <w:szCs w:val="32"/>
          <w:highlight w:val="none"/>
          <w:lang w:val="en-US" w:eastAsia="zh-CN" w:bidi="ar-SA"/>
        </w:rPr>
        <w:t>万元，占政府采购支出总额的</w:t>
      </w:r>
      <w:r>
        <w:rPr>
          <w:rFonts w:hint="default" w:ascii="Times New Roman" w:hAnsi="Times New Roman" w:eastAsia="仿宋_GB2312" w:cs="Times New Roman"/>
          <w:color w:val="auto"/>
          <w:sz w:val="32"/>
          <w:szCs w:val="32"/>
          <w:lang w:val="en-US" w:eastAsia="zh-CN"/>
        </w:rPr>
        <w:t>11.12</w:t>
      </w:r>
      <w:r>
        <w:rPr>
          <w:rFonts w:hint="default" w:ascii="Times New Roman" w:hAnsi="Times New Roman" w:eastAsia="仿宋_GB2312" w:cs="Times New Roman"/>
          <w:color w:val="auto"/>
          <w:kern w:val="2"/>
          <w:sz w:val="32"/>
          <w:szCs w:val="32"/>
          <w:highlight w:val="none"/>
          <w:lang w:val="en-US" w:eastAsia="zh-CN" w:bidi="ar-SA"/>
        </w:rPr>
        <w:t>%。</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p>
    <w:p>
      <w:pPr>
        <w:spacing w:line="600" w:lineRule="exact"/>
        <w:ind w:firstLine="642" w:firstLineChars="200"/>
        <w:outlineLvl w:val="2"/>
        <w:rPr>
          <w:rFonts w:hint="default" w:ascii="Times New Roman" w:hAnsi="Times New Roman" w:eastAsia="楷体_GB2312" w:cs="Times New Roman"/>
          <w:b/>
          <w:color w:val="auto"/>
          <w:sz w:val="32"/>
          <w:szCs w:val="32"/>
          <w:highlight w:val="none"/>
        </w:rPr>
      </w:pPr>
      <w:bookmarkStart w:id="48" w:name="_Toc15377224"/>
      <w:r>
        <w:rPr>
          <w:rFonts w:hint="default" w:ascii="Times New Roman" w:hAnsi="Times New Roman" w:eastAsia="楷体_GB2312" w:cs="Times New Roman"/>
          <w:b/>
          <w:color w:val="auto"/>
          <w:sz w:val="32"/>
          <w:szCs w:val="32"/>
          <w:highlight w:val="none"/>
        </w:rPr>
        <w:t>（三）国有资产占有使用情况</w:t>
      </w:r>
      <w:bookmarkEnd w:id="48"/>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截至2025年12月31日，</w:t>
      </w:r>
      <w:r>
        <w:rPr>
          <w:rFonts w:hint="default" w:ascii="Times New Roman" w:hAnsi="Times New Roman" w:eastAsia="仿宋_GB2312" w:cs="Times New Roman"/>
          <w:color w:val="auto"/>
          <w:sz w:val="32"/>
          <w:szCs w:val="32"/>
          <w:highlight w:val="none"/>
        </w:rPr>
        <w:t>攀枝花市机关事务服务中心</w:t>
      </w:r>
      <w:r>
        <w:rPr>
          <w:rFonts w:hint="default" w:ascii="Times New Roman" w:hAnsi="Times New Roman" w:eastAsia="仿宋_GB2312" w:cs="Times New Roman"/>
          <w:color w:val="auto"/>
          <w:kern w:val="2"/>
          <w:sz w:val="32"/>
          <w:szCs w:val="32"/>
          <w:highlight w:val="none"/>
          <w:lang w:val="en-US" w:eastAsia="zh-CN" w:bidi="ar-SA"/>
        </w:rPr>
        <w:t>共有车辆</w:t>
      </w:r>
      <w:r>
        <w:rPr>
          <w:rFonts w:hint="default" w:ascii="Times New Roman" w:hAnsi="Times New Roman" w:eastAsia="仿宋_GB2312" w:cs="Times New Roman"/>
          <w:color w:val="auto"/>
          <w:sz w:val="32"/>
          <w:szCs w:val="32"/>
          <w:highlight w:val="none"/>
          <w:lang w:val="en-US" w:eastAsia="zh-CN"/>
        </w:rPr>
        <w:t>9</w:t>
      </w:r>
      <w:r>
        <w:rPr>
          <w:rFonts w:hint="default" w:ascii="Times New Roman" w:hAnsi="Times New Roman" w:eastAsia="仿宋_GB2312" w:cs="Times New Roman"/>
          <w:color w:val="auto"/>
          <w:kern w:val="2"/>
          <w:sz w:val="32"/>
          <w:szCs w:val="32"/>
          <w:highlight w:val="none"/>
          <w:lang w:val="en-US" w:eastAsia="zh-CN" w:bidi="ar-SA"/>
        </w:rPr>
        <w:t>辆，其中：</w:t>
      </w:r>
      <w:r>
        <w:rPr>
          <w:rFonts w:hint="eastAsia" w:eastAsia="仿宋_GB2312" w:cs="仿宋_GB2312"/>
          <w:sz w:val="32"/>
          <w:szCs w:val="32"/>
        </w:rPr>
        <w:t>副部（省）级及以上领导用车</w:t>
      </w:r>
      <w:r>
        <w:rPr>
          <w:rFonts w:hint="eastAsia" w:eastAsia="仿宋_GB2312" w:cs="仿宋_GB2312"/>
          <w:sz w:val="32"/>
          <w:szCs w:val="32"/>
          <w:lang w:val="en-US" w:eastAsia="zh-CN"/>
        </w:rPr>
        <w:t>0</w:t>
      </w:r>
      <w:r>
        <w:rPr>
          <w:rFonts w:hint="eastAsia" w:eastAsia="仿宋_GB2312" w:cs="仿宋_GB2312"/>
          <w:sz w:val="32"/>
          <w:szCs w:val="32"/>
        </w:rPr>
        <w:t>辆、</w:t>
      </w:r>
      <w:r>
        <w:rPr>
          <w:rFonts w:hint="default" w:ascii="Times New Roman" w:hAnsi="Times New Roman" w:eastAsia="仿宋_GB2312" w:cs="Times New Roman"/>
          <w:color w:val="auto"/>
          <w:kern w:val="2"/>
          <w:sz w:val="32"/>
          <w:szCs w:val="32"/>
          <w:highlight w:val="none"/>
          <w:lang w:val="en-US" w:eastAsia="zh-CN" w:bidi="ar-SA"/>
        </w:rPr>
        <w:t>主要负责人用车</w:t>
      </w:r>
      <w:r>
        <w:rPr>
          <w:rFonts w:hint="default" w:ascii="Times New Roman" w:hAnsi="Times New Roman" w:eastAsia="仿宋_GB2312" w:cs="Times New Roman"/>
          <w:color w:val="auto"/>
          <w:sz w:val="32"/>
          <w:szCs w:val="32"/>
          <w:highlight w:val="none"/>
        </w:rPr>
        <w:t>0</w:t>
      </w:r>
      <w:r>
        <w:rPr>
          <w:rFonts w:hint="default" w:ascii="Times New Roman" w:hAnsi="Times New Roman" w:eastAsia="仿宋_GB2312" w:cs="Times New Roman"/>
          <w:color w:val="auto"/>
          <w:kern w:val="2"/>
          <w:sz w:val="32"/>
          <w:szCs w:val="32"/>
          <w:highlight w:val="none"/>
          <w:lang w:val="en-US" w:eastAsia="zh-CN" w:bidi="ar-SA"/>
        </w:rPr>
        <w:t>辆、机要通信用车</w:t>
      </w:r>
      <w:r>
        <w:rPr>
          <w:rFonts w:hint="default" w:ascii="Times New Roman" w:hAnsi="Times New Roman" w:eastAsia="仿宋_GB2312" w:cs="Times New Roman"/>
          <w:color w:val="auto"/>
          <w:sz w:val="32"/>
          <w:szCs w:val="32"/>
          <w:highlight w:val="none"/>
        </w:rPr>
        <w:t>0</w:t>
      </w:r>
      <w:r>
        <w:rPr>
          <w:rFonts w:hint="default" w:ascii="Times New Roman" w:hAnsi="Times New Roman" w:eastAsia="仿宋_GB2312" w:cs="Times New Roman"/>
          <w:color w:val="auto"/>
          <w:kern w:val="2"/>
          <w:sz w:val="32"/>
          <w:szCs w:val="32"/>
          <w:highlight w:val="none"/>
          <w:lang w:val="en-US" w:eastAsia="zh-CN" w:bidi="ar-SA"/>
        </w:rPr>
        <w:t>辆、应急保障用车</w:t>
      </w:r>
      <w:r>
        <w:rPr>
          <w:rFonts w:hint="eastAsia" w:eastAsia="仿宋_GB2312" w:cs="Times New Roman"/>
          <w:color w:val="auto"/>
          <w:sz w:val="32"/>
          <w:szCs w:val="32"/>
          <w:highlight w:val="none"/>
          <w:lang w:val="en-US" w:eastAsia="zh-CN"/>
        </w:rPr>
        <w:t>7</w:t>
      </w:r>
      <w:r>
        <w:rPr>
          <w:rFonts w:hint="default" w:ascii="Times New Roman" w:hAnsi="Times New Roman" w:eastAsia="仿宋_GB2312" w:cs="Times New Roman"/>
          <w:color w:val="auto"/>
          <w:kern w:val="2"/>
          <w:sz w:val="32"/>
          <w:szCs w:val="32"/>
          <w:highlight w:val="none"/>
          <w:lang w:val="en-US" w:eastAsia="zh-CN" w:bidi="ar-SA"/>
        </w:rPr>
        <w:t>辆、</w:t>
      </w:r>
      <w:r>
        <w:rPr>
          <w:rFonts w:hint="eastAsia" w:eastAsia="仿宋_GB2312" w:cs="仿宋_GB2312"/>
          <w:sz w:val="32"/>
          <w:szCs w:val="32"/>
        </w:rPr>
        <w:t>执法执勤用车</w:t>
      </w:r>
      <w:r>
        <w:rPr>
          <w:rFonts w:hint="eastAsia" w:eastAsia="仿宋_GB2312" w:cs="仿宋_GB2312"/>
          <w:sz w:val="32"/>
          <w:szCs w:val="32"/>
          <w:lang w:val="en-US" w:eastAsia="zh-CN"/>
        </w:rPr>
        <w:t>0</w:t>
      </w:r>
      <w:r>
        <w:rPr>
          <w:rFonts w:hint="eastAsia" w:eastAsia="仿宋_GB2312" w:cs="仿宋_GB2312"/>
          <w:sz w:val="32"/>
          <w:szCs w:val="32"/>
        </w:rPr>
        <w:t>辆</w:t>
      </w:r>
      <w:r>
        <w:rPr>
          <w:rFonts w:hint="eastAsia" w:eastAsia="仿宋_GB2312" w:cs="仿宋_GB2312"/>
          <w:sz w:val="32"/>
          <w:szCs w:val="32"/>
          <w:lang w:eastAsia="zh-CN"/>
        </w:rPr>
        <w:t>、</w:t>
      </w:r>
      <w:r>
        <w:rPr>
          <w:rFonts w:hint="eastAsia" w:eastAsia="仿宋_GB2312" w:cs="仿宋_GB2312"/>
          <w:sz w:val="32"/>
          <w:szCs w:val="32"/>
        </w:rPr>
        <w:t>特种专业技术用车</w:t>
      </w:r>
      <w:r>
        <w:rPr>
          <w:rFonts w:hint="eastAsia" w:eastAsia="仿宋_GB2312" w:cs="仿宋_GB2312"/>
          <w:sz w:val="32"/>
          <w:szCs w:val="32"/>
          <w:lang w:val="en-US" w:eastAsia="zh-CN"/>
        </w:rPr>
        <w:t>1</w:t>
      </w:r>
      <w:r>
        <w:rPr>
          <w:rFonts w:hint="eastAsia" w:eastAsia="仿宋_GB2312" w:cs="仿宋_GB2312"/>
          <w:sz w:val="32"/>
          <w:szCs w:val="32"/>
        </w:rPr>
        <w:t>辆</w:t>
      </w:r>
      <w:r>
        <w:rPr>
          <w:rFonts w:hint="eastAsia" w:eastAsia="仿宋_GB2312" w:cs="仿宋_GB2312"/>
          <w:sz w:val="32"/>
          <w:szCs w:val="32"/>
          <w:lang w:eastAsia="zh-CN"/>
        </w:rPr>
        <w:t>、</w:t>
      </w:r>
      <w:r>
        <w:rPr>
          <w:rFonts w:hint="eastAsia" w:eastAsia="仿宋_GB2312" w:cs="仿宋_GB2312"/>
          <w:sz w:val="32"/>
          <w:szCs w:val="32"/>
        </w:rPr>
        <w:t>离退休干部服务用车</w:t>
      </w:r>
      <w:r>
        <w:rPr>
          <w:rFonts w:hint="eastAsia" w:eastAsia="仿宋_GB2312" w:cs="仿宋_GB2312"/>
          <w:sz w:val="32"/>
          <w:szCs w:val="32"/>
          <w:lang w:val="en-US" w:eastAsia="zh-CN"/>
        </w:rPr>
        <w:t>0</w:t>
      </w:r>
      <w:r>
        <w:rPr>
          <w:rFonts w:hint="eastAsia" w:eastAsia="仿宋_GB2312" w:cs="仿宋_GB2312"/>
          <w:sz w:val="32"/>
          <w:szCs w:val="32"/>
        </w:rPr>
        <w:t>辆</w:t>
      </w:r>
      <w:r>
        <w:rPr>
          <w:rFonts w:hint="eastAsia" w:eastAsia="仿宋_GB2312" w:cs="仿宋_GB2312"/>
          <w:sz w:val="32"/>
          <w:szCs w:val="32"/>
          <w:lang w:eastAsia="zh-CN"/>
        </w:rPr>
        <w:t>、</w:t>
      </w:r>
      <w:r>
        <w:rPr>
          <w:rFonts w:hint="default" w:ascii="Times New Roman" w:hAnsi="Times New Roman" w:eastAsia="仿宋_GB2312" w:cs="Times New Roman"/>
          <w:color w:val="auto"/>
          <w:kern w:val="2"/>
          <w:sz w:val="32"/>
          <w:szCs w:val="32"/>
          <w:highlight w:val="none"/>
          <w:lang w:val="en-US" w:eastAsia="zh-CN" w:bidi="ar-SA"/>
        </w:rPr>
        <w:t>其他用车</w:t>
      </w:r>
      <w:r>
        <w:rPr>
          <w:rFonts w:hint="eastAsia" w:eastAsia="仿宋_GB2312" w:cs="Times New Roman"/>
          <w:color w:val="auto"/>
          <w:sz w:val="32"/>
          <w:szCs w:val="32"/>
          <w:highlight w:val="none"/>
          <w:lang w:val="en-US" w:eastAsia="zh-CN"/>
        </w:rPr>
        <w:t>1</w:t>
      </w:r>
      <w:r>
        <w:rPr>
          <w:rFonts w:hint="default" w:ascii="Times New Roman" w:hAnsi="Times New Roman" w:eastAsia="仿宋_GB2312" w:cs="Times New Roman"/>
          <w:color w:val="auto"/>
          <w:kern w:val="2"/>
          <w:sz w:val="32"/>
          <w:szCs w:val="32"/>
          <w:highlight w:val="none"/>
          <w:lang w:val="en-US" w:eastAsia="zh-CN" w:bidi="ar-SA"/>
        </w:rPr>
        <w:t>辆，主要是用于</w:t>
      </w:r>
      <w:r>
        <w:rPr>
          <w:rFonts w:hint="default" w:ascii="Times New Roman" w:hAnsi="Times New Roman" w:eastAsia="仿宋" w:cs="Times New Roman"/>
          <w:color w:val="auto"/>
          <w:sz w:val="32"/>
          <w:szCs w:val="32"/>
          <w:highlight w:val="none"/>
        </w:rPr>
        <w:t>保障</w:t>
      </w:r>
      <w:r>
        <w:rPr>
          <w:rFonts w:hint="eastAsia" w:eastAsia="仿宋" w:cs="Times New Roman"/>
          <w:color w:val="auto"/>
          <w:sz w:val="32"/>
          <w:szCs w:val="32"/>
          <w:highlight w:val="none"/>
          <w:lang w:eastAsia="zh-CN"/>
        </w:rPr>
        <w:t>市级无车单位</w:t>
      </w:r>
      <w:r>
        <w:rPr>
          <w:rFonts w:hint="default" w:ascii="Times New Roman" w:hAnsi="Times New Roman" w:eastAsia="仿宋" w:cs="Times New Roman"/>
          <w:color w:val="auto"/>
          <w:sz w:val="32"/>
          <w:szCs w:val="32"/>
          <w:highlight w:val="none"/>
          <w:lang w:eastAsia="zh-CN"/>
        </w:rPr>
        <w:t>用车</w:t>
      </w:r>
      <w:r>
        <w:rPr>
          <w:rFonts w:hint="default" w:ascii="Times New Roman" w:hAnsi="Times New Roman" w:eastAsia="仿宋_GB2312" w:cs="Times New Roman"/>
          <w:color w:val="auto"/>
          <w:kern w:val="2"/>
          <w:sz w:val="32"/>
          <w:szCs w:val="32"/>
          <w:highlight w:val="none"/>
          <w:lang w:val="en-US" w:eastAsia="zh-CN" w:bidi="ar-SA"/>
        </w:rPr>
        <w:t>。单价100万元（含）以上设备（不含车辆）</w:t>
      </w:r>
      <w:r>
        <w:rPr>
          <w:rFonts w:hint="default" w:ascii="Times New Roman" w:hAnsi="Times New Roman" w:eastAsia="仿宋_GB2312" w:cs="Times New Roman"/>
          <w:color w:val="auto"/>
          <w:sz w:val="32"/>
          <w:szCs w:val="32"/>
          <w:highlight w:val="none"/>
        </w:rPr>
        <w:t>0</w:t>
      </w:r>
      <w:r>
        <w:rPr>
          <w:rFonts w:hint="default" w:ascii="Times New Roman" w:hAnsi="Times New Roman" w:eastAsia="仿宋_GB2312" w:cs="Times New Roman"/>
          <w:color w:val="auto"/>
          <w:kern w:val="2"/>
          <w:sz w:val="32"/>
          <w:szCs w:val="32"/>
          <w:highlight w:val="none"/>
          <w:lang w:val="en-US" w:eastAsia="zh-CN" w:bidi="ar-SA"/>
        </w:rPr>
        <w:t>台（套）。</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p>
    <w:p>
      <w:pPr>
        <w:spacing w:line="600" w:lineRule="exact"/>
        <w:ind w:firstLine="642" w:firstLineChars="200"/>
        <w:outlineLvl w:val="2"/>
        <w:rPr>
          <w:rFonts w:hint="default" w:ascii="Times New Roman" w:hAnsi="Times New Roman" w:eastAsia="楷体_GB2312" w:cs="Times New Roman"/>
          <w:b/>
          <w:color w:val="auto"/>
          <w:sz w:val="32"/>
          <w:szCs w:val="32"/>
          <w:highlight w:val="none"/>
        </w:rPr>
      </w:pPr>
      <w:r>
        <w:rPr>
          <w:rFonts w:hint="default" w:ascii="Times New Roman" w:hAnsi="Times New Roman" w:eastAsia="楷体_GB2312" w:cs="Times New Roman"/>
          <w:b/>
          <w:color w:val="auto"/>
          <w:sz w:val="32"/>
          <w:szCs w:val="32"/>
          <w:highlight w:val="none"/>
        </w:rPr>
        <w:t>（四）预算绩效管理情况</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根据预算绩效管理要求，</w:t>
      </w:r>
      <w:r>
        <w:rPr>
          <w:rFonts w:hint="eastAsia" w:eastAsia="仿宋_GB2312" w:cs="Times New Roman"/>
          <w:color w:val="auto"/>
          <w:kern w:val="2"/>
          <w:sz w:val="32"/>
          <w:szCs w:val="32"/>
          <w:highlight w:val="none"/>
          <w:lang w:val="en-US" w:eastAsia="zh-CN" w:bidi="ar-SA"/>
        </w:rPr>
        <w:t>攀枝花</w:t>
      </w:r>
      <w:r>
        <w:rPr>
          <w:rFonts w:hint="default" w:ascii="Times New Roman" w:hAnsi="Times New Roman" w:eastAsia="仿宋_GB2312" w:cs="Times New Roman"/>
          <w:color w:val="auto"/>
          <w:kern w:val="2"/>
          <w:sz w:val="32"/>
          <w:szCs w:val="32"/>
          <w:highlight w:val="none"/>
          <w:lang w:val="en-US" w:eastAsia="zh-CN" w:bidi="ar-SA"/>
        </w:rPr>
        <w:t>市机关事务服务中心在2025年度预算编制阶段，组织对2025年机关食堂专项、市级党政机关办公（业务）用房年度维修工程计划、市级党政机关租赁办公用房等10个项目开展了事前绩效评估，对9个项目编制了绩效目标，预算执行过程中，选取9个项目开展绩效监控</w:t>
      </w:r>
      <w:bookmarkEnd w:id="68"/>
      <w:r>
        <w:rPr>
          <w:rFonts w:hint="default" w:ascii="Times New Roman" w:hAnsi="Times New Roman" w:eastAsia="仿宋_GB2312" w:cs="Times New Roman"/>
          <w:color w:val="auto"/>
          <w:kern w:val="2"/>
          <w:sz w:val="32"/>
          <w:szCs w:val="32"/>
          <w:highlight w:val="none"/>
          <w:lang w:val="en-US" w:eastAsia="zh-CN" w:bidi="ar-SA"/>
        </w:rPr>
        <w:t>。</w:t>
      </w:r>
    </w:p>
    <w:p>
      <w:pPr>
        <w:spacing w:line="600" w:lineRule="exact"/>
        <w:ind w:firstLine="640"/>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组织对2025年度一般公共预算资金全面开展绩效自评，形成市机关事务服务中心部门整体（含部门预算项目）绩效自评报告、食堂物业管理经费等专项预算项目绩效自评报告，其中，市机关事务服务中心部门整体（含部门预算项目）绩效自评得分为</w:t>
      </w:r>
      <w:r>
        <w:rPr>
          <w:rFonts w:hint="eastAsia" w:ascii="Times New Roman" w:hAnsi="Times New Roman" w:eastAsia="仿宋_GB2312" w:cs="Times New Roman"/>
          <w:color w:val="auto"/>
          <w:kern w:val="2"/>
          <w:sz w:val="32"/>
          <w:szCs w:val="32"/>
          <w:highlight w:val="none"/>
          <w:lang w:val="en-US" w:eastAsia="zh-CN" w:bidi="ar-SA"/>
        </w:rPr>
        <w:t>88.1</w:t>
      </w:r>
      <w:r>
        <w:rPr>
          <w:rFonts w:hint="default" w:ascii="Times New Roman" w:hAnsi="Times New Roman" w:eastAsia="仿宋_GB2312" w:cs="Times New Roman"/>
          <w:color w:val="auto"/>
          <w:kern w:val="2"/>
          <w:sz w:val="32"/>
          <w:szCs w:val="32"/>
          <w:highlight w:val="none"/>
          <w:lang w:val="en-US" w:eastAsia="zh-CN" w:bidi="ar-SA"/>
        </w:rPr>
        <w:t>分，绩效自评综述</w:t>
      </w:r>
      <w:r>
        <w:rPr>
          <w:rFonts w:hint="default" w:ascii="Times New Roman" w:hAnsi="Times New Roman" w:eastAsia="仿宋_GB2312" w:cs="Times New Roman"/>
          <w:color w:val="auto"/>
          <w:sz w:val="32"/>
          <w:szCs w:val="32"/>
          <w:highlight w:val="none"/>
          <w:lang w:val="en-US" w:eastAsia="zh-CN"/>
        </w:rPr>
        <w:t>部门整体支出自评准确，质量良好</w:t>
      </w:r>
      <w:r>
        <w:rPr>
          <w:rFonts w:hint="default" w:ascii="Times New Roman" w:hAnsi="Times New Roman" w:eastAsia="仿宋_GB2312" w:cs="Times New Roman"/>
          <w:color w:val="auto"/>
          <w:kern w:val="2"/>
          <w:sz w:val="32"/>
          <w:szCs w:val="32"/>
          <w:highlight w:val="none"/>
          <w:lang w:val="en-US" w:eastAsia="zh-CN" w:bidi="ar-SA"/>
        </w:rPr>
        <w:t>；食堂物业管理经费专项、市级党政机关办公（业务）用房年度维修工程计划专项预算项目绩效自评得分为</w:t>
      </w:r>
      <w:r>
        <w:rPr>
          <w:rFonts w:hint="eastAsia" w:eastAsia="仿宋_GB2312" w:cs="Times New Roman"/>
          <w:color w:val="auto"/>
          <w:kern w:val="2"/>
          <w:sz w:val="32"/>
          <w:szCs w:val="32"/>
          <w:highlight w:val="none"/>
          <w:lang w:val="en-US" w:eastAsia="zh-CN" w:bidi="ar-SA"/>
        </w:rPr>
        <w:t>分别为98分、</w:t>
      </w:r>
      <w:r>
        <w:rPr>
          <w:rFonts w:hint="default" w:ascii="Times New Roman" w:hAnsi="Times New Roman" w:eastAsia="仿宋_GB2312" w:cs="Times New Roman"/>
          <w:color w:val="auto"/>
          <w:kern w:val="2"/>
          <w:sz w:val="32"/>
          <w:szCs w:val="32"/>
          <w:highlight w:val="none"/>
          <w:lang w:val="en-US" w:eastAsia="zh-CN" w:bidi="ar-SA"/>
        </w:rPr>
        <w:t>96分，</w:t>
      </w:r>
      <w:r>
        <w:rPr>
          <w:rFonts w:hint="default" w:ascii="Times New Roman" w:hAnsi="Times New Roman" w:eastAsia="仿宋_GB2312" w:cs="Times New Roman"/>
          <w:color w:val="auto"/>
          <w:sz w:val="32"/>
          <w:szCs w:val="32"/>
          <w:highlight w:val="none"/>
          <w:lang w:val="en-US" w:eastAsia="zh-CN"/>
        </w:rPr>
        <w:t>绩效自评综述：自评准确，质量良好</w:t>
      </w:r>
      <w:r>
        <w:rPr>
          <w:rFonts w:hint="default" w:ascii="Times New Roman" w:hAnsi="Times New Roman" w:eastAsia="仿宋_GB2312" w:cs="Times New Roman"/>
          <w:color w:val="auto"/>
          <w:kern w:val="2"/>
          <w:sz w:val="32"/>
          <w:szCs w:val="32"/>
          <w:highlight w:val="none"/>
          <w:lang w:val="en-US" w:eastAsia="zh-CN" w:bidi="ar-SA"/>
        </w:rPr>
        <w:t>。绩效自评报告详见附件。</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p>
    <w:p>
      <w:pPr>
        <w:rPr>
          <w:rFonts w:hint="default" w:ascii="Times New Roman" w:hAnsi="Times New Roman" w:eastAsia="黑体" w:cs="Times New Roman"/>
          <w:color w:val="auto"/>
          <w:sz w:val="44"/>
          <w:szCs w:val="44"/>
          <w:highlight w:val="none"/>
        </w:rPr>
      </w:pPr>
      <w:bookmarkStart w:id="49" w:name="_Toc15396613"/>
      <w:bookmarkStart w:id="50" w:name="_Toc15377225"/>
      <w:r>
        <w:rPr>
          <w:rFonts w:hint="default" w:ascii="Times New Roman" w:hAnsi="Times New Roman" w:eastAsia="黑体" w:cs="Times New Roman"/>
          <w:color w:val="auto"/>
          <w:sz w:val="44"/>
          <w:szCs w:val="44"/>
          <w:highlight w:val="none"/>
        </w:rPr>
        <w:br w:type="page"/>
      </w:r>
    </w:p>
    <w:p>
      <w:pPr>
        <w:numPr>
          <w:ilvl w:val="0"/>
          <w:numId w:val="0"/>
        </w:numPr>
        <w:spacing w:line="600" w:lineRule="exact"/>
        <w:jc w:val="center"/>
        <w:outlineLvl w:val="0"/>
        <w:rPr>
          <w:rFonts w:hint="default" w:ascii="Times New Roman" w:hAnsi="Times New Roman" w:eastAsia="黑体" w:cs="Times New Roman"/>
          <w:color w:val="auto"/>
          <w:sz w:val="44"/>
          <w:szCs w:val="44"/>
          <w:highlight w:val="none"/>
        </w:rPr>
      </w:pPr>
      <w:r>
        <w:rPr>
          <w:rFonts w:hint="default" w:ascii="Times New Roman" w:hAnsi="Times New Roman" w:eastAsia="黑体" w:cs="Times New Roman"/>
          <w:color w:val="auto"/>
          <w:sz w:val="44"/>
          <w:szCs w:val="44"/>
          <w:highlight w:val="none"/>
        </w:rPr>
        <w:t>第</w:t>
      </w:r>
      <w:r>
        <w:rPr>
          <w:rFonts w:hint="default" w:ascii="Times New Roman" w:hAnsi="Times New Roman" w:eastAsia="黑体" w:cs="Times New Roman"/>
          <w:color w:val="auto"/>
          <w:sz w:val="44"/>
          <w:szCs w:val="44"/>
          <w:highlight w:val="none"/>
          <w:lang w:eastAsia="zh-CN"/>
        </w:rPr>
        <w:t>三</w:t>
      </w:r>
      <w:r>
        <w:rPr>
          <w:rFonts w:hint="default" w:ascii="Times New Roman" w:hAnsi="Times New Roman" w:eastAsia="黑体" w:cs="Times New Roman"/>
          <w:color w:val="auto"/>
          <w:sz w:val="44"/>
          <w:szCs w:val="44"/>
          <w:highlight w:val="none"/>
        </w:rPr>
        <w:t>部分</w:t>
      </w:r>
      <w:r>
        <w:rPr>
          <w:rFonts w:hint="default" w:ascii="Times New Roman" w:hAnsi="Times New Roman" w:eastAsia="黑体" w:cs="Times New Roman"/>
          <w:color w:val="auto"/>
          <w:sz w:val="44"/>
          <w:szCs w:val="44"/>
          <w:highlight w:val="none"/>
          <w:lang w:val="en-US" w:eastAsia="zh-CN"/>
        </w:rPr>
        <w:t xml:space="preserve">  </w:t>
      </w:r>
      <w:r>
        <w:rPr>
          <w:rFonts w:hint="default" w:ascii="Times New Roman" w:hAnsi="Times New Roman" w:eastAsia="黑体" w:cs="Times New Roman"/>
          <w:color w:val="auto"/>
          <w:sz w:val="44"/>
          <w:szCs w:val="44"/>
          <w:highlight w:val="none"/>
        </w:rPr>
        <w:t>名词解释</w:t>
      </w:r>
      <w:bookmarkEnd w:id="49"/>
      <w:bookmarkEnd w:id="50"/>
    </w:p>
    <w:p>
      <w:pPr>
        <w:spacing w:line="600" w:lineRule="exact"/>
        <w:jc w:val="left"/>
        <w:rPr>
          <w:rFonts w:hint="default" w:ascii="Times New Roman" w:hAnsi="Times New Roman" w:cs="Times New Roman"/>
          <w:b/>
          <w:color w:val="auto"/>
          <w:sz w:val="44"/>
          <w:szCs w:val="44"/>
          <w:highlight w:val="none"/>
        </w:rPr>
      </w:pP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1.财政拨款收入：指单位从同级财政部门取得的财政预算资金。</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2.事业收入：指事业单位开展专业业务活动及辅助活动取得的收入。</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3.经营收入：指事业单位在专业业务活动及其辅助活动之外开展非独立核算经营活动取得的收入。</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 xml:space="preserve">4.其他收入：指单位取得的除上述收入以外的各项收入。 </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 xml:space="preserve">6.年初结转和结余：指以前年度尚未完成、结转到本年按有关规定继续使用的资金。 </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7.结余分配：指事业单位按照会计制度规定缴纳的所得税、提取的专用结余以及转入非财政拨款结余的金额等。</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8.年末结转和结余：指单位按有关规定结转到下年或以后年度继续使用的资金。</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9.一般公共服务（类）政府办公厅（室）及相关机构事务（款）行政运行（项）:反映行政单位（包括实行公务员管理的事业单位）的基本支出。</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10.一般公共服务（类）政府办公厅（室）及相关机构事务（款）一般行政管理事务（项）：反映行政单位（包括实行公务员管理的事业单位）未单独设置项级科目的其他项目支出。</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11.一般公共服务（类）政府办公厅（室）及相关机构事务（款）事业运行（项）：反映事业单位的基本支出，不包括行政单位（包括实行公务员管理的事业单位）后勤服务中心、医务室等附属事业单位</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12.社会保障和就业（类）行政事业单位养老（款）行政单位离退休（项）：反映行政单位（包括实行公务员管理的事业单位）开支的离退休经费。</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13.社会保障和就业（类）行政事业单位养老（款）机关事业单位基本养老保险缴费（项）：反映机关事业单位实施养老保险制度由单位缴纳的基本养老保险费支出。</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14.卫生健康（类）行政事业单位医疗（款）行政单位医疗（项）：指财政部门集中安排的行政单位基本医疗保险缴费。</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15.卫生健康（类）行政事业单位医疗（款）事业单位医疗（项）：指财政部门集中安排的事业单位基本医疗保险缴费。</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16.卫生健康（类）行政事业单位医疗（款）公务员医疗补助（项）：指财政部门集中安排的公务员医疗补助经费。</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18.</w:t>
      </w:r>
      <w:r>
        <w:rPr>
          <w:rFonts w:hint="default" w:ascii="Times New Roman" w:hAnsi="Times New Roman" w:eastAsia="仿宋_GB2312" w:cs="Times New Roman"/>
          <w:color w:val="auto"/>
          <w:sz w:val="32"/>
          <w:szCs w:val="32"/>
          <w:highlight w:val="none"/>
        </w:rPr>
        <w:t>住房保障（类）住房改革（款）住房公积金（项）：</w:t>
      </w:r>
      <w:r>
        <w:rPr>
          <w:rFonts w:hint="default" w:ascii="Times New Roman" w:hAnsi="Times New Roman" w:eastAsia="仿宋_GB2312" w:cs="Times New Roman"/>
          <w:color w:val="auto"/>
          <w:sz w:val="32"/>
          <w:szCs w:val="32"/>
          <w:highlight w:val="none"/>
          <w:lang w:eastAsia="zh-CN"/>
        </w:rPr>
        <w:t>反映行政事业单位按人力资源和社会保障部、财政部规定的基本工资和津贴补贴以及规定比例为职工缴纳的住房公积金</w:t>
      </w:r>
      <w:r>
        <w:rPr>
          <w:rFonts w:hint="default" w:ascii="Times New Roman" w:hAnsi="Times New Roman" w:eastAsia="仿宋_GB2312" w:cs="Times New Roman"/>
          <w:color w:val="auto"/>
          <w:sz w:val="32"/>
          <w:szCs w:val="32"/>
          <w:highlight w:val="none"/>
        </w:rPr>
        <w:t>。</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19.基本支出：指为保障机构正常运转、完成日常工作任务而发生的人员支出和公用支出。</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 xml:space="preserve">20.项目支出：指在基本支出之外为完成特定行政任务和事业发展目标所发生的支出。 </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21.经营支出：指事业单位在专业业务活动及其辅助活动之外开展非独立核算经营活动发生的支出。</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22.</w:t>
      </w:r>
      <w:r>
        <w:rPr>
          <w:rFonts w:hint="eastAsia" w:eastAsia="仿宋_GB2312" w:cs="Times New Roman"/>
          <w:color w:val="auto"/>
          <w:kern w:val="2"/>
          <w:sz w:val="32"/>
          <w:szCs w:val="32"/>
          <w:highlight w:val="none"/>
          <w:lang w:val="en-US" w:eastAsia="zh-CN" w:bidi="ar-SA"/>
        </w:rPr>
        <w:t>“三公”</w:t>
      </w:r>
      <w:r>
        <w:rPr>
          <w:rFonts w:hint="default" w:ascii="Times New Roman" w:hAnsi="Times New Roman" w:eastAsia="仿宋_GB2312" w:cs="Times New Roman"/>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23.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Fonts w:hint="default" w:ascii="Times New Roman" w:hAnsi="Times New Roman" w:eastAsia="黑体" w:cs="Times New Roman"/>
          <w:color w:val="auto"/>
          <w:sz w:val="32"/>
          <w:szCs w:val="32"/>
          <w:highlight w:val="none"/>
        </w:rPr>
      </w:pPr>
      <w:bookmarkStart w:id="51" w:name="_Toc15377226"/>
      <w:r>
        <w:rPr>
          <w:rFonts w:hint="default" w:ascii="Times New Roman" w:hAnsi="Times New Roman" w:eastAsia="仿宋_GB2312" w:cs="Times New Roman"/>
          <w:color w:val="auto"/>
          <w:kern w:val="2"/>
          <w:sz w:val="32"/>
          <w:szCs w:val="32"/>
          <w:highlight w:val="none"/>
          <w:lang w:val="en-US" w:eastAsia="zh-CN" w:bidi="ar-SA"/>
        </w:rPr>
        <w:br w:type="page"/>
      </w:r>
      <w:bookmarkStart w:id="52" w:name="_Toc15396614"/>
      <w:r>
        <w:rPr>
          <w:rFonts w:hint="default" w:ascii="Times New Roman" w:hAnsi="Times New Roman" w:eastAsia="黑体" w:cs="Times New Roman"/>
          <w:color w:val="auto"/>
          <w:sz w:val="44"/>
          <w:szCs w:val="44"/>
          <w:highlight w:val="none"/>
        </w:rPr>
        <w:t>第四部分</w:t>
      </w:r>
      <w:r>
        <w:rPr>
          <w:rFonts w:hint="default" w:ascii="Times New Roman" w:hAnsi="Times New Roman" w:eastAsia="黑体" w:cs="Times New Roman"/>
          <w:color w:val="auto"/>
          <w:sz w:val="44"/>
          <w:szCs w:val="44"/>
          <w:highlight w:val="none"/>
          <w:lang w:val="en-US" w:eastAsia="zh-CN"/>
        </w:rPr>
        <w:t xml:space="preserve"> </w:t>
      </w:r>
      <w:r>
        <w:rPr>
          <w:rFonts w:hint="default" w:ascii="Times New Roman" w:hAnsi="Times New Roman" w:eastAsia="黑体" w:cs="Times New Roman"/>
          <w:color w:val="auto"/>
          <w:sz w:val="44"/>
          <w:szCs w:val="44"/>
          <w:highlight w:val="none"/>
        </w:rPr>
        <w:t xml:space="preserve"> 附件</w:t>
      </w:r>
      <w:bookmarkEnd w:id="52"/>
    </w:p>
    <w:p>
      <w:pPr>
        <w:keepNext w:val="0"/>
        <w:keepLines w:val="0"/>
        <w:pageBreakBefore w:val="0"/>
        <w:kinsoku/>
        <w:wordWrap/>
        <w:overflowPunct/>
        <w:topLinePunct w:val="0"/>
        <w:autoSpaceDE/>
        <w:autoSpaceDN/>
        <w:bidi w:val="0"/>
        <w:spacing w:line="572" w:lineRule="exact"/>
        <w:jc w:val="left"/>
        <w:textAlignment w:val="auto"/>
        <w:outlineLvl w:val="0"/>
        <w:rPr>
          <w:rFonts w:hint="default" w:ascii="Times New Roman" w:hAnsi="Times New Roman" w:eastAsia="黑体" w:cs="Times New Roman"/>
          <w:color w:val="auto"/>
          <w:sz w:val="44"/>
          <w:szCs w:val="44"/>
          <w:highlight w:val="none"/>
          <w:lang w:val="en-US" w:eastAsia="zh-CN"/>
        </w:rPr>
      </w:pPr>
      <w:r>
        <w:rPr>
          <w:rFonts w:hint="default" w:ascii="Times New Roman" w:hAnsi="Times New Roman" w:eastAsia="黑体" w:cs="Times New Roman"/>
          <w:color w:val="auto"/>
          <w:sz w:val="32"/>
          <w:szCs w:val="32"/>
          <w:highlight w:val="none"/>
        </w:rPr>
        <w:t>附件</w:t>
      </w:r>
      <w:r>
        <w:rPr>
          <w:rFonts w:hint="default" w:ascii="Times New Roman" w:hAnsi="Times New Roman" w:eastAsia="黑体" w:cs="Times New Roman"/>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color w:val="auto"/>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color w:val="auto"/>
          <w:sz w:val="44"/>
          <w:szCs w:val="44"/>
          <w:highlight w:val="none"/>
          <w:shd w:val="clear" w:color="auto" w:fill="FFFFFF"/>
        </w:rPr>
      </w:pPr>
      <w:r>
        <w:rPr>
          <w:rFonts w:hint="default" w:ascii="Times New Roman" w:hAnsi="Times New Roman" w:eastAsia="方正小标宋简体" w:cs="Times New Roman"/>
          <w:b w:val="0"/>
          <w:bCs/>
          <w:color w:val="auto"/>
          <w:sz w:val="44"/>
          <w:szCs w:val="44"/>
          <w:highlight w:val="none"/>
          <w:shd w:val="clear" w:color="auto" w:fill="FFFFFF"/>
        </w:rPr>
        <w:t>部门</w:t>
      </w:r>
      <w:r>
        <w:rPr>
          <w:rFonts w:hint="default" w:ascii="Times New Roman" w:hAnsi="Times New Roman" w:eastAsia="方正小标宋简体" w:cs="Times New Roman"/>
          <w:b w:val="0"/>
          <w:bCs/>
          <w:color w:val="auto"/>
          <w:sz w:val="44"/>
          <w:szCs w:val="44"/>
          <w:highlight w:val="none"/>
          <w:shd w:val="clear" w:color="auto" w:fill="FFFFFF"/>
          <w:lang w:eastAsia="zh-CN"/>
        </w:rPr>
        <w:t>预算</w:t>
      </w:r>
      <w:r>
        <w:rPr>
          <w:rFonts w:hint="default" w:ascii="Times New Roman" w:hAnsi="Times New Roman" w:eastAsia="方正小标宋简体" w:cs="Times New Roman"/>
          <w:b w:val="0"/>
          <w:bCs/>
          <w:color w:val="auto"/>
          <w:sz w:val="44"/>
          <w:szCs w:val="44"/>
          <w:highlight w:val="none"/>
          <w:shd w:val="clear" w:color="auto" w:fill="FFFFFF"/>
        </w:rPr>
        <w:t>绩效</w:t>
      </w:r>
      <w:r>
        <w:rPr>
          <w:rFonts w:hint="default" w:ascii="Times New Roman" w:hAnsi="Times New Roman" w:eastAsia="方正小标宋简体" w:cs="Times New Roman"/>
          <w:b w:val="0"/>
          <w:bCs/>
          <w:color w:val="auto"/>
          <w:sz w:val="44"/>
          <w:szCs w:val="44"/>
          <w:highlight w:val="none"/>
          <w:shd w:val="clear" w:color="auto" w:fill="FFFFFF"/>
          <w:lang w:eastAsia="zh-CN"/>
        </w:rPr>
        <w:t>评价</w:t>
      </w:r>
      <w:r>
        <w:rPr>
          <w:rFonts w:hint="default" w:ascii="Times New Roman" w:hAnsi="Times New Roman" w:eastAsia="方正小标宋简体" w:cs="Times New Roman"/>
          <w:b w:val="0"/>
          <w:bCs/>
          <w:color w:val="auto"/>
          <w:sz w:val="44"/>
          <w:szCs w:val="44"/>
          <w:highlight w:val="none"/>
          <w:shd w:val="clear" w:color="auto" w:fill="FFFFFF"/>
        </w:rPr>
        <w:t>报告</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color w:val="auto"/>
          <w:sz w:val="32"/>
          <w:szCs w:val="32"/>
          <w:highlight w:val="none"/>
          <w:shd w:val="clear" w:color="auto" w:fill="FFFFFF"/>
        </w:rPr>
        <w:t>（报告范围包括机关和下属单位）</w:t>
      </w:r>
    </w:p>
    <w:p>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auto"/>
          <w:kern w:val="0"/>
          <w:sz w:val="24"/>
          <w:szCs w:val="32"/>
          <w:highlight w:val="none"/>
          <w:shd w:val="clear" w:color="auto" w:fill="FFFFFF"/>
        </w:rPr>
      </w:pP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auto"/>
          <w:kern w:val="0"/>
          <w:sz w:val="32"/>
          <w:szCs w:val="32"/>
          <w:highlight w:val="none"/>
          <w:shd w:val="clear" w:color="auto" w:fill="FFFFFF"/>
          <w:lang w:val="zh-CN"/>
        </w:rPr>
      </w:pPr>
      <w:r>
        <w:rPr>
          <w:rFonts w:hint="default" w:ascii="Times New Roman" w:hAnsi="Times New Roman" w:eastAsia="黑体" w:cs="Times New Roman"/>
          <w:color w:val="auto"/>
          <w:kern w:val="0"/>
          <w:sz w:val="32"/>
          <w:szCs w:val="32"/>
          <w:highlight w:val="none"/>
          <w:shd w:val="clear" w:color="auto" w:fill="FFFFFF"/>
          <w:lang w:val="zh-CN"/>
        </w:rPr>
        <w:t>一、部门（单位）基本情况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楷体_GB2312" w:cs="Times New Roman"/>
          <w:b/>
          <w:color w:val="auto"/>
          <w:sz w:val="32"/>
          <w:szCs w:val="32"/>
          <w:highlight w:val="none"/>
          <w:lang w:val="zh-CN"/>
        </w:rPr>
      </w:pPr>
      <w:r>
        <w:rPr>
          <w:rFonts w:hint="default" w:ascii="Times New Roman" w:hAnsi="Times New Roman" w:eastAsia="楷体_GB2312" w:cs="Times New Roman"/>
          <w:b/>
          <w:color w:val="auto"/>
          <w:sz w:val="32"/>
          <w:szCs w:val="32"/>
          <w:highlight w:val="none"/>
          <w:lang w:val="zh-CN"/>
        </w:rPr>
        <w:t>（一）机构组成。</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cs="Times New Roman"/>
          <w:color w:val="auto"/>
          <w:szCs w:val="32"/>
        </w:rPr>
      </w:pPr>
      <w:r>
        <w:rPr>
          <w:rFonts w:hint="default" w:ascii="Times New Roman" w:hAnsi="Times New Roman" w:eastAsia="仿宋_GB2312" w:cs="Times New Roman"/>
          <w:color w:val="auto"/>
          <w:sz w:val="32"/>
          <w:szCs w:val="32"/>
          <w:lang w:val="zh-CN" w:eastAsia="zh-CN"/>
        </w:rPr>
        <w:t>攀枝花市机关事务服务中心为参公事业单位，内设办公室、组织人事科、房地产科、公务车辆科、公共机构节能科</w:t>
      </w:r>
      <w:r>
        <w:rPr>
          <w:rFonts w:hint="default" w:ascii="Times New Roman" w:hAnsi="Times New Roman" w:eastAsia="仿宋_GB2312" w:cs="Times New Roman"/>
          <w:color w:val="auto"/>
          <w:sz w:val="32"/>
          <w:szCs w:val="32"/>
          <w:lang w:val="en-US" w:eastAsia="zh-CN"/>
        </w:rPr>
        <w:t>5个科室。直属</w:t>
      </w:r>
      <w:r>
        <w:rPr>
          <w:rFonts w:hint="default" w:ascii="Times New Roman" w:hAnsi="Times New Roman" w:eastAsia="仿宋_GB2312" w:cs="Times New Roman"/>
          <w:color w:val="auto"/>
          <w:sz w:val="32"/>
          <w:szCs w:val="32"/>
          <w:lang w:val="zh-CN" w:eastAsia="zh-CN"/>
        </w:rPr>
        <w:t>非独立核算事业单位</w:t>
      </w:r>
      <w:r>
        <w:rPr>
          <w:rFonts w:hint="default" w:ascii="Times New Roman" w:hAnsi="Times New Roman" w:eastAsia="仿宋_GB2312" w:cs="Times New Roman"/>
          <w:color w:val="auto"/>
          <w:sz w:val="32"/>
          <w:szCs w:val="32"/>
          <w:lang w:val="en-US" w:eastAsia="zh-CN"/>
        </w:rPr>
        <w:t>1个：</w:t>
      </w:r>
      <w:r>
        <w:rPr>
          <w:rFonts w:hint="default" w:ascii="Times New Roman" w:hAnsi="Times New Roman" w:eastAsia="仿宋_GB2312" w:cs="Times New Roman"/>
          <w:color w:val="auto"/>
          <w:sz w:val="32"/>
          <w:szCs w:val="32"/>
          <w:lang w:val="zh-CN" w:eastAsia="zh-CN"/>
        </w:rPr>
        <w:t>市机关后勤服务中心</w:t>
      </w:r>
      <w:r>
        <w:rPr>
          <w:rFonts w:hint="default" w:ascii="Times New Roman" w:hAnsi="Times New Roman" w:eastAsia="仿宋_GB2312" w:cs="Times New Roman"/>
          <w:color w:val="auto"/>
          <w:sz w:val="32"/>
          <w:szCs w:val="32"/>
          <w:lang w:val="en-US" w:eastAsia="zh-CN"/>
        </w:rPr>
        <w:t>。</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楷体_GB2312" w:cs="Times New Roman"/>
          <w:b/>
          <w:color w:val="auto"/>
          <w:sz w:val="32"/>
          <w:szCs w:val="32"/>
          <w:highlight w:val="none"/>
          <w:lang w:val="zh-CN"/>
        </w:rPr>
      </w:pPr>
      <w:r>
        <w:rPr>
          <w:rFonts w:hint="default" w:ascii="Times New Roman" w:hAnsi="Times New Roman" w:eastAsia="楷体_GB2312" w:cs="Times New Roman"/>
          <w:b/>
          <w:color w:val="auto"/>
          <w:sz w:val="32"/>
          <w:szCs w:val="32"/>
          <w:highlight w:val="none"/>
          <w:lang w:val="zh-CN"/>
        </w:rPr>
        <w:t>（二）机构职能。</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市机关事务服务中心职能职责是：负责市级党政机关（含参照公务员法管理的事业单位）的房地产管理、房地产租用及大中型维修改造的审批、闲置房地产处置和全市公务用车日常管理、全市公共机构节能管理等工作。</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楷体_GB2312" w:cs="Times New Roman"/>
          <w:b/>
          <w:bCs/>
          <w:color w:val="auto"/>
          <w:kern w:val="0"/>
          <w:szCs w:val="32"/>
          <w:highlight w:val="none"/>
          <w:shd w:val="clear" w:color="auto" w:fill="FFFFFF"/>
          <w:lang w:val="zh-CN"/>
        </w:rPr>
      </w:pPr>
      <w:r>
        <w:rPr>
          <w:rFonts w:hint="default" w:ascii="Times New Roman" w:hAnsi="Times New Roman" w:eastAsia="仿宋_GB2312" w:cs="Times New Roman"/>
          <w:color w:val="auto"/>
          <w:kern w:val="2"/>
          <w:sz w:val="32"/>
          <w:szCs w:val="32"/>
          <w:highlight w:val="none"/>
          <w:lang w:val="en-US" w:eastAsia="zh-CN" w:bidi="ar-SA"/>
        </w:rPr>
        <w:t>2.市机关后勤服务中心职能职责是:负责市级机关职工食堂的日常监督管理及食品卫生安全保障工作和公务用车集中后的日常管理服务等</w:t>
      </w:r>
      <w:r>
        <w:rPr>
          <w:rFonts w:hint="default" w:ascii="Times New Roman" w:hAnsi="Times New Roman" w:eastAsia="仿宋_GB2312" w:cs="Times New Roman"/>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eastAsia="楷体_GB2312" w:cs="Times New Roman"/>
          <w:b/>
          <w:bCs/>
          <w:color w:val="auto"/>
          <w:kern w:val="0"/>
          <w:sz w:val="32"/>
          <w:szCs w:val="32"/>
          <w:highlight w:val="none"/>
          <w:shd w:val="clear" w:color="auto" w:fill="FFFFFF"/>
          <w:lang w:val="zh-CN"/>
        </w:rPr>
      </w:pPr>
      <w:r>
        <w:rPr>
          <w:rFonts w:hint="default" w:ascii="Times New Roman" w:hAnsi="Times New Roman" w:eastAsia="楷体_GB2312" w:cs="Times New Roman"/>
          <w:b/>
          <w:bCs/>
          <w:color w:val="auto"/>
          <w:kern w:val="0"/>
          <w:sz w:val="32"/>
          <w:szCs w:val="32"/>
          <w:highlight w:val="none"/>
          <w:shd w:val="clear" w:color="auto" w:fill="FFFFFF"/>
          <w:lang w:val="zh-CN"/>
        </w:rPr>
        <w:t>（三）人员概况。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cs="Times New Roman"/>
          <w:color w:val="auto"/>
          <w:szCs w:val="32"/>
        </w:rPr>
      </w:pPr>
      <w:r>
        <w:rPr>
          <w:rFonts w:hint="default" w:ascii="Times New Roman" w:hAnsi="Times New Roman" w:eastAsia="仿宋_GB2312" w:cs="Times New Roman"/>
          <w:color w:val="auto"/>
          <w:sz w:val="32"/>
          <w:szCs w:val="32"/>
          <w:lang w:val="en-US" w:eastAsia="zh-CN"/>
        </w:rPr>
        <w:t>截至2025年末，市机关事务服务中心实有参照公务员法管理事业编制人数13人、市纪委监委派驻纪检组</w:t>
      </w:r>
      <w:r>
        <w:rPr>
          <w:rFonts w:hint="eastAsia" w:eastAsia="仿宋_GB2312" w:cs="Times New Roman"/>
          <w:color w:val="auto"/>
          <w:sz w:val="32"/>
          <w:szCs w:val="32"/>
          <w:lang w:val="en-US" w:eastAsia="zh-CN"/>
        </w:rPr>
        <w:t>人员</w:t>
      </w:r>
      <w:r>
        <w:rPr>
          <w:rFonts w:hint="default" w:ascii="Times New Roman" w:hAnsi="Times New Roman" w:eastAsia="仿宋_GB2312" w:cs="Times New Roman"/>
          <w:color w:val="auto"/>
          <w:sz w:val="32"/>
          <w:szCs w:val="32"/>
          <w:lang w:val="en-US" w:eastAsia="zh-CN"/>
        </w:rPr>
        <w:t>5人；市机关后勤服务中心事业编制人员7人；攀委办﹝2012﹞86号人员10人；退休人员11人。合计财政供养人员46人。</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auto"/>
          <w:kern w:val="0"/>
          <w:sz w:val="32"/>
          <w:szCs w:val="32"/>
          <w:highlight w:val="none"/>
          <w:shd w:val="clear" w:color="auto" w:fill="FFFFFF"/>
          <w:lang w:val="zh-CN" w:eastAsia="zh-CN"/>
        </w:rPr>
      </w:pPr>
      <w:r>
        <w:rPr>
          <w:rFonts w:hint="default" w:ascii="Times New Roman" w:hAnsi="Times New Roman" w:eastAsia="黑体" w:cs="Times New Roman"/>
          <w:color w:val="auto"/>
          <w:kern w:val="0"/>
          <w:sz w:val="32"/>
          <w:szCs w:val="32"/>
          <w:highlight w:val="none"/>
          <w:shd w:val="clear" w:color="auto" w:fill="FFFFFF"/>
          <w:lang w:val="zh-CN" w:eastAsia="zh-CN"/>
        </w:rPr>
        <w:t>二、部门资金收支情况</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楷体_GB2312" w:cs="Times New Roman"/>
          <w:b/>
          <w:bCs/>
          <w:color w:val="auto"/>
          <w:kern w:val="0"/>
          <w:szCs w:val="32"/>
          <w:highlight w:val="none"/>
          <w:shd w:val="clear" w:color="auto" w:fill="FFFFFF"/>
          <w:lang w:val="en-US"/>
        </w:rPr>
      </w:pPr>
      <w:r>
        <w:rPr>
          <w:rFonts w:hint="default" w:ascii="Times New Roman" w:hAnsi="Times New Roman" w:eastAsia="楷体_GB2312" w:cs="Times New Roman"/>
          <w:b/>
          <w:bCs/>
          <w:color w:val="auto"/>
          <w:kern w:val="0"/>
          <w:sz w:val="32"/>
          <w:szCs w:val="32"/>
          <w:highlight w:val="none"/>
          <w:shd w:val="clear" w:color="auto" w:fill="FFFFFF"/>
          <w:lang w:val="zh-CN"/>
        </w:rPr>
        <w:t>（一）收入情况。</w:t>
      </w:r>
      <w:r>
        <w:rPr>
          <w:rFonts w:hint="default" w:ascii="Times New Roman" w:hAnsi="Times New Roman" w:eastAsia="仿宋_GB2312" w:cs="Times New Roman"/>
          <w:color w:val="auto"/>
          <w:kern w:val="2"/>
          <w:sz w:val="32"/>
          <w:szCs w:val="32"/>
          <w:highlight w:val="none"/>
          <w:lang w:val="en-US" w:eastAsia="zh-CN" w:bidi="ar-SA"/>
        </w:rPr>
        <w:t>本年财政拨款收入5930.78万元，其他收入0万元，收入总计5930.78万元</w:t>
      </w:r>
      <w:r>
        <w:rPr>
          <w:rFonts w:hint="default" w:ascii="Times New Roman" w:hAnsi="Times New Roman" w:eastAsia="仿宋_GB2312" w:cs="Times New Roman"/>
          <w:color w:val="auto"/>
          <w:sz w:val="32"/>
          <w:szCs w:val="32"/>
          <w:lang w:val="en-US" w:eastAsia="zh-CN"/>
        </w:rPr>
        <w:t>。</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cs="Times New Roman"/>
          <w:color w:val="auto"/>
          <w:szCs w:val="32"/>
          <w:lang w:val="zh-CN" w:eastAsia="zh-CN"/>
        </w:rPr>
      </w:pPr>
      <w:r>
        <w:rPr>
          <w:rFonts w:hint="default" w:ascii="Times New Roman" w:hAnsi="Times New Roman" w:eastAsia="楷体_GB2312" w:cs="Times New Roman"/>
          <w:b/>
          <w:bCs/>
          <w:color w:val="auto"/>
          <w:kern w:val="0"/>
          <w:sz w:val="32"/>
          <w:szCs w:val="32"/>
          <w:highlight w:val="none"/>
          <w:shd w:val="clear" w:color="auto" w:fill="FFFFFF"/>
          <w:lang w:val="zh-CN"/>
        </w:rPr>
        <w:t>（二）支出情况。</w:t>
      </w:r>
      <w:r>
        <w:rPr>
          <w:rFonts w:hint="default" w:ascii="Times New Roman" w:hAnsi="Times New Roman" w:eastAsia="仿宋_GB2312" w:cs="Times New Roman"/>
          <w:color w:val="auto"/>
          <w:kern w:val="2"/>
          <w:sz w:val="32"/>
          <w:szCs w:val="32"/>
          <w:highlight w:val="none"/>
          <w:lang w:val="en-US" w:eastAsia="zh-CN" w:bidi="ar-SA"/>
        </w:rPr>
        <w:t>2025年基本支出预算安排711.58万元，占总支出的11.61%。其中：人员经费644.51万元、日常公用经费67.07万元。主要用于工资福利</w:t>
      </w:r>
      <w:r>
        <w:rPr>
          <w:rFonts w:hint="eastAsia" w:eastAsia="仿宋_GB2312" w:cs="Times New Roman"/>
          <w:color w:val="auto"/>
          <w:kern w:val="2"/>
          <w:sz w:val="32"/>
          <w:szCs w:val="32"/>
          <w:highlight w:val="none"/>
          <w:lang w:val="en-US" w:eastAsia="zh-CN" w:bidi="ar-SA"/>
        </w:rPr>
        <w:t>支出、</w:t>
      </w:r>
      <w:r>
        <w:rPr>
          <w:rFonts w:hint="default" w:ascii="Times New Roman" w:hAnsi="Times New Roman" w:eastAsia="仿宋_GB2312" w:cs="Times New Roman"/>
          <w:color w:val="auto"/>
          <w:kern w:val="2"/>
          <w:sz w:val="32"/>
          <w:szCs w:val="32"/>
          <w:highlight w:val="none"/>
          <w:lang w:val="en-US" w:eastAsia="zh-CN" w:bidi="ar-SA"/>
        </w:rPr>
        <w:t>行政运行、事业运行</w:t>
      </w:r>
      <w:r>
        <w:rPr>
          <w:rFonts w:hint="eastAsia" w:eastAsia="仿宋_GB2312" w:cs="Times New Roman"/>
          <w:color w:val="auto"/>
          <w:kern w:val="2"/>
          <w:sz w:val="32"/>
          <w:szCs w:val="32"/>
          <w:highlight w:val="none"/>
          <w:lang w:val="en-US" w:eastAsia="zh-CN" w:bidi="ar-SA"/>
        </w:rPr>
        <w:t>等</w:t>
      </w:r>
      <w:r>
        <w:rPr>
          <w:rFonts w:hint="default" w:ascii="Times New Roman" w:hAnsi="Times New Roman" w:eastAsia="仿宋_GB2312" w:cs="Times New Roman"/>
          <w:color w:val="auto"/>
          <w:kern w:val="2"/>
          <w:sz w:val="32"/>
          <w:szCs w:val="32"/>
          <w:highlight w:val="none"/>
          <w:lang w:val="en-US" w:eastAsia="zh-CN" w:bidi="ar-SA"/>
        </w:rPr>
        <w:t>。项目支出</w:t>
      </w:r>
      <w:r>
        <w:rPr>
          <w:rFonts w:hint="eastAsia" w:eastAsia="仿宋_GB2312" w:cs="Times New Roman"/>
          <w:color w:val="auto"/>
          <w:kern w:val="2"/>
          <w:sz w:val="32"/>
          <w:szCs w:val="32"/>
          <w:highlight w:val="none"/>
          <w:lang w:val="en-US" w:eastAsia="zh-CN" w:bidi="ar-SA"/>
        </w:rPr>
        <w:t>5219.2</w:t>
      </w:r>
      <w:r>
        <w:rPr>
          <w:rFonts w:hint="default" w:ascii="Times New Roman" w:hAnsi="Times New Roman" w:eastAsia="仿宋_GB2312" w:cs="Times New Roman"/>
          <w:color w:val="auto"/>
          <w:kern w:val="2"/>
          <w:sz w:val="32"/>
          <w:szCs w:val="32"/>
          <w:highlight w:val="none"/>
          <w:lang w:val="en-US" w:eastAsia="zh-CN" w:bidi="ar-SA"/>
        </w:rPr>
        <w:t>万元，主要用于机关食堂日常管理、市级机关办公用房维修改造、市级党政机关租赁办公用房等项目，项目支出占总支出的88%。部门支出总计决算较上一年度减少17.79万元，同比下降0.3%。</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仿宋_GB2312" w:cs="Times New Roman"/>
          <w:b w:val="0"/>
          <w:bCs w:val="0"/>
          <w:color w:val="auto"/>
          <w:kern w:val="0"/>
          <w:szCs w:val="32"/>
          <w:highlight w:val="none"/>
          <w:shd w:val="clear" w:color="auto" w:fill="FFFFFF"/>
          <w:lang w:val="zh-CN" w:eastAsia="zh-CN"/>
        </w:rPr>
      </w:pPr>
      <w:r>
        <w:rPr>
          <w:rFonts w:hint="default" w:ascii="Times New Roman" w:hAnsi="Times New Roman" w:eastAsia="楷体_GB2312" w:cs="Times New Roman"/>
          <w:b/>
          <w:bCs/>
          <w:color w:val="auto"/>
          <w:kern w:val="0"/>
          <w:sz w:val="32"/>
          <w:szCs w:val="32"/>
          <w:highlight w:val="none"/>
          <w:shd w:val="clear" w:color="auto" w:fill="FFFFFF"/>
          <w:lang w:val="zh-CN"/>
        </w:rPr>
        <w:t>（三）结余分配和结转结余情况</w:t>
      </w:r>
      <w:r>
        <w:rPr>
          <w:rFonts w:hint="default" w:ascii="Times New Roman" w:hAnsi="Times New Roman" w:eastAsia="楷体_GB2312" w:cs="Times New Roman"/>
          <w:b/>
          <w:bCs/>
          <w:color w:val="auto"/>
          <w:kern w:val="0"/>
          <w:sz w:val="32"/>
          <w:szCs w:val="32"/>
          <w:highlight w:val="none"/>
          <w:shd w:val="clear" w:color="auto" w:fill="FFFFFF"/>
          <w:lang w:val="zh-CN" w:eastAsia="zh-CN"/>
        </w:rPr>
        <w:t>。</w:t>
      </w:r>
      <w:r>
        <w:rPr>
          <w:rFonts w:hint="default" w:ascii="Times New Roman" w:hAnsi="Times New Roman" w:eastAsia="仿宋_GB2312" w:cs="Times New Roman"/>
          <w:color w:val="auto"/>
          <w:kern w:val="2"/>
          <w:sz w:val="32"/>
          <w:szCs w:val="32"/>
          <w:highlight w:val="none"/>
          <w:lang w:val="en-US" w:eastAsia="zh-CN" w:bidi="ar-SA"/>
        </w:rPr>
        <w:t>2025年年初结转和结余</w:t>
      </w:r>
      <w:r>
        <w:rPr>
          <w:rFonts w:hint="eastAsia" w:eastAsia="仿宋_GB2312" w:cs="Times New Roman"/>
          <w:color w:val="auto"/>
          <w:kern w:val="2"/>
          <w:sz w:val="32"/>
          <w:szCs w:val="32"/>
          <w:highlight w:val="none"/>
          <w:lang w:val="en-US" w:eastAsia="zh-CN" w:bidi="ar-SA"/>
        </w:rPr>
        <w:t>0.19</w:t>
      </w:r>
      <w:r>
        <w:rPr>
          <w:rFonts w:hint="default" w:ascii="Times New Roman" w:hAnsi="Times New Roman" w:eastAsia="仿宋_GB2312" w:cs="Times New Roman"/>
          <w:color w:val="auto"/>
          <w:kern w:val="2"/>
          <w:sz w:val="32"/>
          <w:szCs w:val="32"/>
          <w:highlight w:val="none"/>
          <w:lang w:val="en-US" w:eastAsia="zh-CN" w:bidi="ar-SA"/>
        </w:rPr>
        <w:t>万元、年末结转和结余0.19万元</w:t>
      </w:r>
      <w:r>
        <w:rPr>
          <w:rFonts w:hint="default" w:ascii="Times New Roman" w:hAnsi="Times New Roman" w:eastAsia="仿宋_GB2312" w:cs="Times New Roman"/>
          <w:color w:val="auto"/>
          <w:sz w:val="32"/>
          <w:szCs w:val="32"/>
          <w:lang w:val="en-US"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auto"/>
          <w:kern w:val="0"/>
          <w:sz w:val="32"/>
          <w:szCs w:val="32"/>
          <w:highlight w:val="none"/>
          <w:shd w:val="clear" w:color="auto" w:fill="FFFFFF"/>
          <w:lang w:val="zh-CN" w:eastAsia="zh-CN"/>
        </w:rPr>
      </w:pPr>
      <w:r>
        <w:rPr>
          <w:rFonts w:hint="default" w:ascii="Times New Roman" w:hAnsi="Times New Roman" w:eastAsia="黑体" w:cs="Times New Roman"/>
          <w:color w:val="auto"/>
          <w:kern w:val="0"/>
          <w:sz w:val="32"/>
          <w:szCs w:val="32"/>
          <w:highlight w:val="none"/>
          <w:shd w:val="clear" w:color="auto" w:fill="FFFFFF"/>
          <w:lang w:val="zh-CN" w:eastAsia="zh-CN"/>
        </w:rPr>
        <w:t>三、部门预算绩效分析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楷体_GB2312" w:cs="Times New Roman"/>
          <w:b/>
          <w:bCs/>
          <w:color w:val="auto"/>
          <w:kern w:val="0"/>
          <w:sz w:val="32"/>
          <w:szCs w:val="32"/>
          <w:highlight w:val="none"/>
          <w:shd w:val="clear" w:color="auto" w:fill="FFFFFF"/>
          <w:lang w:val="zh-CN"/>
        </w:rPr>
        <w:t>（一）部门预算总体绩效分析。</w:t>
      </w:r>
      <w:r>
        <w:rPr>
          <w:rFonts w:hint="default" w:ascii="Times New Roman" w:hAnsi="Times New Roman" w:eastAsia="仿宋_GB2312" w:cs="Times New Roman"/>
          <w:color w:val="auto"/>
          <w:kern w:val="2"/>
          <w:sz w:val="32"/>
          <w:szCs w:val="32"/>
          <w:highlight w:val="none"/>
          <w:lang w:val="zh-CN" w:eastAsia="zh-CN" w:bidi="ar-SA"/>
        </w:rPr>
        <w:t>2025年度，市机关事务服务中心所设立的整体绩效目标依据充分，符合客观实际，用以反映和考核部门整体绩效目标与部门履职、年度工作任务情况相符。制定的目标符合国家法律法规、国民经济和社会发展总体规划，符合部门</w:t>
      </w:r>
      <w:r>
        <w:rPr>
          <w:rFonts w:hint="eastAsia" w:eastAsia="仿宋_GB2312" w:cs="Times New Roman"/>
          <w:color w:val="auto"/>
          <w:kern w:val="2"/>
          <w:sz w:val="32"/>
          <w:szCs w:val="32"/>
          <w:highlight w:val="none"/>
          <w:lang w:val="zh-CN" w:eastAsia="zh-CN" w:bidi="ar-SA"/>
        </w:rPr>
        <w:t>“</w:t>
      </w:r>
      <w:r>
        <w:rPr>
          <w:rFonts w:hint="default" w:ascii="Times New Roman" w:hAnsi="Times New Roman" w:eastAsia="仿宋_GB2312" w:cs="Times New Roman"/>
          <w:color w:val="auto"/>
          <w:kern w:val="2"/>
          <w:sz w:val="32"/>
          <w:szCs w:val="32"/>
          <w:highlight w:val="none"/>
          <w:lang w:val="zh-CN" w:eastAsia="zh-CN" w:bidi="ar-SA"/>
        </w:rPr>
        <w:t>三定</w:t>
      </w:r>
      <w:r>
        <w:rPr>
          <w:rFonts w:hint="eastAsia" w:eastAsia="仿宋_GB2312" w:cs="Times New Roman"/>
          <w:color w:val="auto"/>
          <w:kern w:val="2"/>
          <w:sz w:val="32"/>
          <w:szCs w:val="32"/>
          <w:highlight w:val="none"/>
          <w:lang w:val="zh-CN" w:eastAsia="zh-CN" w:bidi="ar-SA"/>
        </w:rPr>
        <w:t>”</w:t>
      </w:r>
      <w:r>
        <w:rPr>
          <w:rFonts w:hint="default" w:ascii="Times New Roman" w:hAnsi="Times New Roman" w:eastAsia="仿宋_GB2312" w:cs="Times New Roman"/>
          <w:color w:val="auto"/>
          <w:kern w:val="2"/>
          <w:sz w:val="32"/>
          <w:szCs w:val="32"/>
          <w:highlight w:val="none"/>
          <w:lang w:val="zh-CN" w:eastAsia="zh-CN" w:bidi="ar-SA"/>
        </w:rPr>
        <w:t>方案确定的职责。依据整体绩效目标所设定的绩效指标清晰、细化、可衡量。本年度财政拨款收入5930.78万元，支出5930.78万元，预算支出完成率100%，预算执行完成率与去年同期持平，本年度无违规记录。</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en-US" w:eastAsia="zh-CN" w:bidi="ar-SA"/>
        </w:rPr>
        <w:t>1.</w:t>
      </w:r>
      <w:r>
        <w:rPr>
          <w:rFonts w:hint="default" w:ascii="Times New Roman" w:hAnsi="Times New Roman" w:eastAsia="仿宋_GB2312" w:cs="Times New Roman"/>
          <w:color w:val="auto"/>
          <w:kern w:val="2"/>
          <w:sz w:val="32"/>
          <w:szCs w:val="32"/>
          <w:highlight w:val="none"/>
          <w:lang w:val="zh-CN" w:eastAsia="zh-CN" w:bidi="ar-SA"/>
        </w:rPr>
        <w:t>履职效能。一是公共机构节能</w:t>
      </w:r>
      <w:r>
        <w:rPr>
          <w:rFonts w:hint="eastAsia" w:eastAsia="仿宋_GB2312" w:cs="Times New Roman"/>
          <w:color w:val="auto"/>
          <w:kern w:val="2"/>
          <w:sz w:val="32"/>
          <w:szCs w:val="32"/>
          <w:highlight w:val="none"/>
          <w:lang w:val="zh-CN" w:eastAsia="zh-CN" w:bidi="ar-SA"/>
        </w:rPr>
        <w:t>：</w:t>
      </w:r>
      <w:r>
        <w:rPr>
          <w:rFonts w:hint="eastAsia" w:eastAsia="仿宋_GB2312" w:cs="Times New Roman"/>
          <w:color w:val="auto"/>
          <w:kern w:val="2"/>
          <w:sz w:val="32"/>
          <w:szCs w:val="32"/>
          <w:highlight w:val="none"/>
          <w:lang w:val="en-US" w:eastAsia="zh-CN" w:bidi="ar-SA"/>
        </w:rPr>
        <w:t>2</w:t>
      </w:r>
      <w:r>
        <w:rPr>
          <w:rFonts w:hint="default" w:ascii="Times New Roman" w:hAnsi="Times New Roman" w:eastAsia="仿宋_GB2312" w:cs="Times New Roman"/>
          <w:color w:val="auto"/>
          <w:kern w:val="2"/>
          <w:sz w:val="32"/>
          <w:szCs w:val="32"/>
          <w:highlight w:val="none"/>
          <w:lang w:val="zh-CN" w:eastAsia="zh-CN" w:bidi="ar-SA"/>
        </w:rPr>
        <w:t>024年全市人均综合能耗、单位建筑面积能耗、人均水耗、单位面积碳排放同比分别下降3.44%、1.03%、4.82%、7.23%，全面完成省级下达目标任务。成功创建国家级节能示范单位2家，申报省级节水典型案例5个，建成分布式光伏项目2个。二是办公用房管理</w:t>
      </w:r>
      <w:r>
        <w:rPr>
          <w:rFonts w:hint="eastAsia" w:eastAsia="仿宋_GB2312" w:cs="Times New Roman"/>
          <w:color w:val="auto"/>
          <w:kern w:val="2"/>
          <w:sz w:val="32"/>
          <w:szCs w:val="32"/>
          <w:highlight w:val="none"/>
          <w:lang w:val="zh-CN" w:eastAsia="zh-CN" w:bidi="ar-SA"/>
        </w:rPr>
        <w:t>：</w:t>
      </w:r>
      <w:r>
        <w:rPr>
          <w:rFonts w:hint="default" w:ascii="Times New Roman" w:hAnsi="Times New Roman" w:eastAsia="仿宋_GB2312" w:cs="Times New Roman"/>
          <w:color w:val="auto"/>
          <w:kern w:val="2"/>
          <w:sz w:val="32"/>
          <w:szCs w:val="32"/>
          <w:highlight w:val="none"/>
          <w:lang w:val="zh-CN" w:eastAsia="zh-CN" w:bidi="ar-SA"/>
        </w:rPr>
        <w:t>持续开展党政机关C、D级危房整治，整治完成率达92.31%，调剂、租赁办公用房1.7万余㎡，全面完成市</w:t>
      </w:r>
      <w:r>
        <w:rPr>
          <w:rFonts w:hint="eastAsia" w:eastAsia="仿宋_GB2312" w:cs="Times New Roman"/>
          <w:color w:val="auto"/>
          <w:kern w:val="2"/>
          <w:sz w:val="32"/>
          <w:szCs w:val="32"/>
          <w:highlight w:val="none"/>
          <w:lang w:val="zh-CN" w:eastAsia="zh-CN" w:bidi="ar-SA"/>
        </w:rPr>
        <w:t>“</w:t>
      </w:r>
      <w:r>
        <w:rPr>
          <w:rFonts w:hint="default" w:ascii="Times New Roman" w:hAnsi="Times New Roman" w:eastAsia="仿宋_GB2312" w:cs="Times New Roman"/>
          <w:color w:val="auto"/>
          <w:kern w:val="2"/>
          <w:sz w:val="32"/>
          <w:szCs w:val="32"/>
          <w:highlight w:val="none"/>
          <w:lang w:val="zh-CN" w:eastAsia="zh-CN" w:bidi="ar-SA"/>
        </w:rPr>
        <w:t>四套班子</w:t>
      </w:r>
      <w:r>
        <w:rPr>
          <w:rFonts w:hint="eastAsia" w:eastAsia="仿宋_GB2312" w:cs="Times New Roman"/>
          <w:color w:val="auto"/>
          <w:kern w:val="2"/>
          <w:sz w:val="32"/>
          <w:szCs w:val="32"/>
          <w:highlight w:val="none"/>
          <w:lang w:val="zh-CN" w:eastAsia="zh-CN" w:bidi="ar-SA"/>
        </w:rPr>
        <w:t>”</w:t>
      </w:r>
      <w:r>
        <w:rPr>
          <w:rFonts w:hint="default" w:ascii="Times New Roman" w:hAnsi="Times New Roman" w:eastAsia="仿宋_GB2312" w:cs="Times New Roman"/>
          <w:color w:val="auto"/>
          <w:kern w:val="2"/>
          <w:sz w:val="32"/>
          <w:szCs w:val="32"/>
          <w:highlight w:val="none"/>
          <w:lang w:val="zh-CN" w:eastAsia="zh-CN" w:bidi="ar-SA"/>
        </w:rPr>
        <w:t>机关及15个市级部门应急避险临时搬迁及过渡搬迁工作</w:t>
      </w:r>
      <w:r>
        <w:rPr>
          <w:rFonts w:hint="eastAsia" w:eastAsia="仿宋_GB2312" w:cs="Times New Roman"/>
          <w:color w:val="auto"/>
          <w:kern w:val="2"/>
          <w:sz w:val="32"/>
          <w:szCs w:val="32"/>
          <w:highlight w:val="none"/>
          <w:lang w:val="zh-CN" w:eastAsia="zh-CN" w:bidi="ar-SA"/>
        </w:rPr>
        <w:t>；</w:t>
      </w:r>
      <w:r>
        <w:rPr>
          <w:rFonts w:hint="default" w:ascii="Times New Roman" w:hAnsi="Times New Roman" w:eastAsia="仿宋_GB2312" w:cs="Times New Roman"/>
          <w:color w:val="auto"/>
          <w:kern w:val="2"/>
          <w:sz w:val="32"/>
          <w:szCs w:val="32"/>
          <w:highlight w:val="none"/>
          <w:lang w:val="zh-CN" w:eastAsia="zh-CN" w:bidi="ar-SA"/>
        </w:rPr>
        <w:t>开展2025年度办公（业务）用房维修项目5个；完成2025年度党政机关办公用房信息数据统计；三是公务用车管理</w:t>
      </w:r>
      <w:r>
        <w:rPr>
          <w:rFonts w:hint="eastAsia" w:eastAsia="仿宋_GB2312" w:cs="Times New Roman"/>
          <w:color w:val="auto"/>
          <w:kern w:val="2"/>
          <w:sz w:val="32"/>
          <w:szCs w:val="32"/>
          <w:highlight w:val="none"/>
          <w:lang w:val="zh-CN" w:eastAsia="zh-CN" w:bidi="ar-SA"/>
        </w:rPr>
        <w:t>：</w:t>
      </w:r>
      <w:r>
        <w:rPr>
          <w:rFonts w:hint="default" w:ascii="Times New Roman" w:hAnsi="Times New Roman" w:eastAsia="仿宋_GB2312" w:cs="Times New Roman"/>
          <w:color w:val="auto"/>
          <w:kern w:val="2"/>
          <w:sz w:val="32"/>
          <w:szCs w:val="32"/>
          <w:highlight w:val="none"/>
          <w:lang w:val="zh-CN" w:eastAsia="zh-CN" w:bidi="ar-SA"/>
        </w:rPr>
        <w:t>制发《公车管理信息查询流程》等文件，积极推动公务用车绿色转型，全市审批购置公车18辆，其中新能源车17辆，占比94%</w:t>
      </w:r>
      <w:r>
        <w:rPr>
          <w:rFonts w:hint="eastAsia" w:eastAsia="仿宋_GB2312" w:cs="Times New Roman"/>
          <w:color w:val="auto"/>
          <w:kern w:val="2"/>
          <w:sz w:val="32"/>
          <w:szCs w:val="32"/>
          <w:highlight w:val="none"/>
          <w:lang w:val="zh-CN" w:eastAsia="zh-CN" w:bidi="ar-SA"/>
        </w:rPr>
        <w:t>；</w:t>
      </w:r>
      <w:r>
        <w:rPr>
          <w:rFonts w:hint="default" w:ascii="Times New Roman" w:hAnsi="Times New Roman" w:eastAsia="仿宋_GB2312" w:cs="Times New Roman"/>
          <w:color w:val="auto"/>
          <w:kern w:val="2"/>
          <w:sz w:val="32"/>
          <w:szCs w:val="32"/>
          <w:highlight w:val="none"/>
          <w:lang w:val="zh-CN" w:eastAsia="zh-CN" w:bidi="ar-SA"/>
        </w:rPr>
        <w:t>开展公车标识化管理专项整治，发现并整改问题22个；开展联动检查6次，对228台车开展线上抽查、对22个公车服务机构开展实地考核，强化监督合力。四是后勤服务</w:t>
      </w:r>
      <w:r>
        <w:rPr>
          <w:rFonts w:hint="eastAsia" w:eastAsia="仿宋_GB2312" w:cs="Times New Roman"/>
          <w:color w:val="auto"/>
          <w:kern w:val="2"/>
          <w:sz w:val="32"/>
          <w:szCs w:val="32"/>
          <w:highlight w:val="none"/>
          <w:lang w:val="zh-CN" w:eastAsia="zh-CN" w:bidi="ar-SA"/>
        </w:rPr>
        <w:t>：</w:t>
      </w:r>
      <w:r>
        <w:rPr>
          <w:rFonts w:hint="default" w:ascii="Times New Roman" w:hAnsi="Times New Roman" w:eastAsia="仿宋_GB2312" w:cs="Times New Roman"/>
          <w:color w:val="auto"/>
          <w:kern w:val="2"/>
          <w:sz w:val="32"/>
          <w:szCs w:val="32"/>
          <w:highlight w:val="none"/>
          <w:lang w:val="zh-CN" w:eastAsia="zh-CN" w:bidi="ar-SA"/>
        </w:rPr>
        <w:t>打造营养、健康食堂，实现</w:t>
      </w:r>
      <w:r>
        <w:rPr>
          <w:rFonts w:hint="eastAsia" w:eastAsia="仿宋_GB2312" w:cs="Times New Roman"/>
          <w:color w:val="auto"/>
          <w:kern w:val="2"/>
          <w:sz w:val="32"/>
          <w:szCs w:val="32"/>
          <w:highlight w:val="none"/>
          <w:lang w:val="zh-CN" w:eastAsia="zh-CN" w:bidi="ar-SA"/>
        </w:rPr>
        <w:t>“</w:t>
      </w:r>
      <w:r>
        <w:rPr>
          <w:rFonts w:hint="default" w:ascii="Times New Roman" w:hAnsi="Times New Roman" w:eastAsia="仿宋_GB2312" w:cs="Times New Roman"/>
          <w:color w:val="auto"/>
          <w:kern w:val="2"/>
          <w:sz w:val="32"/>
          <w:szCs w:val="32"/>
          <w:highlight w:val="none"/>
          <w:lang w:val="zh-CN" w:eastAsia="zh-CN" w:bidi="ar-SA"/>
        </w:rPr>
        <w:t>明厨亮灶</w:t>
      </w:r>
      <w:r>
        <w:rPr>
          <w:rFonts w:hint="eastAsia" w:eastAsia="仿宋_GB2312" w:cs="Times New Roman"/>
          <w:color w:val="auto"/>
          <w:kern w:val="2"/>
          <w:sz w:val="32"/>
          <w:szCs w:val="32"/>
          <w:highlight w:val="none"/>
          <w:lang w:val="zh-CN" w:eastAsia="zh-CN" w:bidi="ar-SA"/>
        </w:rPr>
        <w:t>”</w:t>
      </w:r>
      <w:r>
        <w:rPr>
          <w:rFonts w:hint="default" w:ascii="Times New Roman" w:hAnsi="Times New Roman" w:eastAsia="仿宋_GB2312" w:cs="Times New Roman"/>
          <w:color w:val="auto"/>
          <w:kern w:val="2"/>
          <w:sz w:val="32"/>
          <w:szCs w:val="32"/>
          <w:highlight w:val="none"/>
          <w:lang w:val="zh-CN" w:eastAsia="zh-CN" w:bidi="ar-SA"/>
        </w:rPr>
        <w:t>全覆盖，全方位守护饮食安全</w:t>
      </w:r>
      <w:r>
        <w:rPr>
          <w:rFonts w:hint="eastAsia" w:eastAsia="仿宋_GB2312" w:cs="Times New Roman"/>
          <w:color w:val="auto"/>
          <w:kern w:val="2"/>
          <w:sz w:val="32"/>
          <w:szCs w:val="32"/>
          <w:highlight w:val="none"/>
          <w:lang w:val="zh-CN" w:eastAsia="zh-CN" w:bidi="ar-SA"/>
        </w:rPr>
        <w:t>，</w:t>
      </w:r>
      <w:r>
        <w:rPr>
          <w:rFonts w:hint="default" w:ascii="Times New Roman" w:hAnsi="Times New Roman" w:eastAsia="仿宋_GB2312" w:cs="Times New Roman"/>
          <w:color w:val="auto"/>
          <w:kern w:val="2"/>
          <w:sz w:val="32"/>
          <w:szCs w:val="32"/>
          <w:highlight w:val="none"/>
          <w:lang w:val="zh-CN" w:eastAsia="zh-CN" w:bidi="ar-SA"/>
        </w:rPr>
        <w:t>全年高质量保障了123余个部门6500余名干部职工用餐，食堂服务实现零投诉；设立反食品浪费监督岗，每月开展反食品浪费自查，依托省级一体化平台对全市24家机关食堂实施全流程精细化管理，食品浪费平均系数为0.13（合格线为0.4），完成省级目标；从履职结果来看2025年我中心积极推进相关职能工作，部门主要职能指标</w:t>
      </w:r>
      <w:r>
        <w:rPr>
          <w:rFonts w:hint="eastAsia" w:eastAsia="仿宋_GB2312" w:cs="Times New Roman"/>
          <w:color w:val="auto"/>
          <w:kern w:val="2"/>
          <w:sz w:val="32"/>
          <w:szCs w:val="32"/>
          <w:highlight w:val="none"/>
          <w:lang w:val="zh-CN" w:eastAsia="zh-CN" w:bidi="ar-SA"/>
        </w:rPr>
        <w:t>完成较好</w:t>
      </w:r>
      <w:r>
        <w:rPr>
          <w:rFonts w:hint="default" w:ascii="Times New Roman" w:hAnsi="Times New Roman" w:eastAsia="仿宋_GB2312" w:cs="Times New Roman"/>
          <w:color w:val="auto"/>
          <w:kern w:val="2"/>
          <w:sz w:val="32"/>
          <w:szCs w:val="32"/>
          <w:highlight w:val="none"/>
          <w:lang w:val="zh-CN"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en-US" w:eastAsia="zh-CN" w:bidi="ar-SA"/>
        </w:rPr>
        <w:t>2.</w:t>
      </w:r>
      <w:r>
        <w:rPr>
          <w:rFonts w:hint="default" w:ascii="Times New Roman" w:hAnsi="Times New Roman" w:eastAsia="仿宋_GB2312" w:cs="Times New Roman"/>
          <w:color w:val="auto"/>
          <w:kern w:val="2"/>
          <w:sz w:val="32"/>
          <w:szCs w:val="32"/>
          <w:highlight w:val="none"/>
          <w:lang w:val="zh-CN" w:eastAsia="zh-CN" w:bidi="ar-SA"/>
        </w:rPr>
        <w:t>预算管理。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w:t>
      </w:r>
      <w:r>
        <w:rPr>
          <w:rFonts w:hint="default" w:ascii="Times New Roman" w:hAnsi="Times New Roman" w:eastAsia="仿宋_GB2312" w:cs="Times New Roman"/>
          <w:color w:val="auto"/>
          <w:kern w:val="2"/>
          <w:sz w:val="32"/>
          <w:szCs w:val="32"/>
          <w:highlight w:val="none"/>
          <w:lang w:val="en-US" w:eastAsia="zh-CN" w:bidi="ar-SA"/>
        </w:rPr>
        <w:t>1</w:t>
      </w:r>
      <w:r>
        <w:rPr>
          <w:rFonts w:hint="default" w:ascii="Times New Roman" w:hAnsi="Times New Roman" w:eastAsia="仿宋_GB2312" w:cs="Times New Roman"/>
          <w:color w:val="auto"/>
          <w:kern w:val="2"/>
          <w:sz w:val="32"/>
          <w:szCs w:val="32"/>
          <w:highlight w:val="none"/>
          <w:lang w:val="zh-CN" w:eastAsia="zh-CN" w:bidi="ar-SA"/>
        </w:rPr>
        <w:t>）预算编制质量。</w:t>
      </w:r>
      <w:r>
        <w:rPr>
          <w:rFonts w:hint="eastAsia" w:eastAsia="仿宋_GB2312" w:cs="Times New Roman"/>
          <w:color w:val="auto"/>
          <w:kern w:val="2"/>
          <w:sz w:val="32"/>
          <w:szCs w:val="32"/>
          <w:highlight w:val="none"/>
          <w:lang w:val="zh-CN" w:eastAsia="zh-CN" w:bidi="ar-SA"/>
        </w:rPr>
        <w:t>对</w:t>
      </w:r>
      <w:r>
        <w:rPr>
          <w:rFonts w:hint="default" w:ascii="Times New Roman" w:hAnsi="Times New Roman" w:eastAsia="仿宋_GB2312" w:cs="Times New Roman"/>
          <w:color w:val="auto"/>
          <w:kern w:val="2"/>
          <w:sz w:val="32"/>
          <w:szCs w:val="32"/>
          <w:highlight w:val="none"/>
          <w:lang w:val="zh-CN" w:eastAsia="zh-CN" w:bidi="ar-SA"/>
        </w:rPr>
        <w:t>预算编制、审批、执行、调整、决算等实行全过程管理，能全面反映部门年度收支情况。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w:t>
      </w:r>
      <w:r>
        <w:rPr>
          <w:rFonts w:hint="default" w:ascii="Times New Roman" w:hAnsi="Times New Roman" w:eastAsia="仿宋_GB2312" w:cs="Times New Roman"/>
          <w:color w:val="auto"/>
          <w:kern w:val="2"/>
          <w:sz w:val="32"/>
          <w:szCs w:val="32"/>
          <w:highlight w:val="none"/>
          <w:lang w:val="en-US" w:eastAsia="zh-CN" w:bidi="ar-SA"/>
        </w:rPr>
        <w:t>2</w:t>
      </w:r>
      <w:r>
        <w:rPr>
          <w:rFonts w:hint="default" w:ascii="Times New Roman" w:hAnsi="Times New Roman" w:eastAsia="仿宋_GB2312" w:cs="Times New Roman"/>
          <w:color w:val="auto"/>
          <w:kern w:val="2"/>
          <w:sz w:val="32"/>
          <w:szCs w:val="32"/>
          <w:highlight w:val="none"/>
          <w:lang w:val="zh-CN" w:eastAsia="zh-CN" w:bidi="ar-SA"/>
        </w:rPr>
        <w:t>）单位收入统筹。除本级财政拨款外无其它收入。</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w:t>
      </w:r>
      <w:r>
        <w:rPr>
          <w:rFonts w:hint="default" w:ascii="Times New Roman" w:hAnsi="Times New Roman" w:eastAsia="仿宋_GB2312" w:cs="Times New Roman"/>
          <w:color w:val="auto"/>
          <w:kern w:val="2"/>
          <w:sz w:val="32"/>
          <w:szCs w:val="32"/>
          <w:highlight w:val="none"/>
          <w:lang w:val="en-US" w:eastAsia="zh-CN" w:bidi="ar-SA"/>
        </w:rPr>
        <w:t>3</w:t>
      </w:r>
      <w:r>
        <w:rPr>
          <w:rFonts w:hint="default" w:ascii="Times New Roman" w:hAnsi="Times New Roman" w:eastAsia="仿宋_GB2312" w:cs="Times New Roman"/>
          <w:color w:val="auto"/>
          <w:kern w:val="2"/>
          <w:sz w:val="32"/>
          <w:szCs w:val="32"/>
          <w:highlight w:val="none"/>
          <w:lang w:val="zh-CN" w:eastAsia="zh-CN" w:bidi="ar-SA"/>
        </w:rPr>
        <w:t>）支出执行进度。全年调整后预算数为5930.78万元，1-6月预算执行数</w:t>
      </w:r>
      <w:r>
        <w:rPr>
          <w:rFonts w:hint="default" w:ascii="Times New Roman" w:hAnsi="Times New Roman" w:eastAsia="仿宋_GB2312" w:cs="Times New Roman"/>
          <w:color w:val="auto"/>
          <w:kern w:val="2"/>
          <w:sz w:val="32"/>
          <w:szCs w:val="32"/>
          <w:highlight w:val="none"/>
          <w:lang w:val="en-US" w:eastAsia="zh-CN" w:bidi="ar-SA"/>
        </w:rPr>
        <w:t>3392.01</w:t>
      </w:r>
      <w:r>
        <w:rPr>
          <w:rFonts w:hint="default" w:ascii="Times New Roman" w:hAnsi="Times New Roman" w:eastAsia="仿宋_GB2312" w:cs="Times New Roman"/>
          <w:color w:val="auto"/>
          <w:kern w:val="2"/>
          <w:sz w:val="32"/>
          <w:szCs w:val="32"/>
          <w:highlight w:val="none"/>
          <w:lang w:val="zh-CN" w:eastAsia="zh-CN" w:bidi="ar-SA"/>
        </w:rPr>
        <w:t>万元，1-10月预算执行数为</w:t>
      </w:r>
      <w:r>
        <w:rPr>
          <w:rFonts w:hint="default" w:ascii="Times New Roman" w:hAnsi="Times New Roman" w:eastAsia="仿宋_GB2312" w:cs="Times New Roman"/>
          <w:color w:val="auto"/>
          <w:kern w:val="2"/>
          <w:sz w:val="32"/>
          <w:szCs w:val="32"/>
          <w:highlight w:val="none"/>
          <w:lang w:val="en-US" w:eastAsia="zh-CN" w:bidi="ar-SA"/>
        </w:rPr>
        <w:t>4038.92</w:t>
      </w:r>
      <w:r>
        <w:rPr>
          <w:rFonts w:hint="default" w:ascii="Times New Roman" w:hAnsi="Times New Roman" w:eastAsia="仿宋_GB2312" w:cs="Times New Roman"/>
          <w:color w:val="auto"/>
          <w:kern w:val="2"/>
          <w:sz w:val="32"/>
          <w:szCs w:val="32"/>
          <w:highlight w:val="none"/>
          <w:lang w:val="zh-CN" w:eastAsia="zh-CN" w:bidi="ar-SA"/>
        </w:rPr>
        <w:t>万元，1-6月、1-10月执行率分别为</w:t>
      </w:r>
      <w:r>
        <w:rPr>
          <w:rFonts w:hint="default" w:ascii="Times New Roman" w:hAnsi="Times New Roman" w:eastAsia="仿宋_GB2312" w:cs="Times New Roman"/>
          <w:color w:val="auto"/>
          <w:kern w:val="2"/>
          <w:sz w:val="32"/>
          <w:szCs w:val="32"/>
          <w:highlight w:val="none"/>
          <w:lang w:val="en-US" w:eastAsia="zh-CN" w:bidi="ar-SA"/>
        </w:rPr>
        <w:t>59.19</w:t>
      </w:r>
      <w:r>
        <w:rPr>
          <w:rFonts w:hint="default" w:ascii="Times New Roman" w:hAnsi="Times New Roman" w:eastAsia="仿宋_GB2312" w:cs="Times New Roman"/>
          <w:color w:val="auto"/>
          <w:kern w:val="2"/>
          <w:sz w:val="32"/>
          <w:szCs w:val="32"/>
          <w:highlight w:val="none"/>
          <w:lang w:val="zh-CN" w:eastAsia="zh-CN" w:bidi="ar-SA"/>
        </w:rPr>
        <w:t>%、</w:t>
      </w:r>
      <w:r>
        <w:rPr>
          <w:rFonts w:hint="default" w:ascii="Times New Roman" w:hAnsi="Times New Roman" w:eastAsia="仿宋_GB2312" w:cs="Times New Roman"/>
          <w:color w:val="auto"/>
          <w:kern w:val="2"/>
          <w:sz w:val="32"/>
          <w:szCs w:val="32"/>
          <w:highlight w:val="none"/>
          <w:lang w:val="en-US" w:eastAsia="zh-CN" w:bidi="ar-SA"/>
        </w:rPr>
        <w:t>68.1</w:t>
      </w:r>
      <w:r>
        <w:rPr>
          <w:rFonts w:hint="default" w:ascii="Times New Roman" w:hAnsi="Times New Roman" w:eastAsia="仿宋_GB2312" w:cs="Times New Roman"/>
          <w:color w:val="auto"/>
          <w:kern w:val="2"/>
          <w:sz w:val="32"/>
          <w:szCs w:val="32"/>
          <w:highlight w:val="none"/>
          <w:lang w:val="zh-CN" w:eastAsia="zh-CN" w:bidi="ar-SA"/>
        </w:rPr>
        <w:t>%，无支出预警金额，无支出违规。</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w:t>
      </w:r>
      <w:r>
        <w:rPr>
          <w:rFonts w:hint="default" w:ascii="Times New Roman" w:hAnsi="Times New Roman" w:eastAsia="仿宋_GB2312" w:cs="Times New Roman"/>
          <w:color w:val="auto"/>
          <w:kern w:val="2"/>
          <w:sz w:val="32"/>
          <w:szCs w:val="32"/>
          <w:highlight w:val="none"/>
          <w:lang w:val="en-US" w:eastAsia="zh-CN" w:bidi="ar-SA"/>
        </w:rPr>
        <w:t>4</w:t>
      </w:r>
      <w:r>
        <w:rPr>
          <w:rFonts w:hint="default" w:ascii="Times New Roman" w:hAnsi="Times New Roman" w:eastAsia="仿宋_GB2312" w:cs="Times New Roman"/>
          <w:color w:val="auto"/>
          <w:kern w:val="2"/>
          <w:sz w:val="32"/>
          <w:szCs w:val="32"/>
          <w:highlight w:val="none"/>
          <w:lang w:val="zh-CN" w:eastAsia="zh-CN" w:bidi="ar-SA"/>
        </w:rPr>
        <w:t>）预算年终结余。无财政拨款预算结转结余金额。</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w:t>
      </w:r>
      <w:r>
        <w:rPr>
          <w:rFonts w:hint="default" w:ascii="Times New Roman" w:hAnsi="Times New Roman" w:eastAsia="仿宋_GB2312" w:cs="Times New Roman"/>
          <w:color w:val="auto"/>
          <w:kern w:val="2"/>
          <w:sz w:val="32"/>
          <w:szCs w:val="32"/>
          <w:highlight w:val="none"/>
          <w:lang w:val="en-US" w:eastAsia="zh-CN" w:bidi="ar-SA"/>
        </w:rPr>
        <w:t>5</w:t>
      </w:r>
      <w:r>
        <w:rPr>
          <w:rFonts w:hint="default" w:ascii="Times New Roman" w:hAnsi="Times New Roman" w:eastAsia="仿宋_GB2312" w:cs="Times New Roman"/>
          <w:color w:val="auto"/>
          <w:kern w:val="2"/>
          <w:sz w:val="32"/>
          <w:szCs w:val="32"/>
          <w:highlight w:val="none"/>
          <w:lang w:val="zh-CN" w:eastAsia="zh-CN" w:bidi="ar-SA"/>
        </w:rPr>
        <w:t>）严控一般性支出。</w:t>
      </w:r>
      <w:r>
        <w:rPr>
          <w:rFonts w:hint="eastAsia" w:eastAsia="仿宋_GB2312" w:cs="Times New Roman"/>
          <w:color w:val="auto"/>
          <w:kern w:val="2"/>
          <w:sz w:val="32"/>
          <w:szCs w:val="32"/>
          <w:highlight w:val="none"/>
          <w:lang w:val="zh-CN" w:eastAsia="zh-CN" w:bidi="ar-SA"/>
        </w:rPr>
        <w:t>“</w:t>
      </w:r>
      <w:r>
        <w:rPr>
          <w:rFonts w:hint="default" w:ascii="Times New Roman" w:hAnsi="Times New Roman" w:eastAsia="仿宋_GB2312" w:cs="Times New Roman"/>
          <w:color w:val="auto"/>
          <w:kern w:val="2"/>
          <w:sz w:val="32"/>
          <w:szCs w:val="32"/>
          <w:highlight w:val="none"/>
          <w:lang w:val="zh-CN" w:eastAsia="zh-CN" w:bidi="ar-SA"/>
        </w:rPr>
        <w:t>三公</w:t>
      </w:r>
      <w:r>
        <w:rPr>
          <w:rFonts w:hint="eastAsia" w:eastAsia="仿宋_GB2312" w:cs="Times New Roman"/>
          <w:color w:val="auto"/>
          <w:kern w:val="2"/>
          <w:sz w:val="32"/>
          <w:szCs w:val="32"/>
          <w:highlight w:val="none"/>
          <w:lang w:val="zh-CN" w:eastAsia="zh-CN" w:bidi="ar-SA"/>
        </w:rPr>
        <w:t>”</w:t>
      </w:r>
      <w:r>
        <w:rPr>
          <w:rFonts w:hint="default" w:ascii="Times New Roman" w:hAnsi="Times New Roman" w:eastAsia="仿宋_GB2312" w:cs="Times New Roman"/>
          <w:color w:val="auto"/>
          <w:kern w:val="2"/>
          <w:sz w:val="32"/>
          <w:szCs w:val="32"/>
          <w:highlight w:val="none"/>
          <w:lang w:val="zh-CN" w:eastAsia="zh-CN" w:bidi="ar-SA"/>
        </w:rPr>
        <w:t>经费、会议、培训、差旅、办公设备购置等10项一般性支出年初预算35.6万元，实际支出28.02万元，其中：公务用车运行维护费支出14.03万元，公务接待费支出0.37万元，差旅费用支出3.43万元，办公费支出10.19万元，其余项目未发生支出，与上年度相比，一般性支出年初预算减少4.78万元，决算数减少4.5万元，一般性支出控制情况较好。</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en-US" w:eastAsia="zh-CN" w:bidi="ar-SA"/>
        </w:rPr>
        <w:t>3.</w:t>
      </w:r>
      <w:r>
        <w:rPr>
          <w:rFonts w:hint="default" w:ascii="Times New Roman" w:hAnsi="Times New Roman" w:eastAsia="仿宋_GB2312" w:cs="Times New Roman"/>
          <w:color w:val="auto"/>
          <w:kern w:val="2"/>
          <w:sz w:val="32"/>
          <w:szCs w:val="32"/>
          <w:highlight w:val="none"/>
          <w:lang w:val="zh-CN" w:eastAsia="zh-CN" w:bidi="ar-SA"/>
        </w:rPr>
        <w:t>财务管理。</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w:t>
      </w:r>
      <w:r>
        <w:rPr>
          <w:rFonts w:hint="default" w:ascii="Times New Roman" w:hAnsi="Times New Roman" w:eastAsia="仿宋_GB2312" w:cs="Times New Roman"/>
          <w:color w:val="auto"/>
          <w:kern w:val="2"/>
          <w:sz w:val="32"/>
          <w:szCs w:val="32"/>
          <w:highlight w:val="none"/>
          <w:lang w:val="en-US" w:eastAsia="zh-CN" w:bidi="ar-SA"/>
        </w:rPr>
        <w:t>1</w:t>
      </w:r>
      <w:r>
        <w:rPr>
          <w:rFonts w:hint="default" w:ascii="Times New Roman" w:hAnsi="Times New Roman" w:eastAsia="仿宋_GB2312" w:cs="Times New Roman"/>
          <w:color w:val="auto"/>
          <w:kern w:val="2"/>
          <w:sz w:val="32"/>
          <w:szCs w:val="32"/>
          <w:highlight w:val="none"/>
          <w:lang w:val="zh-CN" w:eastAsia="zh-CN" w:bidi="ar-SA"/>
        </w:rPr>
        <w:t>）财务管理制度。</w:t>
      </w:r>
      <w:r>
        <w:rPr>
          <w:rFonts w:hint="eastAsia" w:eastAsia="仿宋_GB2312" w:cs="Times New Roman"/>
          <w:color w:val="auto"/>
          <w:kern w:val="2"/>
          <w:sz w:val="32"/>
          <w:szCs w:val="32"/>
          <w:highlight w:val="none"/>
          <w:lang w:val="zh-CN" w:eastAsia="zh-CN" w:bidi="ar-SA"/>
        </w:rPr>
        <w:t>严格执行</w:t>
      </w:r>
      <w:r>
        <w:rPr>
          <w:rFonts w:hint="default" w:ascii="Times New Roman" w:hAnsi="Times New Roman" w:eastAsia="仿宋_GB2312" w:cs="Times New Roman"/>
          <w:color w:val="auto"/>
          <w:kern w:val="2"/>
          <w:sz w:val="32"/>
          <w:szCs w:val="32"/>
          <w:highlight w:val="none"/>
          <w:lang w:val="zh-CN" w:eastAsia="zh-CN" w:bidi="ar-SA"/>
        </w:rPr>
        <w:t>《攀枝花市机关事务服务中心财务管理办法》等制度财务管理制度健全，部门财务管理过程中能严格执行相关制度要求，相关制度能得到有效落实。</w:t>
      </w:r>
    </w:p>
    <w:p>
      <w:pPr>
        <w:keepNext w:val="0"/>
        <w:keepLines w:val="0"/>
        <w:pageBreakBefore w:val="0"/>
        <w:widowControl w:val="0"/>
        <w:kinsoku/>
        <w:wordWrap/>
        <w:overflowPunct/>
        <w:topLinePunct w:val="0"/>
        <w:autoSpaceDE/>
        <w:autoSpaceDN/>
        <w:bidi w:val="0"/>
        <w:adjustRightInd/>
        <w:snapToGrid/>
        <w:ind w:firstLine="640" w:firstLineChars="200"/>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w:t>
      </w:r>
      <w:r>
        <w:rPr>
          <w:rFonts w:hint="default" w:ascii="Times New Roman" w:hAnsi="Times New Roman" w:eastAsia="仿宋_GB2312" w:cs="Times New Roman"/>
          <w:color w:val="auto"/>
          <w:kern w:val="2"/>
          <w:sz w:val="32"/>
          <w:szCs w:val="32"/>
          <w:highlight w:val="none"/>
          <w:lang w:val="en-US" w:eastAsia="zh-CN" w:bidi="ar-SA"/>
        </w:rPr>
        <w:t>2</w:t>
      </w:r>
      <w:r>
        <w:rPr>
          <w:rFonts w:hint="default" w:ascii="Times New Roman" w:hAnsi="Times New Roman" w:eastAsia="仿宋_GB2312" w:cs="Times New Roman"/>
          <w:color w:val="auto"/>
          <w:kern w:val="2"/>
          <w:sz w:val="32"/>
          <w:szCs w:val="32"/>
          <w:highlight w:val="none"/>
          <w:lang w:val="zh-CN" w:eastAsia="zh-CN" w:bidi="ar-SA"/>
        </w:rPr>
        <w:t>）财务岗位设置。单位设置了会计和出纳岗位，明确职责权限，并严格实行不相容岗位分离的要求，在评价过程中未发现岗位设置不符合财务管理制度要求的情况</w:t>
      </w:r>
      <w:r>
        <w:rPr>
          <w:rFonts w:hint="eastAsia" w:eastAsia="仿宋_GB2312" w:cs="Times New Roman"/>
          <w:color w:val="auto"/>
          <w:kern w:val="2"/>
          <w:sz w:val="32"/>
          <w:szCs w:val="32"/>
          <w:highlight w:val="none"/>
          <w:lang w:val="zh-CN" w:eastAsia="zh-CN" w:bidi="ar-SA"/>
        </w:rPr>
        <w:t>。</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w:t>
      </w:r>
      <w:r>
        <w:rPr>
          <w:rFonts w:hint="default" w:ascii="Times New Roman" w:hAnsi="Times New Roman" w:eastAsia="仿宋_GB2312" w:cs="Times New Roman"/>
          <w:color w:val="auto"/>
          <w:kern w:val="2"/>
          <w:sz w:val="32"/>
          <w:szCs w:val="32"/>
          <w:highlight w:val="none"/>
          <w:lang w:val="en-US" w:eastAsia="zh-CN" w:bidi="ar-SA"/>
        </w:rPr>
        <w:t>3</w:t>
      </w:r>
      <w:r>
        <w:rPr>
          <w:rFonts w:hint="default" w:ascii="Times New Roman" w:hAnsi="Times New Roman" w:eastAsia="仿宋_GB2312" w:cs="Times New Roman"/>
          <w:color w:val="auto"/>
          <w:kern w:val="2"/>
          <w:sz w:val="32"/>
          <w:szCs w:val="32"/>
          <w:highlight w:val="none"/>
          <w:lang w:val="zh-CN" w:eastAsia="zh-CN" w:bidi="ar-SA"/>
        </w:rPr>
        <w:t>）资金使用规范。资金支出符合部门预算批复的支出范围，支出报销程序规范、手续完整，大额支出提</w:t>
      </w:r>
      <w:r>
        <w:rPr>
          <w:rFonts w:hint="eastAsia" w:eastAsia="仿宋_GB2312" w:cs="Times New Roman"/>
          <w:color w:val="auto"/>
          <w:kern w:val="2"/>
          <w:sz w:val="32"/>
          <w:szCs w:val="32"/>
          <w:highlight w:val="none"/>
          <w:lang w:val="zh-CN" w:eastAsia="zh-CN" w:bidi="ar-SA"/>
        </w:rPr>
        <w:t>请</w:t>
      </w:r>
      <w:r>
        <w:rPr>
          <w:rFonts w:hint="default" w:ascii="Times New Roman" w:hAnsi="Times New Roman" w:eastAsia="仿宋_GB2312" w:cs="Times New Roman"/>
          <w:color w:val="auto"/>
          <w:kern w:val="2"/>
          <w:sz w:val="32"/>
          <w:szCs w:val="32"/>
          <w:highlight w:val="none"/>
          <w:lang w:val="zh-CN" w:eastAsia="zh-CN" w:bidi="ar-SA"/>
        </w:rPr>
        <w:t>中心党组会或主任会审议，严格履行</w:t>
      </w:r>
      <w:r>
        <w:rPr>
          <w:rFonts w:hint="eastAsia" w:eastAsia="仿宋_GB2312" w:cs="Times New Roman"/>
          <w:color w:val="auto"/>
          <w:kern w:val="2"/>
          <w:sz w:val="32"/>
          <w:szCs w:val="32"/>
          <w:highlight w:val="none"/>
          <w:lang w:val="zh-CN" w:eastAsia="zh-CN" w:bidi="ar-SA"/>
        </w:rPr>
        <w:t>“</w:t>
      </w:r>
      <w:r>
        <w:rPr>
          <w:rFonts w:hint="default" w:ascii="Times New Roman" w:hAnsi="Times New Roman" w:eastAsia="仿宋_GB2312" w:cs="Times New Roman"/>
          <w:color w:val="auto"/>
          <w:kern w:val="2"/>
          <w:sz w:val="32"/>
          <w:szCs w:val="32"/>
          <w:highlight w:val="none"/>
          <w:lang w:val="zh-CN" w:eastAsia="zh-CN" w:bidi="ar-SA"/>
        </w:rPr>
        <w:t>三重一大</w:t>
      </w:r>
      <w:r>
        <w:rPr>
          <w:rFonts w:hint="eastAsia" w:eastAsia="仿宋_GB2312" w:cs="Times New Roman"/>
          <w:color w:val="auto"/>
          <w:kern w:val="2"/>
          <w:sz w:val="32"/>
          <w:szCs w:val="32"/>
          <w:highlight w:val="none"/>
          <w:lang w:val="zh-CN" w:eastAsia="zh-CN" w:bidi="ar-SA"/>
        </w:rPr>
        <w:t>”</w:t>
      </w:r>
      <w:r>
        <w:rPr>
          <w:rFonts w:hint="default" w:ascii="Times New Roman" w:hAnsi="Times New Roman" w:eastAsia="仿宋_GB2312" w:cs="Times New Roman"/>
          <w:color w:val="auto"/>
          <w:kern w:val="2"/>
          <w:sz w:val="32"/>
          <w:szCs w:val="32"/>
          <w:highlight w:val="none"/>
          <w:lang w:val="zh-CN" w:eastAsia="zh-CN" w:bidi="ar-SA"/>
        </w:rPr>
        <w:t>决策程序，未发现资金挤占、截留、挪用及虚列支出等情况，资金使用合规，财务制度执行有效。</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en-US" w:eastAsia="zh-CN" w:bidi="ar-SA"/>
        </w:rPr>
        <w:t>4.</w:t>
      </w:r>
      <w:r>
        <w:rPr>
          <w:rFonts w:hint="default" w:ascii="Times New Roman" w:hAnsi="Times New Roman" w:eastAsia="仿宋_GB2312" w:cs="Times New Roman"/>
          <w:color w:val="auto"/>
          <w:kern w:val="2"/>
          <w:sz w:val="32"/>
          <w:szCs w:val="32"/>
          <w:highlight w:val="none"/>
          <w:lang w:val="zh-CN" w:eastAsia="zh-CN" w:bidi="ar-SA"/>
        </w:rPr>
        <w:t>资产管理。</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baseline"/>
        <w:rPr>
          <w:rFonts w:hint="default" w:ascii="Times New Roman" w:hAnsi="Times New Roman" w:eastAsia="仿宋_GB2312" w:cs="Times New Roman"/>
          <w:color w:val="auto"/>
          <w:kern w:val="2"/>
          <w:sz w:val="32"/>
          <w:szCs w:val="32"/>
          <w:highlight w:val="none"/>
          <w:lang w:val="zh-CN" w:eastAsia="zh-CN" w:bidi="ar-SA"/>
        </w:rPr>
      </w:pPr>
      <w:r>
        <w:rPr>
          <w:rFonts w:hint="eastAsia" w:eastAsia="仿宋_GB2312" w:cs="Times New Roman"/>
          <w:color w:val="auto"/>
          <w:kern w:val="2"/>
          <w:sz w:val="32"/>
          <w:szCs w:val="32"/>
          <w:highlight w:val="none"/>
          <w:lang w:val="zh-CN" w:eastAsia="zh-CN" w:bidi="ar-SA"/>
        </w:rPr>
        <w:t>严格执行</w:t>
      </w:r>
      <w:r>
        <w:rPr>
          <w:rFonts w:hint="default" w:ascii="Times New Roman" w:hAnsi="Times New Roman" w:eastAsia="仿宋_GB2312" w:cs="Times New Roman"/>
          <w:color w:val="auto"/>
          <w:kern w:val="2"/>
          <w:sz w:val="32"/>
          <w:szCs w:val="32"/>
          <w:highlight w:val="none"/>
          <w:lang w:val="zh-CN" w:eastAsia="zh-CN" w:bidi="ar-SA"/>
        </w:rPr>
        <w:t>《攀枝花市机关事务服务中心资产管理制度》等</w:t>
      </w:r>
      <w:r>
        <w:rPr>
          <w:rFonts w:hint="eastAsia" w:eastAsia="仿宋_GB2312" w:cs="Times New Roman"/>
          <w:color w:val="auto"/>
          <w:kern w:val="2"/>
          <w:sz w:val="32"/>
          <w:szCs w:val="32"/>
          <w:highlight w:val="none"/>
          <w:lang w:val="zh-CN" w:eastAsia="zh-CN" w:bidi="ar-SA"/>
        </w:rPr>
        <w:t>制度</w:t>
      </w:r>
      <w:r>
        <w:rPr>
          <w:rFonts w:hint="default" w:ascii="Times New Roman" w:hAnsi="Times New Roman" w:eastAsia="仿宋_GB2312" w:cs="Times New Roman"/>
          <w:color w:val="auto"/>
          <w:kern w:val="2"/>
          <w:sz w:val="32"/>
          <w:szCs w:val="32"/>
          <w:highlight w:val="none"/>
          <w:lang w:val="zh-CN" w:eastAsia="zh-CN" w:bidi="ar-SA"/>
        </w:rPr>
        <w:t>，资产管理较为规范，现有资产配置标准合规，资产配置能够满足单位履职需要。</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在资产管理过程中，注重资产配置的科学性与合理性，根据人员编制及实际工作需求，合理购置与调配资产，确保资产能够有效服务于</w:t>
      </w:r>
      <w:r>
        <w:rPr>
          <w:rFonts w:hint="eastAsia" w:eastAsia="仿宋_GB2312" w:cs="Times New Roman"/>
          <w:color w:val="auto"/>
          <w:kern w:val="2"/>
          <w:sz w:val="32"/>
          <w:szCs w:val="32"/>
          <w:highlight w:val="none"/>
          <w:lang w:val="zh-CN" w:eastAsia="zh-CN" w:bidi="ar-SA"/>
        </w:rPr>
        <w:t>机关事务服务工作</w:t>
      </w:r>
      <w:r>
        <w:rPr>
          <w:rFonts w:hint="default" w:ascii="Times New Roman" w:hAnsi="Times New Roman" w:eastAsia="仿宋_GB2312" w:cs="Times New Roman"/>
          <w:color w:val="auto"/>
          <w:kern w:val="2"/>
          <w:sz w:val="32"/>
          <w:szCs w:val="32"/>
          <w:highlight w:val="none"/>
          <w:lang w:val="zh-CN"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根据业务需求合理配置资产，避免资产闲置浪费，并加强对资产的日常维护保养，确保资产处于良好状态，延长资产使用寿命，提高资产的使用效率。</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en-US" w:eastAsia="zh-CN" w:bidi="ar-SA"/>
        </w:rPr>
        <w:t>5.</w:t>
      </w:r>
      <w:r>
        <w:rPr>
          <w:rFonts w:hint="default" w:ascii="Times New Roman" w:hAnsi="Times New Roman" w:eastAsia="仿宋_GB2312" w:cs="Times New Roman"/>
          <w:color w:val="auto"/>
          <w:kern w:val="2"/>
          <w:sz w:val="32"/>
          <w:szCs w:val="32"/>
          <w:highlight w:val="none"/>
          <w:lang w:val="zh-CN" w:eastAsia="zh-CN" w:bidi="ar-SA"/>
        </w:rPr>
        <w:t>采购管理。2025年政府采购金额为627.29万元，其中</w:t>
      </w:r>
      <w:r>
        <w:rPr>
          <w:rFonts w:hint="eastAsia" w:eastAsia="仿宋_GB2312" w:cs="Times New Roman"/>
          <w:color w:val="auto"/>
          <w:kern w:val="2"/>
          <w:sz w:val="32"/>
          <w:szCs w:val="32"/>
          <w:highlight w:val="none"/>
          <w:lang w:val="zh-CN" w:eastAsia="zh-CN" w:bidi="ar-SA"/>
        </w:rPr>
        <w:t>授予</w:t>
      </w:r>
      <w:r>
        <w:rPr>
          <w:rFonts w:hint="default" w:ascii="Times New Roman" w:hAnsi="Times New Roman" w:eastAsia="仿宋_GB2312" w:cs="Times New Roman"/>
          <w:color w:val="auto"/>
          <w:kern w:val="2"/>
          <w:sz w:val="32"/>
          <w:szCs w:val="32"/>
          <w:highlight w:val="none"/>
          <w:lang w:val="zh-CN" w:eastAsia="zh-CN" w:bidi="ar-SA"/>
        </w:rPr>
        <w:t>中小企业</w:t>
      </w:r>
      <w:r>
        <w:rPr>
          <w:rFonts w:hint="eastAsia" w:eastAsia="仿宋_GB2312" w:cs="Times New Roman"/>
          <w:color w:val="auto"/>
          <w:kern w:val="2"/>
          <w:sz w:val="32"/>
          <w:szCs w:val="32"/>
          <w:highlight w:val="none"/>
          <w:lang w:val="zh-CN" w:eastAsia="zh-CN" w:bidi="ar-SA"/>
        </w:rPr>
        <w:t>合同金额</w:t>
      </w:r>
      <w:r>
        <w:rPr>
          <w:rFonts w:hint="default" w:ascii="Times New Roman" w:hAnsi="Times New Roman" w:eastAsia="仿宋_GB2312" w:cs="Times New Roman"/>
          <w:color w:val="auto"/>
          <w:kern w:val="2"/>
          <w:sz w:val="32"/>
          <w:szCs w:val="32"/>
          <w:highlight w:val="none"/>
          <w:lang w:val="zh-CN" w:eastAsia="zh-CN" w:bidi="ar-SA"/>
        </w:rPr>
        <w:t>76.34万元，占比12</w:t>
      </w:r>
      <w:r>
        <w:rPr>
          <w:rFonts w:hint="eastAsia" w:eastAsia="仿宋_GB2312" w:cs="Times New Roman"/>
          <w:color w:val="auto"/>
          <w:kern w:val="2"/>
          <w:sz w:val="32"/>
          <w:szCs w:val="32"/>
          <w:highlight w:val="none"/>
          <w:lang w:val="en-US" w:eastAsia="zh-CN" w:bidi="ar-SA"/>
        </w:rPr>
        <w:t>.12</w:t>
      </w:r>
      <w:r>
        <w:rPr>
          <w:rFonts w:hint="default" w:ascii="Times New Roman" w:hAnsi="Times New Roman" w:eastAsia="仿宋_GB2312" w:cs="Times New Roman"/>
          <w:color w:val="auto"/>
          <w:kern w:val="2"/>
          <w:sz w:val="32"/>
          <w:szCs w:val="32"/>
          <w:highlight w:val="none"/>
          <w:lang w:val="zh-CN" w:eastAsia="zh-CN" w:bidi="ar-SA"/>
        </w:rPr>
        <w:t>%</w:t>
      </w:r>
      <w:r>
        <w:rPr>
          <w:rFonts w:hint="default" w:ascii="Times New Roman" w:hAnsi="Times New Roman" w:eastAsia="仿宋_GB2312" w:cs="Times New Roman"/>
          <w:color w:val="auto"/>
          <w:sz w:val="32"/>
          <w:szCs w:val="32"/>
        </w:rPr>
        <w:t>。</w:t>
      </w:r>
    </w:p>
    <w:p>
      <w:pPr>
        <w:pStyle w:val="2"/>
        <w:keepNext w:val="0"/>
        <w:keepLines w:val="0"/>
        <w:pageBreakBefore w:val="0"/>
        <w:widowControl w:val="0"/>
        <w:kinsoku/>
        <w:wordWrap/>
        <w:overflowPunct/>
        <w:topLinePunct w:val="0"/>
        <w:autoSpaceDE/>
        <w:autoSpaceDN/>
        <w:bidi w:val="0"/>
        <w:adjustRightInd/>
        <w:snapToGrid/>
        <w:ind w:left="0" w:leftChars="0" w:firstLine="642" w:firstLineChars="200"/>
        <w:textAlignment w:val="baseline"/>
        <w:rPr>
          <w:rFonts w:hint="default" w:ascii="Times New Roman" w:hAnsi="Times New Roman" w:cs="Times New Roman"/>
          <w:color w:val="auto"/>
          <w:lang w:val="en-US" w:eastAsia="zh-CN"/>
        </w:rPr>
      </w:pPr>
      <w:r>
        <w:rPr>
          <w:rFonts w:hint="default" w:ascii="Times New Roman" w:hAnsi="Times New Roman" w:eastAsia="楷体_GB2312" w:cs="Times New Roman"/>
          <w:b/>
          <w:bCs/>
          <w:color w:val="auto"/>
          <w:kern w:val="0"/>
          <w:sz w:val="32"/>
          <w:szCs w:val="32"/>
          <w:highlight w:val="none"/>
          <w:shd w:val="clear" w:color="auto" w:fill="FFFFFF"/>
          <w:lang w:val="zh-CN"/>
        </w:rPr>
        <w:t>（二）部门预算项目绩效分析。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en-US" w:eastAsia="zh-CN" w:bidi="ar-SA"/>
        </w:rPr>
        <w:t>常年项目绩效分析。</w:t>
      </w:r>
      <w:r>
        <w:rPr>
          <w:rFonts w:hint="default" w:ascii="Times New Roman" w:hAnsi="Times New Roman" w:eastAsia="仿宋_GB2312" w:cs="Times New Roman"/>
          <w:color w:val="auto"/>
          <w:kern w:val="2"/>
          <w:sz w:val="32"/>
          <w:szCs w:val="32"/>
          <w:highlight w:val="none"/>
          <w:lang w:val="zh-CN" w:eastAsia="zh-CN" w:bidi="ar-SA"/>
        </w:rPr>
        <w:t>该类项目总数</w:t>
      </w:r>
      <w:r>
        <w:rPr>
          <w:rFonts w:hint="default" w:ascii="Times New Roman" w:hAnsi="Times New Roman" w:eastAsia="仿宋_GB2312" w:cs="Times New Roman"/>
          <w:color w:val="auto"/>
          <w:kern w:val="2"/>
          <w:sz w:val="32"/>
          <w:szCs w:val="32"/>
          <w:highlight w:val="none"/>
          <w:lang w:val="en-US" w:eastAsia="zh-CN" w:bidi="ar-SA"/>
        </w:rPr>
        <w:t>10</w:t>
      </w:r>
      <w:r>
        <w:rPr>
          <w:rFonts w:hint="default" w:ascii="Times New Roman" w:hAnsi="Times New Roman" w:eastAsia="仿宋_GB2312" w:cs="Times New Roman"/>
          <w:color w:val="auto"/>
          <w:kern w:val="2"/>
          <w:sz w:val="32"/>
          <w:szCs w:val="32"/>
          <w:highlight w:val="none"/>
          <w:lang w:val="zh-CN" w:eastAsia="zh-CN" w:bidi="ar-SA"/>
        </w:rPr>
        <w:t>个，涉及预算总金额</w:t>
      </w:r>
      <w:r>
        <w:rPr>
          <w:rFonts w:hint="default" w:ascii="Times New Roman" w:hAnsi="Times New Roman" w:eastAsia="仿宋_GB2312" w:cs="Times New Roman"/>
          <w:color w:val="auto"/>
          <w:kern w:val="2"/>
          <w:sz w:val="32"/>
          <w:szCs w:val="32"/>
          <w:highlight w:val="none"/>
          <w:lang w:val="en-US" w:eastAsia="zh-CN" w:bidi="ar-SA"/>
        </w:rPr>
        <w:t>5219.2</w:t>
      </w:r>
      <w:r>
        <w:rPr>
          <w:rFonts w:hint="default" w:ascii="Times New Roman" w:hAnsi="Times New Roman" w:eastAsia="仿宋_GB2312" w:cs="Times New Roman"/>
          <w:color w:val="auto"/>
          <w:kern w:val="2"/>
          <w:sz w:val="32"/>
          <w:szCs w:val="32"/>
          <w:highlight w:val="none"/>
          <w:lang w:val="zh-CN" w:eastAsia="zh-CN" w:bidi="ar-SA"/>
        </w:rPr>
        <w:t>万元，1—1</w:t>
      </w:r>
      <w:r>
        <w:rPr>
          <w:rFonts w:hint="default" w:ascii="Times New Roman" w:hAnsi="Times New Roman" w:eastAsia="仿宋_GB2312" w:cs="Times New Roman"/>
          <w:color w:val="auto"/>
          <w:kern w:val="2"/>
          <w:sz w:val="32"/>
          <w:szCs w:val="32"/>
          <w:highlight w:val="none"/>
          <w:lang w:val="en-US" w:eastAsia="zh-CN" w:bidi="ar-SA"/>
        </w:rPr>
        <w:t>2</w:t>
      </w:r>
      <w:r>
        <w:rPr>
          <w:rFonts w:hint="default" w:ascii="Times New Roman" w:hAnsi="Times New Roman" w:eastAsia="仿宋_GB2312" w:cs="Times New Roman"/>
          <w:color w:val="auto"/>
          <w:kern w:val="2"/>
          <w:sz w:val="32"/>
          <w:szCs w:val="32"/>
          <w:highlight w:val="none"/>
          <w:lang w:val="zh-CN" w:eastAsia="zh-CN" w:bidi="ar-SA"/>
        </w:rPr>
        <w:t>月预算执行总体进度为</w:t>
      </w:r>
      <w:r>
        <w:rPr>
          <w:rFonts w:hint="default" w:ascii="Times New Roman" w:hAnsi="Times New Roman" w:eastAsia="仿宋_GB2312" w:cs="Times New Roman"/>
          <w:color w:val="auto"/>
          <w:kern w:val="2"/>
          <w:sz w:val="32"/>
          <w:szCs w:val="32"/>
          <w:highlight w:val="none"/>
          <w:lang w:val="en-US" w:eastAsia="zh-CN" w:bidi="ar-SA"/>
        </w:rPr>
        <w:t>100</w:t>
      </w:r>
      <w:r>
        <w:rPr>
          <w:rFonts w:hint="default" w:ascii="Times New Roman" w:hAnsi="Times New Roman" w:eastAsia="仿宋_GB2312" w:cs="Times New Roman"/>
          <w:color w:val="auto"/>
          <w:kern w:val="2"/>
          <w:sz w:val="32"/>
          <w:szCs w:val="32"/>
          <w:highlight w:val="none"/>
          <w:lang w:val="zh-CN" w:eastAsia="zh-CN" w:bidi="ar-SA"/>
        </w:rPr>
        <w:t>%，其中：预算结余率大于</w:t>
      </w:r>
      <w:r>
        <w:rPr>
          <w:rFonts w:hint="default" w:ascii="Times New Roman" w:hAnsi="Times New Roman" w:eastAsia="仿宋_GB2312" w:cs="Times New Roman"/>
          <w:color w:val="auto"/>
          <w:kern w:val="2"/>
          <w:sz w:val="32"/>
          <w:szCs w:val="32"/>
          <w:highlight w:val="none"/>
          <w:lang w:val="en-US" w:eastAsia="zh-CN" w:bidi="ar-SA"/>
        </w:rPr>
        <w:t>10%</w:t>
      </w:r>
      <w:r>
        <w:rPr>
          <w:rFonts w:hint="default" w:ascii="Times New Roman" w:hAnsi="Times New Roman" w:eastAsia="仿宋_GB2312" w:cs="Times New Roman"/>
          <w:color w:val="auto"/>
          <w:kern w:val="2"/>
          <w:sz w:val="32"/>
          <w:szCs w:val="32"/>
          <w:highlight w:val="none"/>
          <w:lang w:val="zh-CN" w:eastAsia="zh-CN" w:bidi="ar-SA"/>
        </w:rPr>
        <w:t>的项目共计</w:t>
      </w:r>
      <w:r>
        <w:rPr>
          <w:rFonts w:hint="default" w:ascii="Times New Roman" w:hAnsi="Times New Roman" w:eastAsia="仿宋_GB2312" w:cs="Times New Roman"/>
          <w:color w:val="auto"/>
          <w:kern w:val="2"/>
          <w:sz w:val="32"/>
          <w:szCs w:val="32"/>
          <w:highlight w:val="none"/>
          <w:lang w:val="en-US" w:eastAsia="zh-CN" w:bidi="ar-SA"/>
        </w:rPr>
        <w:t>0</w:t>
      </w:r>
      <w:r>
        <w:rPr>
          <w:rFonts w:hint="default" w:ascii="Times New Roman" w:hAnsi="Times New Roman" w:eastAsia="仿宋_GB2312" w:cs="Times New Roman"/>
          <w:color w:val="auto"/>
          <w:kern w:val="2"/>
          <w:sz w:val="32"/>
          <w:szCs w:val="32"/>
          <w:highlight w:val="none"/>
          <w:lang w:val="zh-CN" w:eastAsia="zh-CN" w:bidi="ar-SA"/>
        </w:rPr>
        <w:t>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en-US" w:eastAsia="zh-CN" w:bidi="ar-SA"/>
        </w:rPr>
        <w:t>阶段（一次性）项目绩效分析。</w:t>
      </w:r>
      <w:r>
        <w:rPr>
          <w:rFonts w:hint="default" w:ascii="Times New Roman" w:hAnsi="Times New Roman" w:eastAsia="仿宋_GB2312" w:cs="Times New Roman"/>
          <w:color w:val="auto"/>
          <w:kern w:val="2"/>
          <w:sz w:val="32"/>
          <w:szCs w:val="32"/>
          <w:highlight w:val="none"/>
          <w:lang w:val="zh-CN" w:eastAsia="zh-CN" w:bidi="ar-SA"/>
        </w:rPr>
        <w:t>该类项目总数</w:t>
      </w:r>
      <w:r>
        <w:rPr>
          <w:rFonts w:hint="default" w:ascii="Times New Roman" w:hAnsi="Times New Roman" w:eastAsia="仿宋_GB2312" w:cs="Times New Roman"/>
          <w:color w:val="auto"/>
          <w:kern w:val="2"/>
          <w:sz w:val="32"/>
          <w:szCs w:val="32"/>
          <w:highlight w:val="none"/>
          <w:lang w:val="en-US" w:eastAsia="zh-CN" w:bidi="ar-SA"/>
        </w:rPr>
        <w:t>0</w:t>
      </w:r>
      <w:r>
        <w:rPr>
          <w:rFonts w:hint="default" w:ascii="Times New Roman" w:hAnsi="Times New Roman" w:eastAsia="仿宋_GB2312" w:cs="Times New Roman"/>
          <w:color w:val="auto"/>
          <w:kern w:val="2"/>
          <w:sz w:val="32"/>
          <w:szCs w:val="32"/>
          <w:highlight w:val="none"/>
          <w:lang w:val="zh-CN" w:eastAsia="zh-CN" w:bidi="ar-SA"/>
        </w:rPr>
        <w:t>个，涉及预算总金额</w:t>
      </w:r>
      <w:r>
        <w:rPr>
          <w:rFonts w:hint="default" w:ascii="Times New Roman" w:hAnsi="Times New Roman" w:eastAsia="仿宋_GB2312" w:cs="Times New Roman"/>
          <w:color w:val="auto"/>
          <w:kern w:val="2"/>
          <w:sz w:val="32"/>
          <w:szCs w:val="32"/>
          <w:highlight w:val="none"/>
          <w:lang w:val="en-US" w:eastAsia="zh-CN" w:bidi="ar-SA"/>
        </w:rPr>
        <w:t>0</w:t>
      </w:r>
      <w:r>
        <w:rPr>
          <w:rFonts w:hint="default" w:ascii="Times New Roman" w:hAnsi="Times New Roman" w:eastAsia="仿宋_GB2312" w:cs="Times New Roman"/>
          <w:color w:val="auto"/>
          <w:kern w:val="2"/>
          <w:sz w:val="32"/>
          <w:szCs w:val="32"/>
          <w:highlight w:val="none"/>
          <w:lang w:val="zh-CN" w:eastAsia="zh-CN" w:bidi="ar-SA"/>
        </w:rPr>
        <w:t>万元，1—1</w:t>
      </w:r>
      <w:r>
        <w:rPr>
          <w:rFonts w:hint="default" w:ascii="Times New Roman" w:hAnsi="Times New Roman" w:eastAsia="仿宋_GB2312" w:cs="Times New Roman"/>
          <w:color w:val="auto"/>
          <w:kern w:val="2"/>
          <w:sz w:val="32"/>
          <w:szCs w:val="32"/>
          <w:highlight w:val="none"/>
          <w:lang w:val="en-US" w:eastAsia="zh-CN" w:bidi="ar-SA"/>
        </w:rPr>
        <w:t>2</w:t>
      </w:r>
      <w:r>
        <w:rPr>
          <w:rFonts w:hint="default" w:ascii="Times New Roman" w:hAnsi="Times New Roman" w:eastAsia="仿宋_GB2312" w:cs="Times New Roman"/>
          <w:color w:val="auto"/>
          <w:kern w:val="2"/>
          <w:sz w:val="32"/>
          <w:szCs w:val="32"/>
          <w:highlight w:val="none"/>
          <w:lang w:val="zh-CN" w:eastAsia="zh-CN" w:bidi="ar-SA"/>
        </w:rPr>
        <w:t>月预算执行总体进度为</w:t>
      </w:r>
      <w:r>
        <w:rPr>
          <w:rFonts w:hint="default" w:ascii="Times New Roman" w:hAnsi="Times New Roman" w:eastAsia="仿宋_GB2312" w:cs="Times New Roman"/>
          <w:color w:val="auto"/>
          <w:kern w:val="2"/>
          <w:sz w:val="32"/>
          <w:szCs w:val="32"/>
          <w:highlight w:val="none"/>
          <w:lang w:val="en-US" w:eastAsia="zh-CN" w:bidi="ar-SA"/>
        </w:rPr>
        <w:t>0</w:t>
      </w:r>
      <w:r>
        <w:rPr>
          <w:rFonts w:hint="default" w:ascii="Times New Roman" w:hAnsi="Times New Roman" w:eastAsia="仿宋_GB2312" w:cs="Times New Roman"/>
          <w:color w:val="auto"/>
          <w:kern w:val="2"/>
          <w:sz w:val="32"/>
          <w:szCs w:val="32"/>
          <w:highlight w:val="none"/>
          <w:lang w:val="zh-CN" w:eastAsia="zh-CN" w:bidi="ar-SA"/>
        </w:rPr>
        <w:t>，其中：预算结余率大于</w:t>
      </w:r>
      <w:r>
        <w:rPr>
          <w:rFonts w:hint="default" w:ascii="Times New Roman" w:hAnsi="Times New Roman" w:eastAsia="仿宋_GB2312" w:cs="Times New Roman"/>
          <w:color w:val="auto"/>
          <w:kern w:val="2"/>
          <w:sz w:val="32"/>
          <w:szCs w:val="32"/>
          <w:highlight w:val="none"/>
          <w:lang w:val="en-US" w:eastAsia="zh-CN" w:bidi="ar-SA"/>
        </w:rPr>
        <w:t>10%</w:t>
      </w:r>
      <w:r>
        <w:rPr>
          <w:rFonts w:hint="default" w:ascii="Times New Roman" w:hAnsi="Times New Roman" w:eastAsia="仿宋_GB2312" w:cs="Times New Roman"/>
          <w:color w:val="auto"/>
          <w:kern w:val="2"/>
          <w:sz w:val="32"/>
          <w:szCs w:val="32"/>
          <w:highlight w:val="none"/>
          <w:lang w:val="zh-CN" w:eastAsia="zh-CN" w:bidi="ar-SA"/>
        </w:rPr>
        <w:t>的项目共计</w:t>
      </w:r>
      <w:r>
        <w:rPr>
          <w:rFonts w:hint="default" w:ascii="Times New Roman" w:hAnsi="Times New Roman" w:eastAsia="仿宋_GB2312" w:cs="Times New Roman"/>
          <w:color w:val="auto"/>
          <w:kern w:val="2"/>
          <w:sz w:val="32"/>
          <w:szCs w:val="32"/>
          <w:highlight w:val="none"/>
          <w:lang w:val="en-US" w:eastAsia="zh-CN" w:bidi="ar-SA"/>
        </w:rPr>
        <w:t>0</w:t>
      </w:r>
      <w:r>
        <w:rPr>
          <w:rFonts w:hint="default" w:ascii="Times New Roman" w:hAnsi="Times New Roman" w:eastAsia="仿宋_GB2312" w:cs="Times New Roman"/>
          <w:color w:val="auto"/>
          <w:kern w:val="2"/>
          <w:sz w:val="32"/>
          <w:szCs w:val="32"/>
          <w:highlight w:val="none"/>
          <w:lang w:val="zh-CN" w:eastAsia="zh-CN" w:bidi="ar-SA"/>
        </w:rPr>
        <w:t>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en-US" w:eastAsia="zh-CN" w:bidi="ar-SA"/>
        </w:rPr>
        <w:t>1.</w:t>
      </w:r>
      <w:r>
        <w:rPr>
          <w:rFonts w:hint="default" w:ascii="Times New Roman" w:hAnsi="Times New Roman" w:eastAsia="仿宋_GB2312" w:cs="Times New Roman"/>
          <w:color w:val="auto"/>
          <w:kern w:val="2"/>
          <w:sz w:val="32"/>
          <w:szCs w:val="32"/>
          <w:highlight w:val="none"/>
          <w:lang w:val="zh-CN" w:eastAsia="zh-CN" w:bidi="ar-SA"/>
        </w:rPr>
        <w:t>项目决策。</w:t>
      </w:r>
    </w:p>
    <w:p>
      <w:pPr>
        <w:pStyle w:val="2"/>
        <w:keepNext w:val="0"/>
        <w:keepLines w:val="0"/>
        <w:pageBreakBefore w:val="0"/>
        <w:widowControl w:val="0"/>
        <w:numPr>
          <w:ilvl w:val="0"/>
          <w:numId w:val="0"/>
        </w:numPr>
        <w:kinsoku/>
        <w:wordWrap/>
        <w:overflowPunct/>
        <w:topLinePunct w:val="0"/>
        <w:autoSpaceDE/>
        <w:autoSpaceDN/>
        <w:bidi w:val="0"/>
        <w:ind w:firstLine="640" w:firstLineChars="200"/>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（1）决策程序。</w:t>
      </w:r>
      <w:r>
        <w:rPr>
          <w:rFonts w:hint="eastAsia" w:eastAsia="仿宋_GB2312" w:cs="Times New Roman"/>
          <w:color w:val="auto"/>
          <w:kern w:val="2"/>
          <w:sz w:val="32"/>
          <w:szCs w:val="32"/>
          <w:highlight w:val="none"/>
          <w:lang w:val="zh-CN" w:eastAsia="zh-CN" w:bidi="ar-SA"/>
        </w:rPr>
        <w:t>按</w:t>
      </w:r>
      <w:r>
        <w:rPr>
          <w:rFonts w:hint="default" w:ascii="Times New Roman" w:hAnsi="Times New Roman" w:eastAsia="仿宋_GB2312" w:cs="Times New Roman"/>
          <w:color w:val="auto"/>
          <w:kern w:val="2"/>
          <w:sz w:val="32"/>
          <w:szCs w:val="32"/>
          <w:highlight w:val="none"/>
          <w:lang w:val="zh-CN" w:eastAsia="zh-CN" w:bidi="ar-SA"/>
        </w:rPr>
        <w:t>照市本级预算绩效管理工作要求，单位在申报预算时均按照工作要求开展了事前绩效评估工作，项目立项依据充分，程序规范，专项资金申请、设立过程符合要求。</w:t>
      </w:r>
    </w:p>
    <w:p>
      <w:pPr>
        <w:pStyle w:val="2"/>
        <w:keepNext w:val="0"/>
        <w:keepLines w:val="0"/>
        <w:pageBreakBefore w:val="0"/>
        <w:widowControl w:val="0"/>
        <w:numPr>
          <w:ilvl w:val="0"/>
          <w:numId w:val="0"/>
        </w:numPr>
        <w:kinsoku/>
        <w:wordWrap/>
        <w:overflowPunct/>
        <w:topLinePunct w:val="0"/>
        <w:autoSpaceDE/>
        <w:autoSpaceDN/>
        <w:bidi w:val="0"/>
        <w:ind w:firstLine="640" w:firstLineChars="200"/>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（2）目标设置。项目支出绩效目标由各相关科室围绕项目设施内容及预期达到的项目进行编制，能与计划期内的任务量、预算安排的资金量相匹配，能根据项目实施内容细化量化，目标设置较合理。</w:t>
      </w:r>
    </w:p>
    <w:p>
      <w:pPr>
        <w:pStyle w:val="2"/>
        <w:keepNext w:val="0"/>
        <w:keepLines w:val="0"/>
        <w:pageBreakBefore w:val="0"/>
        <w:widowControl w:val="0"/>
        <w:numPr>
          <w:ilvl w:val="0"/>
          <w:numId w:val="0"/>
        </w:numPr>
        <w:kinsoku/>
        <w:wordWrap/>
        <w:overflowPunct/>
        <w:topLinePunct w:val="0"/>
        <w:autoSpaceDE/>
        <w:autoSpaceDN/>
        <w:bidi w:val="0"/>
        <w:ind w:firstLine="640" w:firstLineChars="200"/>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（3）项目入库。项目均在规定时间内</w:t>
      </w:r>
      <w:r>
        <w:rPr>
          <w:rFonts w:hint="eastAsia" w:eastAsia="仿宋_GB2312" w:cs="Times New Roman"/>
          <w:color w:val="auto"/>
          <w:kern w:val="2"/>
          <w:sz w:val="32"/>
          <w:szCs w:val="32"/>
          <w:highlight w:val="none"/>
          <w:lang w:val="zh-CN" w:eastAsia="zh-CN" w:bidi="ar-SA"/>
        </w:rPr>
        <w:t>完成入库</w:t>
      </w:r>
      <w:r>
        <w:rPr>
          <w:rFonts w:hint="default" w:ascii="Times New Roman" w:hAnsi="Times New Roman" w:eastAsia="仿宋_GB2312" w:cs="Times New Roman"/>
          <w:color w:val="auto"/>
          <w:kern w:val="2"/>
          <w:sz w:val="32"/>
          <w:szCs w:val="32"/>
          <w:highlight w:val="none"/>
          <w:lang w:val="zh-CN"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en-US" w:eastAsia="zh-CN" w:bidi="ar-SA"/>
        </w:rPr>
        <w:t>2.项目执行</w:t>
      </w:r>
      <w:r>
        <w:rPr>
          <w:rFonts w:hint="default" w:ascii="Times New Roman" w:hAnsi="Times New Roman" w:eastAsia="仿宋_GB2312" w:cs="Times New Roman"/>
          <w:color w:val="auto"/>
          <w:kern w:val="2"/>
          <w:sz w:val="32"/>
          <w:szCs w:val="32"/>
          <w:highlight w:val="none"/>
          <w:lang w:val="zh-CN" w:eastAsia="zh-CN" w:bidi="ar-SA"/>
        </w:rPr>
        <w:t>。</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baseline"/>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w:t>
      </w:r>
      <w:r>
        <w:rPr>
          <w:rFonts w:hint="default" w:ascii="Times New Roman" w:hAnsi="Times New Roman" w:eastAsia="仿宋_GB2312" w:cs="Times New Roman"/>
          <w:color w:val="auto"/>
          <w:kern w:val="2"/>
          <w:sz w:val="32"/>
          <w:szCs w:val="32"/>
          <w:highlight w:val="none"/>
          <w:lang w:val="en-US" w:eastAsia="zh-CN" w:bidi="ar-SA"/>
        </w:rPr>
        <w:t>1</w:t>
      </w:r>
      <w:r>
        <w:rPr>
          <w:rFonts w:hint="default" w:ascii="Times New Roman" w:hAnsi="Times New Roman" w:eastAsia="仿宋_GB2312" w:cs="Times New Roman"/>
          <w:color w:val="auto"/>
          <w:kern w:val="2"/>
          <w:sz w:val="32"/>
          <w:szCs w:val="32"/>
          <w:highlight w:val="none"/>
          <w:lang w:val="zh-CN" w:eastAsia="zh-CN" w:bidi="ar-SA"/>
        </w:rPr>
        <w:t>）资金执行。</w:t>
      </w:r>
      <w:r>
        <w:rPr>
          <w:rFonts w:hint="default" w:ascii="Times New Roman" w:hAnsi="Times New Roman" w:eastAsia="仿宋_GB2312" w:cs="Times New Roman"/>
          <w:color w:val="auto"/>
          <w:kern w:val="2"/>
          <w:sz w:val="32"/>
          <w:szCs w:val="32"/>
          <w:highlight w:val="none"/>
          <w:lang w:val="en-US" w:eastAsia="zh-CN" w:bidi="ar-SA"/>
        </w:rPr>
        <w:t>10</w:t>
      </w:r>
      <w:r>
        <w:rPr>
          <w:rFonts w:hint="default" w:ascii="Times New Roman" w:hAnsi="Times New Roman" w:eastAsia="仿宋_GB2312" w:cs="Times New Roman"/>
          <w:color w:val="auto"/>
          <w:kern w:val="2"/>
          <w:sz w:val="32"/>
          <w:szCs w:val="32"/>
          <w:highlight w:val="none"/>
          <w:lang w:val="zh-CN" w:eastAsia="zh-CN" w:bidi="ar-SA"/>
        </w:rPr>
        <w:t>个项目资金使用情况，均能按照年初设定的绩效目标中的项目实施内容使用项目资金，未发现项目资金实际列支内容与绩效目标设置方向不相符的情况。</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baseline"/>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w:t>
      </w:r>
      <w:r>
        <w:rPr>
          <w:rFonts w:hint="default" w:ascii="Times New Roman" w:hAnsi="Times New Roman" w:eastAsia="仿宋_GB2312" w:cs="Times New Roman"/>
          <w:color w:val="auto"/>
          <w:kern w:val="2"/>
          <w:sz w:val="32"/>
          <w:szCs w:val="32"/>
          <w:highlight w:val="none"/>
          <w:lang w:val="en-US" w:eastAsia="zh-CN" w:bidi="ar-SA"/>
        </w:rPr>
        <w:t>2</w:t>
      </w:r>
      <w:r>
        <w:rPr>
          <w:rFonts w:hint="default" w:ascii="Times New Roman" w:hAnsi="Times New Roman" w:eastAsia="仿宋_GB2312" w:cs="Times New Roman"/>
          <w:color w:val="auto"/>
          <w:kern w:val="2"/>
          <w:sz w:val="32"/>
          <w:szCs w:val="32"/>
          <w:highlight w:val="none"/>
          <w:lang w:val="zh-CN" w:eastAsia="zh-CN" w:bidi="ar-SA"/>
        </w:rPr>
        <w:t>）项目调整。无预算调整项目。</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baseline"/>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w:t>
      </w:r>
      <w:r>
        <w:rPr>
          <w:rFonts w:hint="default" w:ascii="Times New Roman" w:hAnsi="Times New Roman" w:eastAsia="仿宋_GB2312" w:cs="Times New Roman"/>
          <w:color w:val="auto"/>
          <w:kern w:val="2"/>
          <w:sz w:val="32"/>
          <w:szCs w:val="32"/>
          <w:highlight w:val="none"/>
          <w:lang w:val="en-US" w:eastAsia="zh-CN" w:bidi="ar-SA"/>
        </w:rPr>
        <w:t>3</w:t>
      </w:r>
      <w:r>
        <w:rPr>
          <w:rFonts w:hint="default" w:ascii="Times New Roman" w:hAnsi="Times New Roman" w:eastAsia="仿宋_GB2312" w:cs="Times New Roman"/>
          <w:color w:val="auto"/>
          <w:kern w:val="2"/>
          <w:sz w:val="32"/>
          <w:szCs w:val="32"/>
          <w:highlight w:val="none"/>
          <w:lang w:val="zh-CN" w:eastAsia="zh-CN" w:bidi="ar-SA"/>
        </w:rPr>
        <w:t>）执行结果。</w:t>
      </w:r>
      <w:r>
        <w:rPr>
          <w:rFonts w:hint="default" w:ascii="Times New Roman" w:hAnsi="Times New Roman" w:eastAsia="仿宋_GB2312" w:cs="Times New Roman"/>
          <w:color w:val="auto"/>
          <w:kern w:val="2"/>
          <w:sz w:val="32"/>
          <w:szCs w:val="32"/>
          <w:highlight w:val="none"/>
          <w:lang w:val="en-US" w:eastAsia="zh-CN" w:bidi="ar-SA"/>
        </w:rPr>
        <w:t>10</w:t>
      </w:r>
      <w:r>
        <w:rPr>
          <w:rFonts w:hint="default" w:ascii="Times New Roman" w:hAnsi="Times New Roman" w:eastAsia="仿宋_GB2312" w:cs="Times New Roman"/>
          <w:color w:val="auto"/>
          <w:kern w:val="2"/>
          <w:sz w:val="32"/>
          <w:szCs w:val="32"/>
          <w:highlight w:val="none"/>
          <w:lang w:val="zh-CN" w:eastAsia="zh-CN" w:bidi="ar-SA"/>
        </w:rPr>
        <w:t>个项目中，预算结余率均为</w:t>
      </w:r>
      <w:r>
        <w:rPr>
          <w:rFonts w:hint="eastAsia" w:eastAsia="仿宋_GB2312" w:cs="Times New Roman"/>
          <w:color w:val="auto"/>
          <w:kern w:val="2"/>
          <w:sz w:val="32"/>
          <w:szCs w:val="32"/>
          <w:highlight w:val="none"/>
          <w:lang w:val="en-US" w:eastAsia="zh-CN" w:bidi="ar-SA"/>
        </w:rPr>
        <w:t>0</w:t>
      </w:r>
      <w:r>
        <w:rPr>
          <w:rFonts w:hint="default" w:ascii="Times New Roman" w:hAnsi="Times New Roman" w:eastAsia="仿宋_GB2312" w:cs="Times New Roman"/>
          <w:color w:val="auto"/>
          <w:kern w:val="2"/>
          <w:sz w:val="32"/>
          <w:szCs w:val="32"/>
          <w:highlight w:val="none"/>
          <w:lang w:val="zh-CN" w:eastAsia="zh-CN" w:bidi="ar-SA"/>
        </w:rPr>
        <w:t>%，无结余资金。</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en-US" w:eastAsia="zh-CN" w:bidi="ar-SA"/>
        </w:rPr>
        <w:t>3.</w:t>
      </w:r>
      <w:r>
        <w:rPr>
          <w:rFonts w:hint="default" w:ascii="Times New Roman" w:hAnsi="Times New Roman" w:eastAsia="仿宋_GB2312" w:cs="Times New Roman"/>
          <w:color w:val="auto"/>
          <w:kern w:val="2"/>
          <w:sz w:val="32"/>
          <w:szCs w:val="32"/>
          <w:highlight w:val="none"/>
          <w:lang w:val="zh-CN" w:eastAsia="zh-CN" w:bidi="ar-SA"/>
        </w:rPr>
        <w:t>目标实现。</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（1）目标完成。经过项目实施，各项绩效目标基本完成。</w:t>
      </w:r>
    </w:p>
    <w:p>
      <w:pPr>
        <w:keepNext w:val="0"/>
        <w:keepLines w:val="0"/>
        <w:pageBreakBefore w:val="0"/>
        <w:widowControl w:val="0"/>
        <w:kinsoku/>
        <w:wordWrap/>
        <w:overflowPunct/>
        <w:topLinePunct w:val="0"/>
        <w:autoSpaceDE/>
        <w:autoSpaceDN/>
        <w:bidi w:val="0"/>
        <w:adjustRightInd/>
        <w:snapToGrid/>
        <w:ind w:firstLine="640" w:firstLineChars="200"/>
        <w:rPr>
          <w:rFonts w:hint="eastAsia"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zh-CN" w:eastAsia="zh-CN" w:bidi="ar-SA"/>
        </w:rPr>
        <w:t>（</w:t>
      </w:r>
      <w:r>
        <w:rPr>
          <w:rFonts w:hint="default" w:ascii="Times New Roman" w:hAnsi="Times New Roman" w:eastAsia="仿宋_GB2312" w:cs="Times New Roman"/>
          <w:color w:val="auto"/>
          <w:kern w:val="2"/>
          <w:sz w:val="32"/>
          <w:szCs w:val="32"/>
          <w:highlight w:val="none"/>
          <w:lang w:val="en-US" w:eastAsia="zh-CN" w:bidi="ar-SA"/>
        </w:rPr>
        <w:t>2</w:t>
      </w:r>
      <w:r>
        <w:rPr>
          <w:rFonts w:hint="default" w:ascii="Times New Roman" w:hAnsi="Times New Roman" w:eastAsia="仿宋_GB2312" w:cs="Times New Roman"/>
          <w:color w:val="auto"/>
          <w:kern w:val="2"/>
          <w:sz w:val="32"/>
          <w:szCs w:val="32"/>
          <w:highlight w:val="none"/>
          <w:lang w:val="zh-CN" w:eastAsia="zh-CN" w:bidi="ar-SA"/>
        </w:rPr>
        <w:t>）目标偏离。</w:t>
      </w:r>
      <w:r>
        <w:rPr>
          <w:rFonts w:hint="default" w:ascii="Times New Roman" w:hAnsi="Times New Roman" w:eastAsia="仿宋_GB2312" w:cs="Times New Roman"/>
          <w:color w:val="auto"/>
          <w:sz w:val="32"/>
          <w:szCs w:val="32"/>
        </w:rPr>
        <w:t>预算项目绩效目标数量指标实现程度与预期目标无偏离</w:t>
      </w:r>
      <w:r>
        <w:rPr>
          <w:rFonts w:hint="eastAsia" w:eastAsia="仿宋_GB2312" w:cs="Times New Roman"/>
          <w:color w:val="auto"/>
          <w:sz w:val="32"/>
          <w:szCs w:val="32"/>
          <w:lang w:eastAsia="zh-CN"/>
        </w:rPr>
        <w:t>。</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baseline"/>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kern w:val="2"/>
          <w:sz w:val="32"/>
          <w:szCs w:val="32"/>
          <w:highlight w:val="none"/>
          <w:lang w:val="en-US" w:eastAsia="zh-CN" w:bidi="ar-SA"/>
        </w:rPr>
        <w:t>（3）</w:t>
      </w:r>
      <w:r>
        <w:rPr>
          <w:rFonts w:hint="default" w:ascii="Times New Roman" w:hAnsi="Times New Roman" w:eastAsia="仿宋_GB2312" w:cs="Times New Roman"/>
          <w:color w:val="auto"/>
          <w:kern w:val="2"/>
          <w:sz w:val="32"/>
          <w:szCs w:val="32"/>
          <w:highlight w:val="none"/>
          <w:lang w:val="zh-CN" w:eastAsia="zh-CN" w:bidi="ar-SA"/>
        </w:rPr>
        <w:t>实现效果。</w:t>
      </w:r>
      <w:r>
        <w:rPr>
          <w:rFonts w:hint="default" w:ascii="Times New Roman" w:hAnsi="Times New Roman" w:eastAsia="仿宋_GB2312" w:cs="Times New Roman"/>
          <w:color w:val="auto"/>
          <w:sz w:val="32"/>
          <w:szCs w:val="32"/>
          <w:highlight w:val="none"/>
          <w:lang w:val="en-US" w:eastAsia="zh-CN"/>
        </w:rPr>
        <w:t>2025年度</w:t>
      </w:r>
      <w:r>
        <w:rPr>
          <w:rFonts w:hint="eastAsia" w:eastAsia="仿宋_GB2312" w:cs="Times New Roman"/>
          <w:color w:val="auto"/>
          <w:sz w:val="32"/>
          <w:szCs w:val="32"/>
          <w:highlight w:val="none"/>
          <w:lang w:val="en-US" w:eastAsia="zh-CN"/>
        </w:rPr>
        <w:t>完成</w:t>
      </w:r>
      <w:r>
        <w:rPr>
          <w:rFonts w:hint="default" w:ascii="Times New Roman" w:hAnsi="Times New Roman" w:eastAsia="仿宋_GB2312" w:cs="Times New Roman"/>
          <w:color w:val="auto"/>
          <w:sz w:val="32"/>
          <w:szCs w:val="32"/>
          <w:highlight w:val="none"/>
          <w:lang w:val="en-US" w:eastAsia="zh-CN"/>
        </w:rPr>
        <w:t>项目10个，资金使用与绩效目标设置方向相匹配，均较好地完成了设置的绩效目标。</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2" w:firstLineChars="200"/>
        <w:textAlignment w:val="auto"/>
        <w:rPr>
          <w:rFonts w:hint="default" w:ascii="Times New Roman" w:hAnsi="Times New Roman" w:eastAsia="仿宋_GB2312" w:cs="Times New Roman"/>
          <w:color w:val="auto"/>
          <w:sz w:val="32"/>
          <w:szCs w:val="32"/>
          <w:highlight w:val="none"/>
          <w:u w:val="none"/>
          <w:lang w:val="zh-CN" w:eastAsia="zh-CN" w:bidi="ar"/>
        </w:rPr>
      </w:pPr>
      <w:r>
        <w:rPr>
          <w:rFonts w:hint="default" w:ascii="Times New Roman" w:hAnsi="Times New Roman" w:eastAsia="楷体_GB2312" w:cs="Times New Roman"/>
          <w:b/>
          <w:bCs/>
          <w:color w:val="auto"/>
          <w:kern w:val="0"/>
          <w:sz w:val="32"/>
          <w:szCs w:val="32"/>
          <w:highlight w:val="none"/>
          <w:shd w:val="clear" w:color="auto" w:fill="FFFFFF"/>
          <w:lang w:val="zh-CN" w:eastAsia="zh-CN"/>
        </w:rPr>
        <w:t>（三）绩效结果应用情况。</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u w:val="none"/>
          <w:lang w:val="zh-CN" w:eastAsia="zh-CN" w:bidi="ar"/>
        </w:rPr>
      </w:pPr>
      <w:r>
        <w:rPr>
          <w:rFonts w:hint="default" w:ascii="Times New Roman" w:hAnsi="Times New Roman" w:eastAsia="仿宋_GB2312" w:cs="Times New Roman"/>
          <w:color w:val="auto"/>
          <w:sz w:val="32"/>
          <w:szCs w:val="32"/>
          <w:highlight w:val="none"/>
          <w:u w:val="none"/>
          <w:lang w:val="zh-CN" w:eastAsia="zh-CN" w:bidi="ar"/>
        </w:rPr>
        <w:t>1.内部应用。</w:t>
      </w:r>
      <w:r>
        <w:rPr>
          <w:rFonts w:hint="default" w:ascii="Times New Roman" w:hAnsi="Times New Roman" w:eastAsia="仿宋_GB2312" w:cs="Times New Roman"/>
          <w:color w:val="auto"/>
          <w:sz w:val="32"/>
          <w:szCs w:val="32"/>
          <w:lang w:val="zh-CN"/>
        </w:rPr>
        <w:t>积极履职，强化管理，持续坚持绩效评价常态化、制度化机制，较好地完成了年度工作目标。通过加强预算收支管理，不断建立健全内部管理制度，梳理内部管理流程，部门整体支出管理水平得到进一步提升</w:t>
      </w:r>
      <w:r>
        <w:rPr>
          <w:rFonts w:hint="default" w:ascii="Times New Roman" w:hAnsi="Times New Roman" w:eastAsia="仿宋_GB2312" w:cs="Times New Roman"/>
          <w:color w:val="auto"/>
          <w:sz w:val="32"/>
          <w:szCs w:val="32"/>
          <w:highlight w:val="none"/>
          <w:u w:val="none"/>
          <w:lang w:val="zh-CN" w:eastAsia="zh-CN" w:bidi="ar"/>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u w:val="none"/>
          <w:lang w:val="zh-CN" w:eastAsia="zh-CN" w:bidi="ar"/>
        </w:rPr>
      </w:pPr>
      <w:r>
        <w:rPr>
          <w:rFonts w:hint="default" w:ascii="Times New Roman" w:hAnsi="Times New Roman" w:eastAsia="仿宋_GB2312" w:cs="Times New Roman"/>
          <w:color w:val="auto"/>
          <w:sz w:val="32"/>
          <w:szCs w:val="32"/>
          <w:highlight w:val="none"/>
          <w:u w:val="none"/>
          <w:lang w:val="zh-CN" w:eastAsia="zh-CN" w:bidi="ar"/>
        </w:rPr>
        <w:t>2.信息公开。</w:t>
      </w:r>
      <w:r>
        <w:rPr>
          <w:rFonts w:hint="default" w:ascii="Times New Roman" w:hAnsi="Times New Roman" w:eastAsia="仿宋_GB2312" w:cs="Times New Roman"/>
          <w:color w:val="auto"/>
          <w:sz w:val="32"/>
          <w:szCs w:val="32"/>
          <w:lang w:val="zh-CN"/>
        </w:rPr>
        <w:t>按照统一时间、统一口径、统一格式向社会公开了部门预算及财政资金安排的</w:t>
      </w:r>
      <w:r>
        <w:rPr>
          <w:rFonts w:hint="eastAsia" w:eastAsia="仿宋_GB2312" w:cs="Times New Roman"/>
          <w:color w:val="auto"/>
          <w:sz w:val="32"/>
          <w:szCs w:val="32"/>
          <w:lang w:val="zh-CN"/>
        </w:rPr>
        <w:t>“</w:t>
      </w:r>
      <w:r>
        <w:rPr>
          <w:rFonts w:hint="default" w:ascii="Times New Roman" w:hAnsi="Times New Roman" w:eastAsia="仿宋_GB2312" w:cs="Times New Roman"/>
          <w:color w:val="auto"/>
          <w:sz w:val="32"/>
          <w:szCs w:val="32"/>
          <w:lang w:val="zh-CN"/>
        </w:rPr>
        <w:t>三公</w:t>
      </w:r>
      <w:r>
        <w:rPr>
          <w:rFonts w:hint="eastAsia" w:eastAsia="仿宋_GB2312" w:cs="Times New Roman"/>
          <w:color w:val="auto"/>
          <w:sz w:val="32"/>
          <w:szCs w:val="32"/>
          <w:lang w:val="zh-CN"/>
        </w:rPr>
        <w:t>”</w:t>
      </w:r>
      <w:r>
        <w:rPr>
          <w:rFonts w:hint="default" w:ascii="Times New Roman" w:hAnsi="Times New Roman" w:eastAsia="仿宋_GB2312" w:cs="Times New Roman"/>
          <w:color w:val="auto"/>
          <w:sz w:val="32"/>
          <w:szCs w:val="32"/>
          <w:lang w:val="zh-CN"/>
        </w:rPr>
        <w:t>经费预算、机关运行经费的安排使用情况、部门整体支出绩效自评报告及其他按要求应公开的绩效信息</w:t>
      </w:r>
      <w:r>
        <w:rPr>
          <w:rFonts w:hint="default" w:ascii="Times New Roman" w:hAnsi="Times New Roman" w:eastAsia="仿宋_GB2312" w:cs="Times New Roman"/>
          <w:color w:val="auto"/>
          <w:sz w:val="32"/>
          <w:szCs w:val="32"/>
          <w:highlight w:val="none"/>
          <w:u w:val="none"/>
          <w:lang w:val="zh-CN" w:eastAsia="zh-CN" w:bidi="ar"/>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u w:val="none"/>
          <w:lang w:val="zh-CN" w:eastAsia="zh-CN" w:bidi="ar"/>
        </w:rPr>
      </w:pPr>
      <w:r>
        <w:rPr>
          <w:rFonts w:hint="default" w:ascii="Times New Roman" w:hAnsi="Times New Roman" w:eastAsia="仿宋_GB2312" w:cs="Times New Roman"/>
          <w:color w:val="auto"/>
          <w:sz w:val="32"/>
          <w:szCs w:val="32"/>
          <w:highlight w:val="none"/>
          <w:u w:val="none"/>
          <w:lang w:val="zh-CN" w:eastAsia="zh-CN" w:bidi="ar"/>
        </w:rPr>
        <w:t>3.整改反馈。</w:t>
      </w:r>
      <w:r>
        <w:rPr>
          <w:rFonts w:hint="eastAsia" w:eastAsia="仿宋_GB2312" w:cs="Times New Roman"/>
          <w:color w:val="auto"/>
          <w:sz w:val="32"/>
          <w:szCs w:val="32"/>
          <w:highlight w:val="none"/>
          <w:u w:val="none"/>
          <w:lang w:val="zh-CN" w:eastAsia="zh-CN" w:bidi="ar"/>
        </w:rPr>
        <w:t>根据市财政局对绩效评价工作提出的问题</w:t>
      </w:r>
      <w:r>
        <w:rPr>
          <w:rFonts w:hint="default" w:ascii="Times New Roman" w:hAnsi="Times New Roman" w:eastAsia="仿宋_GB2312" w:cs="Times New Roman"/>
          <w:color w:val="auto"/>
          <w:sz w:val="32"/>
          <w:szCs w:val="32"/>
          <w:highlight w:val="none"/>
          <w:u w:val="none"/>
          <w:lang w:val="zh-CN" w:eastAsia="zh-CN" w:bidi="ar"/>
        </w:rPr>
        <w:t>和建议进行了认真梳理，对存在问题积极进行整改。</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auto"/>
          <w:kern w:val="0"/>
          <w:sz w:val="32"/>
          <w:szCs w:val="32"/>
          <w:highlight w:val="none"/>
          <w:shd w:val="clear" w:color="auto" w:fill="FFFFFF"/>
          <w:lang w:val="zh-CN"/>
        </w:rPr>
      </w:pPr>
      <w:r>
        <w:rPr>
          <w:rFonts w:hint="default" w:ascii="Times New Roman" w:hAnsi="Times New Roman" w:eastAsia="黑体" w:cs="Times New Roman"/>
          <w:color w:val="auto"/>
          <w:kern w:val="0"/>
          <w:sz w:val="32"/>
          <w:szCs w:val="32"/>
          <w:highlight w:val="none"/>
          <w:shd w:val="clear" w:color="auto" w:fill="FFFFFF"/>
          <w:lang w:val="zh-CN" w:eastAsia="zh-CN"/>
        </w:rPr>
        <w:t>四、</w:t>
      </w:r>
      <w:r>
        <w:rPr>
          <w:rFonts w:hint="default" w:ascii="Times New Roman" w:hAnsi="Times New Roman" w:eastAsia="黑体" w:cs="Times New Roman"/>
          <w:color w:val="auto"/>
          <w:kern w:val="0"/>
          <w:sz w:val="32"/>
          <w:szCs w:val="32"/>
          <w:highlight w:val="none"/>
          <w:shd w:val="clear" w:color="auto" w:fill="FFFFFF"/>
          <w:lang w:val="zh-CN"/>
        </w:rPr>
        <w:t>评价结论及建议</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仿宋_GB2312" w:cs="Times New Roman"/>
          <w:color w:val="auto"/>
          <w:sz w:val="32"/>
          <w:szCs w:val="32"/>
          <w:u w:val="none"/>
          <w:lang w:val="en-US" w:eastAsia="zh-CN" w:bidi="ar"/>
        </w:rPr>
      </w:pPr>
      <w:r>
        <w:rPr>
          <w:rFonts w:hint="default" w:ascii="Times New Roman" w:hAnsi="Times New Roman" w:eastAsia="楷体_GB2312" w:cs="Times New Roman"/>
          <w:b/>
          <w:bCs/>
          <w:color w:val="auto"/>
          <w:kern w:val="0"/>
          <w:sz w:val="32"/>
          <w:szCs w:val="32"/>
          <w:highlight w:val="none"/>
          <w:shd w:val="clear" w:color="auto" w:fill="FFFFFF"/>
          <w:lang w:val="zh-CN"/>
        </w:rPr>
        <w:t>（一）评价结论。</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baseline"/>
        <w:rPr>
          <w:rFonts w:hint="default" w:ascii="Times New Roman" w:hAnsi="Times New Roman" w:eastAsia="仿宋_GB2312" w:cs="Times New Roman"/>
          <w:color w:val="auto"/>
          <w:kern w:val="2"/>
          <w:sz w:val="32"/>
          <w:szCs w:val="32"/>
          <w:u w:val="none"/>
          <w:lang w:val="en-US" w:eastAsia="zh-CN" w:bidi="ar"/>
        </w:rPr>
      </w:pPr>
      <w:r>
        <w:rPr>
          <w:rFonts w:hint="default" w:ascii="Times New Roman" w:hAnsi="Times New Roman" w:eastAsia="仿宋_GB2312" w:cs="Times New Roman"/>
          <w:color w:val="auto"/>
          <w:kern w:val="2"/>
          <w:sz w:val="32"/>
          <w:szCs w:val="32"/>
          <w:u w:val="none"/>
          <w:lang w:val="en-US" w:eastAsia="zh-CN" w:bidi="ar"/>
        </w:rPr>
        <w:t>严格按财政要求，科学合理编制预算，规范预算执行，严格预算管理，较好完成了年初制定的各项目标任务，财政资金使用效益进一步提高。严格控制</w:t>
      </w:r>
      <w:r>
        <w:rPr>
          <w:rFonts w:hint="eastAsia" w:eastAsia="仿宋_GB2312" w:cs="Times New Roman"/>
          <w:color w:val="auto"/>
          <w:kern w:val="2"/>
          <w:sz w:val="32"/>
          <w:szCs w:val="32"/>
          <w:u w:val="none"/>
          <w:lang w:val="en-US" w:eastAsia="zh-CN" w:bidi="ar"/>
        </w:rPr>
        <w:t>“</w:t>
      </w:r>
      <w:r>
        <w:rPr>
          <w:rFonts w:hint="default" w:ascii="Times New Roman" w:hAnsi="Times New Roman" w:eastAsia="仿宋_GB2312" w:cs="Times New Roman"/>
          <w:color w:val="auto"/>
          <w:kern w:val="2"/>
          <w:sz w:val="32"/>
          <w:szCs w:val="32"/>
          <w:u w:val="none"/>
          <w:lang w:val="en-US" w:eastAsia="zh-CN" w:bidi="ar"/>
        </w:rPr>
        <w:t>一般性支出</w:t>
      </w:r>
      <w:r>
        <w:rPr>
          <w:rFonts w:hint="eastAsia" w:eastAsia="仿宋_GB2312" w:cs="Times New Roman"/>
          <w:color w:val="auto"/>
          <w:kern w:val="2"/>
          <w:sz w:val="32"/>
          <w:szCs w:val="32"/>
          <w:u w:val="none"/>
          <w:lang w:val="en-US" w:eastAsia="zh-CN" w:bidi="ar"/>
        </w:rPr>
        <w:t>”</w:t>
      </w:r>
      <w:r>
        <w:rPr>
          <w:rFonts w:hint="default" w:ascii="Times New Roman" w:hAnsi="Times New Roman" w:eastAsia="仿宋_GB2312" w:cs="Times New Roman"/>
          <w:color w:val="auto"/>
          <w:kern w:val="2"/>
          <w:sz w:val="32"/>
          <w:szCs w:val="32"/>
          <w:u w:val="none"/>
          <w:lang w:val="en-US" w:eastAsia="zh-CN" w:bidi="ar"/>
        </w:rPr>
        <w:t>的原则，确保机关各项工作正常运转，预决算工作有序开展</w:t>
      </w:r>
      <w:r>
        <w:rPr>
          <w:rFonts w:hint="eastAsia" w:eastAsia="仿宋_GB2312" w:cs="Times New Roman"/>
          <w:color w:val="auto"/>
          <w:kern w:val="2"/>
          <w:sz w:val="32"/>
          <w:szCs w:val="32"/>
          <w:u w:val="none"/>
          <w:lang w:val="en-US" w:eastAsia="zh-CN" w:bidi="ar"/>
        </w:rPr>
        <w:t>，</w:t>
      </w:r>
      <w:r>
        <w:rPr>
          <w:rFonts w:hint="default" w:ascii="Times New Roman" w:hAnsi="Times New Roman" w:eastAsia="仿宋_GB2312" w:cs="Times New Roman"/>
          <w:color w:val="auto"/>
          <w:kern w:val="2"/>
          <w:sz w:val="32"/>
          <w:szCs w:val="32"/>
          <w:u w:val="none"/>
          <w:lang w:val="en-US" w:eastAsia="zh-CN" w:bidi="ar"/>
        </w:rPr>
        <w:t>管理更加规范，为切实履行好</w:t>
      </w:r>
      <w:r>
        <w:rPr>
          <w:rFonts w:hint="eastAsia" w:eastAsia="仿宋_GB2312" w:cs="Times New Roman"/>
          <w:color w:val="auto"/>
          <w:kern w:val="2"/>
          <w:sz w:val="32"/>
          <w:szCs w:val="32"/>
          <w:u w:val="none"/>
          <w:lang w:val="en-US" w:eastAsia="zh-CN" w:bidi="ar"/>
        </w:rPr>
        <w:t>“</w:t>
      </w:r>
      <w:r>
        <w:rPr>
          <w:rFonts w:hint="default" w:ascii="Times New Roman" w:hAnsi="Times New Roman" w:eastAsia="仿宋_GB2312" w:cs="Times New Roman"/>
          <w:color w:val="auto"/>
          <w:kern w:val="2"/>
          <w:sz w:val="32"/>
          <w:szCs w:val="32"/>
          <w:u w:val="none"/>
          <w:lang w:val="en-US" w:eastAsia="zh-CN" w:bidi="ar"/>
        </w:rPr>
        <w:t>管理、保障、服务</w:t>
      </w:r>
      <w:r>
        <w:rPr>
          <w:rFonts w:hint="eastAsia" w:eastAsia="仿宋_GB2312" w:cs="Times New Roman"/>
          <w:color w:val="auto"/>
          <w:kern w:val="2"/>
          <w:sz w:val="32"/>
          <w:szCs w:val="32"/>
          <w:u w:val="none"/>
          <w:lang w:val="en-US" w:eastAsia="zh-CN" w:bidi="ar"/>
        </w:rPr>
        <w:t>”</w:t>
      </w:r>
      <w:r>
        <w:rPr>
          <w:rFonts w:hint="default" w:ascii="Times New Roman" w:hAnsi="Times New Roman" w:eastAsia="仿宋_GB2312" w:cs="Times New Roman"/>
          <w:color w:val="auto"/>
          <w:kern w:val="2"/>
          <w:sz w:val="32"/>
          <w:szCs w:val="32"/>
          <w:u w:val="none"/>
          <w:lang w:val="en-US" w:eastAsia="zh-CN" w:bidi="ar"/>
        </w:rPr>
        <w:t>职能打下坚实基础。</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baseline"/>
        <w:rPr>
          <w:rFonts w:hint="default" w:ascii="Times New Roman" w:hAnsi="Times New Roman" w:eastAsia="仿宋_GB2312" w:cs="Times New Roman"/>
          <w:color w:val="auto"/>
          <w:kern w:val="2"/>
          <w:sz w:val="32"/>
          <w:szCs w:val="32"/>
          <w:u w:val="none"/>
          <w:lang w:val="en-US" w:eastAsia="zh-CN" w:bidi="ar"/>
        </w:rPr>
      </w:pPr>
      <w:r>
        <w:rPr>
          <w:rFonts w:hint="default" w:ascii="Times New Roman" w:hAnsi="Times New Roman" w:eastAsia="仿宋_GB2312" w:cs="Times New Roman"/>
          <w:color w:val="auto"/>
          <w:kern w:val="2"/>
          <w:sz w:val="32"/>
          <w:szCs w:val="32"/>
          <w:u w:val="none"/>
          <w:lang w:val="en-US" w:eastAsia="zh-CN" w:bidi="ar"/>
        </w:rPr>
        <w:t>综合来看，部门预算资金使用情况总体较好，预算绩效目标基本完成，取得了良好的社会效益和经济效益，自评得分88.1分。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contextualSpacing w:val="0"/>
        <w:jc w:val="both"/>
        <w:textAlignment w:val="auto"/>
        <w:rPr>
          <w:rFonts w:hint="default" w:ascii="Times New Roman" w:hAnsi="Times New Roman" w:eastAsia="楷体_GB2312" w:cs="Times New Roman"/>
          <w:b/>
          <w:bCs/>
          <w:color w:val="auto"/>
          <w:kern w:val="0"/>
          <w:sz w:val="32"/>
          <w:szCs w:val="32"/>
          <w:highlight w:val="none"/>
          <w:shd w:val="clear" w:color="auto" w:fill="FFFFFF"/>
          <w:lang w:val="zh-CN"/>
        </w:rPr>
      </w:pPr>
      <w:r>
        <w:rPr>
          <w:rFonts w:hint="default" w:ascii="Times New Roman" w:hAnsi="Times New Roman" w:eastAsia="楷体_GB2312" w:cs="Times New Roman"/>
          <w:b/>
          <w:bCs/>
          <w:color w:val="auto"/>
          <w:kern w:val="0"/>
          <w:sz w:val="32"/>
          <w:szCs w:val="32"/>
          <w:highlight w:val="none"/>
          <w:shd w:val="clear" w:color="auto" w:fill="FFFFFF"/>
          <w:lang w:val="zh-CN"/>
        </w:rPr>
        <w:t>（二）存在问题。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contextualSpacing w:val="0"/>
        <w:jc w:val="both"/>
        <w:textAlignment w:val="auto"/>
        <w:rPr>
          <w:rFonts w:hint="default" w:ascii="Times New Roman" w:hAnsi="Times New Roman" w:eastAsia="仿宋_GB2312" w:cs="Times New Roman"/>
          <w:color w:val="auto"/>
          <w:kern w:val="2"/>
          <w:sz w:val="32"/>
          <w:szCs w:val="32"/>
          <w:u w:val="none"/>
          <w:lang w:val="en-US" w:eastAsia="zh-CN" w:bidi="ar"/>
        </w:rPr>
      </w:pPr>
      <w:r>
        <w:rPr>
          <w:rFonts w:hint="default" w:ascii="Times New Roman" w:hAnsi="Times New Roman" w:eastAsia="仿宋_GB2312" w:cs="Times New Roman"/>
          <w:color w:val="auto"/>
          <w:kern w:val="2"/>
          <w:sz w:val="32"/>
          <w:szCs w:val="32"/>
          <w:u w:val="none"/>
          <w:lang w:val="en-US" w:eastAsia="zh-CN" w:bidi="ar"/>
        </w:rPr>
        <w:t>预算绩效管理工作质量还需进一步提升。部分项目支出绩效目标编制不规范，存在数量指标不够细化，指标值未量化，衡量性较差的问题。</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left"/>
        <w:textAlignment w:val="auto"/>
        <w:rPr>
          <w:rFonts w:hint="default" w:ascii="Times New Roman" w:hAnsi="Times New Roman" w:eastAsia="楷体_GB2312" w:cs="Times New Roman"/>
          <w:b/>
          <w:bCs/>
          <w:color w:val="auto"/>
          <w:kern w:val="0"/>
          <w:sz w:val="32"/>
          <w:szCs w:val="32"/>
          <w:highlight w:val="none"/>
          <w:shd w:val="clear" w:color="auto" w:fill="FFFFFF"/>
          <w:lang w:val="zh-CN" w:eastAsia="zh-CN"/>
        </w:rPr>
      </w:pPr>
      <w:r>
        <w:rPr>
          <w:rFonts w:hint="default" w:ascii="Times New Roman" w:hAnsi="Times New Roman" w:eastAsia="楷体_GB2312" w:cs="Times New Roman"/>
          <w:b/>
          <w:bCs/>
          <w:color w:val="auto"/>
          <w:kern w:val="0"/>
          <w:sz w:val="32"/>
          <w:szCs w:val="32"/>
          <w:highlight w:val="none"/>
          <w:shd w:val="clear" w:color="auto" w:fill="FFFFFF"/>
          <w:lang w:val="zh-CN" w:eastAsia="zh-CN"/>
        </w:rPr>
        <w:t>（三）改进建议。</w:t>
      </w:r>
      <w:bookmarkStart w:id="53" w:name="_Hlk110546638"/>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default" w:ascii="Times New Roman" w:hAnsi="Times New Roman" w:eastAsia="仿宋_GB2312" w:cs="Times New Roman"/>
          <w:color w:val="auto"/>
          <w:kern w:val="2"/>
          <w:sz w:val="32"/>
          <w:szCs w:val="32"/>
          <w:u w:val="none"/>
          <w:lang w:val="en-US" w:eastAsia="zh-CN" w:bidi="ar"/>
        </w:rPr>
      </w:pPr>
      <w:r>
        <w:rPr>
          <w:rFonts w:hint="eastAsia" w:eastAsia="仿宋_GB2312" w:cs="Times New Roman"/>
          <w:color w:val="auto"/>
          <w:sz w:val="32"/>
          <w:szCs w:val="32"/>
          <w:lang w:eastAsia="zh-CN"/>
        </w:rPr>
        <w:t>提</w:t>
      </w:r>
      <w:r>
        <w:rPr>
          <w:rFonts w:hint="default" w:ascii="Times New Roman" w:hAnsi="Times New Roman" w:eastAsia="仿宋_GB2312" w:cs="Times New Roman"/>
          <w:color w:val="auto"/>
          <w:sz w:val="32"/>
          <w:szCs w:val="32"/>
        </w:rPr>
        <w:t>高绩效</w:t>
      </w:r>
      <w:r>
        <w:rPr>
          <w:rFonts w:hint="default" w:ascii="Times New Roman" w:hAnsi="Times New Roman" w:eastAsia="仿宋_GB2312" w:cs="Times New Roman"/>
          <w:color w:val="auto"/>
          <w:sz w:val="32"/>
          <w:szCs w:val="32"/>
          <w:lang w:eastAsia="zh-CN"/>
        </w:rPr>
        <w:t>目标</w:t>
      </w:r>
      <w:r>
        <w:rPr>
          <w:rFonts w:hint="default" w:ascii="Times New Roman" w:hAnsi="Times New Roman" w:eastAsia="仿宋_GB2312" w:cs="Times New Roman"/>
          <w:color w:val="auto"/>
          <w:sz w:val="32"/>
          <w:szCs w:val="32"/>
        </w:rPr>
        <w:t>编报能力。切实加强部门预算绩效目标编制的基础工作，</w:t>
      </w:r>
      <w:r>
        <w:rPr>
          <w:rFonts w:hint="eastAsia" w:eastAsia="仿宋_GB2312" w:cs="Times New Roman"/>
          <w:color w:val="auto"/>
          <w:sz w:val="32"/>
          <w:szCs w:val="32"/>
          <w:lang w:eastAsia="zh-CN"/>
        </w:rPr>
        <w:t>厘</w:t>
      </w:r>
      <w:r>
        <w:rPr>
          <w:rFonts w:hint="default" w:ascii="Times New Roman" w:hAnsi="Times New Roman" w:eastAsia="仿宋_GB2312" w:cs="Times New Roman"/>
          <w:color w:val="auto"/>
          <w:sz w:val="32"/>
          <w:szCs w:val="32"/>
        </w:rPr>
        <w:t>清预算管理的整体思路，细化预算分解指标，做到目标考核切实可行，保证绩效目标的实现</w:t>
      </w:r>
      <w:r>
        <w:rPr>
          <w:rFonts w:hint="default" w:ascii="Times New Roman" w:hAnsi="Times New Roman" w:eastAsia="仿宋_GB2312" w:cs="Times New Roman"/>
          <w:color w:val="auto"/>
          <w:kern w:val="2"/>
          <w:sz w:val="32"/>
          <w:szCs w:val="32"/>
          <w:u w:val="none"/>
          <w:lang w:val="en-US" w:eastAsia="zh-CN" w:bidi="ar"/>
        </w:rPr>
        <w:t>。</w:t>
      </w:r>
    </w:p>
    <w:bookmarkEnd w:id="53"/>
    <w:p>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auto"/>
          <w:kern w:val="2"/>
          <w:sz w:val="32"/>
          <w:szCs w:val="32"/>
          <w:u w:val="none"/>
          <w:lang w:val="zh-CN" w:eastAsia="zh-CN" w:bidi="ar"/>
        </w:rPr>
      </w:pPr>
    </w:p>
    <w:p>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auto"/>
          <w:kern w:val="2"/>
          <w:sz w:val="32"/>
          <w:szCs w:val="32"/>
          <w:u w:val="none"/>
          <w:lang w:val="zh-CN" w:eastAsia="zh-CN" w:bidi="ar"/>
        </w:rPr>
      </w:pPr>
      <w:r>
        <w:rPr>
          <w:rFonts w:hint="default" w:ascii="Times New Roman" w:hAnsi="Times New Roman" w:eastAsia="仿宋_GB2312" w:cs="Times New Roman"/>
          <w:color w:val="auto"/>
          <w:kern w:val="2"/>
          <w:sz w:val="32"/>
          <w:szCs w:val="32"/>
          <w:u w:val="none"/>
          <w:lang w:val="zh-CN" w:eastAsia="zh-CN" w:bidi="ar"/>
        </w:rPr>
        <w:t>附表：</w:t>
      </w:r>
      <w:r>
        <w:rPr>
          <w:rFonts w:hint="default" w:ascii="Times New Roman" w:hAnsi="Times New Roman" w:eastAsia="仿宋_GB2312" w:cs="Times New Roman"/>
          <w:color w:val="auto"/>
          <w:kern w:val="2"/>
          <w:sz w:val="32"/>
          <w:szCs w:val="32"/>
          <w:u w:val="none"/>
          <w:lang w:val="en-US" w:eastAsia="zh-CN" w:bidi="ar"/>
        </w:rPr>
        <w:t>部门预算项目支出绩效自评表（2025年度）（见公开附件3</w:t>
      </w:r>
    </w:p>
    <w:p>
      <w:pPr>
        <w:pStyle w:val="8"/>
        <w:keepNext w:val="0"/>
        <w:keepLines w:val="0"/>
        <w:pageBreakBefore w:val="0"/>
        <w:numPr>
          <w:ilvl w:val="0"/>
          <w:numId w:val="0"/>
        </w:numPr>
        <w:kinsoku/>
        <w:wordWrap/>
        <w:overflowPunct/>
        <w:topLinePunct w:val="0"/>
        <w:autoSpaceDE/>
        <w:autoSpaceDN/>
        <w:bidi w:val="0"/>
        <w:spacing w:line="560" w:lineRule="exact"/>
        <w:textAlignment w:val="auto"/>
        <w:rPr>
          <w:rFonts w:hint="default" w:ascii="Times New Roman" w:hAnsi="Times New Roman" w:cs="Times New Roman"/>
          <w:color w:val="auto"/>
          <w:sz w:val="32"/>
          <w:szCs w:val="32"/>
          <w:highlight w:val="yellow"/>
          <w:lang w:val="zh-CN" w:eastAsia="zh-CN"/>
        </w:rPr>
      </w:pPr>
    </w:p>
    <w:p>
      <w:pPr>
        <w:pStyle w:val="6"/>
        <w:rPr>
          <w:rFonts w:hint="default" w:ascii="Times New Roman" w:hAnsi="Times New Roman" w:cs="Times New Roman"/>
          <w:color w:val="auto"/>
          <w:kern w:val="0"/>
          <w:sz w:val="32"/>
          <w:szCs w:val="32"/>
          <w:highlight w:val="yellow"/>
          <w:shd w:val="clear" w:color="auto" w:fill="FFFFFF"/>
          <w:lang w:val="zh-CN"/>
        </w:rPr>
      </w:pPr>
    </w:p>
    <w:p>
      <w:pPr>
        <w:rPr>
          <w:rFonts w:hint="default" w:ascii="Times New Roman" w:hAnsi="Times New Roman" w:eastAsia="黑体" w:cs="Times New Roman"/>
          <w:color w:val="auto"/>
          <w:kern w:val="0"/>
          <w:sz w:val="32"/>
          <w:szCs w:val="32"/>
          <w:highlight w:val="none"/>
          <w:shd w:val="clear" w:color="auto" w:fill="FFFFFF"/>
          <w:lang w:val="zh-CN"/>
        </w:rPr>
      </w:pPr>
      <w:r>
        <w:rPr>
          <w:rFonts w:hint="default" w:ascii="Times New Roman" w:hAnsi="Times New Roman" w:eastAsia="黑体" w:cs="Times New Roman"/>
          <w:color w:val="auto"/>
          <w:kern w:val="0"/>
          <w:sz w:val="32"/>
          <w:szCs w:val="32"/>
          <w:highlight w:val="none"/>
          <w:shd w:val="clear" w:color="auto" w:fill="FFFFFF"/>
          <w:lang w:val="zh-CN"/>
        </w:rPr>
        <w:br w:type="page"/>
      </w:r>
    </w:p>
    <w:p>
      <w:pPr>
        <w:pStyle w:val="6"/>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kern w:val="0"/>
          <w:sz w:val="32"/>
          <w:szCs w:val="32"/>
          <w:highlight w:val="none"/>
          <w:shd w:val="clear" w:color="auto" w:fill="FFFFFF"/>
          <w:lang w:val="zh-CN"/>
        </w:rPr>
        <w:t>附件</w:t>
      </w:r>
      <w:r>
        <w:rPr>
          <w:rFonts w:hint="default" w:ascii="Times New Roman" w:hAnsi="Times New Roman" w:eastAsia="黑体" w:cs="Times New Roman"/>
          <w:color w:val="auto"/>
          <w:kern w:val="0"/>
          <w:sz w:val="32"/>
          <w:szCs w:val="32"/>
          <w:highlight w:val="none"/>
          <w:shd w:val="clear" w:color="auto" w:fill="FFFFFF"/>
          <w:lang w:val="en-US" w:eastAsia="zh-CN"/>
        </w:rPr>
        <w:t>2-1</w:t>
      </w:r>
    </w:p>
    <w:p>
      <w:pPr>
        <w:pStyle w:val="3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简体" w:cs="Times New Roman"/>
          <w:color w:val="auto"/>
          <w:kern w:val="2"/>
          <w:sz w:val="44"/>
          <w:szCs w:val="44"/>
          <w:highlight w:val="none"/>
          <w:lang w:val="en-US" w:eastAsia="zh-CN"/>
        </w:rPr>
      </w:pPr>
    </w:p>
    <w:p>
      <w:pPr>
        <w:spacing w:line="600" w:lineRule="exact"/>
        <w:jc w:val="center"/>
        <w:rPr>
          <w:rFonts w:hint="default" w:ascii="Times New Roman" w:hAnsi="Times New Roman" w:eastAsia="方正小标宋简体" w:cs="Times New Roman"/>
          <w:color w:val="auto"/>
          <w:sz w:val="40"/>
          <w:szCs w:val="40"/>
          <w:lang w:val="zh-CN"/>
        </w:rPr>
      </w:pPr>
      <w:r>
        <w:rPr>
          <w:rFonts w:hint="default" w:ascii="Times New Roman" w:hAnsi="Times New Roman" w:eastAsia="方正小标宋简体" w:cs="Times New Roman"/>
          <w:color w:val="auto"/>
          <w:sz w:val="40"/>
          <w:szCs w:val="40"/>
          <w:lang w:val="zh-CN"/>
        </w:rPr>
        <w:t>专项预算项目支出绩效自评报告</w:t>
      </w:r>
    </w:p>
    <w:p>
      <w:pPr>
        <w:spacing w:line="600" w:lineRule="exact"/>
        <w:ind w:firstLine="640"/>
        <w:jc w:val="center"/>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t>（食堂物业管理经费）</w:t>
      </w:r>
    </w:p>
    <w:p>
      <w:pPr>
        <w:adjustRightInd w:val="0"/>
        <w:snapToGrid w:val="0"/>
        <w:spacing w:line="600" w:lineRule="exact"/>
        <w:ind w:firstLine="720"/>
        <w:rPr>
          <w:rFonts w:hint="default" w:ascii="Times New Roman" w:hAnsi="Times New Roman" w:eastAsia="黑体" w:cs="Times New Roman"/>
          <w:color w:val="auto"/>
          <w:sz w:val="32"/>
          <w:szCs w:val="32"/>
          <w:lang w:val="zh-CN"/>
        </w:rPr>
      </w:pPr>
      <w:r>
        <w:rPr>
          <w:rFonts w:hint="default" w:ascii="Times New Roman" w:hAnsi="Times New Roman" w:eastAsia="黑体" w:cs="Times New Roman"/>
          <w:color w:val="auto"/>
          <w:sz w:val="32"/>
          <w:szCs w:val="32"/>
        </w:rPr>
        <w:t>一、</w:t>
      </w:r>
      <w:r>
        <w:rPr>
          <w:rFonts w:hint="default" w:ascii="Times New Roman" w:hAnsi="Times New Roman" w:eastAsia="黑体" w:cs="Times New Roman"/>
          <w:color w:val="auto"/>
          <w:sz w:val="32"/>
          <w:szCs w:val="32"/>
          <w:lang w:val="zh-CN"/>
        </w:rPr>
        <w:t>项目概况</w:t>
      </w:r>
    </w:p>
    <w:p>
      <w:pPr>
        <w:adjustRightInd w:val="0"/>
        <w:snapToGrid w:val="0"/>
        <w:spacing w:line="600"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（一）项目基本情况。</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lang w:val="zh-CN"/>
        </w:rPr>
        <w:t>1．项目主管部门（单位）在该项目管理中的职能。市机关事务服务中心下属非独立核算事业单位市机关后勤服务中心负责市级机关职工食堂日常监督管理及食品卫生安全保障工作。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lang w:val="zh-CN"/>
        </w:rPr>
        <w:t>2. 项目立项、资金申报的依据。</w:t>
      </w:r>
      <w:r>
        <w:rPr>
          <w:rFonts w:hint="eastAsia" w:eastAsia="仿宋_GB2312" w:cs="Times New Roman"/>
          <w:color w:val="auto"/>
          <w:sz w:val="32"/>
          <w:szCs w:val="32"/>
          <w:lang w:val="zh-CN"/>
        </w:rPr>
        <w:t>根据</w:t>
      </w:r>
      <w:r>
        <w:rPr>
          <w:rFonts w:hint="default" w:ascii="Times New Roman" w:hAnsi="Times New Roman" w:eastAsia="仿宋_GB2312" w:cs="Times New Roman"/>
          <w:color w:val="auto"/>
          <w:sz w:val="32"/>
          <w:szCs w:val="32"/>
          <w:lang w:val="zh-CN"/>
        </w:rPr>
        <w:t>《中华人民共和国预算法》《党政机关厉行节约反对浪费条例》</w:t>
      </w:r>
      <w:r>
        <w:rPr>
          <w:rFonts w:hint="eastAsia" w:eastAsia="仿宋_GB2312" w:cs="Times New Roman"/>
          <w:color w:val="auto"/>
          <w:sz w:val="32"/>
          <w:szCs w:val="32"/>
          <w:lang w:val="zh-CN"/>
        </w:rPr>
        <w:t>、</w:t>
      </w:r>
      <w:r>
        <w:rPr>
          <w:rFonts w:hint="default" w:ascii="Times New Roman" w:hAnsi="Times New Roman" w:eastAsia="仿宋_GB2312" w:cs="Times New Roman"/>
          <w:color w:val="auto"/>
          <w:sz w:val="32"/>
          <w:szCs w:val="32"/>
          <w:lang w:val="zh-CN"/>
        </w:rPr>
        <w:t>市级机关职工食堂实际运行保障需求</w:t>
      </w:r>
      <w:r>
        <w:rPr>
          <w:rFonts w:hint="eastAsia" w:eastAsia="仿宋_GB2312" w:cs="Times New Roman"/>
          <w:color w:val="auto"/>
          <w:sz w:val="32"/>
          <w:szCs w:val="32"/>
          <w:lang w:val="zh-CN"/>
        </w:rPr>
        <w:t>，按照</w:t>
      </w:r>
      <w:r>
        <w:rPr>
          <w:rFonts w:hint="default" w:ascii="Times New Roman" w:hAnsi="Times New Roman" w:eastAsia="仿宋_GB2312" w:cs="Times New Roman"/>
          <w:color w:val="auto"/>
          <w:sz w:val="32"/>
          <w:szCs w:val="32"/>
          <w:lang w:val="zh-CN"/>
        </w:rPr>
        <w:t>市财政局年度预算编制通知要求</w:t>
      </w:r>
      <w:r>
        <w:rPr>
          <w:rFonts w:hint="eastAsia" w:eastAsia="仿宋_GB2312" w:cs="Times New Roman"/>
          <w:color w:val="auto"/>
          <w:sz w:val="32"/>
          <w:szCs w:val="32"/>
          <w:lang w:val="zh-CN"/>
        </w:rPr>
        <w:t>进行资金申报，</w:t>
      </w:r>
      <w:r>
        <w:rPr>
          <w:rFonts w:hint="default" w:ascii="Times New Roman" w:hAnsi="Times New Roman" w:eastAsia="仿宋_GB2312" w:cs="Times New Roman"/>
          <w:color w:val="auto"/>
          <w:sz w:val="32"/>
          <w:szCs w:val="32"/>
          <w:lang w:val="zh-CN"/>
        </w:rPr>
        <w:t>按程序审批后纳入年度财政预算安排。</w:t>
      </w:r>
    </w:p>
    <w:p>
      <w:pPr>
        <w:adjustRightInd w:val="0"/>
        <w:snapToGrid w:val="0"/>
        <w:spacing w:line="600" w:lineRule="exact"/>
        <w:ind w:firstLine="720"/>
        <w:rPr>
          <w:rFonts w:hint="default" w:ascii="Times New Roman" w:hAnsi="Times New Roman" w:eastAsia="仿宋_GB2312" w:cs="Times New Roman"/>
          <w:b/>
          <w:bCs/>
          <w:color w:val="auto"/>
          <w:sz w:val="32"/>
          <w:szCs w:val="32"/>
          <w:lang w:val="zh-CN"/>
        </w:rPr>
      </w:pPr>
      <w:r>
        <w:rPr>
          <w:rFonts w:hint="default" w:ascii="Times New Roman" w:hAnsi="Times New Roman" w:eastAsia="仿宋_GB2312" w:cs="Times New Roman"/>
          <w:color w:val="auto"/>
          <w:sz w:val="32"/>
          <w:szCs w:val="32"/>
          <w:lang w:val="zh-CN"/>
        </w:rPr>
        <w:t>3．资金管理办法制定情况，资金支持具体项目的条件、范围与支持方式概况。</w:t>
      </w:r>
      <w:r>
        <w:rPr>
          <w:rFonts w:hint="default" w:ascii="Times New Roman" w:hAnsi="Times New Roman" w:eastAsia="仿宋_GB2312" w:cs="Times New Roman"/>
          <w:color w:val="auto"/>
          <w:sz w:val="32"/>
          <w:szCs w:val="32"/>
          <w:highlight w:val="none"/>
          <w:lang w:val="zh-CN"/>
        </w:rPr>
        <w:t>资金使用严格执行国家财经法规及行政事业单位财务管理制度，按照《攀枝花市市级机关职工食堂管理暂行办法》及相关内控制度进行规范管理。专项资金支出实行专款专用、独立核算，严格按照批准的预算范围和标准执行，不以任何理由和方式截留、挤占和挪用。资金支</w:t>
      </w:r>
      <w:r>
        <w:rPr>
          <w:rFonts w:hint="default" w:ascii="Times New Roman" w:hAnsi="Times New Roman" w:eastAsia="仿宋_GB2312" w:cs="Times New Roman"/>
          <w:color w:val="auto"/>
          <w:sz w:val="32"/>
          <w:szCs w:val="32"/>
          <w:lang w:val="zh-CN"/>
        </w:rPr>
        <w:t>持范围涵盖市级机关职工食堂日常运行所需的食材采购、劳务费、设施设备维护维修、低值易耗品购置等各项运行支出；支持方式为市级财政全额拨款，按预算进度和实际运行需求申请拨付，确保食堂正常运转。</w:t>
      </w:r>
    </w:p>
    <w:p>
      <w:pPr>
        <w:adjustRightInd w:val="0"/>
        <w:snapToGrid w:val="0"/>
        <w:spacing w:line="600" w:lineRule="exact"/>
        <w:ind w:firstLine="720"/>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lang w:val="zh-CN"/>
        </w:rPr>
        <w:t>4. 资金分配的原则及考虑因素。综合考虑供餐标准、食堂就餐人数、设施设备维护更新的实际需要等因素，保证各项支出严格按照预算批复的项目和标准执行，做到依据充分、标准明确、程序规范。</w:t>
      </w:r>
    </w:p>
    <w:p>
      <w:pPr>
        <w:adjustRightInd w:val="0"/>
        <w:snapToGrid w:val="0"/>
        <w:spacing w:line="600"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（二）项目绩效目标。</w:t>
      </w:r>
    </w:p>
    <w:p>
      <w:pPr>
        <w:keepNext w:val="0"/>
        <w:keepLines w:val="0"/>
        <w:pageBreakBefore w:val="0"/>
        <w:kinsoku/>
        <w:wordWrap/>
        <w:overflowPunct/>
        <w:topLinePunct w:val="0"/>
        <w:autoSpaceDE/>
        <w:autoSpaceDN/>
        <w:bidi w:val="0"/>
        <w:adjustRightInd w:val="0"/>
        <w:snapToGrid w:val="0"/>
        <w:spacing w:line="540" w:lineRule="exact"/>
        <w:ind w:firstLine="720"/>
        <w:textAlignment w:val="auto"/>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lang w:val="zh-CN"/>
        </w:rPr>
        <w:t>1. 项目主要内容。本项目核心内容为确保市级机关职工食堂持续、安全、优质运行，全面保障120余个市级党政机关及事业单位干部职工的日常就餐需求。包括：（1）提供安全卫生的餐饮服务，严格执行食品安全标准和卫生规范；（2）践行厉行节约要求，深入开展</w:t>
      </w:r>
      <w:r>
        <w:rPr>
          <w:rFonts w:hint="eastAsia" w:eastAsia="仿宋_GB2312" w:cs="Times New Roman"/>
          <w:color w:val="auto"/>
          <w:sz w:val="32"/>
          <w:szCs w:val="32"/>
          <w:lang w:val="zh-CN"/>
        </w:rPr>
        <w:t>“</w:t>
      </w:r>
      <w:r>
        <w:rPr>
          <w:rFonts w:hint="default" w:ascii="Times New Roman" w:hAnsi="Times New Roman" w:eastAsia="仿宋_GB2312" w:cs="Times New Roman"/>
          <w:color w:val="auto"/>
          <w:sz w:val="32"/>
          <w:szCs w:val="32"/>
          <w:lang w:val="zh-CN"/>
        </w:rPr>
        <w:t>厉行勤俭节约、反对餐饮浪费</w:t>
      </w:r>
      <w:r>
        <w:rPr>
          <w:rFonts w:hint="eastAsia" w:eastAsia="仿宋_GB2312" w:cs="Times New Roman"/>
          <w:color w:val="auto"/>
          <w:sz w:val="32"/>
          <w:szCs w:val="32"/>
          <w:lang w:val="zh-CN"/>
        </w:rPr>
        <w:t>”</w:t>
      </w:r>
      <w:r>
        <w:rPr>
          <w:rFonts w:hint="default" w:ascii="Times New Roman" w:hAnsi="Times New Roman" w:eastAsia="仿宋_GB2312" w:cs="Times New Roman"/>
          <w:color w:val="auto"/>
          <w:sz w:val="32"/>
          <w:szCs w:val="32"/>
          <w:lang w:val="zh-CN"/>
        </w:rPr>
        <w:t>专项行动；（3）强化食堂管理制度建设，持续提升管理服务标准化、规范化水平。</w:t>
      </w:r>
    </w:p>
    <w:p>
      <w:pPr>
        <w:pStyle w:val="16"/>
        <w:keepNext w:val="0"/>
        <w:keepLines w:val="0"/>
        <w:pageBreakBefore w:val="0"/>
        <w:widowControl/>
        <w:suppressLineNumbers w:val="0"/>
        <w:shd w:val="clear" w:color="auto" w:fill="FFFFFF"/>
        <w:kinsoku/>
        <w:wordWrap/>
        <w:overflowPunct/>
        <w:topLinePunct w:val="0"/>
        <w:autoSpaceDE/>
        <w:autoSpaceDN/>
        <w:bidi w:val="0"/>
        <w:adjustRightInd/>
        <w:snapToGrid/>
        <w:spacing w:before="240" w:beforeAutospacing="0" w:after="240" w:afterAutospacing="0" w:line="540" w:lineRule="exact"/>
        <w:ind w:left="0" w:right="0" w:firstLine="640" w:firstLineChars="200"/>
        <w:textAlignment w:val="auto"/>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lang w:val="zh-CN"/>
        </w:rPr>
        <w:t>2. 项目应实现的具体绩效目标。</w:t>
      </w:r>
      <w:r>
        <w:rPr>
          <w:rFonts w:hint="eastAsia" w:ascii="Times New Roman" w:eastAsia="仿宋_GB2312" w:cs="Times New Roman"/>
          <w:color w:val="auto"/>
          <w:sz w:val="32"/>
          <w:szCs w:val="32"/>
          <w:lang w:val="zh-CN"/>
        </w:rPr>
        <w:t>该</w:t>
      </w:r>
      <w:r>
        <w:rPr>
          <w:rFonts w:hint="eastAsia" w:asci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lang w:val="zh-CN"/>
        </w:rPr>
        <w:t>项目的总体目标为：以勤俭办好机关食堂为宗旨，不断提升服务质量，确保食堂平稳有序运行，做好市级机关后勤服务保障工作。具体绩效目标细化量化如下：</w:t>
      </w:r>
    </w:p>
    <w:tbl>
      <w:tblPr>
        <w:tblStyle w:val="17"/>
        <w:tblW w:w="825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3"/>
        <w:gridCol w:w="1366"/>
        <w:gridCol w:w="1417"/>
        <w:gridCol w:w="2217"/>
        <w:gridCol w:w="767"/>
        <w:gridCol w:w="1300"/>
        <w:gridCol w:w="7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4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绩效指标</w:t>
            </w:r>
          </w:p>
        </w:tc>
        <w:tc>
          <w:tcPr>
            <w:tcW w:w="13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一级指标</w:t>
            </w:r>
          </w:p>
        </w:tc>
        <w:tc>
          <w:tcPr>
            <w:tcW w:w="1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二级指标</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三级指标</w:t>
            </w:r>
          </w:p>
        </w:tc>
        <w:tc>
          <w:tcPr>
            <w:tcW w:w="7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指标性质</w:t>
            </w:r>
          </w:p>
        </w:tc>
        <w:tc>
          <w:tcPr>
            <w:tcW w:w="13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指标值</w:t>
            </w:r>
          </w:p>
        </w:tc>
        <w:tc>
          <w:tcPr>
            <w:tcW w:w="7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度量单位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4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color w:val="auto"/>
                <w:sz w:val="18"/>
                <w:szCs w:val="18"/>
                <w:u w:val="none"/>
              </w:rPr>
            </w:pPr>
          </w:p>
        </w:tc>
        <w:tc>
          <w:tcPr>
            <w:tcW w:w="136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产出指标</w:t>
            </w:r>
          </w:p>
        </w:tc>
        <w:tc>
          <w:tcPr>
            <w:tcW w:w="1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数量指标</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lang w:val="en-US" w:eastAsia="zh-CN"/>
              </w:rPr>
            </w:pPr>
            <w:r>
              <w:rPr>
                <w:rFonts w:hint="default" w:ascii="Times New Roman" w:hAnsi="Times New Roman" w:eastAsia="方正仿宋_GBK" w:cs="Times New Roman"/>
                <w:i w:val="0"/>
                <w:color w:val="auto"/>
                <w:sz w:val="18"/>
                <w:szCs w:val="18"/>
                <w:u w:val="none"/>
                <w:lang w:eastAsia="zh-CN"/>
              </w:rPr>
              <w:t>保障每日就餐人数不低于</w:t>
            </w:r>
            <w:r>
              <w:rPr>
                <w:rFonts w:hint="default" w:ascii="Times New Roman" w:hAnsi="Times New Roman" w:eastAsia="方正仿宋_GBK" w:cs="Times New Roman"/>
                <w:i w:val="0"/>
                <w:color w:val="auto"/>
                <w:sz w:val="18"/>
                <w:szCs w:val="18"/>
                <w:u w:val="none"/>
                <w:lang w:val="en-US" w:eastAsia="zh-CN"/>
              </w:rPr>
              <w:t>2000人次</w:t>
            </w:r>
          </w:p>
        </w:tc>
        <w:tc>
          <w:tcPr>
            <w:tcW w:w="7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w:t>
            </w:r>
          </w:p>
        </w:tc>
        <w:tc>
          <w:tcPr>
            <w:tcW w:w="13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lang w:val="en-US"/>
              </w:rPr>
            </w:pPr>
            <w:r>
              <w:rPr>
                <w:rFonts w:hint="default" w:ascii="Times New Roman" w:hAnsi="Times New Roman" w:eastAsia="方正仿宋_GBK" w:cs="Times New Roman"/>
                <w:i w:val="0"/>
                <w:color w:val="auto"/>
                <w:kern w:val="0"/>
                <w:sz w:val="18"/>
                <w:szCs w:val="18"/>
                <w:u w:val="none"/>
                <w:lang w:val="en-US" w:eastAsia="zh-CN" w:bidi="ar"/>
              </w:rPr>
              <w:t>2000</w:t>
            </w:r>
          </w:p>
        </w:tc>
        <w:tc>
          <w:tcPr>
            <w:tcW w:w="7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人次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4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color w:val="auto"/>
                <w:sz w:val="18"/>
                <w:szCs w:val="18"/>
                <w:u w:val="none"/>
              </w:rPr>
            </w:pPr>
          </w:p>
        </w:tc>
        <w:tc>
          <w:tcPr>
            <w:tcW w:w="136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color w:val="auto"/>
                <w:sz w:val="18"/>
                <w:szCs w:val="18"/>
                <w:u w:val="none"/>
              </w:rPr>
            </w:pPr>
          </w:p>
        </w:tc>
        <w:tc>
          <w:tcPr>
            <w:tcW w:w="1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质量指标</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eastAsia" w:eastAsia="方正仿宋_GBK" w:cs="Times New Roman"/>
                <w:i w:val="0"/>
                <w:color w:val="auto"/>
                <w:kern w:val="0"/>
                <w:sz w:val="18"/>
                <w:szCs w:val="18"/>
                <w:u w:val="none"/>
                <w:lang w:val="en-US" w:eastAsia="zh-CN" w:bidi="ar"/>
              </w:rPr>
              <w:t>食品</w:t>
            </w:r>
            <w:r>
              <w:rPr>
                <w:rFonts w:hint="default" w:ascii="Times New Roman" w:hAnsi="Times New Roman" w:eastAsia="方正仿宋_GBK" w:cs="Times New Roman"/>
                <w:i w:val="0"/>
                <w:color w:val="auto"/>
                <w:kern w:val="0"/>
                <w:sz w:val="18"/>
                <w:szCs w:val="18"/>
                <w:u w:val="none"/>
                <w:lang w:val="en-US" w:eastAsia="zh-CN" w:bidi="ar"/>
              </w:rPr>
              <w:t>合格率</w:t>
            </w:r>
          </w:p>
        </w:tc>
        <w:tc>
          <w:tcPr>
            <w:tcW w:w="7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w:t>
            </w:r>
          </w:p>
        </w:tc>
        <w:tc>
          <w:tcPr>
            <w:tcW w:w="13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99</w:t>
            </w:r>
          </w:p>
        </w:tc>
        <w:tc>
          <w:tcPr>
            <w:tcW w:w="7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4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color w:val="auto"/>
                <w:sz w:val="18"/>
                <w:szCs w:val="18"/>
                <w:u w:val="none"/>
              </w:rPr>
            </w:pPr>
          </w:p>
        </w:tc>
        <w:tc>
          <w:tcPr>
            <w:tcW w:w="136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color w:val="auto"/>
                <w:sz w:val="18"/>
                <w:szCs w:val="18"/>
                <w:u w:val="none"/>
              </w:rPr>
            </w:pPr>
          </w:p>
        </w:tc>
        <w:tc>
          <w:tcPr>
            <w:tcW w:w="1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时效指标</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按年度工作计划</w:t>
            </w:r>
          </w:p>
        </w:tc>
        <w:tc>
          <w:tcPr>
            <w:tcW w:w="7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定性</w:t>
            </w:r>
          </w:p>
        </w:tc>
        <w:tc>
          <w:tcPr>
            <w:tcW w:w="13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lang w:val="en-US"/>
              </w:rPr>
            </w:pPr>
            <w:r>
              <w:rPr>
                <w:rFonts w:hint="default" w:ascii="Times New Roman" w:hAnsi="Times New Roman" w:eastAsia="方正仿宋_GBK" w:cs="Times New Roman"/>
                <w:i w:val="0"/>
                <w:color w:val="auto"/>
                <w:kern w:val="0"/>
                <w:sz w:val="18"/>
                <w:szCs w:val="18"/>
                <w:u w:val="none"/>
                <w:lang w:val="en-US" w:eastAsia="zh-CN" w:bidi="ar"/>
              </w:rPr>
              <w:t>2025</w:t>
            </w:r>
          </w:p>
        </w:tc>
        <w:tc>
          <w:tcPr>
            <w:tcW w:w="7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4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color w:val="auto"/>
                <w:sz w:val="18"/>
                <w:szCs w:val="18"/>
                <w:u w:val="none"/>
              </w:rPr>
            </w:pPr>
          </w:p>
        </w:tc>
        <w:tc>
          <w:tcPr>
            <w:tcW w:w="13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效益指标</w:t>
            </w:r>
          </w:p>
        </w:tc>
        <w:tc>
          <w:tcPr>
            <w:tcW w:w="1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可持续影响指标</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食堂工作可持续发展</w:t>
            </w:r>
          </w:p>
        </w:tc>
        <w:tc>
          <w:tcPr>
            <w:tcW w:w="7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定性</w:t>
            </w:r>
          </w:p>
        </w:tc>
        <w:tc>
          <w:tcPr>
            <w:tcW w:w="13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规范食堂工作行为</w:t>
            </w:r>
          </w:p>
        </w:tc>
        <w:tc>
          <w:tcPr>
            <w:tcW w:w="7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4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color w:val="auto"/>
                <w:sz w:val="18"/>
                <w:szCs w:val="18"/>
                <w:u w:val="none"/>
              </w:rPr>
            </w:pPr>
          </w:p>
        </w:tc>
        <w:tc>
          <w:tcPr>
            <w:tcW w:w="13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满意度指标</w:t>
            </w:r>
          </w:p>
        </w:tc>
        <w:tc>
          <w:tcPr>
            <w:tcW w:w="1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服务对象满意度指标</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干部职工满意度</w:t>
            </w:r>
          </w:p>
        </w:tc>
        <w:tc>
          <w:tcPr>
            <w:tcW w:w="7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w:t>
            </w:r>
          </w:p>
        </w:tc>
        <w:tc>
          <w:tcPr>
            <w:tcW w:w="13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90</w:t>
            </w:r>
          </w:p>
        </w:tc>
        <w:tc>
          <w:tcPr>
            <w:tcW w:w="7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44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color w:val="auto"/>
                <w:sz w:val="18"/>
                <w:szCs w:val="18"/>
                <w:u w:val="none"/>
              </w:rPr>
            </w:pPr>
          </w:p>
        </w:tc>
        <w:tc>
          <w:tcPr>
            <w:tcW w:w="13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成本指标</w:t>
            </w:r>
          </w:p>
        </w:tc>
        <w:tc>
          <w:tcPr>
            <w:tcW w:w="1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经济成本指标</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严格进行成本控制</w:t>
            </w:r>
          </w:p>
        </w:tc>
        <w:tc>
          <w:tcPr>
            <w:tcW w:w="7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w:t>
            </w:r>
          </w:p>
        </w:tc>
        <w:tc>
          <w:tcPr>
            <w:tcW w:w="13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lang w:val="en-US"/>
              </w:rPr>
            </w:pPr>
            <w:r>
              <w:rPr>
                <w:rFonts w:hint="default" w:ascii="Times New Roman" w:hAnsi="Times New Roman" w:eastAsia="方正仿宋_GBK" w:cs="Times New Roman"/>
                <w:i w:val="0"/>
                <w:color w:val="auto"/>
                <w:kern w:val="0"/>
                <w:sz w:val="18"/>
                <w:szCs w:val="18"/>
                <w:u w:val="none"/>
                <w:lang w:val="en-US" w:eastAsia="zh-CN" w:bidi="ar"/>
              </w:rPr>
              <w:t>600.93</w:t>
            </w:r>
          </w:p>
        </w:tc>
        <w:tc>
          <w:tcPr>
            <w:tcW w:w="7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万元</w:t>
            </w:r>
          </w:p>
        </w:tc>
      </w:tr>
    </w:tbl>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zh-CN"/>
        </w:rPr>
        <w:t>3. 分析评价申报内容是否与实际相符，申报目标是否合理可行。经对照分析和实际运行验证，项目申报内容与市级机关职工食堂实际运行保障需求吻合。绩效目标体系设置综合考虑了食堂运营规模、成本约束条件、服务质量标准等现实因素，各项目标值具有合理性。</w:t>
      </w:r>
    </w:p>
    <w:p>
      <w:pPr>
        <w:adjustRightInd w:val="0"/>
        <w:snapToGrid w:val="0"/>
        <w:spacing w:line="600" w:lineRule="exact"/>
        <w:ind w:firstLine="720"/>
        <w:rPr>
          <w:rFonts w:hint="default" w:ascii="Times New Roman" w:hAnsi="Times New Roman" w:eastAsia="仿宋_GB2312" w:cs="Times New Roman"/>
          <w:color w:val="auto"/>
          <w:sz w:val="32"/>
          <w:szCs w:val="32"/>
          <w:lang w:val="zh-CN"/>
        </w:rPr>
      </w:pPr>
      <w:r>
        <w:rPr>
          <w:rFonts w:hint="default" w:ascii="Times New Roman" w:hAnsi="Times New Roman" w:eastAsia="楷体_GB2312" w:cs="Times New Roman"/>
          <w:b/>
          <w:color w:val="auto"/>
          <w:sz w:val="32"/>
          <w:szCs w:val="32"/>
          <w:lang w:val="zh-CN"/>
        </w:rPr>
        <w:t>（三）项目自评步骤及方法。</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baseline"/>
        <w:rPr>
          <w:rFonts w:hint="default" w:ascii="Times New Roman" w:hAnsi="Times New Roman" w:eastAsia="仿宋_GB2312" w:cs="Times New Roman"/>
          <w:color w:val="auto"/>
          <w:kern w:val="2"/>
          <w:sz w:val="32"/>
          <w:szCs w:val="32"/>
          <w:lang w:val="zh-CN" w:eastAsia="zh-CN" w:bidi="ar-SA"/>
        </w:rPr>
      </w:pPr>
      <w:r>
        <w:rPr>
          <w:rFonts w:hint="default" w:ascii="Times New Roman" w:hAnsi="Times New Roman" w:eastAsia="仿宋_GB2312" w:cs="Times New Roman"/>
          <w:b w:val="0"/>
          <w:bCs w:val="0"/>
          <w:color w:val="auto"/>
          <w:kern w:val="0"/>
          <w:position w:val="0"/>
          <w:sz w:val="32"/>
          <w:szCs w:val="32"/>
          <w:highlight w:val="none"/>
          <w:lang w:val="zh-CN" w:eastAsia="zh-CN" w:bidi="ar-SA"/>
        </w:rPr>
        <w:t>根据资金实施内容，</w:t>
      </w:r>
      <w:r>
        <w:rPr>
          <w:rFonts w:hint="default" w:ascii="Times New Roman" w:hAnsi="Times New Roman" w:eastAsia="仿宋_GB2312" w:cs="Times New Roman"/>
          <w:color w:val="auto"/>
          <w:kern w:val="2"/>
          <w:sz w:val="32"/>
          <w:szCs w:val="32"/>
          <w:lang w:val="zh-CN" w:eastAsia="zh-CN" w:bidi="ar-SA"/>
        </w:rPr>
        <w:t>本项目采用单位自评法，对项目完成情况及支付情况进行绩效评价。</w:t>
      </w:r>
    </w:p>
    <w:p>
      <w:pPr>
        <w:adjustRightInd w:val="0"/>
        <w:snapToGrid w:val="0"/>
        <w:spacing w:line="600" w:lineRule="exact"/>
        <w:ind w:firstLine="72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二、项目资金申报及使用情况</w:t>
      </w:r>
    </w:p>
    <w:p>
      <w:pPr>
        <w:adjustRightInd w:val="0"/>
        <w:snapToGrid w:val="0"/>
        <w:spacing w:line="600"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（一）项目资金申报及批复情况。</w:t>
      </w:r>
    </w:p>
    <w:p>
      <w:pPr>
        <w:pStyle w:val="6"/>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default" w:ascii="Times New Roman" w:hAnsi="Times New Roman" w:cs="Times New Roman"/>
          <w:color w:val="auto"/>
          <w:lang w:val="zh-CN"/>
        </w:rPr>
      </w:pPr>
      <w:r>
        <w:rPr>
          <w:rFonts w:hint="default" w:ascii="Times New Roman" w:hAnsi="Times New Roman" w:cs="Times New Roman"/>
          <w:color w:val="auto"/>
          <w:sz w:val="32"/>
          <w:szCs w:val="32"/>
          <w:lang w:val="zh-CN"/>
        </w:rPr>
        <w:t>市机关后勤服务中心</w:t>
      </w:r>
      <w:r>
        <w:rPr>
          <w:rFonts w:hint="eastAsia" w:ascii="Times New Roman" w:cs="Times New Roman"/>
          <w:color w:val="auto"/>
          <w:sz w:val="32"/>
          <w:szCs w:val="32"/>
          <w:lang w:val="zh-CN"/>
        </w:rPr>
        <w:t>按要求</w:t>
      </w:r>
      <w:r>
        <w:rPr>
          <w:rFonts w:hint="default" w:ascii="Times New Roman" w:hAnsi="Times New Roman" w:cs="Times New Roman"/>
          <w:color w:val="auto"/>
          <w:sz w:val="32"/>
          <w:szCs w:val="32"/>
          <w:lang w:val="zh-CN"/>
        </w:rPr>
        <w:t>编制专项经费预算</w:t>
      </w:r>
      <w:r>
        <w:rPr>
          <w:rFonts w:hint="default" w:ascii="Times New Roman" w:hAnsi="Times New Roman" w:cs="Times New Roman"/>
          <w:color w:val="auto"/>
          <w:sz w:val="32"/>
          <w:szCs w:val="32"/>
          <w:lang w:val="en-US" w:eastAsia="zh-CN"/>
        </w:rPr>
        <w:t>600.93万元</w:t>
      </w:r>
      <w:r>
        <w:rPr>
          <w:rFonts w:hint="default" w:ascii="Times New Roman" w:hAnsi="Times New Roman" w:cs="Times New Roman"/>
          <w:color w:val="auto"/>
          <w:sz w:val="32"/>
          <w:szCs w:val="32"/>
          <w:lang w:val="zh-CN"/>
        </w:rPr>
        <w:t>，经办公室审核汇总后，随年度部门预算统一报送市财政局。市财政局依据《预算法》及预算管理相关规定，结合项目实际需求，对预算申报进行审核批复，将本项目纳入2025年度部门预算予以安排。全年预算执行过程中，严格按照批复的预算科目、金额和用途执行，未发生预算调整事项</w:t>
      </w:r>
      <w:r>
        <w:rPr>
          <w:rFonts w:hint="default" w:ascii="Times New Roman" w:hAnsi="Times New Roman" w:cs="Times New Roman"/>
          <w:color w:val="auto"/>
          <w:lang w:val="zh-CN"/>
        </w:rPr>
        <w:t>。</w:t>
      </w:r>
    </w:p>
    <w:p>
      <w:pPr>
        <w:adjustRightInd w:val="0"/>
        <w:snapToGrid w:val="0"/>
        <w:spacing w:line="600" w:lineRule="exact"/>
        <w:ind w:firstLine="720"/>
        <w:rPr>
          <w:rFonts w:hint="default" w:ascii="Times New Roman" w:hAnsi="Times New Roman" w:eastAsia="仿宋_GB2312" w:cs="Times New Roman"/>
          <w:color w:val="auto"/>
          <w:sz w:val="32"/>
          <w:szCs w:val="32"/>
          <w:lang w:val="zh-CN"/>
        </w:rPr>
      </w:pPr>
      <w:r>
        <w:rPr>
          <w:rFonts w:hint="default" w:ascii="Times New Roman" w:hAnsi="Times New Roman" w:eastAsia="楷体_GB2312" w:cs="Times New Roman"/>
          <w:b/>
          <w:color w:val="auto"/>
          <w:sz w:val="32"/>
          <w:szCs w:val="32"/>
          <w:lang w:val="zh-CN"/>
        </w:rPr>
        <w:t>（二）资金计划、到位及使用情况</w:t>
      </w:r>
    </w:p>
    <w:p>
      <w:pPr>
        <w:adjustRightInd w:val="0"/>
        <w:snapToGrid w:val="0"/>
        <w:spacing w:line="600" w:lineRule="exact"/>
        <w:ind w:firstLine="720"/>
        <w:rPr>
          <w:rFonts w:hint="default" w:ascii="Times New Roman" w:hAnsi="Times New Roman" w:eastAsia="仿宋_GB2312" w:cs="Times New Roman"/>
          <w:color w:val="auto"/>
          <w:kern w:val="0"/>
          <w:sz w:val="32"/>
          <w:szCs w:val="32"/>
          <w:lang w:val="zh-CN" w:eastAsia="zh-CN" w:bidi="ar-SA"/>
        </w:rPr>
      </w:pPr>
      <w:r>
        <w:rPr>
          <w:rFonts w:hint="default" w:ascii="Times New Roman" w:hAnsi="Times New Roman" w:eastAsia="楷体_GB2312" w:cs="Times New Roman"/>
          <w:color w:val="auto"/>
          <w:sz w:val="32"/>
          <w:szCs w:val="32"/>
          <w:lang w:val="zh-CN"/>
        </w:rPr>
        <w:t>1．资金计划。</w:t>
      </w:r>
      <w:r>
        <w:rPr>
          <w:rFonts w:hint="default" w:ascii="Times New Roman" w:hAnsi="Times New Roman" w:eastAsia="仿宋_GB2312" w:cs="Times New Roman"/>
          <w:color w:val="auto"/>
          <w:kern w:val="0"/>
          <w:sz w:val="32"/>
          <w:szCs w:val="32"/>
          <w:lang w:val="zh-CN" w:eastAsia="zh-CN" w:bidi="ar-SA"/>
        </w:rPr>
        <w:t>本项目2025年度资金计划总额为</w:t>
      </w:r>
      <w:r>
        <w:rPr>
          <w:rFonts w:hint="default" w:ascii="Times New Roman" w:hAnsi="Times New Roman" w:eastAsia="仿宋_GB2312" w:cs="Times New Roman"/>
          <w:color w:val="auto"/>
          <w:kern w:val="0"/>
          <w:sz w:val="32"/>
          <w:szCs w:val="32"/>
          <w:lang w:val="en-US" w:eastAsia="zh-CN" w:bidi="ar-SA"/>
        </w:rPr>
        <w:t>600.93</w:t>
      </w:r>
      <w:r>
        <w:rPr>
          <w:rFonts w:hint="default" w:ascii="Times New Roman" w:hAnsi="Times New Roman" w:eastAsia="仿宋_GB2312" w:cs="Times New Roman"/>
          <w:color w:val="auto"/>
          <w:kern w:val="0"/>
          <w:sz w:val="32"/>
          <w:szCs w:val="32"/>
          <w:lang w:val="zh-CN" w:eastAsia="zh-CN" w:bidi="ar-SA"/>
        </w:rPr>
        <w:t>万元，资金来源全部为市级财政资金（一般公共预算拨款），无中央、省级转移支付资金，无银行贷款及其他渠道资金。</w:t>
      </w:r>
    </w:p>
    <w:p>
      <w:pPr>
        <w:adjustRightInd w:val="0"/>
        <w:snapToGrid w:val="0"/>
        <w:spacing w:line="600" w:lineRule="exact"/>
        <w:ind w:firstLine="720"/>
        <w:rPr>
          <w:rFonts w:hint="default" w:ascii="Times New Roman" w:hAnsi="Times New Roman" w:eastAsia="仿宋_GB2312" w:cs="Times New Roman"/>
          <w:color w:val="auto"/>
          <w:kern w:val="0"/>
          <w:sz w:val="32"/>
          <w:szCs w:val="32"/>
          <w:lang w:val="zh-CN" w:eastAsia="zh-CN" w:bidi="ar-SA"/>
        </w:rPr>
      </w:pPr>
      <w:r>
        <w:rPr>
          <w:rFonts w:hint="default" w:ascii="Times New Roman" w:hAnsi="Times New Roman" w:eastAsia="楷体_GB2312" w:cs="Times New Roman"/>
          <w:color w:val="auto"/>
          <w:sz w:val="32"/>
          <w:szCs w:val="32"/>
          <w:lang w:val="zh-CN"/>
        </w:rPr>
        <w:t>2．资金到位。</w:t>
      </w:r>
      <w:r>
        <w:rPr>
          <w:rFonts w:hint="default" w:ascii="Times New Roman" w:hAnsi="Times New Roman" w:eastAsia="仿宋_GB2312" w:cs="Times New Roman"/>
          <w:color w:val="auto"/>
          <w:kern w:val="0"/>
          <w:sz w:val="32"/>
          <w:szCs w:val="32"/>
          <w:lang w:val="zh-CN" w:eastAsia="zh-CN" w:bidi="ar-SA"/>
        </w:rPr>
        <w:t>项目全年实际到位资金</w:t>
      </w:r>
      <w:r>
        <w:rPr>
          <w:rFonts w:hint="default" w:ascii="Times New Roman" w:hAnsi="Times New Roman" w:eastAsia="仿宋_GB2312" w:cs="Times New Roman"/>
          <w:color w:val="auto"/>
          <w:kern w:val="0"/>
          <w:sz w:val="32"/>
          <w:szCs w:val="32"/>
          <w:lang w:val="en-US" w:eastAsia="zh-CN" w:bidi="ar-SA"/>
        </w:rPr>
        <w:t>600.93</w:t>
      </w:r>
      <w:r>
        <w:rPr>
          <w:rFonts w:hint="default" w:ascii="Times New Roman" w:hAnsi="Times New Roman" w:eastAsia="仿宋_GB2312" w:cs="Times New Roman"/>
          <w:color w:val="auto"/>
          <w:kern w:val="0"/>
          <w:sz w:val="32"/>
          <w:szCs w:val="32"/>
          <w:lang w:val="zh-CN" w:eastAsia="zh-CN" w:bidi="ar-SA"/>
        </w:rPr>
        <w:t>万元，资金到位率100%。资金按照年度预算安排和项目实施进度分批次及时拨付到位，到位及时性良好，未出现因资金拨付延迟而影响食堂正常运转的情况。</w:t>
      </w:r>
    </w:p>
    <w:p>
      <w:pPr>
        <w:adjustRightInd w:val="0"/>
        <w:snapToGrid w:val="0"/>
        <w:spacing w:line="600" w:lineRule="exact"/>
        <w:ind w:firstLine="720"/>
        <w:rPr>
          <w:rFonts w:hint="default" w:ascii="Times New Roman" w:hAnsi="Times New Roman" w:eastAsia="仿宋_GB2312" w:cs="Times New Roman"/>
          <w:color w:val="auto"/>
          <w:sz w:val="32"/>
          <w:szCs w:val="32"/>
          <w:lang w:val="zh-CN"/>
        </w:rPr>
      </w:pPr>
      <w:r>
        <w:rPr>
          <w:rFonts w:hint="default" w:ascii="Times New Roman" w:hAnsi="Times New Roman" w:eastAsia="楷体_GB2312" w:cs="Times New Roman"/>
          <w:color w:val="auto"/>
          <w:sz w:val="32"/>
          <w:szCs w:val="32"/>
          <w:lang w:val="zh-CN"/>
        </w:rPr>
        <w:t>3．资金使用。</w:t>
      </w:r>
      <w:r>
        <w:rPr>
          <w:rFonts w:hint="default" w:ascii="Times New Roman" w:hAnsi="Times New Roman" w:eastAsia="仿宋_GB2312" w:cs="Times New Roman"/>
          <w:color w:val="auto"/>
          <w:sz w:val="32"/>
          <w:szCs w:val="32"/>
          <w:lang w:val="zh-CN"/>
        </w:rPr>
        <w:t>项目实际支出</w:t>
      </w:r>
      <w:r>
        <w:rPr>
          <w:rFonts w:hint="default" w:ascii="Times New Roman" w:hAnsi="Times New Roman" w:eastAsia="仿宋_GB2312" w:cs="Times New Roman"/>
          <w:color w:val="auto"/>
          <w:sz w:val="32"/>
          <w:szCs w:val="32"/>
          <w:lang w:val="en-US" w:eastAsia="zh-CN"/>
        </w:rPr>
        <w:t>600.93</w:t>
      </w:r>
      <w:r>
        <w:rPr>
          <w:rFonts w:hint="default" w:ascii="Times New Roman" w:hAnsi="Times New Roman" w:eastAsia="仿宋_GB2312" w:cs="Times New Roman"/>
          <w:color w:val="auto"/>
          <w:sz w:val="32"/>
          <w:szCs w:val="32"/>
          <w:lang w:val="zh-CN"/>
        </w:rPr>
        <w:t>万元，预算执行率100%。所有支出严格按照预算批复范围和标准执行，资金支付范围清晰、支付标准合规、支付进度与项目实施进度相匹配、支付依据真实完整。资金使用符合国家财经法规和财务管理制度要求，不存在超范围、超标准、超进度使用专项资金的情况，不存在资金损失浪费、长期沉淀、截留、挤占、挪用、虚列支出等违规问题。</w:t>
      </w:r>
    </w:p>
    <w:p>
      <w:pPr>
        <w:adjustRightInd w:val="0"/>
        <w:snapToGrid w:val="0"/>
        <w:spacing w:line="600"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（三）项目财务管理情况。</w:t>
      </w:r>
    </w:p>
    <w:p>
      <w:pPr>
        <w:adjustRightInd w:val="0"/>
        <w:snapToGrid w:val="0"/>
        <w:spacing w:line="600" w:lineRule="exact"/>
        <w:ind w:firstLine="720"/>
        <w:rPr>
          <w:rFonts w:hint="default" w:ascii="Times New Roman" w:hAnsi="Times New Roman" w:eastAsia="仿宋_GB2312" w:cs="Times New Roman"/>
          <w:color w:val="auto"/>
          <w:sz w:val="32"/>
          <w:szCs w:val="32"/>
          <w:lang w:val="zh-CN"/>
        </w:rPr>
      </w:pPr>
      <w:r>
        <w:rPr>
          <w:rFonts w:hint="eastAsia" w:eastAsia="仿宋_GB2312" w:cs="Times New Roman"/>
          <w:color w:val="auto"/>
          <w:sz w:val="32"/>
          <w:szCs w:val="32"/>
          <w:lang w:val="zh-CN"/>
        </w:rPr>
        <w:t>该项目</w:t>
      </w:r>
      <w:r>
        <w:rPr>
          <w:rFonts w:hint="default" w:ascii="Times New Roman" w:hAnsi="Times New Roman" w:eastAsia="仿宋_GB2312" w:cs="Times New Roman"/>
          <w:color w:val="auto"/>
          <w:sz w:val="32"/>
          <w:szCs w:val="32"/>
          <w:lang w:val="zh-CN"/>
        </w:rPr>
        <w:t>财务管理规范有序，严格执行国家财经法规及内部财务管理制度，做到专款专用、独立核算。审批严格，经费支出履行规范审批流程，大额支出经集体决策。核算及时，账务处理合规，凭证齐全，账实相符。</w:t>
      </w:r>
    </w:p>
    <w:p>
      <w:pPr>
        <w:adjustRightInd w:val="0"/>
        <w:snapToGrid w:val="0"/>
        <w:spacing w:line="600" w:lineRule="exact"/>
        <w:ind w:firstLine="72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三、项目实施及管理情况</w:t>
      </w:r>
    </w:p>
    <w:p>
      <w:pPr>
        <w:adjustRightInd w:val="0"/>
        <w:snapToGrid w:val="0"/>
        <w:spacing w:line="600" w:lineRule="exact"/>
        <w:ind w:firstLine="720"/>
        <w:rPr>
          <w:rFonts w:hint="default" w:ascii="Times New Roman" w:hAnsi="Times New Roman" w:eastAsia="仿宋_GB2312" w:cs="Times New Roman"/>
          <w:color w:val="auto"/>
          <w:sz w:val="32"/>
          <w:szCs w:val="32"/>
          <w:lang w:val="zh-CN"/>
        </w:rPr>
      </w:pPr>
      <w:r>
        <w:rPr>
          <w:rFonts w:hint="default" w:ascii="Times New Roman" w:hAnsi="Times New Roman" w:eastAsia="楷体_GB2312" w:cs="Times New Roman"/>
          <w:b/>
          <w:color w:val="auto"/>
          <w:sz w:val="32"/>
          <w:szCs w:val="32"/>
          <w:lang w:val="zh-CN"/>
        </w:rPr>
        <w:t>（一）项目组织架构及实施流程。</w:t>
      </w:r>
      <w:r>
        <w:rPr>
          <w:rFonts w:hint="default" w:ascii="Times New Roman" w:hAnsi="Times New Roman" w:eastAsia="仿宋_GB2312" w:cs="Times New Roman"/>
          <w:color w:val="auto"/>
          <w:sz w:val="32"/>
          <w:szCs w:val="32"/>
          <w:lang w:val="zh-CN"/>
        </w:rPr>
        <w:t>市机关事务服务中心作为主管部门，负责项目的总体指导和重大事项决策；市机关后勤服务中心作为具体实施单位，承担项目立项申报、日常管理、服务监督等执行层面工作；驻中心纪检监察组负责对项目资金使用和科室履职情况进行监督检查。</w:t>
      </w:r>
    </w:p>
    <w:p>
      <w:pPr>
        <w:adjustRightInd w:val="0"/>
        <w:snapToGrid w:val="0"/>
        <w:spacing w:line="600" w:lineRule="exact"/>
        <w:ind w:firstLine="720"/>
        <w:rPr>
          <w:rFonts w:hint="default" w:ascii="Times New Roman" w:hAnsi="Times New Roman" w:eastAsia="仿宋_GB2312" w:cs="Times New Roman"/>
          <w:color w:val="auto"/>
          <w:sz w:val="32"/>
          <w:szCs w:val="32"/>
          <w:lang w:val="zh-CN" w:eastAsia="zh-CN"/>
        </w:rPr>
      </w:pPr>
      <w:r>
        <w:rPr>
          <w:rFonts w:hint="default" w:ascii="Times New Roman" w:hAnsi="Times New Roman" w:eastAsia="楷体_GB2312" w:cs="Times New Roman"/>
          <w:b/>
          <w:color w:val="auto"/>
          <w:sz w:val="32"/>
          <w:szCs w:val="32"/>
          <w:lang w:val="zh-CN"/>
        </w:rPr>
        <w:t>（二）项目管理情况。</w:t>
      </w:r>
      <w:r>
        <w:rPr>
          <w:rFonts w:hint="default" w:ascii="Times New Roman" w:hAnsi="Times New Roman" w:eastAsia="仿宋_GB2312" w:cs="Times New Roman"/>
          <w:color w:val="auto"/>
          <w:sz w:val="32"/>
          <w:szCs w:val="32"/>
          <w:lang w:val="zh-CN"/>
        </w:rPr>
        <w:t>科学编制食堂经费年度预算，依据就餐人数、食材价格波动等因素动态调整。建立健全食材采购、出入库管理、成本核算、伙食质量等内控制度，明确岗位职责与操作规范。实行每月成本核算分析，对比实际支出与预算偏差，及时发现并纠正异常，确保项目运行平稳有序、服务保障到位。</w:t>
      </w:r>
    </w:p>
    <w:p>
      <w:pPr>
        <w:adjustRightInd w:val="0"/>
        <w:snapToGrid w:val="0"/>
        <w:spacing w:line="600" w:lineRule="exact"/>
        <w:ind w:firstLine="720"/>
        <w:rPr>
          <w:rFonts w:hint="default" w:ascii="Times New Roman" w:hAnsi="Times New Roman" w:eastAsia="宋体" w:cs="Times New Roman"/>
          <w:color w:val="auto"/>
          <w:sz w:val="32"/>
          <w:szCs w:val="32"/>
          <w:lang w:val="zh-CN" w:eastAsia="zh-CN"/>
        </w:rPr>
      </w:pPr>
      <w:r>
        <w:rPr>
          <w:rFonts w:hint="default" w:ascii="Times New Roman" w:hAnsi="Times New Roman" w:eastAsia="楷体_GB2312" w:cs="Times New Roman"/>
          <w:b/>
          <w:color w:val="auto"/>
          <w:sz w:val="32"/>
          <w:szCs w:val="32"/>
          <w:lang w:val="zh-CN"/>
        </w:rPr>
        <w:t>（三）项目监管情况。</w:t>
      </w:r>
      <w:r>
        <w:rPr>
          <w:rFonts w:hint="default" w:ascii="Times New Roman" w:hAnsi="Times New Roman" w:eastAsia="仿宋_GB2312" w:cs="Times New Roman"/>
          <w:color w:val="auto"/>
          <w:sz w:val="32"/>
          <w:szCs w:val="32"/>
          <w:lang w:val="zh-CN" w:eastAsia="zh-CN"/>
        </w:rPr>
        <w:t>建立从食材采购、库存消耗到餐食标准的全流程台账制度，所有支出须凭正规票据双人复核，确保资金流向可溯、账实相符。</w:t>
      </w:r>
    </w:p>
    <w:p>
      <w:pPr>
        <w:adjustRightInd w:val="0"/>
        <w:snapToGrid w:val="0"/>
        <w:spacing w:line="600" w:lineRule="exact"/>
        <w:ind w:firstLine="720"/>
        <w:rPr>
          <w:rFonts w:hint="default" w:ascii="Times New Roman" w:hAnsi="Times New Roman" w:eastAsia="仿宋_GB2312" w:cs="Times New Roman"/>
          <w:color w:val="auto"/>
          <w:sz w:val="32"/>
          <w:szCs w:val="32"/>
          <w:lang w:val="zh-CN"/>
        </w:rPr>
      </w:pPr>
      <w:r>
        <w:rPr>
          <w:rFonts w:hint="default" w:ascii="Times New Roman" w:hAnsi="Times New Roman" w:eastAsia="黑体" w:cs="Times New Roman"/>
          <w:color w:val="auto"/>
          <w:sz w:val="32"/>
          <w:szCs w:val="32"/>
        </w:rPr>
        <w:t>四、项目绩效情况</w:t>
      </w:r>
      <w:r>
        <w:rPr>
          <w:rFonts w:hint="default" w:ascii="Times New Roman" w:hAnsi="Times New Roman" w:eastAsia="仿宋_GB2312" w:cs="Times New Roman"/>
          <w:color w:val="auto"/>
          <w:sz w:val="32"/>
          <w:szCs w:val="32"/>
          <w:lang w:val="zh-CN"/>
        </w:rPr>
        <w:tab/>
      </w:r>
    </w:p>
    <w:p>
      <w:pPr>
        <w:adjustRightInd w:val="0"/>
        <w:snapToGrid w:val="0"/>
        <w:spacing w:line="600"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（一）项目完成情况。</w:t>
      </w:r>
    </w:p>
    <w:p>
      <w:pPr>
        <w:adjustRightInd w:val="0"/>
        <w:snapToGrid w:val="0"/>
        <w:spacing w:line="60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楷体_GB2312" w:cs="Times New Roman"/>
          <w:color w:val="auto"/>
          <w:sz w:val="32"/>
          <w:szCs w:val="32"/>
          <w:lang w:val="zh-CN"/>
        </w:rPr>
        <w:t>．</w:t>
      </w:r>
      <w:r>
        <w:rPr>
          <w:rFonts w:hint="default" w:ascii="Times New Roman" w:hAnsi="Times New Roman" w:eastAsia="仿宋_GB2312" w:cs="Times New Roman"/>
          <w:color w:val="auto"/>
          <w:sz w:val="32"/>
          <w:szCs w:val="32"/>
          <w:lang w:val="en-US" w:eastAsia="zh-CN"/>
        </w:rPr>
        <w:t>数量指标完成情况。 食堂保障123余个部门6500余名干部职工用餐，全年累计保障61万人次就餐，供餐保障持续稳定。</w:t>
      </w:r>
    </w:p>
    <w:p>
      <w:pPr>
        <w:adjustRightInd w:val="0"/>
        <w:snapToGrid w:val="0"/>
        <w:spacing w:line="60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楷体_GB2312" w:cs="Times New Roman"/>
          <w:color w:val="auto"/>
          <w:sz w:val="32"/>
          <w:szCs w:val="32"/>
          <w:lang w:val="zh-CN"/>
        </w:rPr>
        <w:t>．</w:t>
      </w:r>
      <w:r>
        <w:rPr>
          <w:rFonts w:hint="default" w:ascii="Times New Roman" w:hAnsi="Times New Roman" w:eastAsia="仿宋_GB2312" w:cs="Times New Roman"/>
          <w:color w:val="auto"/>
          <w:sz w:val="32"/>
          <w:szCs w:val="32"/>
          <w:lang w:val="en-US" w:eastAsia="zh-CN"/>
        </w:rPr>
        <w:t>质量指标完成情况。 食品安全合格率</w:t>
      </w:r>
      <w:r>
        <w:rPr>
          <w:rFonts w:hint="eastAsia" w:eastAsia="仿宋_GB2312" w:cs="Times New Roman"/>
          <w:color w:val="auto"/>
          <w:sz w:val="32"/>
          <w:szCs w:val="32"/>
          <w:lang w:val="en-US" w:eastAsia="zh-CN"/>
        </w:rPr>
        <w:t>100%，</w:t>
      </w:r>
      <w:r>
        <w:rPr>
          <w:rFonts w:hint="default" w:ascii="Times New Roman" w:hAnsi="Times New Roman" w:eastAsia="仿宋_GB2312" w:cs="Times New Roman"/>
          <w:color w:val="auto"/>
          <w:sz w:val="32"/>
          <w:szCs w:val="32"/>
          <w:lang w:val="en-US" w:eastAsia="zh-CN"/>
        </w:rPr>
        <w:t>全年未发生食品安全事故，未接到食品卫生方面的投诉举报。</w:t>
      </w:r>
    </w:p>
    <w:p>
      <w:pPr>
        <w:adjustRightInd w:val="0"/>
        <w:snapToGrid w:val="0"/>
        <w:spacing w:line="60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楷体_GB2312" w:cs="Times New Roman"/>
          <w:color w:val="auto"/>
          <w:sz w:val="32"/>
          <w:szCs w:val="32"/>
          <w:lang w:val="zh-CN"/>
        </w:rPr>
        <w:t>．</w:t>
      </w:r>
      <w:r>
        <w:rPr>
          <w:rFonts w:hint="default" w:ascii="Times New Roman" w:hAnsi="Times New Roman" w:eastAsia="仿宋_GB2312" w:cs="Times New Roman"/>
          <w:color w:val="auto"/>
          <w:sz w:val="32"/>
          <w:szCs w:val="32"/>
          <w:lang w:val="en-US" w:eastAsia="zh-CN"/>
        </w:rPr>
        <w:t>时效指标完成情况。 所有工作均按照年度计划有序推进，各阶段任务按时完成率100%，食堂全年运行正常，无重大延误或停滞情况。</w:t>
      </w:r>
    </w:p>
    <w:p>
      <w:pPr>
        <w:adjustRightInd w:val="0"/>
        <w:snapToGrid w:val="0"/>
        <w:spacing w:line="60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w:t>
      </w:r>
      <w:r>
        <w:rPr>
          <w:rFonts w:hint="default" w:ascii="Times New Roman" w:hAnsi="Times New Roman" w:eastAsia="楷体_GB2312" w:cs="Times New Roman"/>
          <w:color w:val="auto"/>
          <w:sz w:val="32"/>
          <w:szCs w:val="32"/>
          <w:lang w:val="zh-CN"/>
        </w:rPr>
        <w:t>．</w:t>
      </w:r>
      <w:r>
        <w:rPr>
          <w:rFonts w:hint="default" w:ascii="Times New Roman" w:hAnsi="Times New Roman" w:eastAsia="仿宋_GB2312" w:cs="Times New Roman"/>
          <w:color w:val="auto"/>
          <w:sz w:val="32"/>
          <w:szCs w:val="32"/>
          <w:lang w:val="en-US" w:eastAsia="zh-CN"/>
        </w:rPr>
        <w:t>成本指标完成情况。 严格执行成本控制标准，早餐按7元/人·次、午餐按13元/人·次成本价控制，全年各项支出均控制在预算范围内，实现了预期成本管控目标。</w:t>
      </w:r>
    </w:p>
    <w:p>
      <w:pPr>
        <w:adjustRightInd w:val="0"/>
        <w:snapToGrid w:val="0"/>
        <w:spacing w:line="600"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（二）项目效益情况。</w:t>
      </w:r>
    </w:p>
    <w:p>
      <w:pPr>
        <w:adjustRightInd w:val="0"/>
        <w:snapToGrid w:val="0"/>
        <w:spacing w:line="600" w:lineRule="exact"/>
        <w:ind w:firstLine="640" w:firstLineChars="200"/>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楷体_GB2312" w:cs="Times New Roman"/>
          <w:color w:val="auto"/>
          <w:sz w:val="32"/>
          <w:szCs w:val="32"/>
          <w:lang w:val="zh-CN"/>
        </w:rPr>
        <w:t>．</w:t>
      </w:r>
      <w:r>
        <w:rPr>
          <w:rFonts w:hint="default" w:ascii="Times New Roman" w:hAnsi="Times New Roman" w:eastAsia="仿宋_GB2312" w:cs="Times New Roman"/>
          <w:color w:val="auto"/>
          <w:sz w:val="32"/>
          <w:szCs w:val="32"/>
          <w:lang w:val="zh-CN"/>
        </w:rPr>
        <w:t>可持续效益。通过修订完善食堂管理制度等各项配套制度，明确各岗位职责和操作规范，食堂工作形成了制度完善、标准明确、运行规范的良性发展机制。市机关后勤服务中心在项目实施中积累了丰富的食堂运营管理经验，为机关食堂的长期可持续发展奠定了坚实基础。</w:t>
      </w:r>
    </w:p>
    <w:p>
      <w:pPr>
        <w:adjustRightInd w:val="0"/>
        <w:snapToGrid w:val="0"/>
        <w:spacing w:line="60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楷体_GB2312" w:cs="Times New Roman"/>
          <w:color w:val="auto"/>
          <w:sz w:val="32"/>
          <w:szCs w:val="32"/>
          <w:lang w:val="zh-CN"/>
        </w:rPr>
        <w:t>．</w:t>
      </w:r>
      <w:r>
        <w:rPr>
          <w:rFonts w:hint="default" w:ascii="Times New Roman" w:hAnsi="Times New Roman" w:eastAsia="仿宋_GB2312" w:cs="Times New Roman"/>
          <w:color w:val="auto"/>
          <w:sz w:val="32"/>
          <w:szCs w:val="32"/>
          <w:lang w:val="en-US" w:eastAsia="zh-CN"/>
        </w:rPr>
        <w:t>服务对象满意度。干部职工对食堂整体服务综合满意率达到97%，</w:t>
      </w:r>
      <w:r>
        <w:rPr>
          <w:rFonts w:hint="eastAsia" w:eastAsia="仿宋_GB2312" w:cs="Times New Roman"/>
          <w:color w:val="auto"/>
          <w:sz w:val="32"/>
          <w:szCs w:val="32"/>
          <w:lang w:val="en-US" w:eastAsia="zh-CN"/>
        </w:rPr>
        <w:t>超额完成满意度指标</w:t>
      </w:r>
      <w:r>
        <w:rPr>
          <w:rFonts w:hint="default" w:ascii="Times New Roman" w:hAnsi="Times New Roman" w:eastAsia="仿宋_GB2312" w:cs="Times New Roman"/>
          <w:color w:val="auto"/>
          <w:sz w:val="32"/>
          <w:szCs w:val="32"/>
          <w:lang w:val="en-US" w:eastAsia="zh-CN"/>
        </w:rPr>
        <w:t>。</w:t>
      </w:r>
    </w:p>
    <w:p>
      <w:pPr>
        <w:adjustRightInd w:val="0"/>
        <w:snapToGrid w:val="0"/>
        <w:spacing w:line="600" w:lineRule="exact"/>
        <w:ind w:firstLine="72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五、评价结论及建议</w:t>
      </w:r>
    </w:p>
    <w:p>
      <w:pPr>
        <w:adjustRightInd w:val="0"/>
        <w:snapToGrid w:val="0"/>
        <w:spacing w:line="600"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（一）评价结论。</w:t>
      </w:r>
    </w:p>
    <w:p>
      <w:pPr>
        <w:adjustRightInd w:val="0"/>
        <w:snapToGrid w:val="0"/>
        <w:spacing w:line="600" w:lineRule="exact"/>
        <w:ind w:firstLine="640" w:firstLineChars="200"/>
        <w:rPr>
          <w:rFonts w:hint="default" w:ascii="Times New Roman" w:hAnsi="Times New Roman" w:eastAsia="仿宋_GB2312" w:cs="Times New Roman"/>
          <w:color w:val="auto"/>
          <w:sz w:val="32"/>
          <w:szCs w:val="32"/>
          <w:lang w:val="zh-CN" w:eastAsia="zh-CN"/>
        </w:rPr>
      </w:pPr>
      <w:r>
        <w:rPr>
          <w:rFonts w:hint="default" w:ascii="Times New Roman" w:hAnsi="Times New Roman" w:eastAsia="仿宋_GB2312" w:cs="Times New Roman"/>
          <w:color w:val="auto"/>
          <w:sz w:val="32"/>
          <w:szCs w:val="32"/>
          <w:lang w:val="zh-CN" w:eastAsia="zh-CN"/>
        </w:rPr>
        <w:t>总体而言，该项目管理规范、</w:t>
      </w:r>
      <w:r>
        <w:rPr>
          <w:rFonts w:hint="eastAsia" w:eastAsia="仿宋_GB2312" w:cs="Times New Roman"/>
          <w:color w:val="auto"/>
          <w:sz w:val="32"/>
          <w:szCs w:val="32"/>
          <w:lang w:val="zh-CN" w:eastAsia="zh-CN"/>
        </w:rPr>
        <w:t>监管</w:t>
      </w:r>
      <w:r>
        <w:rPr>
          <w:rFonts w:hint="default" w:ascii="Times New Roman" w:hAnsi="Times New Roman" w:eastAsia="仿宋_GB2312" w:cs="Times New Roman"/>
          <w:color w:val="auto"/>
          <w:sz w:val="32"/>
          <w:szCs w:val="32"/>
          <w:lang w:val="zh-CN" w:eastAsia="zh-CN"/>
        </w:rPr>
        <w:t>有力</w:t>
      </w:r>
      <w:r>
        <w:rPr>
          <w:rFonts w:hint="eastAsia" w:eastAsia="仿宋_GB2312" w:cs="Times New Roman"/>
          <w:color w:val="auto"/>
          <w:sz w:val="32"/>
          <w:szCs w:val="32"/>
          <w:lang w:val="zh-CN" w:eastAsia="zh-CN"/>
        </w:rPr>
        <w:t>、</w:t>
      </w:r>
      <w:r>
        <w:rPr>
          <w:rFonts w:hint="default" w:ascii="Times New Roman" w:hAnsi="Times New Roman" w:eastAsia="仿宋_GB2312" w:cs="Times New Roman"/>
          <w:color w:val="auto"/>
          <w:sz w:val="32"/>
          <w:szCs w:val="32"/>
          <w:lang w:val="zh-CN" w:eastAsia="zh-CN"/>
        </w:rPr>
        <w:t>效益明显</w:t>
      </w:r>
      <w:r>
        <w:rPr>
          <w:rFonts w:hint="eastAsia" w:eastAsia="仿宋_GB2312" w:cs="Times New Roman"/>
          <w:color w:val="auto"/>
          <w:sz w:val="32"/>
          <w:szCs w:val="32"/>
          <w:lang w:val="zh-CN" w:eastAsia="zh-CN"/>
        </w:rPr>
        <w:t>，</w:t>
      </w:r>
      <w:r>
        <w:rPr>
          <w:rFonts w:hint="default" w:ascii="Times New Roman" w:hAnsi="Times New Roman" w:eastAsia="仿宋_GB2312" w:cs="Times New Roman"/>
          <w:color w:val="auto"/>
          <w:sz w:val="32"/>
          <w:szCs w:val="32"/>
          <w:lang w:val="zh-CN" w:eastAsia="zh-CN"/>
        </w:rPr>
        <w:t>项目完成质量较高</w:t>
      </w:r>
      <w:r>
        <w:rPr>
          <w:rFonts w:hint="eastAsia" w:eastAsia="仿宋_GB2312" w:cs="Times New Roman"/>
          <w:color w:val="auto"/>
          <w:sz w:val="32"/>
          <w:szCs w:val="32"/>
          <w:lang w:val="zh-CN" w:eastAsia="zh-CN"/>
        </w:rPr>
        <w:t>，实现了资金安全运行与服务质量提升的目标</w:t>
      </w:r>
      <w:r>
        <w:rPr>
          <w:rFonts w:hint="default" w:ascii="Times New Roman" w:hAnsi="Times New Roman" w:eastAsia="仿宋_GB2312" w:cs="Times New Roman"/>
          <w:color w:val="auto"/>
          <w:sz w:val="32"/>
          <w:szCs w:val="32"/>
          <w:lang w:val="zh-CN" w:eastAsia="zh-CN"/>
        </w:rPr>
        <w:t>。</w:t>
      </w:r>
    </w:p>
    <w:p>
      <w:pPr>
        <w:adjustRightInd w:val="0"/>
        <w:snapToGrid w:val="0"/>
        <w:spacing w:line="600"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（二）存在的问题。</w:t>
      </w:r>
    </w:p>
    <w:p>
      <w:pPr>
        <w:adjustRightInd w:val="0"/>
        <w:snapToGrid w:val="0"/>
        <w:spacing w:line="600" w:lineRule="exact"/>
        <w:ind w:firstLine="640" w:firstLineChars="200"/>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lang w:val="zh-CN"/>
        </w:rPr>
        <w:t>无。</w:t>
      </w:r>
      <w:r>
        <w:rPr>
          <w:rFonts w:hint="default" w:ascii="Times New Roman" w:hAnsi="Times New Roman" w:eastAsia="仿宋_GB2312" w:cs="Times New Roman"/>
          <w:color w:val="auto"/>
          <w:sz w:val="32"/>
          <w:szCs w:val="32"/>
          <w:lang w:val="zh-CN"/>
        </w:rPr>
        <w:tab/>
      </w:r>
    </w:p>
    <w:p>
      <w:pPr>
        <w:adjustRightInd w:val="0"/>
        <w:snapToGrid w:val="0"/>
        <w:spacing w:line="600"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（三）相关建议。</w:t>
      </w:r>
    </w:p>
    <w:p>
      <w:pPr>
        <w:adjustRightInd w:val="0"/>
        <w:snapToGrid w:val="0"/>
        <w:spacing w:line="600" w:lineRule="exact"/>
        <w:ind w:firstLine="640" w:firstLineChars="200"/>
        <w:rPr>
          <w:rFonts w:hint="default" w:ascii="Times New Roman" w:hAnsi="Times New Roman" w:eastAsia="仿宋_GB2312" w:cs="Times New Roman"/>
          <w:b w:val="0"/>
          <w:bCs w:val="0"/>
          <w:color w:val="auto"/>
          <w:kern w:val="0"/>
          <w:position w:val="0"/>
          <w:sz w:val="32"/>
          <w:szCs w:val="32"/>
          <w:highlight w:val="none"/>
          <w:lang w:val="en-US" w:eastAsia="zh-CN" w:bidi="ar-SA"/>
        </w:rPr>
      </w:pPr>
      <w:r>
        <w:rPr>
          <w:rFonts w:hint="default" w:ascii="Times New Roman" w:hAnsi="Times New Roman" w:eastAsia="仿宋_GB2312" w:cs="Times New Roman"/>
          <w:color w:val="auto"/>
          <w:sz w:val="32"/>
          <w:szCs w:val="32"/>
          <w:lang w:val="zh-CN"/>
        </w:rPr>
        <w:t>无。</w:t>
      </w:r>
    </w:p>
    <w:p>
      <w:pPr>
        <w:rPr>
          <w:rFonts w:hint="default" w:ascii="Times New Roman" w:hAnsi="Times New Roman" w:eastAsia="仿宋_GB2312" w:cs="Times New Roman"/>
          <w:b w:val="0"/>
          <w:bCs w:val="0"/>
          <w:color w:val="auto"/>
          <w:kern w:val="0"/>
          <w:position w:val="0"/>
          <w:sz w:val="32"/>
          <w:szCs w:val="32"/>
          <w:highlight w:val="none"/>
          <w:lang w:val="en-US" w:eastAsia="zh-CN" w:bidi="ar-SA"/>
        </w:rPr>
      </w:pPr>
      <w:r>
        <w:rPr>
          <w:rFonts w:hint="default" w:ascii="Times New Roman" w:hAnsi="Times New Roman" w:eastAsia="仿宋_GB2312" w:cs="Times New Roman"/>
          <w:b w:val="0"/>
          <w:bCs w:val="0"/>
          <w:color w:val="auto"/>
          <w:kern w:val="0"/>
          <w:position w:val="0"/>
          <w:sz w:val="32"/>
          <w:szCs w:val="32"/>
          <w:highlight w:val="none"/>
          <w:lang w:val="en-US" w:eastAsia="zh-CN" w:bidi="ar-SA"/>
        </w:rPr>
        <w:br w:type="page"/>
      </w:r>
    </w:p>
    <w:p>
      <w:pPr>
        <w:pStyle w:val="6"/>
        <w:rPr>
          <w:rFonts w:hint="default" w:ascii="Times New Roman" w:hAnsi="Times New Roman" w:eastAsia="方正小标宋简体" w:cs="Times New Roman"/>
          <w:color w:val="auto"/>
          <w:kern w:val="2"/>
          <w:sz w:val="44"/>
          <w:szCs w:val="44"/>
          <w:lang w:val="en-US"/>
        </w:rPr>
      </w:pPr>
      <w:r>
        <w:rPr>
          <w:rFonts w:hint="default" w:ascii="Times New Roman" w:hAnsi="Times New Roman" w:eastAsia="黑体" w:cs="Times New Roman"/>
          <w:color w:val="auto"/>
          <w:kern w:val="0"/>
          <w:sz w:val="32"/>
          <w:szCs w:val="32"/>
          <w:highlight w:val="none"/>
          <w:shd w:val="clear" w:color="auto" w:fill="FFFFFF"/>
          <w:lang w:val="zh-CN"/>
        </w:rPr>
        <w:t>附件</w:t>
      </w:r>
      <w:r>
        <w:rPr>
          <w:rFonts w:hint="default" w:ascii="Times New Roman" w:hAnsi="Times New Roman" w:eastAsia="黑体" w:cs="Times New Roman"/>
          <w:color w:val="auto"/>
          <w:kern w:val="0"/>
          <w:sz w:val="32"/>
          <w:szCs w:val="32"/>
          <w:highlight w:val="none"/>
          <w:shd w:val="clear" w:color="auto" w:fill="FFFFFF"/>
          <w:lang w:val="en-US" w:eastAsia="zh-CN"/>
        </w:rPr>
        <w:t>2-2</w:t>
      </w:r>
    </w:p>
    <w:p>
      <w:pPr>
        <w:spacing w:line="600" w:lineRule="exact"/>
        <w:jc w:val="center"/>
        <w:rPr>
          <w:rFonts w:hint="default" w:ascii="Times New Roman" w:hAnsi="Times New Roman" w:eastAsia="方正小标宋简体" w:cs="Times New Roman"/>
          <w:color w:val="auto"/>
          <w:sz w:val="40"/>
          <w:szCs w:val="40"/>
          <w:lang w:val="zh-CN"/>
        </w:rPr>
      </w:pPr>
      <w:r>
        <w:rPr>
          <w:rFonts w:hint="default" w:ascii="Times New Roman" w:hAnsi="Times New Roman" w:eastAsia="方正小标宋简体" w:cs="Times New Roman"/>
          <w:color w:val="auto"/>
          <w:sz w:val="40"/>
          <w:szCs w:val="40"/>
          <w:lang w:val="zh-CN"/>
        </w:rPr>
        <w:t>专项预算项目支出绩效自评报告</w:t>
      </w:r>
    </w:p>
    <w:p>
      <w:pPr>
        <w:spacing w:line="600" w:lineRule="exact"/>
        <w:ind w:firstLine="640"/>
        <w:jc w:val="center"/>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t>（市级党政机关办公（业务）用房年度维修工程计划）</w:t>
      </w:r>
    </w:p>
    <w:p>
      <w:pPr>
        <w:adjustRightInd w:val="0"/>
        <w:snapToGrid w:val="0"/>
        <w:spacing w:line="600" w:lineRule="exact"/>
        <w:ind w:firstLine="720"/>
        <w:rPr>
          <w:rFonts w:hint="default" w:ascii="Times New Roman" w:hAnsi="Times New Roman" w:eastAsia="黑体" w:cs="Times New Roman"/>
          <w:color w:val="auto"/>
          <w:sz w:val="32"/>
          <w:szCs w:val="32"/>
          <w:lang w:val="zh-CN"/>
        </w:rPr>
      </w:pPr>
      <w:r>
        <w:rPr>
          <w:rFonts w:hint="default" w:ascii="Times New Roman" w:hAnsi="Times New Roman" w:eastAsia="黑体" w:cs="Times New Roman"/>
          <w:color w:val="auto"/>
          <w:sz w:val="32"/>
          <w:szCs w:val="32"/>
        </w:rPr>
        <w:t>一、</w:t>
      </w:r>
      <w:r>
        <w:rPr>
          <w:rFonts w:hint="default" w:ascii="Times New Roman" w:hAnsi="Times New Roman" w:eastAsia="黑体" w:cs="Times New Roman"/>
          <w:color w:val="auto"/>
          <w:sz w:val="32"/>
          <w:szCs w:val="32"/>
          <w:lang w:val="zh-CN"/>
        </w:rPr>
        <w:t>项目概况</w:t>
      </w:r>
    </w:p>
    <w:p>
      <w:pPr>
        <w:adjustRightInd w:val="0"/>
        <w:snapToGrid w:val="0"/>
        <w:spacing w:line="600"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（一）项目基本情况。</w:t>
      </w:r>
    </w:p>
    <w:p>
      <w:pPr>
        <w:adjustRightInd w:val="0"/>
        <w:snapToGrid w:val="0"/>
        <w:spacing w:line="600" w:lineRule="exact"/>
        <w:ind w:firstLine="720"/>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lang w:val="zh-CN"/>
        </w:rPr>
        <w:t>1．项目主管部门（单位）在该项目管理中的职能。市机关事务服务中心房地产科负责市级党政机关（含参照公务员法管理的事业单位）的房地产管理、房地产租用及大中型维修改造的审批、闲置房地产处置。</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highlight w:val="none"/>
          <w:lang w:val="zh-CN"/>
        </w:rPr>
        <w:t>2. 项目立项、资金申报的依据。</w:t>
      </w:r>
      <w:r>
        <w:rPr>
          <w:rFonts w:hint="eastAsia" w:eastAsia="仿宋_GB2312" w:cs="Times New Roman"/>
          <w:color w:val="auto"/>
          <w:sz w:val="32"/>
          <w:szCs w:val="32"/>
          <w:highlight w:val="none"/>
          <w:lang w:val="zh-CN"/>
        </w:rPr>
        <w:t>根</w:t>
      </w:r>
      <w:r>
        <w:rPr>
          <w:rFonts w:hint="eastAsia" w:eastAsia="仿宋_GB2312" w:cs="Times New Roman"/>
          <w:color w:val="auto"/>
          <w:sz w:val="32"/>
          <w:szCs w:val="32"/>
          <w:lang w:val="zh-CN"/>
        </w:rPr>
        <w:t>据</w:t>
      </w:r>
      <w:r>
        <w:rPr>
          <w:rFonts w:hint="default" w:ascii="Times New Roman" w:hAnsi="Times New Roman" w:eastAsia="仿宋_GB2312" w:cs="Times New Roman"/>
          <w:color w:val="auto"/>
          <w:sz w:val="32"/>
          <w:szCs w:val="32"/>
          <w:lang w:val="zh-CN"/>
        </w:rPr>
        <w:t>《中华人民共和国预算法》《党政机关厉行节约反对浪费条例》</w:t>
      </w:r>
      <w:r>
        <w:rPr>
          <w:rFonts w:hint="eastAsia" w:eastAsia="仿宋_GB2312" w:cs="Times New Roman"/>
          <w:color w:val="auto"/>
          <w:sz w:val="32"/>
          <w:szCs w:val="32"/>
          <w:lang w:val="zh-CN"/>
        </w:rPr>
        <w:t>、</w:t>
      </w:r>
      <w:r>
        <w:rPr>
          <w:rFonts w:hint="default" w:ascii="Times New Roman" w:hAnsi="Times New Roman" w:eastAsia="仿宋_GB2312" w:cs="Times New Roman"/>
          <w:color w:val="auto"/>
          <w:sz w:val="32"/>
          <w:szCs w:val="32"/>
          <w:lang w:val="zh-CN"/>
        </w:rPr>
        <w:t>市级党政机关办公（业务）用房实际运行中存在的安全隐患消除、使用功能完善及节能降耗等现实需求</w:t>
      </w:r>
      <w:r>
        <w:rPr>
          <w:rFonts w:hint="eastAsia" w:eastAsia="仿宋_GB2312" w:cs="Times New Roman"/>
          <w:color w:val="auto"/>
          <w:sz w:val="32"/>
          <w:szCs w:val="32"/>
          <w:lang w:val="zh-CN"/>
        </w:rPr>
        <w:t>，按照</w:t>
      </w:r>
      <w:r>
        <w:rPr>
          <w:rFonts w:hint="default" w:ascii="Times New Roman" w:hAnsi="Times New Roman" w:eastAsia="仿宋_GB2312" w:cs="Times New Roman"/>
          <w:color w:val="auto"/>
          <w:sz w:val="32"/>
          <w:szCs w:val="32"/>
          <w:lang w:val="zh-CN"/>
        </w:rPr>
        <w:t>市财政局年度预算编制通知要求</w:t>
      </w:r>
      <w:r>
        <w:rPr>
          <w:rFonts w:hint="eastAsia" w:eastAsia="仿宋_GB2312" w:cs="Times New Roman"/>
          <w:color w:val="auto"/>
          <w:sz w:val="32"/>
          <w:szCs w:val="32"/>
          <w:lang w:val="zh-CN"/>
        </w:rPr>
        <w:t>进行资金申报，</w:t>
      </w:r>
      <w:r>
        <w:rPr>
          <w:rFonts w:hint="default" w:ascii="Times New Roman" w:hAnsi="Times New Roman" w:eastAsia="仿宋_GB2312" w:cs="Times New Roman"/>
          <w:color w:val="auto"/>
          <w:sz w:val="32"/>
          <w:szCs w:val="32"/>
          <w:lang w:val="zh-CN"/>
        </w:rPr>
        <w:t>按程序审批后纳入年度财政预算安排。</w:t>
      </w:r>
    </w:p>
    <w:p>
      <w:pPr>
        <w:adjustRightInd w:val="0"/>
        <w:snapToGrid w:val="0"/>
        <w:spacing w:line="600" w:lineRule="exact"/>
        <w:ind w:firstLine="720"/>
        <w:rPr>
          <w:rFonts w:hint="default" w:ascii="Times New Roman" w:hAnsi="Times New Roman" w:eastAsia="仿宋_GB2312" w:cs="Times New Roman"/>
          <w:b/>
          <w:bCs/>
          <w:color w:val="auto"/>
          <w:sz w:val="32"/>
          <w:szCs w:val="32"/>
          <w:lang w:val="zh-CN"/>
        </w:rPr>
      </w:pPr>
      <w:r>
        <w:rPr>
          <w:rFonts w:hint="default" w:ascii="Times New Roman" w:hAnsi="Times New Roman" w:eastAsia="仿宋_GB2312" w:cs="Times New Roman"/>
          <w:color w:val="auto"/>
          <w:sz w:val="32"/>
          <w:szCs w:val="32"/>
          <w:lang w:val="zh-CN"/>
        </w:rPr>
        <w:t>3．资金管理办法制定情况，资金支持具体项目的条件、范围与支持方式概况。</w:t>
      </w:r>
      <w:r>
        <w:rPr>
          <w:rFonts w:hint="default" w:ascii="Times New Roman" w:hAnsi="Times New Roman" w:eastAsia="仿宋_GB2312" w:cs="Times New Roman"/>
          <w:color w:val="auto"/>
          <w:sz w:val="32"/>
          <w:szCs w:val="32"/>
          <w:highlight w:val="none"/>
          <w:lang w:val="zh-CN"/>
        </w:rPr>
        <w:t>资金使用严格执行国家财经法规及行政事业单位财务管理制度，按照我中心制定的相关内控制度进行规范管理。专项资金支出实行专款专用、独立核算，严格按照批准的预算范围和标准执行，不以任何理由和方式截留、挤占和挪用。</w:t>
      </w:r>
      <w:r>
        <w:rPr>
          <w:rFonts w:hint="default" w:ascii="Times New Roman" w:hAnsi="Times New Roman" w:eastAsia="仿宋_GB2312" w:cs="Times New Roman"/>
          <w:color w:val="auto"/>
          <w:sz w:val="32"/>
          <w:szCs w:val="32"/>
          <w:lang w:val="zh-CN"/>
        </w:rPr>
        <w:t>资金支持范围涵盖市级党政机关办公（业务）用房的维修改造、加固修缮等各项工程支出；支持方式为市级财政全额拨款，按项目进度和合同约定申请拨付，确保维修改造计划顺利实施。</w:t>
      </w:r>
    </w:p>
    <w:p>
      <w:pPr>
        <w:adjustRightInd w:val="0"/>
        <w:snapToGrid w:val="0"/>
        <w:spacing w:line="600" w:lineRule="exact"/>
        <w:ind w:firstLine="720"/>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lang w:val="zh-CN"/>
        </w:rPr>
        <w:t>4. 资金分配的原则及考虑因素。综合考虑办公用房安全鉴定情况、维修改造紧迫程度、使用单位实际需求等因素，保证各项支出严格按照预算批复的项目和标准执行，做到依据充分、标准明确、程序规范。</w:t>
      </w:r>
    </w:p>
    <w:p>
      <w:pPr>
        <w:adjustRightInd w:val="0"/>
        <w:snapToGrid w:val="0"/>
        <w:spacing w:line="600"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（二）项目绩效目标。</w:t>
      </w:r>
    </w:p>
    <w:p>
      <w:pPr>
        <w:adjustRightInd w:val="0"/>
        <w:snapToGrid w:val="0"/>
        <w:spacing w:line="600" w:lineRule="exact"/>
        <w:ind w:firstLine="720"/>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lang w:val="zh-CN"/>
        </w:rPr>
        <w:t>1. 项目主要内容。本项目主要内容为通过实施市级党政机关办公（业务）用房维修改造工程，消除办公用房安全隐患，完善使用功能，降低能源资源消耗，保障正常工作开展。包括：（1）对存在安全隐患的办公用房进行加固维修，确保结构安全；（</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lang w:val="zh-CN"/>
        </w:rPr>
        <w:t>）对危房进行维修加固，解决部分单位办公用房需求。全年计划完成</w:t>
      </w: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lang w:val="zh-CN"/>
        </w:rPr>
        <w:t>项维修改造项目。</w:t>
      </w:r>
    </w:p>
    <w:p>
      <w:pPr>
        <w:pStyle w:val="16"/>
        <w:keepNext w:val="0"/>
        <w:keepLines w:val="0"/>
        <w:pageBreakBefore w:val="0"/>
        <w:widowControl/>
        <w:suppressLineNumbers w:val="0"/>
        <w:shd w:val="clear" w:color="auto" w:fill="FFFFFF"/>
        <w:kinsoku/>
        <w:wordWrap/>
        <w:overflowPunct/>
        <w:topLinePunct w:val="0"/>
        <w:autoSpaceDE/>
        <w:autoSpaceDN/>
        <w:bidi w:val="0"/>
        <w:adjustRightInd/>
        <w:snapToGrid/>
        <w:spacing w:before="240" w:beforeAutospacing="0" w:after="240" w:afterAutospacing="0"/>
        <w:ind w:left="0" w:right="0" w:firstLine="640" w:firstLineChars="200"/>
        <w:textAlignment w:val="auto"/>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lang w:val="zh-CN"/>
        </w:rPr>
        <w:t>2. 项目应实现的具体绩效目标</w:t>
      </w:r>
      <w:r>
        <w:rPr>
          <w:rFonts w:hint="default" w:ascii="Times New Roman" w:hAnsi="Times New Roman" w:eastAsia="仿宋_GB2312" w:cs="Times New Roman"/>
          <w:color w:val="auto"/>
          <w:sz w:val="32"/>
          <w:szCs w:val="32"/>
          <w:highlight w:val="none"/>
          <w:lang w:val="zh-CN"/>
        </w:rPr>
        <w:t>。</w:t>
      </w:r>
      <w:r>
        <w:rPr>
          <w:rFonts w:hint="eastAsia" w:ascii="Times New Roman" w:eastAsia="仿宋_GB2312" w:cs="Times New Roman"/>
          <w:color w:val="auto"/>
          <w:sz w:val="32"/>
          <w:szCs w:val="32"/>
          <w:highlight w:val="none"/>
          <w:lang w:val="zh-CN"/>
        </w:rPr>
        <w:t>该</w:t>
      </w:r>
      <w:r>
        <w:rPr>
          <w:rFonts w:hint="default" w:ascii="Times New Roman" w:hAnsi="Times New Roman" w:eastAsia="仿宋_GB2312" w:cs="Times New Roman"/>
          <w:color w:val="auto"/>
          <w:sz w:val="32"/>
          <w:szCs w:val="32"/>
          <w:highlight w:val="none"/>
          <w:lang w:val="zh-CN"/>
        </w:rPr>
        <w:t>项目的</w:t>
      </w:r>
      <w:r>
        <w:rPr>
          <w:rFonts w:hint="default" w:ascii="Times New Roman" w:hAnsi="Times New Roman" w:eastAsia="仿宋_GB2312" w:cs="Times New Roman"/>
          <w:color w:val="auto"/>
          <w:sz w:val="32"/>
          <w:szCs w:val="32"/>
          <w:lang w:val="zh-CN"/>
        </w:rPr>
        <w:t>总体目标为：通过实施办公用房维修改造项目，全面消除安全隐患，完善使用功能，保障市级各部门正常办公需求，实现办公用房安全、规范、集约使用。具体绩效目标细化量化如下：</w:t>
      </w:r>
    </w:p>
    <w:tbl>
      <w:tblPr>
        <w:tblStyle w:val="17"/>
        <w:tblW w:w="833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43"/>
        <w:gridCol w:w="1266"/>
        <w:gridCol w:w="1431"/>
        <w:gridCol w:w="2106"/>
        <w:gridCol w:w="1035"/>
        <w:gridCol w:w="1215"/>
        <w:gridCol w:w="7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绩效指标</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一级指标</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二级指标</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三级指标</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指标性质</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指标值</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度量单位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color w:val="auto"/>
                <w:sz w:val="18"/>
                <w:szCs w:val="18"/>
                <w:u w:val="none"/>
              </w:rPr>
            </w:pPr>
          </w:p>
        </w:tc>
        <w:tc>
          <w:tcPr>
            <w:tcW w:w="12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产出指标</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数量指标</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办公用房维修改造项目</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5</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color w:val="auto"/>
                <w:sz w:val="18"/>
                <w:szCs w:val="18"/>
                <w:u w:val="none"/>
              </w:rPr>
            </w:pPr>
          </w:p>
        </w:tc>
        <w:tc>
          <w:tcPr>
            <w:tcW w:w="12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color w:val="auto"/>
                <w:sz w:val="18"/>
                <w:szCs w:val="18"/>
                <w:u w:val="none"/>
              </w:rPr>
            </w:pP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质量指标</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维修项目全部达到验收合格</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lang w:val="en-US" w:eastAsia="zh-CN"/>
              </w:rPr>
            </w:pPr>
            <w:r>
              <w:rPr>
                <w:rFonts w:hint="default" w:ascii="Times New Roman" w:hAnsi="Times New Roman" w:eastAsia="方正仿宋_GBK" w:cs="Times New Roman"/>
                <w:i w:val="0"/>
                <w:color w:val="auto"/>
                <w:sz w:val="18"/>
                <w:szCs w:val="18"/>
                <w:u w:val="none"/>
                <w:lang w:val="en-US" w:eastAsia="zh-CN"/>
              </w:rPr>
              <w:t>=</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lang w:val="en-US"/>
              </w:rPr>
            </w:pPr>
            <w:r>
              <w:rPr>
                <w:rFonts w:hint="default" w:ascii="Times New Roman" w:hAnsi="Times New Roman" w:eastAsia="方正仿宋_GBK" w:cs="Times New Roman"/>
                <w:i w:val="0"/>
                <w:color w:val="auto"/>
                <w:kern w:val="0"/>
                <w:sz w:val="18"/>
                <w:szCs w:val="18"/>
                <w:u w:val="none"/>
                <w:lang w:val="en-US" w:eastAsia="zh-CN" w:bidi="ar"/>
              </w:rPr>
              <w:t>100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color w:val="auto"/>
                <w:sz w:val="18"/>
                <w:szCs w:val="18"/>
                <w:u w:val="none"/>
              </w:rPr>
            </w:pPr>
          </w:p>
        </w:tc>
        <w:tc>
          <w:tcPr>
            <w:tcW w:w="12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color w:val="auto"/>
                <w:sz w:val="18"/>
                <w:szCs w:val="18"/>
                <w:u w:val="none"/>
              </w:rPr>
            </w:pP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时效指标</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2025年</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定性</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2025</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color w:val="auto"/>
                <w:sz w:val="18"/>
                <w:szCs w:val="18"/>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效益指标</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可持续影响指标</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保障办公用房安全使用</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定性</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sz w:val="18"/>
                <w:szCs w:val="18"/>
                <w:u w:val="none"/>
              </w:rPr>
              <w:t>办公用房安全使用年限提升</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color w:val="auto"/>
                <w:sz w:val="18"/>
                <w:szCs w:val="18"/>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满意度指标</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服务对象满意度指标</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使用单位对维修工程综合满意度</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90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color w:val="auto"/>
                <w:sz w:val="18"/>
                <w:szCs w:val="18"/>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成本指标</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经济成本指标</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维修工程成本控制</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lang w:val="en-US"/>
              </w:rPr>
            </w:pPr>
            <w:r>
              <w:rPr>
                <w:rFonts w:hint="default" w:ascii="Times New Roman" w:hAnsi="Times New Roman" w:eastAsia="方正仿宋_GBK" w:cs="Times New Roman"/>
                <w:i w:val="0"/>
                <w:color w:val="auto"/>
                <w:kern w:val="0"/>
                <w:sz w:val="18"/>
                <w:szCs w:val="18"/>
                <w:u w:val="none"/>
                <w:lang w:val="en-US" w:eastAsia="zh-CN" w:bidi="ar"/>
              </w:rPr>
              <w:t>142.12</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auto"/>
                <w:sz w:val="18"/>
                <w:szCs w:val="18"/>
                <w:u w:val="none"/>
              </w:rPr>
            </w:pPr>
            <w:r>
              <w:rPr>
                <w:rFonts w:hint="default" w:ascii="Times New Roman" w:hAnsi="Times New Roman" w:eastAsia="方正仿宋_GBK" w:cs="Times New Roman"/>
                <w:i w:val="0"/>
                <w:color w:val="auto"/>
                <w:kern w:val="0"/>
                <w:sz w:val="18"/>
                <w:szCs w:val="18"/>
                <w:u w:val="none"/>
                <w:lang w:val="en-US" w:eastAsia="zh-CN" w:bidi="ar"/>
              </w:rPr>
              <w:t>万元</w:t>
            </w:r>
          </w:p>
        </w:tc>
      </w:tr>
    </w:tbl>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yellow"/>
          <w:lang w:val="en-US" w:eastAsia="zh-CN"/>
        </w:rPr>
      </w:pPr>
      <w:r>
        <w:rPr>
          <w:rFonts w:hint="default" w:ascii="Times New Roman" w:hAnsi="Times New Roman" w:eastAsia="仿宋_GB2312" w:cs="Times New Roman"/>
          <w:color w:val="auto"/>
          <w:sz w:val="32"/>
          <w:szCs w:val="32"/>
          <w:lang w:val="zh-CN"/>
        </w:rPr>
        <w:t>3. 分析评价申报内容是否与实际相符，申报目标是否合理可行。经对照分析和实际运行验证，项目申报内容与市级党政机关办公（业务）用房实际维修改造需求吻合。绩效目标体系</w:t>
      </w:r>
      <w:r>
        <w:rPr>
          <w:rFonts w:hint="default" w:ascii="Times New Roman" w:hAnsi="Times New Roman" w:eastAsia="仿宋_GB2312" w:cs="Times New Roman"/>
          <w:color w:val="auto"/>
          <w:sz w:val="32"/>
          <w:szCs w:val="32"/>
          <w:highlight w:val="none"/>
          <w:lang w:val="zh-CN"/>
        </w:rPr>
        <w:t>设置综合考虑了办公用房安全现状、维修工程规模、成本约束条件、质量标准等现实因素，各项目标值具有合理性。</w:t>
      </w:r>
    </w:p>
    <w:p>
      <w:pPr>
        <w:adjustRightInd w:val="0"/>
        <w:snapToGrid w:val="0"/>
        <w:spacing w:line="600" w:lineRule="exact"/>
        <w:ind w:firstLine="720"/>
        <w:rPr>
          <w:rFonts w:hint="default" w:ascii="Times New Roman" w:hAnsi="Times New Roman" w:eastAsia="仿宋_GB2312" w:cs="Times New Roman"/>
          <w:color w:val="auto"/>
          <w:sz w:val="32"/>
          <w:szCs w:val="32"/>
          <w:lang w:val="zh-CN"/>
        </w:rPr>
      </w:pPr>
      <w:r>
        <w:rPr>
          <w:rFonts w:hint="default" w:ascii="Times New Roman" w:hAnsi="Times New Roman" w:eastAsia="楷体_GB2312" w:cs="Times New Roman"/>
          <w:b/>
          <w:color w:val="auto"/>
          <w:sz w:val="32"/>
          <w:szCs w:val="32"/>
          <w:lang w:val="zh-CN"/>
        </w:rPr>
        <w:t>（三）项目自评步骤及方法。</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baseline"/>
        <w:rPr>
          <w:rFonts w:hint="default" w:ascii="Times New Roman" w:hAnsi="Times New Roman" w:eastAsia="仿宋_GB2312" w:cs="Times New Roman"/>
          <w:color w:val="auto"/>
          <w:kern w:val="2"/>
          <w:sz w:val="32"/>
          <w:szCs w:val="32"/>
          <w:lang w:val="zh-CN" w:eastAsia="zh-CN" w:bidi="ar-SA"/>
        </w:rPr>
      </w:pPr>
      <w:r>
        <w:rPr>
          <w:rFonts w:hint="default" w:ascii="Times New Roman" w:hAnsi="Times New Roman" w:eastAsia="仿宋_GB2312" w:cs="Times New Roman"/>
          <w:b w:val="0"/>
          <w:bCs w:val="0"/>
          <w:color w:val="auto"/>
          <w:kern w:val="0"/>
          <w:position w:val="0"/>
          <w:sz w:val="32"/>
          <w:szCs w:val="32"/>
          <w:highlight w:val="none"/>
          <w:lang w:val="zh-CN" w:eastAsia="zh-CN" w:bidi="ar-SA"/>
        </w:rPr>
        <w:t>根据资金实施内容，</w:t>
      </w:r>
      <w:r>
        <w:rPr>
          <w:rFonts w:hint="default" w:ascii="Times New Roman" w:hAnsi="Times New Roman" w:eastAsia="仿宋_GB2312" w:cs="Times New Roman"/>
          <w:color w:val="auto"/>
          <w:kern w:val="2"/>
          <w:sz w:val="32"/>
          <w:szCs w:val="32"/>
          <w:lang w:val="zh-CN" w:eastAsia="zh-CN" w:bidi="ar-SA"/>
        </w:rPr>
        <w:t>本项目采用单位自评法，对项目完成情况及支付情况进行绩效评价。</w:t>
      </w:r>
    </w:p>
    <w:p>
      <w:pPr>
        <w:adjustRightInd w:val="0"/>
        <w:snapToGrid w:val="0"/>
        <w:spacing w:line="600" w:lineRule="exact"/>
        <w:ind w:firstLine="72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二、项目资金申报及使用情况</w:t>
      </w:r>
    </w:p>
    <w:p>
      <w:pPr>
        <w:adjustRightInd w:val="0"/>
        <w:snapToGrid w:val="0"/>
        <w:spacing w:line="600"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（一）项目资金申报及批复情况。</w:t>
      </w:r>
    </w:p>
    <w:p>
      <w:pPr>
        <w:pStyle w:val="6"/>
        <w:keepNext w:val="0"/>
        <w:keepLines w:val="0"/>
        <w:pageBreakBefore w:val="0"/>
        <w:widowControl w:val="0"/>
        <w:kinsoku/>
        <w:wordWrap/>
        <w:overflowPunct/>
        <w:topLinePunct w:val="0"/>
        <w:autoSpaceDE/>
        <w:autoSpaceDN/>
        <w:bidi w:val="0"/>
        <w:adjustRightInd/>
        <w:snapToGrid/>
        <w:ind w:firstLine="600" w:firstLineChars="200"/>
        <w:jc w:val="left"/>
        <w:textAlignment w:val="auto"/>
        <w:rPr>
          <w:rFonts w:hint="default" w:ascii="Times New Roman" w:hAnsi="Times New Roman" w:cs="Times New Roman"/>
          <w:color w:val="auto"/>
          <w:lang w:val="zh-CN"/>
        </w:rPr>
      </w:pPr>
      <w:r>
        <w:rPr>
          <w:rFonts w:hint="default" w:ascii="Times New Roman" w:hAnsi="Times New Roman" w:cs="Times New Roman"/>
          <w:color w:val="auto"/>
          <w:lang w:val="zh-CN"/>
        </w:rPr>
        <w:t>市机关事务服务中心房地产科依据办公用房年度维修实际需求，编制专项经费预算</w:t>
      </w:r>
      <w:r>
        <w:rPr>
          <w:rFonts w:hint="default" w:ascii="Times New Roman" w:hAnsi="Times New Roman" w:cs="Times New Roman"/>
          <w:color w:val="auto"/>
          <w:lang w:val="en-US" w:eastAsia="zh-CN"/>
        </w:rPr>
        <w:t>142.12</w:t>
      </w:r>
      <w:r>
        <w:rPr>
          <w:rFonts w:hint="default" w:ascii="Times New Roman" w:hAnsi="Times New Roman" w:cs="Times New Roman"/>
          <w:color w:val="auto"/>
          <w:lang w:val="zh-CN"/>
        </w:rPr>
        <w:t>万元，经办公室审核汇总后，随年度部门预算统一报送市财政局。市财政局依据《预算法》及预算管理相关规定，结合项目实际需求，对预算申报进行审核批复，将本项目纳入2025年度部门预算予以安排。全年预算执行过程中，严格按照批复的预算科目、金额和用途执行，未发生预算调整事项。</w:t>
      </w:r>
    </w:p>
    <w:p>
      <w:pPr>
        <w:adjustRightInd w:val="0"/>
        <w:snapToGrid w:val="0"/>
        <w:spacing w:line="600" w:lineRule="exact"/>
        <w:ind w:firstLine="720"/>
        <w:rPr>
          <w:rFonts w:hint="default" w:ascii="Times New Roman" w:hAnsi="Times New Roman" w:eastAsia="仿宋_GB2312" w:cs="Times New Roman"/>
          <w:color w:val="auto"/>
          <w:sz w:val="32"/>
          <w:szCs w:val="32"/>
          <w:lang w:val="zh-CN"/>
        </w:rPr>
      </w:pPr>
      <w:r>
        <w:rPr>
          <w:rFonts w:hint="default" w:ascii="Times New Roman" w:hAnsi="Times New Roman" w:eastAsia="楷体_GB2312" w:cs="Times New Roman"/>
          <w:b/>
          <w:color w:val="auto"/>
          <w:sz w:val="32"/>
          <w:szCs w:val="32"/>
          <w:lang w:val="zh-CN"/>
        </w:rPr>
        <w:t>（二）资金计划、到位及使用情况</w:t>
      </w:r>
    </w:p>
    <w:p>
      <w:pPr>
        <w:adjustRightInd w:val="0"/>
        <w:snapToGrid w:val="0"/>
        <w:spacing w:line="600" w:lineRule="exact"/>
        <w:ind w:firstLine="720"/>
        <w:rPr>
          <w:rFonts w:hint="default" w:ascii="Times New Roman" w:hAnsi="Times New Roman" w:eastAsia="仿宋_GB2312" w:cs="Times New Roman"/>
          <w:color w:val="auto"/>
          <w:kern w:val="0"/>
          <w:sz w:val="32"/>
          <w:szCs w:val="32"/>
          <w:lang w:val="zh-CN" w:eastAsia="zh-CN" w:bidi="ar-SA"/>
        </w:rPr>
      </w:pPr>
      <w:r>
        <w:rPr>
          <w:rFonts w:hint="default" w:ascii="Times New Roman" w:hAnsi="Times New Roman" w:eastAsia="楷体_GB2312" w:cs="Times New Roman"/>
          <w:color w:val="auto"/>
          <w:sz w:val="32"/>
          <w:szCs w:val="32"/>
          <w:lang w:val="zh-CN"/>
        </w:rPr>
        <w:t>1．资金计划。</w:t>
      </w:r>
      <w:r>
        <w:rPr>
          <w:rFonts w:hint="default" w:ascii="Times New Roman" w:hAnsi="Times New Roman" w:eastAsia="仿宋_GB2312" w:cs="Times New Roman"/>
          <w:color w:val="auto"/>
          <w:kern w:val="0"/>
          <w:sz w:val="32"/>
          <w:szCs w:val="32"/>
          <w:lang w:val="zh-CN" w:eastAsia="zh-CN" w:bidi="ar-SA"/>
        </w:rPr>
        <w:t>本项目2025年度资金计划总额为</w:t>
      </w:r>
      <w:r>
        <w:rPr>
          <w:rFonts w:hint="default" w:ascii="Times New Roman" w:hAnsi="Times New Roman" w:eastAsia="仿宋_GB2312" w:cs="Times New Roman"/>
          <w:color w:val="auto"/>
          <w:kern w:val="0"/>
          <w:sz w:val="32"/>
          <w:szCs w:val="32"/>
          <w:lang w:val="en-US" w:eastAsia="zh-CN" w:bidi="ar-SA"/>
        </w:rPr>
        <w:t>142.12</w:t>
      </w:r>
      <w:r>
        <w:rPr>
          <w:rFonts w:hint="default" w:ascii="Times New Roman" w:hAnsi="Times New Roman" w:eastAsia="仿宋_GB2312" w:cs="Times New Roman"/>
          <w:color w:val="auto"/>
          <w:kern w:val="0"/>
          <w:sz w:val="32"/>
          <w:szCs w:val="32"/>
          <w:lang w:val="zh-CN" w:eastAsia="zh-CN" w:bidi="ar-SA"/>
        </w:rPr>
        <w:t>万元，资金来源全部为市级财政资金（一般公共预算拨款），无中央、省级转移支付资金，无银行贷款及其他渠道资金。</w:t>
      </w:r>
    </w:p>
    <w:p>
      <w:pPr>
        <w:adjustRightInd w:val="0"/>
        <w:snapToGrid w:val="0"/>
        <w:spacing w:line="600" w:lineRule="exact"/>
        <w:ind w:firstLine="720"/>
        <w:rPr>
          <w:rFonts w:hint="default" w:ascii="Times New Roman" w:hAnsi="Times New Roman" w:eastAsia="仿宋_GB2312" w:cs="Times New Roman"/>
          <w:color w:val="auto"/>
          <w:kern w:val="0"/>
          <w:sz w:val="32"/>
          <w:szCs w:val="32"/>
          <w:lang w:val="zh-CN" w:eastAsia="zh-CN" w:bidi="ar-SA"/>
        </w:rPr>
      </w:pPr>
      <w:r>
        <w:rPr>
          <w:rFonts w:hint="default" w:ascii="Times New Roman" w:hAnsi="Times New Roman" w:eastAsia="楷体_GB2312" w:cs="Times New Roman"/>
          <w:color w:val="auto"/>
          <w:sz w:val="32"/>
          <w:szCs w:val="32"/>
          <w:lang w:val="zh-CN"/>
        </w:rPr>
        <w:t>2．资金到位。</w:t>
      </w:r>
      <w:r>
        <w:rPr>
          <w:rFonts w:hint="default" w:ascii="Times New Roman" w:hAnsi="Times New Roman" w:eastAsia="仿宋_GB2312" w:cs="Times New Roman"/>
          <w:color w:val="auto"/>
          <w:kern w:val="0"/>
          <w:sz w:val="32"/>
          <w:szCs w:val="32"/>
          <w:lang w:val="zh-CN" w:eastAsia="zh-CN" w:bidi="ar-SA"/>
        </w:rPr>
        <w:t>项目全年实际到位资金</w:t>
      </w:r>
      <w:r>
        <w:rPr>
          <w:rFonts w:hint="default" w:ascii="Times New Roman" w:hAnsi="Times New Roman" w:eastAsia="仿宋_GB2312" w:cs="Times New Roman"/>
          <w:color w:val="auto"/>
          <w:kern w:val="0"/>
          <w:sz w:val="32"/>
          <w:szCs w:val="32"/>
          <w:lang w:val="en-US" w:eastAsia="zh-CN" w:bidi="ar-SA"/>
        </w:rPr>
        <w:t>142.12</w:t>
      </w:r>
      <w:r>
        <w:rPr>
          <w:rFonts w:hint="default" w:ascii="Times New Roman" w:hAnsi="Times New Roman" w:eastAsia="仿宋_GB2312" w:cs="Times New Roman"/>
          <w:color w:val="auto"/>
          <w:kern w:val="0"/>
          <w:sz w:val="32"/>
          <w:szCs w:val="32"/>
          <w:lang w:val="zh-CN" w:eastAsia="zh-CN" w:bidi="ar-SA"/>
        </w:rPr>
        <w:t>万元，资金到位率100%。资金按照年度预算安排和项目实施进度分批次及时拨付到位，到位及时性良好。</w:t>
      </w:r>
    </w:p>
    <w:p>
      <w:pPr>
        <w:adjustRightInd w:val="0"/>
        <w:snapToGrid w:val="0"/>
        <w:spacing w:line="600" w:lineRule="exact"/>
        <w:ind w:firstLine="720"/>
        <w:rPr>
          <w:rFonts w:hint="default" w:ascii="Times New Roman" w:hAnsi="Times New Roman" w:eastAsia="仿宋_GB2312" w:cs="Times New Roman"/>
          <w:color w:val="auto"/>
          <w:sz w:val="32"/>
          <w:szCs w:val="32"/>
          <w:lang w:val="zh-CN"/>
        </w:rPr>
      </w:pPr>
      <w:r>
        <w:rPr>
          <w:rFonts w:hint="default" w:ascii="Times New Roman" w:hAnsi="Times New Roman" w:eastAsia="楷体_GB2312" w:cs="Times New Roman"/>
          <w:color w:val="auto"/>
          <w:sz w:val="32"/>
          <w:szCs w:val="32"/>
          <w:lang w:val="zh-CN"/>
        </w:rPr>
        <w:t>3．资金使用。</w:t>
      </w:r>
      <w:r>
        <w:rPr>
          <w:rFonts w:hint="default" w:ascii="Times New Roman" w:hAnsi="Times New Roman" w:eastAsia="仿宋_GB2312" w:cs="Times New Roman"/>
          <w:color w:val="auto"/>
          <w:sz w:val="32"/>
          <w:szCs w:val="32"/>
          <w:lang w:val="zh-CN"/>
        </w:rPr>
        <w:t>项目实际支出</w:t>
      </w:r>
      <w:r>
        <w:rPr>
          <w:rFonts w:hint="default" w:ascii="Times New Roman" w:hAnsi="Times New Roman" w:eastAsia="仿宋_GB2312" w:cs="Times New Roman"/>
          <w:color w:val="auto"/>
          <w:sz w:val="32"/>
          <w:szCs w:val="32"/>
          <w:lang w:val="en-US" w:eastAsia="zh-CN"/>
        </w:rPr>
        <w:t>142.12</w:t>
      </w:r>
      <w:r>
        <w:rPr>
          <w:rFonts w:hint="default" w:ascii="Times New Roman" w:hAnsi="Times New Roman" w:eastAsia="仿宋_GB2312" w:cs="Times New Roman"/>
          <w:color w:val="auto"/>
          <w:sz w:val="32"/>
          <w:szCs w:val="32"/>
          <w:lang w:val="zh-CN"/>
        </w:rPr>
        <w:t>万元，预算执行率100%。所有支出严格按照预算批复范围和标准执行，资金支付范围清晰、支付标准合规、支付进度与项目实施进度相匹配、支付依据真实完整。资金使用符合国家财经法规和财务管理制度要求，不存在超范围、超标准、超进度使用专项资金的情况，不存在资金损失浪费、长期沉淀、截留、挤占、挪用、虚列支出等违规问题。</w:t>
      </w:r>
    </w:p>
    <w:p>
      <w:pPr>
        <w:adjustRightInd w:val="0"/>
        <w:snapToGrid w:val="0"/>
        <w:spacing w:line="600" w:lineRule="exact"/>
        <w:ind w:firstLine="720"/>
        <w:rPr>
          <w:rFonts w:hint="default" w:ascii="Times New Roman" w:hAnsi="Times New Roman" w:eastAsia="楷体_GB2312" w:cs="Times New Roman"/>
          <w:b/>
          <w:color w:val="auto"/>
          <w:sz w:val="32"/>
          <w:szCs w:val="32"/>
          <w:highlight w:val="none"/>
          <w:lang w:val="zh-CN"/>
        </w:rPr>
      </w:pPr>
      <w:r>
        <w:rPr>
          <w:rFonts w:hint="default" w:ascii="Times New Roman" w:hAnsi="Times New Roman" w:eastAsia="楷体_GB2312" w:cs="Times New Roman"/>
          <w:b/>
          <w:color w:val="auto"/>
          <w:sz w:val="32"/>
          <w:szCs w:val="32"/>
          <w:highlight w:val="none"/>
          <w:lang w:val="zh-CN"/>
        </w:rPr>
        <w:t>（三）项目财务管理情况。</w:t>
      </w:r>
    </w:p>
    <w:p>
      <w:pPr>
        <w:adjustRightInd w:val="0"/>
        <w:snapToGrid w:val="0"/>
        <w:spacing w:line="600" w:lineRule="exact"/>
        <w:ind w:firstLine="720"/>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该项目财务管理规范有序，严格执行国家财经法规及内部财务管理制度，做到专款专用、独立核算。审批严格，经费支出履行规范审批流程，大额支出经集体决策。核算及时，账务处理合规，凭证齐全，账实相符。</w:t>
      </w:r>
    </w:p>
    <w:p>
      <w:pPr>
        <w:adjustRightInd w:val="0"/>
        <w:snapToGrid w:val="0"/>
        <w:spacing w:line="600" w:lineRule="exact"/>
        <w:ind w:firstLine="72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三、项目实施及管理情况</w:t>
      </w:r>
    </w:p>
    <w:p>
      <w:pPr>
        <w:adjustRightInd w:val="0"/>
        <w:snapToGrid w:val="0"/>
        <w:spacing w:line="600" w:lineRule="exact"/>
        <w:ind w:firstLine="720"/>
        <w:rPr>
          <w:rFonts w:hint="default" w:ascii="Times New Roman" w:hAnsi="Times New Roman" w:eastAsia="仿宋_GB2312" w:cs="Times New Roman"/>
          <w:color w:val="auto"/>
          <w:sz w:val="32"/>
          <w:szCs w:val="32"/>
          <w:lang w:val="zh-CN"/>
        </w:rPr>
      </w:pPr>
      <w:r>
        <w:rPr>
          <w:rFonts w:hint="default" w:ascii="Times New Roman" w:hAnsi="Times New Roman" w:eastAsia="楷体_GB2312" w:cs="Times New Roman"/>
          <w:b/>
          <w:color w:val="auto"/>
          <w:sz w:val="32"/>
          <w:szCs w:val="32"/>
          <w:lang w:val="zh-CN"/>
        </w:rPr>
        <w:t>（一）项目组织架构及实施流程。</w:t>
      </w:r>
      <w:r>
        <w:rPr>
          <w:rFonts w:hint="default" w:ascii="Times New Roman" w:hAnsi="Times New Roman" w:eastAsia="仿宋_GB2312" w:cs="Times New Roman"/>
          <w:color w:val="auto"/>
          <w:sz w:val="32"/>
          <w:szCs w:val="32"/>
          <w:lang w:val="zh-CN"/>
        </w:rPr>
        <w:t>市机关事务服务中心作为主管部门，负责项目的总体指导和重大事项决策；房地产科作为具体实施科室，承担项目立项申报、日常管理、服务监督等执行层面工作；驻中心纪检监察组负责对项目资金使用和科室履职情况进行监督检查。</w:t>
      </w:r>
    </w:p>
    <w:p>
      <w:pPr>
        <w:adjustRightInd w:val="0"/>
        <w:snapToGrid w:val="0"/>
        <w:spacing w:line="600" w:lineRule="exact"/>
        <w:ind w:firstLine="720"/>
        <w:rPr>
          <w:rFonts w:hint="default" w:ascii="Times New Roman" w:hAnsi="Times New Roman" w:eastAsia="仿宋_GB2312" w:cs="Times New Roman"/>
          <w:color w:val="auto"/>
          <w:sz w:val="32"/>
          <w:szCs w:val="32"/>
          <w:lang w:val="zh-CN" w:eastAsia="zh-CN"/>
        </w:rPr>
      </w:pPr>
      <w:r>
        <w:rPr>
          <w:rFonts w:hint="default" w:ascii="Times New Roman" w:hAnsi="Times New Roman" w:eastAsia="楷体_GB2312" w:cs="Times New Roman"/>
          <w:b/>
          <w:color w:val="auto"/>
          <w:sz w:val="32"/>
          <w:szCs w:val="32"/>
          <w:lang w:val="zh-CN"/>
        </w:rPr>
        <w:t>（二）项目管理情况。</w:t>
      </w:r>
      <w:r>
        <w:rPr>
          <w:rFonts w:hint="default" w:ascii="Times New Roman" w:hAnsi="Times New Roman" w:eastAsia="仿宋_GB2312" w:cs="Times New Roman"/>
          <w:color w:val="auto"/>
          <w:sz w:val="32"/>
          <w:szCs w:val="32"/>
          <w:lang w:val="zh-CN"/>
        </w:rPr>
        <w:t>根据各使用单位申报的维修需求，</w:t>
      </w:r>
      <w:r>
        <w:rPr>
          <w:rFonts w:hint="eastAsia" w:eastAsia="仿宋_GB2312" w:cs="Times New Roman"/>
          <w:color w:val="auto"/>
          <w:sz w:val="32"/>
          <w:szCs w:val="32"/>
          <w:lang w:val="zh-CN"/>
        </w:rPr>
        <w:t>编制维修改造计划，</w:t>
      </w:r>
      <w:r>
        <w:rPr>
          <w:rFonts w:hint="default" w:ascii="Times New Roman" w:hAnsi="Times New Roman" w:eastAsia="仿宋_GB2312" w:cs="Times New Roman"/>
          <w:color w:val="auto"/>
          <w:sz w:val="32"/>
          <w:szCs w:val="32"/>
          <w:lang w:val="zh-CN"/>
        </w:rPr>
        <w:t>督促使用单位按计划推进，确保项目按时完成、资金专款专用</w:t>
      </w:r>
      <w:r>
        <w:rPr>
          <w:rFonts w:hint="default" w:ascii="Times New Roman" w:hAnsi="Times New Roman" w:eastAsia="仿宋_GB2312" w:cs="Times New Roman"/>
          <w:color w:val="auto"/>
          <w:sz w:val="32"/>
          <w:szCs w:val="32"/>
          <w:lang w:val="zh-CN" w:eastAsia="zh-CN"/>
        </w:rPr>
        <w:t>。</w:t>
      </w:r>
    </w:p>
    <w:p>
      <w:pPr>
        <w:adjustRightInd w:val="0"/>
        <w:snapToGrid w:val="0"/>
        <w:spacing w:line="600" w:lineRule="exact"/>
        <w:ind w:firstLine="720"/>
        <w:rPr>
          <w:rFonts w:hint="default" w:ascii="Times New Roman" w:hAnsi="Times New Roman" w:eastAsia="宋体" w:cs="Times New Roman"/>
          <w:color w:val="auto"/>
          <w:sz w:val="32"/>
          <w:szCs w:val="32"/>
          <w:lang w:val="zh-CN" w:eastAsia="zh-CN"/>
        </w:rPr>
      </w:pPr>
      <w:r>
        <w:rPr>
          <w:rFonts w:hint="default" w:ascii="Times New Roman" w:hAnsi="Times New Roman" w:eastAsia="楷体_GB2312" w:cs="Times New Roman"/>
          <w:b/>
          <w:color w:val="auto"/>
          <w:sz w:val="32"/>
          <w:szCs w:val="32"/>
          <w:lang w:val="zh-CN"/>
        </w:rPr>
        <w:t>（三）项目监管情况。</w:t>
      </w:r>
      <w:r>
        <w:rPr>
          <w:rFonts w:hint="eastAsia" w:ascii="Times New Roman" w:hAnsi="Times New Roman" w:eastAsia="仿宋_GB2312" w:cs="Times New Roman"/>
          <w:color w:val="auto"/>
          <w:sz w:val="32"/>
          <w:szCs w:val="32"/>
          <w:lang w:val="zh-CN" w:eastAsia="zh-CN"/>
        </w:rPr>
        <w:t>对维修改造项目实施全过程监管，</w:t>
      </w:r>
      <w:r>
        <w:rPr>
          <w:rFonts w:hint="default" w:ascii="Times New Roman" w:hAnsi="Times New Roman" w:eastAsia="仿宋_GB2312" w:cs="Times New Roman"/>
          <w:color w:val="auto"/>
          <w:sz w:val="32"/>
          <w:szCs w:val="32"/>
          <w:lang w:val="zh-CN" w:eastAsia="zh-CN"/>
        </w:rPr>
        <w:t>本年度所有维修项目均按计划完成，工程质量全部达标，未发生安全事故，监管效果显著。</w:t>
      </w:r>
    </w:p>
    <w:p>
      <w:pPr>
        <w:adjustRightInd w:val="0"/>
        <w:snapToGrid w:val="0"/>
        <w:spacing w:line="600" w:lineRule="exact"/>
        <w:ind w:firstLine="720"/>
        <w:rPr>
          <w:rFonts w:hint="default" w:ascii="Times New Roman" w:hAnsi="Times New Roman" w:eastAsia="仿宋_GB2312" w:cs="Times New Roman"/>
          <w:color w:val="auto"/>
          <w:sz w:val="32"/>
          <w:szCs w:val="32"/>
          <w:lang w:val="zh-CN"/>
        </w:rPr>
      </w:pPr>
      <w:r>
        <w:rPr>
          <w:rFonts w:hint="default" w:ascii="Times New Roman" w:hAnsi="Times New Roman" w:eastAsia="黑体" w:cs="Times New Roman"/>
          <w:color w:val="auto"/>
          <w:sz w:val="32"/>
          <w:szCs w:val="32"/>
        </w:rPr>
        <w:t>四、项目绩效情况</w:t>
      </w:r>
      <w:r>
        <w:rPr>
          <w:rFonts w:hint="default" w:ascii="Times New Roman" w:hAnsi="Times New Roman" w:eastAsia="仿宋_GB2312" w:cs="Times New Roman"/>
          <w:color w:val="auto"/>
          <w:sz w:val="32"/>
          <w:szCs w:val="32"/>
          <w:lang w:val="zh-CN"/>
        </w:rPr>
        <w:tab/>
      </w:r>
    </w:p>
    <w:p>
      <w:pPr>
        <w:adjustRightInd w:val="0"/>
        <w:snapToGrid w:val="0"/>
        <w:spacing w:line="600"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（一）项目完成情况。</w:t>
      </w:r>
    </w:p>
    <w:p>
      <w:pPr>
        <w:adjustRightInd w:val="0"/>
        <w:snapToGrid w:val="0"/>
        <w:spacing w:line="60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lang w:val="zh-CN"/>
        </w:rPr>
        <w:t xml:space="preserve">. </w:t>
      </w:r>
      <w:r>
        <w:rPr>
          <w:rFonts w:hint="default" w:ascii="Times New Roman" w:hAnsi="Times New Roman" w:eastAsia="仿宋_GB2312" w:cs="Times New Roman"/>
          <w:color w:val="auto"/>
          <w:sz w:val="32"/>
          <w:szCs w:val="32"/>
          <w:lang w:val="en-US" w:eastAsia="zh-CN"/>
        </w:rPr>
        <w:t>数量指标完成情况。 全年完成办公用房维修改造项目5项，完成率100%。</w:t>
      </w:r>
    </w:p>
    <w:p>
      <w:pPr>
        <w:adjustRightInd w:val="0"/>
        <w:snapToGrid w:val="0"/>
        <w:spacing w:line="60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lang w:val="zh-CN"/>
        </w:rPr>
        <w:t xml:space="preserve">. </w:t>
      </w:r>
      <w:r>
        <w:rPr>
          <w:rFonts w:hint="default" w:ascii="Times New Roman" w:hAnsi="Times New Roman" w:eastAsia="仿宋_GB2312" w:cs="Times New Roman"/>
          <w:color w:val="auto"/>
          <w:sz w:val="32"/>
          <w:szCs w:val="32"/>
          <w:lang w:val="en-US" w:eastAsia="zh-CN"/>
        </w:rPr>
        <w:t>质量指标完成情况。 所有维修项目全部通过竣工验收，验收合格率达100%，确保了办公用房安全使用。维修改造工程符合国家及行业标准，工程质量达到设计和施工规范要求，未发生质量安全事故。</w:t>
      </w:r>
    </w:p>
    <w:p>
      <w:pPr>
        <w:adjustRightInd w:val="0"/>
        <w:snapToGrid w:val="0"/>
        <w:spacing w:line="60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lang w:val="zh-CN"/>
        </w:rPr>
        <w:t xml:space="preserve">. </w:t>
      </w:r>
      <w:r>
        <w:rPr>
          <w:rFonts w:hint="default" w:ascii="Times New Roman" w:hAnsi="Times New Roman" w:eastAsia="仿宋_GB2312" w:cs="Times New Roman"/>
          <w:color w:val="auto"/>
          <w:sz w:val="32"/>
          <w:szCs w:val="32"/>
          <w:lang w:val="en-US" w:eastAsia="zh-CN"/>
        </w:rPr>
        <w:t>时效指标完成情况。 所有工作均按照年度计划有序推进，各阶段任务按时完成率100%，各项目均按合同工期完工，无重大延误或停滞情况。</w:t>
      </w:r>
    </w:p>
    <w:p>
      <w:pPr>
        <w:adjustRightInd w:val="0"/>
        <w:snapToGrid w:val="0"/>
        <w:spacing w:line="60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lang w:val="zh-CN"/>
        </w:rPr>
        <w:t xml:space="preserve">. </w:t>
      </w:r>
      <w:r>
        <w:rPr>
          <w:rFonts w:hint="default" w:ascii="Times New Roman" w:hAnsi="Times New Roman" w:eastAsia="仿宋_GB2312" w:cs="Times New Roman"/>
          <w:color w:val="auto"/>
          <w:sz w:val="32"/>
          <w:szCs w:val="32"/>
          <w:lang w:val="en-US" w:eastAsia="zh-CN"/>
        </w:rPr>
        <w:t>成本指标完成情况。严格执行成本控制标准，按照合同价款进行支付，全年各项支出均控制在预算范围内，实现了预期成本管控目标。</w:t>
      </w:r>
    </w:p>
    <w:p>
      <w:pPr>
        <w:adjustRightInd w:val="0"/>
        <w:snapToGrid w:val="0"/>
        <w:spacing w:line="600"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（二）项目效益情况。</w:t>
      </w:r>
    </w:p>
    <w:p>
      <w:pPr>
        <w:adjustRightInd w:val="0"/>
        <w:snapToGrid w:val="0"/>
        <w:spacing w:line="600" w:lineRule="exact"/>
        <w:ind w:firstLine="640" w:firstLineChars="200"/>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lang w:val="zh-CN"/>
        </w:rPr>
        <w:t>. 可持续效益。通过本年度维修资金的持续投入，及时解决了各使用单位办公用房的安全隐患，有效延长了房屋使用寿命。推动</w:t>
      </w:r>
      <w:r>
        <w:rPr>
          <w:rFonts w:hint="eastAsia" w:eastAsia="仿宋_GB2312" w:cs="Times New Roman"/>
          <w:color w:val="auto"/>
          <w:sz w:val="32"/>
          <w:szCs w:val="32"/>
          <w:lang w:val="zh-CN"/>
        </w:rPr>
        <w:t>了</w:t>
      </w:r>
      <w:r>
        <w:rPr>
          <w:rFonts w:hint="default" w:ascii="Times New Roman" w:hAnsi="Times New Roman" w:eastAsia="仿宋_GB2312" w:cs="Times New Roman"/>
          <w:color w:val="auto"/>
          <w:sz w:val="32"/>
          <w:szCs w:val="32"/>
          <w:lang w:val="zh-CN"/>
        </w:rPr>
        <w:t>办公用房管理维护工作常态化、规范化，实现财政资金投入的长期可持续效益。</w:t>
      </w:r>
    </w:p>
    <w:p>
      <w:pPr>
        <w:adjustRightInd w:val="0"/>
        <w:snapToGrid w:val="0"/>
        <w:spacing w:line="60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lang w:val="zh-CN"/>
        </w:rPr>
        <w:t xml:space="preserve">. </w:t>
      </w:r>
      <w:r>
        <w:rPr>
          <w:rFonts w:hint="default" w:ascii="Times New Roman" w:hAnsi="Times New Roman" w:eastAsia="仿宋_GB2312" w:cs="Times New Roman"/>
          <w:color w:val="auto"/>
          <w:sz w:val="32"/>
          <w:szCs w:val="32"/>
          <w:lang w:val="en-US" w:eastAsia="zh-CN"/>
        </w:rPr>
        <w:t>服务对象满意度。用单位对办公用房维修工作的综合满意率达到90%以上，完成满意度指标，各使用单位对维修工程的质量、进度和服务认可度较高。</w:t>
      </w:r>
    </w:p>
    <w:p>
      <w:pPr>
        <w:adjustRightInd w:val="0"/>
        <w:snapToGrid w:val="0"/>
        <w:spacing w:line="600" w:lineRule="exact"/>
        <w:ind w:firstLine="72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五、评价结论及建议</w:t>
      </w:r>
    </w:p>
    <w:p>
      <w:pPr>
        <w:adjustRightInd w:val="0"/>
        <w:snapToGrid w:val="0"/>
        <w:spacing w:line="600"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（一）评价结论。</w:t>
      </w:r>
    </w:p>
    <w:p>
      <w:pPr>
        <w:adjustRightInd w:val="0"/>
        <w:snapToGrid w:val="0"/>
        <w:spacing w:line="600" w:lineRule="exact"/>
        <w:ind w:firstLine="640" w:firstLineChars="200"/>
        <w:rPr>
          <w:rFonts w:hint="default" w:ascii="Times New Roman" w:hAnsi="Times New Roman" w:eastAsia="仿宋_GB2312" w:cs="Times New Roman"/>
          <w:color w:val="auto"/>
          <w:sz w:val="32"/>
          <w:szCs w:val="32"/>
          <w:lang w:val="zh-CN" w:eastAsia="zh-CN"/>
        </w:rPr>
      </w:pPr>
      <w:r>
        <w:rPr>
          <w:rFonts w:hint="default" w:ascii="Times New Roman" w:hAnsi="Times New Roman" w:eastAsia="仿宋_GB2312" w:cs="Times New Roman"/>
          <w:color w:val="auto"/>
          <w:sz w:val="32"/>
          <w:szCs w:val="32"/>
          <w:lang w:val="zh-CN" w:eastAsia="zh-CN"/>
        </w:rPr>
        <w:t>总体而言，该项目管理规范、</w:t>
      </w:r>
      <w:r>
        <w:rPr>
          <w:rFonts w:hint="eastAsia" w:eastAsia="仿宋_GB2312" w:cs="Times New Roman"/>
          <w:color w:val="auto"/>
          <w:sz w:val="32"/>
          <w:szCs w:val="32"/>
          <w:lang w:val="zh-CN" w:eastAsia="zh-CN"/>
        </w:rPr>
        <w:t>监管</w:t>
      </w:r>
      <w:r>
        <w:rPr>
          <w:rFonts w:hint="default" w:ascii="Times New Roman" w:hAnsi="Times New Roman" w:eastAsia="仿宋_GB2312" w:cs="Times New Roman"/>
          <w:color w:val="auto"/>
          <w:sz w:val="32"/>
          <w:szCs w:val="32"/>
          <w:lang w:val="zh-CN" w:eastAsia="zh-CN"/>
        </w:rPr>
        <w:t>有力</w:t>
      </w:r>
      <w:r>
        <w:rPr>
          <w:rFonts w:hint="eastAsia" w:eastAsia="仿宋_GB2312" w:cs="Times New Roman"/>
          <w:color w:val="auto"/>
          <w:sz w:val="32"/>
          <w:szCs w:val="32"/>
          <w:lang w:val="zh-CN" w:eastAsia="zh-CN"/>
        </w:rPr>
        <w:t>、</w:t>
      </w:r>
      <w:r>
        <w:rPr>
          <w:rFonts w:hint="default" w:ascii="Times New Roman" w:hAnsi="Times New Roman" w:eastAsia="仿宋_GB2312" w:cs="Times New Roman"/>
          <w:color w:val="auto"/>
          <w:sz w:val="32"/>
          <w:szCs w:val="32"/>
          <w:lang w:val="zh-CN" w:eastAsia="zh-CN"/>
        </w:rPr>
        <w:t>效益明显</w:t>
      </w:r>
      <w:r>
        <w:rPr>
          <w:rFonts w:hint="eastAsia" w:eastAsia="仿宋_GB2312" w:cs="Times New Roman"/>
          <w:color w:val="auto"/>
          <w:sz w:val="32"/>
          <w:szCs w:val="32"/>
          <w:lang w:val="zh-CN" w:eastAsia="zh-CN"/>
        </w:rPr>
        <w:t>，</w:t>
      </w:r>
      <w:r>
        <w:rPr>
          <w:rFonts w:hint="default" w:ascii="Times New Roman" w:hAnsi="Times New Roman" w:eastAsia="仿宋_GB2312" w:cs="Times New Roman"/>
          <w:color w:val="auto"/>
          <w:sz w:val="32"/>
          <w:szCs w:val="32"/>
          <w:lang w:val="zh-CN" w:eastAsia="zh-CN"/>
        </w:rPr>
        <w:t>项目完成质量较高</w:t>
      </w:r>
      <w:r>
        <w:rPr>
          <w:rFonts w:hint="eastAsia" w:eastAsia="仿宋_GB2312" w:cs="Times New Roman"/>
          <w:color w:val="auto"/>
          <w:sz w:val="32"/>
          <w:szCs w:val="32"/>
          <w:lang w:val="zh-CN" w:eastAsia="zh-CN"/>
        </w:rPr>
        <w:t>，取得了良好的资金效益和社会效益。</w:t>
      </w:r>
    </w:p>
    <w:p>
      <w:pPr>
        <w:adjustRightInd w:val="0"/>
        <w:snapToGrid w:val="0"/>
        <w:spacing w:line="600"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（二）存在的问题。</w:t>
      </w:r>
    </w:p>
    <w:p>
      <w:pPr>
        <w:adjustRightInd w:val="0"/>
        <w:snapToGrid w:val="0"/>
        <w:spacing w:line="600" w:lineRule="exact"/>
        <w:ind w:firstLine="640" w:firstLineChars="200"/>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lang w:val="zh-CN"/>
        </w:rPr>
        <w:t>无。</w:t>
      </w:r>
      <w:r>
        <w:rPr>
          <w:rFonts w:hint="default" w:ascii="Times New Roman" w:hAnsi="Times New Roman" w:eastAsia="仿宋_GB2312" w:cs="Times New Roman"/>
          <w:color w:val="auto"/>
          <w:sz w:val="32"/>
          <w:szCs w:val="32"/>
          <w:lang w:val="zh-CN"/>
        </w:rPr>
        <w:tab/>
      </w:r>
    </w:p>
    <w:p>
      <w:pPr>
        <w:adjustRightInd w:val="0"/>
        <w:snapToGrid w:val="0"/>
        <w:spacing w:line="600" w:lineRule="exact"/>
        <w:ind w:firstLine="720"/>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（三）相关建议。</w:t>
      </w:r>
    </w:p>
    <w:p>
      <w:pPr>
        <w:adjustRightInd w:val="0"/>
        <w:snapToGrid w:val="0"/>
        <w:spacing w:line="600" w:lineRule="exact"/>
        <w:ind w:firstLine="640" w:firstLineChars="200"/>
        <w:rPr>
          <w:rFonts w:hint="default" w:ascii="Times New Roman" w:hAnsi="Times New Roman" w:eastAsia="仿宋_GB2312" w:cs="Times New Roman"/>
          <w:b w:val="0"/>
          <w:bCs w:val="0"/>
          <w:color w:val="auto"/>
          <w:kern w:val="0"/>
          <w:position w:val="0"/>
          <w:sz w:val="32"/>
          <w:szCs w:val="32"/>
          <w:highlight w:val="none"/>
          <w:lang w:val="en-US" w:eastAsia="zh-CN" w:bidi="ar-SA"/>
        </w:rPr>
      </w:pPr>
      <w:r>
        <w:rPr>
          <w:rFonts w:hint="default" w:ascii="Times New Roman" w:hAnsi="Times New Roman" w:eastAsia="仿宋_GB2312" w:cs="Times New Roman"/>
          <w:color w:val="auto"/>
          <w:sz w:val="32"/>
          <w:szCs w:val="32"/>
          <w:lang w:val="zh-CN"/>
        </w:rPr>
        <w:t>无</w:t>
      </w:r>
      <w:r>
        <w:rPr>
          <w:rFonts w:hint="default" w:ascii="Times New Roman" w:hAnsi="Times New Roman" w:eastAsia="仿宋_GB2312" w:cs="Times New Roman"/>
          <w:b w:val="0"/>
          <w:bCs w:val="0"/>
          <w:color w:val="auto"/>
          <w:kern w:val="0"/>
          <w:position w:val="0"/>
          <w:sz w:val="32"/>
          <w:szCs w:val="32"/>
          <w:highlight w:val="none"/>
          <w:lang w:val="en-US" w:eastAsia="zh-CN" w:bidi="ar-SA"/>
        </w:rPr>
        <w:t>。。</w:t>
      </w:r>
    </w:p>
    <w:p>
      <w:pPr>
        <w:keepNext w:val="0"/>
        <w:keepLines w:val="0"/>
        <w:pageBreakBefore w:val="0"/>
        <w:widowControl w:val="0"/>
        <w:kinsoku/>
        <w:wordWrap/>
        <w:overflowPunct/>
        <w:topLinePunct w:val="0"/>
        <w:autoSpaceDE/>
        <w:autoSpaceDN/>
        <w:bidi w:val="0"/>
        <w:spacing w:line="578" w:lineRule="exact"/>
        <w:textAlignment w:val="auto"/>
        <w:outlineLvl w:val="9"/>
        <w:rPr>
          <w:rFonts w:hint="default" w:ascii="Times New Roman" w:hAnsi="Times New Roman" w:eastAsia="仿宋_GB2312" w:cs="Times New Roman"/>
          <w:b w:val="0"/>
          <w:bCs w:val="0"/>
          <w:color w:val="auto"/>
          <w:kern w:val="0"/>
          <w:position w:val="0"/>
          <w:sz w:val="32"/>
          <w:szCs w:val="32"/>
          <w:highlight w:val="none"/>
          <w:lang w:val="en-US" w:eastAsia="zh-CN" w:bidi="ar-SA"/>
        </w:rPr>
      </w:pPr>
      <w:bookmarkStart w:id="54" w:name="_Toc15396618"/>
      <w:r>
        <w:rPr>
          <w:rFonts w:hint="default" w:ascii="Times New Roman" w:hAnsi="Times New Roman" w:eastAsia="仿宋_GB2312" w:cs="Times New Roman"/>
          <w:b w:val="0"/>
          <w:bCs w:val="0"/>
          <w:color w:val="auto"/>
          <w:kern w:val="0"/>
          <w:position w:val="0"/>
          <w:sz w:val="32"/>
          <w:szCs w:val="32"/>
          <w:highlight w:val="none"/>
          <w:lang w:val="en-US" w:eastAsia="zh-CN" w:bidi="ar-SA"/>
        </w:rPr>
        <w:br w:type="page"/>
      </w:r>
    </w:p>
    <w:p>
      <w:pPr>
        <w:widowControl/>
        <w:jc w:val="center"/>
        <w:rPr>
          <w:rFonts w:hint="default" w:ascii="Times New Roman" w:hAnsi="Times New Roman" w:eastAsia="仿宋" w:cs="Times New Roman"/>
          <w:b w:val="0"/>
          <w:color w:val="auto"/>
          <w:highlight w:val="none"/>
        </w:rPr>
      </w:pPr>
      <w:r>
        <w:rPr>
          <w:rFonts w:hint="default" w:ascii="Times New Roman" w:hAnsi="Times New Roman" w:eastAsia="黑体" w:cs="Times New Roman"/>
          <w:color w:val="auto"/>
          <w:sz w:val="44"/>
          <w:szCs w:val="44"/>
          <w:highlight w:val="none"/>
        </w:rPr>
        <w:t>第</w:t>
      </w:r>
      <w:r>
        <w:rPr>
          <w:rStyle w:val="30"/>
          <w:rFonts w:hint="default" w:ascii="Times New Roman" w:hAnsi="Times New Roman" w:eastAsia="黑体" w:cs="Times New Roman"/>
          <w:b w:val="0"/>
          <w:color w:val="auto"/>
          <w:highlight w:val="none"/>
        </w:rPr>
        <w:t>五部分 附表</w:t>
      </w:r>
      <w:bookmarkEnd w:id="51"/>
      <w:bookmarkEnd w:id="54"/>
      <w:bookmarkStart w:id="55" w:name="_Toc1539661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一、收入支出决算总表</w:t>
      </w:r>
      <w:bookmarkEnd w:id="55"/>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56" w:name="_Toc15396620"/>
      <w:r>
        <w:rPr>
          <w:rFonts w:hint="default" w:ascii="Times New Roman" w:hAnsi="Times New Roman" w:eastAsia="仿宋_GB2312" w:cs="Times New Roman"/>
          <w:color w:val="auto"/>
          <w:sz w:val="32"/>
          <w:szCs w:val="32"/>
          <w:highlight w:val="none"/>
        </w:rPr>
        <w:t>二、收入决算表</w:t>
      </w:r>
      <w:bookmarkEnd w:id="56"/>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57" w:name="_Toc15396621"/>
      <w:r>
        <w:rPr>
          <w:rFonts w:hint="default" w:ascii="Times New Roman" w:hAnsi="Times New Roman" w:eastAsia="仿宋_GB2312" w:cs="Times New Roman"/>
          <w:color w:val="auto"/>
          <w:sz w:val="32"/>
          <w:szCs w:val="32"/>
          <w:highlight w:val="none"/>
        </w:rPr>
        <w:t>三、支出决算表</w:t>
      </w:r>
      <w:bookmarkEnd w:id="57"/>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58" w:name="_Toc15396622"/>
      <w:r>
        <w:rPr>
          <w:rFonts w:hint="default" w:ascii="Times New Roman" w:hAnsi="Times New Roman" w:eastAsia="仿宋_GB2312" w:cs="Times New Roman"/>
          <w:color w:val="auto"/>
          <w:sz w:val="32"/>
          <w:szCs w:val="32"/>
          <w:highlight w:val="none"/>
        </w:rPr>
        <w:t>四、财政拨款收入支出决算总表</w:t>
      </w:r>
      <w:bookmarkEnd w:id="58"/>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59" w:name="_Toc15396623"/>
      <w:r>
        <w:rPr>
          <w:rFonts w:hint="default" w:ascii="Times New Roman" w:hAnsi="Times New Roman" w:eastAsia="仿宋_GB2312" w:cs="Times New Roman"/>
          <w:color w:val="auto"/>
          <w:sz w:val="32"/>
          <w:szCs w:val="32"/>
          <w:highlight w:val="none"/>
        </w:rPr>
        <w:t>五、财政拨款支出决算明细表</w:t>
      </w:r>
      <w:bookmarkEnd w:id="59"/>
      <w:bookmarkStart w:id="60" w:name="_Toc1539662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六、一般公共预算财政拨款支出决算表</w:t>
      </w:r>
      <w:bookmarkEnd w:id="60"/>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1" w:name="_Toc15396625"/>
      <w:r>
        <w:rPr>
          <w:rFonts w:hint="default" w:ascii="Times New Roman" w:hAnsi="Times New Roman" w:eastAsia="仿宋_GB2312" w:cs="Times New Roman"/>
          <w:color w:val="auto"/>
          <w:sz w:val="32"/>
          <w:szCs w:val="32"/>
          <w:highlight w:val="none"/>
        </w:rPr>
        <w:t>七、一般公共预算财政拨款支出决算明细表</w:t>
      </w:r>
      <w:bookmarkEnd w:id="61"/>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2" w:name="_Toc15396626"/>
      <w:r>
        <w:rPr>
          <w:rFonts w:hint="default" w:ascii="Times New Roman" w:hAnsi="Times New Roman" w:eastAsia="仿宋_GB2312" w:cs="Times New Roman"/>
          <w:color w:val="auto"/>
          <w:sz w:val="32"/>
          <w:szCs w:val="32"/>
          <w:highlight w:val="none"/>
        </w:rPr>
        <w:t>八、一般公共预算财政拨款基本支出决算表</w:t>
      </w:r>
      <w:bookmarkEnd w:id="62"/>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3" w:name="_Toc15396627"/>
      <w:r>
        <w:rPr>
          <w:rFonts w:hint="default" w:ascii="Times New Roman" w:hAnsi="Times New Roman" w:eastAsia="仿宋_GB2312" w:cs="Times New Roman"/>
          <w:color w:val="auto"/>
          <w:sz w:val="32"/>
          <w:szCs w:val="32"/>
          <w:highlight w:val="none"/>
        </w:rPr>
        <w:t>九、一般公共预算财政拨款项目支出决算表</w:t>
      </w:r>
      <w:bookmarkEnd w:id="63"/>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4" w:name="_Toc15396628"/>
      <w:r>
        <w:rPr>
          <w:rFonts w:hint="default" w:ascii="Times New Roman" w:hAnsi="Times New Roman" w:eastAsia="仿宋_GB2312" w:cs="Times New Roman"/>
          <w:color w:val="auto"/>
          <w:sz w:val="32"/>
          <w:szCs w:val="32"/>
          <w:highlight w:val="none"/>
        </w:rPr>
        <w:t>十、</w:t>
      </w:r>
      <w:bookmarkEnd w:id="64"/>
      <w:r>
        <w:rPr>
          <w:rFonts w:hint="default" w:ascii="Times New Roman" w:hAnsi="Times New Roman" w:eastAsia="仿宋_GB2312" w:cs="Times New Roman"/>
          <w:color w:val="auto"/>
          <w:sz w:val="32"/>
          <w:szCs w:val="32"/>
          <w:highlight w:val="none"/>
        </w:rPr>
        <w:t>政府性基金预算财政拨款收入支出决算表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5" w:name="_Toc15396629"/>
      <w:r>
        <w:rPr>
          <w:rFonts w:hint="default" w:ascii="Times New Roman" w:hAnsi="Times New Roman" w:eastAsia="仿宋_GB2312" w:cs="Times New Roman"/>
          <w:color w:val="auto"/>
          <w:sz w:val="32"/>
          <w:szCs w:val="32"/>
          <w:highlight w:val="none"/>
        </w:rPr>
        <w:t>十一、</w:t>
      </w:r>
      <w:bookmarkEnd w:id="65"/>
      <w:r>
        <w:rPr>
          <w:rFonts w:hint="default" w:ascii="Times New Roman" w:hAnsi="Times New Roman" w:eastAsia="仿宋_GB2312" w:cs="Times New Roman"/>
          <w:color w:val="auto"/>
          <w:sz w:val="32"/>
          <w:szCs w:val="32"/>
          <w:highlight w:val="none"/>
        </w:rPr>
        <w:t>国有资本经营预算</w:t>
      </w:r>
      <w:r>
        <w:rPr>
          <w:rFonts w:hint="default" w:ascii="Times New Roman" w:hAnsi="Times New Roman" w:eastAsia="仿宋_GB2312" w:cs="Times New Roman"/>
          <w:color w:val="auto"/>
          <w:sz w:val="32"/>
          <w:szCs w:val="32"/>
          <w:highlight w:val="none"/>
          <w:lang w:eastAsia="zh-CN"/>
        </w:rPr>
        <w:t>财政拨款收入</w:t>
      </w:r>
      <w:r>
        <w:rPr>
          <w:rFonts w:hint="default" w:ascii="Times New Roman" w:hAnsi="Times New Roman" w:eastAsia="仿宋_GB2312" w:cs="Times New Roman"/>
          <w:color w:val="auto"/>
          <w:sz w:val="32"/>
          <w:szCs w:val="32"/>
          <w:highlight w:val="none"/>
        </w:rPr>
        <w:t>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6" w:name="_Toc15396630"/>
      <w:r>
        <w:rPr>
          <w:rFonts w:hint="default" w:ascii="Times New Roman" w:hAnsi="Times New Roman" w:eastAsia="仿宋_GB2312" w:cs="Times New Roman"/>
          <w:color w:val="auto"/>
          <w:sz w:val="32"/>
          <w:szCs w:val="32"/>
          <w:highlight w:val="none"/>
        </w:rPr>
        <w:t>十二、</w:t>
      </w:r>
      <w:bookmarkEnd w:id="66"/>
      <w:r>
        <w:rPr>
          <w:rFonts w:hint="default" w:ascii="Times New Roman" w:hAnsi="Times New Roman" w:eastAsia="仿宋_GB2312" w:cs="Times New Roman"/>
          <w:color w:val="auto"/>
          <w:sz w:val="32"/>
          <w:szCs w:val="32"/>
          <w:highlight w:val="none"/>
          <w:lang w:eastAsia="zh-CN"/>
        </w:rPr>
        <w:t>国有资本经营预算财政拨款支出决算表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lang w:eastAsia="zh-CN"/>
        </w:rPr>
      </w:pPr>
      <w:bookmarkStart w:id="67" w:name="_Toc15396631"/>
      <w:r>
        <w:rPr>
          <w:rFonts w:hint="default" w:ascii="Times New Roman" w:hAnsi="Times New Roman" w:eastAsia="仿宋_GB2312" w:cs="Times New Roman"/>
          <w:color w:val="auto"/>
          <w:sz w:val="32"/>
          <w:szCs w:val="32"/>
          <w:highlight w:val="none"/>
        </w:rPr>
        <w:t>十三、</w:t>
      </w:r>
      <w:bookmarkEnd w:id="67"/>
      <w:r>
        <w:rPr>
          <w:rFonts w:hint="default" w:ascii="Times New Roman" w:hAnsi="Times New Roman" w:eastAsia="仿宋_GB2312" w:cs="Times New Roman"/>
          <w:color w:val="auto"/>
          <w:sz w:val="32"/>
          <w:szCs w:val="32"/>
          <w:highlight w:val="none"/>
          <w:lang w:eastAsia="zh-CN"/>
        </w:rPr>
        <w:t>财政拨款</w:t>
      </w:r>
      <w:r>
        <w:rPr>
          <w:rFonts w:hint="eastAsia"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三公</w:t>
      </w:r>
      <w:r>
        <w:rPr>
          <w:rFonts w:hint="eastAsia"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经费支出决算表</w:t>
      </w:r>
    </w:p>
    <w:p>
      <w:pPr>
        <w:rPr>
          <w:rFonts w:hint="default" w:ascii="Times New Roman" w:hAnsi="Times New Roman" w:cs="Times New Roman"/>
          <w:color w:val="auto"/>
          <w:lang w:eastAsia="zh-CN"/>
        </w:rPr>
      </w:pPr>
    </w:p>
    <w:sectPr>
      <w:footerReference r:id="rId9" w:type="first"/>
      <w:footerReference r:id="rId8" w:type="default"/>
      <w:pgSz w:w="11906" w:h="16838"/>
      <w:pgMar w:top="1440" w:right="1800" w:bottom="1440" w:left="1800" w:header="851" w:footer="99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ESI仿宋-GB2312">
    <w:panose1 w:val="02000500000000000000"/>
    <w:charset w:val="86"/>
    <w:family w:val="auto"/>
    <w:pitch w:val="default"/>
    <w:sig w:usb0="800002AF" w:usb1="084F6CF8" w:usb2="00000010" w:usb3="00000000" w:csb0="0004000F" w:csb1="00000000"/>
  </w:font>
  <w:font w:name="Cambria">
    <w:altName w:val="FreeSerif"/>
    <w:panose1 w:val="02040503050406030204"/>
    <w:charset w:val="00"/>
    <w:family w:val="roman"/>
    <w:pitch w:val="default"/>
    <w:sig w:usb0="00000000" w:usb1="00000000"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FreeSerif">
    <w:panose1 w:val="02020603050405020304"/>
    <w:charset w:val="00"/>
    <w:family w:val="auto"/>
    <w:pitch w:val="default"/>
    <w:sig w:usb0="E59FAFFF" w:usb1="C200FDFF" w:usb2="43501B29" w:usb3="04000043" w:csb0="600101FF" w:csb1="FFFF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MGCRB0dAgAAKwQAAA4AAAAAAAAAAQAgAAAANQEAAGRycy9lMm9Eb2MueG1sUEsF&#10;BgAAAAAGAAYAWQEAAMQFAAAAAA==&#10;">
              <v:fill on="f" focussize="0,0"/>
              <v:stroke on="f" weight="0.5pt"/>
              <v:imagedata o:title=""/>
              <o:lock v:ext="edit" aspectratio="f"/>
              <v:textbox inset="0mm,0mm,0mm,0mm" style="mso-fit-shape-to-text:t;">
                <w:txbxContent>
                  <w:p>
                    <w:pPr>
                      <w:pStyle w:val="11"/>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G8D8CEdAgAAKwQAAA4AAAAAAAAAAQAgAAAANQ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- 2 -</w:t>
                    </w:r>
                    <w:r>
                      <w:fldChar w:fldCharType="end"/>
                    </w:r>
                  </w:p>
                </w:txbxContent>
              </v:textbox>
            </v:shape>
          </w:pict>
        </mc:Fallback>
      </mc:AlternateContent>
    </w:r>
  </w:p>
  <w:p>
    <w:pPr>
      <w:pStyle w:val="1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uEOqPxwCAAArBAAADgAAAAAAAAABACAAAAA1AQAAZHJzL2Uyb0RvYy54bWxQSwUG&#10;AAAAAAYABgBZAQAAww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9A7E81"/>
    <w:multiLevelType w:val="singleLevel"/>
    <w:tmpl w:val="FB9A7E81"/>
    <w:lvl w:ilvl="0" w:tentative="0">
      <w:start w:val="1"/>
      <w:numFmt w:val="chineseCounting"/>
      <w:suff w:val="nothing"/>
      <w:lvlText w:val="%1、"/>
      <w:lvlJc w:val="left"/>
      <w:rPr>
        <w:rFonts w:hint="eastAsia"/>
      </w:rPr>
    </w:lvl>
  </w:abstractNum>
  <w:abstractNum w:abstractNumId="1">
    <w:nsid w:val="4CBF7617"/>
    <w:multiLevelType w:val="singleLevel"/>
    <w:tmpl w:val="4CBF7617"/>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4916F1E"/>
    <w:rsid w:val="061E35DE"/>
    <w:rsid w:val="066E0107"/>
    <w:rsid w:val="07996F6E"/>
    <w:rsid w:val="07DFD8BA"/>
    <w:rsid w:val="09867E8F"/>
    <w:rsid w:val="0A2032A3"/>
    <w:rsid w:val="0CA8290A"/>
    <w:rsid w:val="0D35B1ED"/>
    <w:rsid w:val="0E254B6B"/>
    <w:rsid w:val="0F98263C"/>
    <w:rsid w:val="101860EC"/>
    <w:rsid w:val="101F47CC"/>
    <w:rsid w:val="10C055FF"/>
    <w:rsid w:val="115BF03A"/>
    <w:rsid w:val="11694EBD"/>
    <w:rsid w:val="11772AA4"/>
    <w:rsid w:val="118107EC"/>
    <w:rsid w:val="12E24EE2"/>
    <w:rsid w:val="13D50BC4"/>
    <w:rsid w:val="14B17F78"/>
    <w:rsid w:val="165E0673"/>
    <w:rsid w:val="16B831D5"/>
    <w:rsid w:val="16BB723D"/>
    <w:rsid w:val="17E50567"/>
    <w:rsid w:val="186504BB"/>
    <w:rsid w:val="19A445FC"/>
    <w:rsid w:val="1BE8440E"/>
    <w:rsid w:val="1D155CEE"/>
    <w:rsid w:val="1D1638FE"/>
    <w:rsid w:val="1E312DEB"/>
    <w:rsid w:val="1E740ACF"/>
    <w:rsid w:val="1FF35744"/>
    <w:rsid w:val="1FF6BC77"/>
    <w:rsid w:val="1FFEB47C"/>
    <w:rsid w:val="2186353C"/>
    <w:rsid w:val="23860B96"/>
    <w:rsid w:val="240371BF"/>
    <w:rsid w:val="244F3473"/>
    <w:rsid w:val="24C97D99"/>
    <w:rsid w:val="25A718F0"/>
    <w:rsid w:val="25BB59F6"/>
    <w:rsid w:val="260F557C"/>
    <w:rsid w:val="26970054"/>
    <w:rsid w:val="281408E2"/>
    <w:rsid w:val="29FD04D3"/>
    <w:rsid w:val="2B3E2A50"/>
    <w:rsid w:val="2BFF7BC6"/>
    <w:rsid w:val="2C8A61B5"/>
    <w:rsid w:val="2DF04E50"/>
    <w:rsid w:val="2E586DFA"/>
    <w:rsid w:val="2F040D46"/>
    <w:rsid w:val="2F6B035B"/>
    <w:rsid w:val="2FAE5751"/>
    <w:rsid w:val="2FB1A395"/>
    <w:rsid w:val="2FD9A7D8"/>
    <w:rsid w:val="2FDBF714"/>
    <w:rsid w:val="2FEF03DA"/>
    <w:rsid w:val="30AB6865"/>
    <w:rsid w:val="319F7F4E"/>
    <w:rsid w:val="32BD1EF1"/>
    <w:rsid w:val="3304709D"/>
    <w:rsid w:val="33A773CB"/>
    <w:rsid w:val="33BB81C9"/>
    <w:rsid w:val="349D6851"/>
    <w:rsid w:val="36AA5135"/>
    <w:rsid w:val="36BE0DA7"/>
    <w:rsid w:val="376B6AA6"/>
    <w:rsid w:val="376D39B2"/>
    <w:rsid w:val="3795840C"/>
    <w:rsid w:val="37E16F03"/>
    <w:rsid w:val="37F53A3B"/>
    <w:rsid w:val="389B6C89"/>
    <w:rsid w:val="38D469F0"/>
    <w:rsid w:val="39627CCD"/>
    <w:rsid w:val="397BAF1F"/>
    <w:rsid w:val="3AB79AF3"/>
    <w:rsid w:val="3AE834C0"/>
    <w:rsid w:val="3B7EF35A"/>
    <w:rsid w:val="3B9FDB6C"/>
    <w:rsid w:val="3BD4F507"/>
    <w:rsid w:val="3BF5BC2F"/>
    <w:rsid w:val="3CDB004D"/>
    <w:rsid w:val="3CEBA265"/>
    <w:rsid w:val="3D98207C"/>
    <w:rsid w:val="3DEE7CF3"/>
    <w:rsid w:val="3DF7413C"/>
    <w:rsid w:val="3E57ACEA"/>
    <w:rsid w:val="3E740A63"/>
    <w:rsid w:val="3E78745D"/>
    <w:rsid w:val="3E7F3B33"/>
    <w:rsid w:val="3EE17838"/>
    <w:rsid w:val="3F55381A"/>
    <w:rsid w:val="3F778510"/>
    <w:rsid w:val="3F7F7599"/>
    <w:rsid w:val="3FD7050B"/>
    <w:rsid w:val="3FF4CAE0"/>
    <w:rsid w:val="3FF7B227"/>
    <w:rsid w:val="3FFB00AE"/>
    <w:rsid w:val="3FFE07F4"/>
    <w:rsid w:val="44E268DA"/>
    <w:rsid w:val="450D13D7"/>
    <w:rsid w:val="45506656"/>
    <w:rsid w:val="486A6C7A"/>
    <w:rsid w:val="4A627F82"/>
    <w:rsid w:val="4B0E749A"/>
    <w:rsid w:val="4B2477C4"/>
    <w:rsid w:val="4B4F25DA"/>
    <w:rsid w:val="4BE068DB"/>
    <w:rsid w:val="4D577224"/>
    <w:rsid w:val="4DBF1CEB"/>
    <w:rsid w:val="4DF0007C"/>
    <w:rsid w:val="4EAB630A"/>
    <w:rsid w:val="4ECE2238"/>
    <w:rsid w:val="4F833267"/>
    <w:rsid w:val="4FE9BD67"/>
    <w:rsid w:val="4FFB052F"/>
    <w:rsid w:val="537E6D0A"/>
    <w:rsid w:val="53F74C96"/>
    <w:rsid w:val="55170BA8"/>
    <w:rsid w:val="553218C9"/>
    <w:rsid w:val="55D9D3FD"/>
    <w:rsid w:val="567E1AA5"/>
    <w:rsid w:val="56E47B74"/>
    <w:rsid w:val="57175D52"/>
    <w:rsid w:val="57BD3DD4"/>
    <w:rsid w:val="59EDFBB6"/>
    <w:rsid w:val="5AF92295"/>
    <w:rsid w:val="5B250254"/>
    <w:rsid w:val="5BDD79E6"/>
    <w:rsid w:val="5BF561CA"/>
    <w:rsid w:val="5BFF5DFC"/>
    <w:rsid w:val="5CD71FC4"/>
    <w:rsid w:val="5D1F11B5"/>
    <w:rsid w:val="5D695134"/>
    <w:rsid w:val="5DAE1B18"/>
    <w:rsid w:val="5DCD3F28"/>
    <w:rsid w:val="5DE7D9E5"/>
    <w:rsid w:val="5ECEC941"/>
    <w:rsid w:val="5FBF9FF3"/>
    <w:rsid w:val="5FCD4E2C"/>
    <w:rsid w:val="5FEF394A"/>
    <w:rsid w:val="5FF31621"/>
    <w:rsid w:val="5FF67715"/>
    <w:rsid w:val="5FFE66F4"/>
    <w:rsid w:val="62BF3928"/>
    <w:rsid w:val="63B3701E"/>
    <w:rsid w:val="647F5392"/>
    <w:rsid w:val="65E66580"/>
    <w:rsid w:val="664B1D71"/>
    <w:rsid w:val="664B4E8E"/>
    <w:rsid w:val="67277B67"/>
    <w:rsid w:val="67AA3209"/>
    <w:rsid w:val="697F027E"/>
    <w:rsid w:val="698D0931"/>
    <w:rsid w:val="6A7FE5F3"/>
    <w:rsid w:val="6B053271"/>
    <w:rsid w:val="6BDD78B3"/>
    <w:rsid w:val="6C4A05C8"/>
    <w:rsid w:val="6C8742B8"/>
    <w:rsid w:val="6DBF5E93"/>
    <w:rsid w:val="6DFF077E"/>
    <w:rsid w:val="6E714EF0"/>
    <w:rsid w:val="6E7E3605"/>
    <w:rsid w:val="6E7FDCC7"/>
    <w:rsid w:val="6ED6A62E"/>
    <w:rsid w:val="6EE00B15"/>
    <w:rsid w:val="6F6FB3EB"/>
    <w:rsid w:val="6F8731EA"/>
    <w:rsid w:val="6FBF5A94"/>
    <w:rsid w:val="6FCE6052"/>
    <w:rsid w:val="6FD57C00"/>
    <w:rsid w:val="6FEFFFD8"/>
    <w:rsid w:val="6FF5CC65"/>
    <w:rsid w:val="6FFB47EC"/>
    <w:rsid w:val="6FFF034A"/>
    <w:rsid w:val="70484440"/>
    <w:rsid w:val="70F7C377"/>
    <w:rsid w:val="712A28F1"/>
    <w:rsid w:val="715C0E4B"/>
    <w:rsid w:val="71992E7C"/>
    <w:rsid w:val="719FEA72"/>
    <w:rsid w:val="72233669"/>
    <w:rsid w:val="72734D90"/>
    <w:rsid w:val="73160E6D"/>
    <w:rsid w:val="7332FE48"/>
    <w:rsid w:val="73AB61DA"/>
    <w:rsid w:val="73AD73D5"/>
    <w:rsid w:val="73B6EB34"/>
    <w:rsid w:val="73FA497D"/>
    <w:rsid w:val="744731E5"/>
    <w:rsid w:val="74BBD01D"/>
    <w:rsid w:val="74ED5379"/>
    <w:rsid w:val="75BFA2EE"/>
    <w:rsid w:val="75DEEEC2"/>
    <w:rsid w:val="75E32345"/>
    <w:rsid w:val="76E3355F"/>
    <w:rsid w:val="76F920D2"/>
    <w:rsid w:val="76FF5125"/>
    <w:rsid w:val="776763BA"/>
    <w:rsid w:val="776F6FFA"/>
    <w:rsid w:val="778769C8"/>
    <w:rsid w:val="77A75DCA"/>
    <w:rsid w:val="77DC22F5"/>
    <w:rsid w:val="77EF12C0"/>
    <w:rsid w:val="783E271A"/>
    <w:rsid w:val="78616DE9"/>
    <w:rsid w:val="78E875D7"/>
    <w:rsid w:val="79086DAD"/>
    <w:rsid w:val="79D7FD79"/>
    <w:rsid w:val="79EE5BA4"/>
    <w:rsid w:val="79F5E6DF"/>
    <w:rsid w:val="7A894339"/>
    <w:rsid w:val="7AD284E8"/>
    <w:rsid w:val="7AFF7572"/>
    <w:rsid w:val="7B1F75D6"/>
    <w:rsid w:val="7B67F210"/>
    <w:rsid w:val="7B6C7DFB"/>
    <w:rsid w:val="7B6E908B"/>
    <w:rsid w:val="7BBFBED0"/>
    <w:rsid w:val="7BC3E394"/>
    <w:rsid w:val="7C1F3737"/>
    <w:rsid w:val="7CBFC87B"/>
    <w:rsid w:val="7CDFAC93"/>
    <w:rsid w:val="7CFE0F48"/>
    <w:rsid w:val="7D272ABC"/>
    <w:rsid w:val="7D7EC23E"/>
    <w:rsid w:val="7E4615FC"/>
    <w:rsid w:val="7E6B76E8"/>
    <w:rsid w:val="7E8ADEBF"/>
    <w:rsid w:val="7EAF32C7"/>
    <w:rsid w:val="7EEF11D3"/>
    <w:rsid w:val="7EFE4840"/>
    <w:rsid w:val="7F0971A6"/>
    <w:rsid w:val="7F1D62E7"/>
    <w:rsid w:val="7F3F679B"/>
    <w:rsid w:val="7F4FC4EF"/>
    <w:rsid w:val="7F5BF7E5"/>
    <w:rsid w:val="7F5E4D54"/>
    <w:rsid w:val="7F67C0C1"/>
    <w:rsid w:val="7F689E6F"/>
    <w:rsid w:val="7F6E0135"/>
    <w:rsid w:val="7F79F205"/>
    <w:rsid w:val="7FA30C79"/>
    <w:rsid w:val="7FA79C44"/>
    <w:rsid w:val="7FAF8ABF"/>
    <w:rsid w:val="7FB7269E"/>
    <w:rsid w:val="7FC96657"/>
    <w:rsid w:val="7FD58B5D"/>
    <w:rsid w:val="7FDA9588"/>
    <w:rsid w:val="7FDF220F"/>
    <w:rsid w:val="7FDFF278"/>
    <w:rsid w:val="7FEDC5F7"/>
    <w:rsid w:val="7FEDD9DE"/>
    <w:rsid w:val="7FF49763"/>
    <w:rsid w:val="7FF5890D"/>
    <w:rsid w:val="7FF93490"/>
    <w:rsid w:val="8EA2FF84"/>
    <w:rsid w:val="8FFEC8A9"/>
    <w:rsid w:val="969FCB9C"/>
    <w:rsid w:val="99FF2014"/>
    <w:rsid w:val="9B77EF57"/>
    <w:rsid w:val="9BFFC76B"/>
    <w:rsid w:val="A4746823"/>
    <w:rsid w:val="A6DD0D7F"/>
    <w:rsid w:val="ACFF4FBB"/>
    <w:rsid w:val="ADC6F725"/>
    <w:rsid w:val="ADFBE2F5"/>
    <w:rsid w:val="AF7FCE0B"/>
    <w:rsid w:val="AFFA62D2"/>
    <w:rsid w:val="AFFD7333"/>
    <w:rsid w:val="B7CF06AB"/>
    <w:rsid w:val="B7CFA926"/>
    <w:rsid w:val="B7F8786B"/>
    <w:rsid w:val="BAB43BB5"/>
    <w:rsid w:val="BABB6AA1"/>
    <w:rsid w:val="BB2F4199"/>
    <w:rsid w:val="BCFFB442"/>
    <w:rsid w:val="BD079C78"/>
    <w:rsid w:val="BD733540"/>
    <w:rsid w:val="BDFE5588"/>
    <w:rsid w:val="BF3735D5"/>
    <w:rsid w:val="BF7F09AC"/>
    <w:rsid w:val="BFD475C3"/>
    <w:rsid w:val="BFDE5EA6"/>
    <w:rsid w:val="BFDF4E0B"/>
    <w:rsid w:val="BFDF666C"/>
    <w:rsid w:val="CF6FC6F3"/>
    <w:rsid w:val="CFD3D3D7"/>
    <w:rsid w:val="CFDF1009"/>
    <w:rsid w:val="D6B4FDCB"/>
    <w:rsid w:val="D7D7B16A"/>
    <w:rsid w:val="D8D6DB89"/>
    <w:rsid w:val="DAF99DA8"/>
    <w:rsid w:val="DAFF35BE"/>
    <w:rsid w:val="DB6F4CAB"/>
    <w:rsid w:val="DB777682"/>
    <w:rsid w:val="DBAD5484"/>
    <w:rsid w:val="DD1FB521"/>
    <w:rsid w:val="DD7EB1A6"/>
    <w:rsid w:val="DEDBDD5A"/>
    <w:rsid w:val="DEFBFEAE"/>
    <w:rsid w:val="DF1F3B80"/>
    <w:rsid w:val="DF6F9789"/>
    <w:rsid w:val="DFDF769D"/>
    <w:rsid w:val="DFE9BE81"/>
    <w:rsid w:val="DFFE7D24"/>
    <w:rsid w:val="DFFFA9E8"/>
    <w:rsid w:val="E45DE128"/>
    <w:rsid w:val="E5F4E9DC"/>
    <w:rsid w:val="E70FE695"/>
    <w:rsid w:val="E86F0B14"/>
    <w:rsid w:val="EB2E368B"/>
    <w:rsid w:val="EC7F1BBE"/>
    <w:rsid w:val="ECDF944C"/>
    <w:rsid w:val="ECFED1BC"/>
    <w:rsid w:val="ED1D69BB"/>
    <w:rsid w:val="ED7FD312"/>
    <w:rsid w:val="EE9E00FB"/>
    <w:rsid w:val="EF2E1AC6"/>
    <w:rsid w:val="EF53993F"/>
    <w:rsid w:val="EF6FD633"/>
    <w:rsid w:val="EFBFB2F4"/>
    <w:rsid w:val="EFBFFA21"/>
    <w:rsid w:val="EFDFA4DF"/>
    <w:rsid w:val="EFFDAEB3"/>
    <w:rsid w:val="F2BEBCB8"/>
    <w:rsid w:val="F36FB518"/>
    <w:rsid w:val="F3DE1A04"/>
    <w:rsid w:val="F3F722E5"/>
    <w:rsid w:val="F3FDE507"/>
    <w:rsid w:val="F4B6343A"/>
    <w:rsid w:val="F4FBCD07"/>
    <w:rsid w:val="F5BD4CF8"/>
    <w:rsid w:val="F6D7D9F8"/>
    <w:rsid w:val="FA5F1E70"/>
    <w:rsid w:val="FA5FDB97"/>
    <w:rsid w:val="FA75ADBA"/>
    <w:rsid w:val="FADD2C01"/>
    <w:rsid w:val="FB6B7879"/>
    <w:rsid w:val="FB7BD20E"/>
    <w:rsid w:val="FB7F486A"/>
    <w:rsid w:val="FB8D0B91"/>
    <w:rsid w:val="FBF7C65B"/>
    <w:rsid w:val="FBFE17C3"/>
    <w:rsid w:val="FBFF5B2E"/>
    <w:rsid w:val="FD5F8812"/>
    <w:rsid w:val="FD7FFE2B"/>
    <w:rsid w:val="FDEC9A93"/>
    <w:rsid w:val="FDEE196B"/>
    <w:rsid w:val="FDFD3AC9"/>
    <w:rsid w:val="FDFE6575"/>
    <w:rsid w:val="FE51D15F"/>
    <w:rsid w:val="FEDFDDC2"/>
    <w:rsid w:val="FEED32F6"/>
    <w:rsid w:val="FEF781DD"/>
    <w:rsid w:val="FF3F7E3F"/>
    <w:rsid w:val="FF7901E3"/>
    <w:rsid w:val="FFBA12D7"/>
    <w:rsid w:val="FFBCA0CE"/>
    <w:rsid w:val="FFCBD314"/>
    <w:rsid w:val="FFDFF91C"/>
    <w:rsid w:val="FFDFFAEE"/>
    <w:rsid w:val="FFE5C6D6"/>
    <w:rsid w:val="FFEF6777"/>
    <w:rsid w:val="FFF9B57B"/>
    <w:rsid w:val="FFFBD288"/>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ToCaption"/>
    <w:basedOn w:val="1"/>
    <w:next w:val="1"/>
    <w:qFormat/>
    <w:uiPriority w:val="0"/>
    <w:pPr>
      <w:ind w:left="400" w:leftChars="200" w:hanging="200" w:hangingChars="200"/>
      <w:textAlignment w:val="baseline"/>
    </w:pPr>
  </w:style>
  <w:style w:type="paragraph" w:styleId="6">
    <w:name w:val="Body Text"/>
    <w:basedOn w:val="1"/>
    <w:link w:val="27"/>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3"/>
    <w:semiHidden/>
    <w:unhideWhenUsed/>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qFormat/>
    <w:uiPriority w:val="0"/>
    <w:pPr>
      <w:widowControl/>
      <w:spacing w:before="100" w:beforeAutospacing="1" w:after="100" w:afterAutospacing="1"/>
      <w:jc w:val="left"/>
    </w:pPr>
    <w:rPr>
      <w:rFonts w:ascii="宋体" w:eastAsia="宋体" w:cs="宋体"/>
      <w:kern w:val="0"/>
      <w:sz w:val="24"/>
      <w:szCs w:val="24"/>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2"/>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1"/>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6"/>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3"/>
    <w:qFormat/>
    <w:uiPriority w:val="9"/>
    <w:rPr>
      <w:rFonts w:ascii="Times New Roman" w:hAnsi="Times New Roman"/>
      <w:b/>
      <w:bCs/>
      <w:kern w:val="44"/>
      <w:sz w:val="44"/>
      <w:szCs w:val="44"/>
    </w:rPr>
  </w:style>
  <w:style w:type="character" w:customStyle="1" w:styleId="31">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0"/>
    <w:semiHidden/>
    <w:qFormat/>
    <w:uiPriority w:val="99"/>
    <w:rPr>
      <w:rFonts w:ascii="Times New Roman" w:hAnsi="Times New Roman"/>
      <w:kern w:val="2"/>
      <w:sz w:val="18"/>
      <w:szCs w:val="18"/>
    </w:rPr>
  </w:style>
  <w:style w:type="character" w:customStyle="1" w:styleId="34">
    <w:name w:val="标题 3 Char"/>
    <w:basedOn w:val="18"/>
    <w:link w:val="5"/>
    <w:qFormat/>
    <w:uiPriority w:val="9"/>
    <w:rPr>
      <w:rFonts w:ascii="Times New Roman" w:hAnsi="Times New Roman"/>
      <w:b/>
      <w:bCs/>
      <w:kern w:val="2"/>
      <w:sz w:val="32"/>
      <w:szCs w:val="32"/>
    </w:rPr>
  </w:style>
  <w:style w:type="paragraph" w:customStyle="1" w:styleId="35">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chart" Target="charts/chart7.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theme" Target="theme/theme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home/user/&#26700;&#38754;/&#20915;&#31639;&#20844;&#24320;/2025&#30456;&#20851;&#25968;&#25454;/2025&#24180;&#20915;&#31639;&#22270;&#34920;&#25968;&#25454;.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home/user/&#26700;&#38754;/&#20915;&#31639;&#20844;&#24320;/2025&#30456;&#20851;&#25968;&#25454;/2025&#24180;&#20915;&#31639;&#22270;&#34920;&#25968;&#25454;.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home/user/&#26700;&#38754;/&#20915;&#31639;&#20844;&#24320;/2025&#30456;&#20851;&#25968;&#25454;/2025&#24180;&#20915;&#31639;&#22270;&#34920;&#25968;&#25454;.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home/user/&#26700;&#38754;/&#20915;&#31639;&#20844;&#24320;/2025&#30456;&#20851;&#25968;&#25454;/2025&#24180;&#20915;&#31639;&#22270;&#34920;&#25968;&#25454;.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home/user/&#26700;&#38754;/&#20915;&#31639;&#20844;&#24320;/2025&#30456;&#20851;&#25968;&#25454;/2025&#24180;&#20915;&#31639;&#22270;&#34920;&#25968;&#25454;.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home/user/&#26700;&#38754;/&#20915;&#31639;&#20844;&#24320;/2025&#30456;&#20851;&#25968;&#25454;/2025&#24180;&#20915;&#31639;&#22270;&#34920;&#25968;&#25454;.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home/user/&#26700;&#38754;/2024&#20915;&#31639;&#20844;&#24320;/2025&#20915;&#31639;&#20844;&#24320;&#30456;&#20851;&#25968;&#25454;/2024&#24180;&#20915;&#31639;&#22270;&#34920;&#25968;&#2545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barChart>
        <c:barDir val="col"/>
        <c:grouping val="clustered"/>
        <c:varyColors val="false"/>
        <c:ser>
          <c:idx val="0"/>
          <c:order val="0"/>
          <c:tx>
            <c:strRef>
              <c:f>[2025年决算图表数据.xlsx]收支决算总计!$A$2</c:f>
              <c:strCache>
                <c:ptCount val="1"/>
                <c:pt idx="0">
                  <c:v>全年收入总计</c:v>
                </c:pt>
              </c:strCache>
            </c:strRef>
          </c:tx>
          <c:invertIfNegative val="false"/>
          <c:dLbls>
            <c:numFmt formatCode="General" sourceLinked="true"/>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ext>
            </c:extLst>
          </c:dLbls>
          <c:cat>
            <c:strRef>
              <c:extLst>
                <c:ext xmlns:c15="http://schemas.microsoft.com/office/drawing/2012/chart" uri="{02D57815-91ED-43cb-92C2-25804820EDAC}">
                  <c15:fullRef>
                    <c15:sqref>[2025年决算图表数据.xlsx]收支决算总计!$B$1:$E$1</c15:sqref>
                  </c15:fullRef>
                </c:ext>
              </c:extLst>
              <c:f>[2025年决算图表数据.xlsx]收支决算总计!$B$1:$C$1</c:f>
              <c:strCache>
                <c:ptCount val="2"/>
                <c:pt idx="0">
                  <c:v>2024年度</c:v>
                </c:pt>
                <c:pt idx="1">
                  <c:v>2025年度</c:v>
                </c:pt>
              </c:strCache>
            </c:strRef>
          </c:cat>
          <c:val>
            <c:numRef>
              <c:extLst>
                <c:ext xmlns:c15="http://schemas.microsoft.com/office/drawing/2012/chart" uri="{02D57815-91ED-43cb-92C2-25804820EDAC}">
                  <c15:fullRef>
                    <c15:sqref>收支决算总计!$B$2:$E$2</c15:sqref>
                  </c15:fullRef>
                </c:ext>
              </c:extLst>
              <c:f>[2025年决算图表数据.xlsx]收支决算总计!$B$2:$C$2</c:f>
              <c:numCache>
                <c:formatCode>#,##0.00</c:formatCode>
                <c:ptCount val="2"/>
                <c:pt idx="0">
                  <c:v>5948.57</c:v>
                </c:pt>
                <c:pt idx="1">
                  <c:v>5930.78</c:v>
                </c:pt>
              </c:numCache>
            </c:numRef>
          </c:val>
        </c:ser>
        <c:ser>
          <c:idx val="1"/>
          <c:order val="1"/>
          <c:tx>
            <c:strRef>
              <c:f>[2025年决算图表数据.xlsx]收支决算总计!$A$3</c:f>
              <c:strCache>
                <c:ptCount val="1"/>
                <c:pt idx="0">
                  <c:v>全年支出总计</c:v>
                </c:pt>
              </c:strCache>
            </c:strRef>
          </c:tx>
          <c:invertIfNegative val="false"/>
          <c:dLbls>
            <c:numFmt formatCode="General" sourceLinked="true"/>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ext>
            </c:extLst>
          </c:dLbls>
          <c:cat>
            <c:strRef>
              <c:extLst>
                <c:ext xmlns:c15="http://schemas.microsoft.com/office/drawing/2012/chart" uri="{02D57815-91ED-43cb-92C2-25804820EDAC}">
                  <c15:fullRef>
                    <c15:sqref>[2025年决算图表数据.xlsx]收支决算总计!$B$1:$E$1</c15:sqref>
                  </c15:fullRef>
                </c:ext>
              </c:extLst>
              <c:f>[2025年决算图表数据.xlsx]收支决算总计!$B$1:$C$1</c:f>
              <c:strCache>
                <c:ptCount val="2"/>
                <c:pt idx="0">
                  <c:v>2024年度</c:v>
                </c:pt>
                <c:pt idx="1">
                  <c:v>2025年度</c:v>
                </c:pt>
              </c:strCache>
            </c:strRef>
          </c:cat>
          <c:val>
            <c:numRef>
              <c:extLst>
                <c:ext xmlns:c15="http://schemas.microsoft.com/office/drawing/2012/chart" uri="{02D57815-91ED-43cb-92C2-25804820EDAC}">
                  <c15:fullRef>
                    <c15:sqref>收支决算总计!$B$3:$E$3</c15:sqref>
                  </c15:fullRef>
                </c:ext>
              </c:extLst>
              <c:f>[2025年决算图表数据.xlsx]收支决算总计!$B$3:$C$3</c:f>
              <c:numCache>
                <c:formatCode>#,##0.00</c:formatCode>
                <c:ptCount val="2"/>
                <c:pt idx="0">
                  <c:v>5948.57</c:v>
                </c:pt>
                <c:pt idx="1">
                  <c:v>5930.78</c:v>
                </c:pt>
              </c:numCache>
            </c:numRef>
          </c:val>
        </c:ser>
        <c:dLbls>
          <c:showLegendKey val="false"/>
          <c:showVal val="false"/>
          <c:showCatName val="false"/>
          <c:showSerName val="false"/>
          <c:showPercent val="false"/>
          <c:showBubbleSize val="false"/>
        </c:dLbls>
        <c:gapWidth val="75"/>
        <c:overlap val="0"/>
        <c:axId val="65180416"/>
        <c:axId val="65181952"/>
      </c:barChart>
      <c:catAx>
        <c:axId val="65180416"/>
        <c:scaling>
          <c:orientation val="minMax"/>
        </c:scaling>
        <c:delete val="false"/>
        <c:axPos val="b"/>
        <c:majorTickMark val="none"/>
        <c:minorTickMark val="none"/>
        <c:tickLblPos val="nextTo"/>
        <c:txPr>
          <a:bodyPr rot="-60000000" spcFirstLastPara="0" vertOverflow="ellipsis" vert="horz" wrap="square" anchor="ctr" anchorCtr="true"/>
          <a:lstStyle/>
          <a:p>
            <a:pPr>
              <a:defRPr lang="zh-CN" sz="1000" b="0" i="0" u="none" strike="noStrike" kern="1200" baseline="0">
                <a:solidFill>
                  <a:schemeClr val="tx1"/>
                </a:solidFill>
                <a:latin typeface="+mn-lt"/>
                <a:ea typeface="+mn-ea"/>
                <a:cs typeface="+mn-cs"/>
              </a:defRPr>
            </a:pPr>
          </a:p>
        </c:txPr>
        <c:crossAx val="65181952"/>
        <c:crosses val="autoZero"/>
        <c:auto val="true"/>
        <c:lblAlgn val="ctr"/>
        <c:lblOffset val="100"/>
        <c:noMultiLvlLbl val="false"/>
      </c:catAx>
      <c:valAx>
        <c:axId val="65181952"/>
        <c:scaling>
          <c:orientation val="minMax"/>
        </c:scaling>
        <c:delete val="false"/>
        <c:axPos val="l"/>
        <c:numFmt formatCode="#,##0.00" sourceLinked="true"/>
        <c:majorTickMark val="none"/>
        <c:minorTickMark val="none"/>
        <c:tickLblPos val="nextTo"/>
        <c:txPr>
          <a:bodyPr rot="-60000000" spcFirstLastPara="0" vertOverflow="ellipsis" vert="horz" wrap="square" anchor="ctr" anchorCtr="true"/>
          <a:lstStyle/>
          <a:p>
            <a:pPr>
              <a:defRPr lang="zh-CN" sz="1000" b="0" i="0" u="none" strike="noStrike" kern="1200" baseline="0">
                <a:solidFill>
                  <a:schemeClr val="tx1"/>
                </a:solidFill>
                <a:latin typeface="+mn-lt"/>
                <a:ea typeface="+mn-ea"/>
                <a:cs typeface="+mn-cs"/>
              </a:defRPr>
            </a:pPr>
          </a:p>
        </c:txPr>
        <c:crossAx val="65180416"/>
        <c:crosses val="autoZero"/>
        <c:crossBetween val="between"/>
      </c:valAx>
    </c:plotArea>
    <c:legend>
      <c:legendPos val="b"/>
      <c:layout/>
      <c:overlay val="false"/>
      <c:txPr>
        <a:bodyPr rot="0" spcFirstLastPara="0" vertOverflow="ellipsis" vert="horz" wrap="square" anchor="ctr" anchorCtr="true"/>
        <a:lstStyle/>
        <a:p>
          <a:pPr>
            <a:defRPr lang="zh-CN" sz="1000" b="0" i="0" u="none" strike="noStrike" kern="1200" baseline="0">
              <a:solidFill>
                <a:schemeClr val="tx1"/>
              </a:solidFill>
              <a:latin typeface="+mn-lt"/>
              <a:ea typeface="+mn-ea"/>
              <a:cs typeface="+mn-cs"/>
            </a:defRPr>
          </a:pPr>
        </a:p>
      </c:txPr>
    </c:legend>
    <c:plotVisOnly val="true"/>
    <c:dispBlanksAs val="gap"/>
    <c:showDLblsOverMax val="false"/>
  </c:chart>
  <c:txPr>
    <a:bodyPr/>
    <a:lstStyle/>
    <a:p>
      <a:pPr>
        <a:defRPr lang="zh-CN"/>
      </a:pPr>
    </a:p>
  </c:txPr>
  <c:externalData r:id="rId1">
    <c:autoUpdate val="false"/>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manualLayout>
          <c:layoutTarget val="inner"/>
          <c:xMode val="edge"/>
          <c:yMode val="edge"/>
          <c:x val="0.0847222222222226"/>
          <c:y val="0.254050743657043"/>
          <c:w val="0.81388888888889"/>
          <c:h val="0.641898512685917"/>
        </c:manualLayout>
      </c:layout>
      <c:pieChart>
        <c:varyColors val="true"/>
        <c:ser>
          <c:idx val="0"/>
          <c:order val="0"/>
          <c:explosion val="0"/>
          <c:dPt>
            <c:idx val="0"/>
            <c:bubble3D val="false"/>
          </c:dPt>
          <c:dLbls>
            <c:dLbl>
              <c:idx val="0"/>
              <c:layout>
                <c:manualLayout>
                  <c:x val="0.062141023157951"/>
                  <c:y val="-0.45082506393057"/>
                </c:manualLayout>
              </c:layout>
              <c:tx>
                <c:rich>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r>
                      <a:rPr lang="zh-CN" altLang="en-US"/>
                      <a:t>一般公共预算财政拨款收入
</a:t>
                    </a:r>
                    <a:r>
                      <a:rPr lang="en-US" altLang="zh-CN"/>
                      <a:t>100%</a:t>
                    </a:r>
                    <a:endParaRPr lang="zh-CN" altLang="en-US"/>
                  </a:p>
                </c:rich>
              </c:tx>
              <c:dLblPos val="bestFit"/>
              <c:showLegendKey val="false"/>
              <c:showVal val="false"/>
              <c:showCatName val="true"/>
              <c:showSerName val="false"/>
              <c:showPercent val="true"/>
              <c:showBubbleSize val="false"/>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p>
            </c:txPr>
            <c:dLblPos val="bestFit"/>
            <c:showLegendKey val="false"/>
            <c:showVal val="false"/>
            <c:showCatName val="true"/>
            <c:showSerName val="false"/>
            <c:showPercent val="true"/>
            <c:showBubbleSize val="false"/>
            <c:showLeaderLines val="true"/>
            <c:extLst>
              <c:ext xmlns:c15="http://schemas.microsoft.com/office/drawing/2012/chart" uri="{CE6537A1-D6FC-4f65-9D91-7224C49458BB}">
                <c15:layout/>
                <c15:showLeaderLines val="true"/>
                <c15:leaderLines/>
              </c:ext>
            </c:extLst>
          </c:dLbls>
          <c:cat>
            <c:strRef>
              <c:f>[2025年决算图表数据.xlsx]收入决算结构!$A$1</c:f>
              <c:strCache>
                <c:ptCount val="1"/>
                <c:pt idx="0">
                  <c:v>一般公共预算财政拨款收入</c:v>
                </c:pt>
              </c:strCache>
            </c:strRef>
          </c:cat>
          <c:val>
            <c:numRef>
              <c:f>[2025年决算图表数据.xlsx]收入决算结构!$B$1</c:f>
              <c:numCache>
                <c:formatCode>0.00%</c:formatCode>
                <c:ptCount val="1"/>
                <c:pt idx="0">
                  <c:v>1</c:v>
                </c:pt>
              </c:numCache>
            </c:numRef>
          </c:val>
        </c:ser>
        <c:ser>
          <c:idx val="1"/>
          <c:order val="1"/>
          <c:explosion val="0"/>
          <c:dPt>
            <c:idx val="0"/>
            <c:bubble3D val="false"/>
          </c:dPt>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p>
            </c:txPr>
            <c:dLblPos val="bestFit"/>
            <c:showLegendKey val="false"/>
            <c:showVal val="false"/>
            <c:showCatName val="true"/>
            <c:showSerName val="false"/>
            <c:showPercent val="true"/>
            <c:showBubbleSize val="false"/>
            <c:showLeaderLines val="true"/>
            <c:extLst>
              <c:ext xmlns:c15="http://schemas.microsoft.com/office/drawing/2012/chart" uri="{CE6537A1-D6FC-4f65-9D91-7224C49458BB}">
                <c15:layout/>
                <c15:showLeaderLines val="true"/>
                <c15:leaderLines/>
              </c:ext>
            </c:extLst>
          </c:dLbls>
          <c:cat>
            <c:strRef>
              <c:f>[2025年决算图表数据.xlsx]收入决算结构!$A$1</c:f>
              <c:strCache>
                <c:ptCount val="1"/>
                <c:pt idx="0">
                  <c:v>一般公共预算财政拨款收入</c:v>
                </c:pt>
              </c:strCache>
            </c:strRef>
          </c:cat>
          <c:val>
            <c:numRef>
              <c:f>[2025年决算图表数据.xlsx]收入决算结构!$C$1</c:f>
              <c:numCache>
                <c:formatCode>General</c:formatCode>
                <c:ptCount val="1"/>
                <c:pt idx="0">
                  <c:v>5930.78</c:v>
                </c:pt>
              </c:numCache>
            </c:numRef>
          </c:val>
        </c:ser>
        <c:dLbls>
          <c:showLegendKey val="false"/>
          <c:showVal val="false"/>
          <c:showCatName val="true"/>
          <c:showSerName val="false"/>
          <c:showPercent val="true"/>
          <c:showBubbleSize val="false"/>
          <c:showLeaderLines val="true"/>
        </c:dLbls>
        <c:firstSliceAng val="15"/>
      </c:pieChart>
      <c:spPr>
        <a:noFill/>
        <a:ln>
          <a:noFill/>
        </a:ln>
        <a:effectLst/>
      </c:spPr>
    </c:plotArea>
    <c:plotVisOnly val="true"/>
    <c:dispBlanksAs val="zero"/>
    <c:showDLblsOverMax val="false"/>
  </c:chart>
  <c:txPr>
    <a:bodyPr/>
    <a:lstStyle/>
    <a:p>
      <a:pPr>
        <a:defRPr lang="zh-CN"/>
      </a:pPr>
    </a:p>
  </c:txPr>
  <c:externalData r:id="rId1">
    <c:autoUpdate val="false"/>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3"/>
    </mc:Choice>
    <mc:Fallback>
      <c:style val="3"/>
    </mc:Fallback>
  </mc:AlternateContent>
  <c:chart>
    <c:autoTitleDeleted val="true"/>
    <c:plotArea>
      <c:layout/>
      <c:pieChart>
        <c:varyColors val="true"/>
        <c:ser>
          <c:idx val="0"/>
          <c:order val="0"/>
          <c:spPr/>
          <c:explosion val="0"/>
          <c:dPt>
            <c:idx val="0"/>
            <c:bubble3D val="false"/>
            <c:spPr>
              <a:solidFill>
                <a:schemeClr val="accent1">
                  <a:shade val="76667"/>
                </a:schemeClr>
              </a:solidFill>
              <a:ln>
                <a:noFill/>
              </a:ln>
              <a:effectLst/>
            </c:spPr>
          </c:dPt>
          <c:dPt>
            <c:idx val="1"/>
            <c:bubble3D val="false"/>
            <c:spPr>
              <a:solidFill>
                <a:schemeClr val="accent1">
                  <a:tint val="76667"/>
                </a:schemeClr>
              </a:solidFill>
              <a:ln>
                <a:noFill/>
              </a:ln>
              <a:effectLst/>
            </c:spPr>
          </c:dPt>
          <c:dLbls>
            <c:numFmt formatCode="General" sourceLinked="true"/>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p>
            </c:txPr>
            <c:dLblPos val="inEnd"/>
            <c:showLegendKey val="false"/>
            <c:showVal val="false"/>
            <c:showCatName val="true"/>
            <c:showSerName val="false"/>
            <c:showPercent val="true"/>
            <c:showBubbleSize val="false"/>
            <c:showLeaderLines val="true"/>
            <c:extLst>
              <c:ext xmlns:c15="http://schemas.microsoft.com/office/drawing/2012/chart" uri="{CE6537A1-D6FC-4f65-9D91-7224C49458BB}">
                <c15:layout/>
                <c15:showLeaderLines val="true"/>
                <c15:leaderLines>
                  <c:spPr>
                    <a:ln w="9525" cap="flat" cmpd="sng" algn="ctr">
                      <a:solidFill>
                        <a:schemeClr val="tx1">
                          <a:shade val="95000"/>
                          <a:satMod val="105000"/>
                        </a:schemeClr>
                      </a:solidFill>
                      <a:prstDash val="solid"/>
                      <a:round/>
                    </a:ln>
                    <a:effectLst/>
                  </c:spPr>
                </c15:leaderLines>
              </c:ext>
            </c:extLst>
          </c:dLbls>
          <c:cat>
            <c:strRef>
              <c:f>[2025年决算图表数据.xlsx]支出决算结构!$A$1:$A$2</c:f>
              <c:strCache>
                <c:ptCount val="2"/>
                <c:pt idx="0">
                  <c:v>基本支出</c:v>
                </c:pt>
                <c:pt idx="1">
                  <c:v>项目支出</c:v>
                </c:pt>
              </c:strCache>
            </c:strRef>
          </c:cat>
          <c:val>
            <c:numRef>
              <c:f>[2025年决算图表数据.xlsx]支出决算结构!$B$1:$B$2</c:f>
              <c:numCache>
                <c:formatCode>0.00%</c:formatCode>
                <c:ptCount val="2"/>
                <c:pt idx="0">
                  <c:v>0.119980845689774</c:v>
                </c:pt>
                <c:pt idx="1">
                  <c:v>0.880019154310226</c:v>
                </c:pt>
              </c:numCache>
            </c:numRef>
          </c:val>
        </c:ser>
        <c:dLbls>
          <c:showLegendKey val="false"/>
          <c:showVal val="false"/>
          <c:showCatName val="true"/>
          <c:showSerName val="false"/>
          <c:showPercent val="true"/>
          <c:showBubbleSize val="false"/>
          <c:showLeaderLines val="true"/>
        </c:dLbls>
        <c:firstSliceAng val="15"/>
      </c:pieChart>
      <c:spPr>
        <a:noFill/>
        <a:ln>
          <a:noFill/>
        </a:ln>
        <a:effectLst/>
      </c:spPr>
    </c:plotArea>
    <c:plotVisOnly val="true"/>
    <c:dispBlanksAs val="zero"/>
    <c:showDLblsOverMax val="false"/>
  </c:chart>
  <c:spPr>
    <a:solidFill>
      <a:schemeClr val="bg1"/>
    </a:solidFill>
    <a:ln w="9525" cap="flat" cmpd="sng" algn="ctr">
      <a:solidFill>
        <a:schemeClr val="tx1">
          <a:tint val="75000"/>
          <a:shade val="95000"/>
          <a:satMod val="105000"/>
        </a:schemeClr>
      </a:solidFill>
      <a:prstDash val="solid"/>
      <a:round/>
    </a:ln>
    <a:effectLst/>
  </c:spPr>
  <c:txPr>
    <a:bodyPr/>
    <a:lstStyle/>
    <a:p>
      <a:pPr>
        <a:defRPr lang="zh-CN"/>
      </a:pPr>
    </a:p>
  </c:txPr>
  <c:externalData r:id="rId1">
    <c:autoUpdate val="false"/>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barChart>
        <c:barDir val="col"/>
        <c:grouping val="clustered"/>
        <c:varyColors val="false"/>
        <c:ser>
          <c:idx val="0"/>
          <c:order val="0"/>
          <c:tx>
            <c:strRef>
              <c:f>[2025年决算图表数据.xlsx]财政拨款收、支决算总计变动!$A$2</c:f>
              <c:strCache>
                <c:ptCount val="1"/>
                <c:pt idx="0">
                  <c:v>财政拨款收入总计</c:v>
                </c:pt>
              </c:strCache>
            </c:strRef>
          </c:tx>
          <c:invertIfNegative val="false"/>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ext>
            </c:extLst>
          </c:dLbls>
          <c:cat>
            <c:strRef>
              <c:f>[2025年决算图表数据.xlsx]财政拨款收、支决算总计变动!$B$1:$C$1</c:f>
              <c:strCache>
                <c:ptCount val="2"/>
                <c:pt idx="0">
                  <c:v>2024年度</c:v>
                </c:pt>
                <c:pt idx="1">
                  <c:v>2025年度</c:v>
                </c:pt>
              </c:strCache>
            </c:strRef>
          </c:cat>
          <c:val>
            <c:numRef>
              <c:f>[2025年决算图表数据.xlsx]财政拨款收、支决算总计变动!$B$2:$C$2</c:f>
              <c:numCache>
                <c:formatCode>_ * #,##0.00_ ;_ * \-#,##0.00_ ;_ * "-"??_ ;_ @_ </c:formatCode>
                <c:ptCount val="2"/>
                <c:pt idx="0">
                  <c:v>5948.57</c:v>
                </c:pt>
                <c:pt idx="1">
                  <c:v>5930.78</c:v>
                </c:pt>
              </c:numCache>
            </c:numRef>
          </c:val>
        </c:ser>
        <c:ser>
          <c:idx val="1"/>
          <c:order val="1"/>
          <c:tx>
            <c:strRef>
              <c:f>[2025年决算图表数据.xlsx]财政拨款收、支决算总计变动!$A$3</c:f>
              <c:strCache>
                <c:ptCount val="1"/>
                <c:pt idx="0">
                  <c:v>财政拨款支出总计</c:v>
                </c:pt>
              </c:strCache>
            </c:strRef>
          </c:tx>
          <c:invertIfNegative val="false"/>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ext>
            </c:extLst>
          </c:dLbls>
          <c:cat>
            <c:strRef>
              <c:f>[2025年决算图表数据.xlsx]财政拨款收、支决算总计变动!$B$1:$C$1</c:f>
              <c:strCache>
                <c:ptCount val="2"/>
                <c:pt idx="0">
                  <c:v>2024年度</c:v>
                </c:pt>
                <c:pt idx="1">
                  <c:v>2025年度</c:v>
                </c:pt>
              </c:strCache>
            </c:strRef>
          </c:cat>
          <c:val>
            <c:numRef>
              <c:f>[2025年决算图表数据.xlsx]财政拨款收、支决算总计变动!$B$3:$C$3</c:f>
              <c:numCache>
                <c:formatCode>_ * #,##0.00_ ;_ * \-#,##0.00_ ;_ * "-"??_ ;_ @_ </c:formatCode>
                <c:ptCount val="2"/>
                <c:pt idx="0">
                  <c:v>5948.57</c:v>
                </c:pt>
                <c:pt idx="1">
                  <c:v>5930.78</c:v>
                </c:pt>
              </c:numCache>
            </c:numRef>
          </c:val>
        </c:ser>
        <c:dLbls>
          <c:showLegendKey val="false"/>
          <c:showVal val="false"/>
          <c:showCatName val="false"/>
          <c:showSerName val="false"/>
          <c:showPercent val="false"/>
          <c:showBubbleSize val="false"/>
        </c:dLbls>
        <c:gapWidth val="75"/>
        <c:overlap val="0"/>
        <c:axId val="65911424"/>
        <c:axId val="65913216"/>
      </c:barChart>
      <c:catAx>
        <c:axId val="65911424"/>
        <c:scaling>
          <c:orientation val="minMax"/>
        </c:scaling>
        <c:delete val="false"/>
        <c:axPos val="b"/>
        <c:majorTickMark val="none"/>
        <c:minorTickMark val="none"/>
        <c:tickLblPos val="nextTo"/>
        <c:txPr>
          <a:bodyPr rot="-60000000" spcFirstLastPara="0" vertOverflow="ellipsis" vert="horz" wrap="square" anchor="ctr" anchorCtr="true"/>
          <a:lstStyle/>
          <a:p>
            <a:pPr>
              <a:defRPr lang="zh-CN" sz="1000" b="0" i="0" u="none" strike="noStrike" kern="1200" baseline="0">
                <a:solidFill>
                  <a:schemeClr val="tx1"/>
                </a:solidFill>
                <a:latin typeface="+mn-lt"/>
                <a:ea typeface="+mn-ea"/>
                <a:cs typeface="+mn-cs"/>
              </a:defRPr>
            </a:pPr>
          </a:p>
        </c:txPr>
        <c:crossAx val="65913216"/>
        <c:crosses val="autoZero"/>
        <c:auto val="true"/>
        <c:lblAlgn val="ctr"/>
        <c:lblOffset val="100"/>
        <c:noMultiLvlLbl val="false"/>
      </c:catAx>
      <c:valAx>
        <c:axId val="65913216"/>
        <c:scaling>
          <c:orientation val="minMax"/>
        </c:scaling>
        <c:delete val="false"/>
        <c:axPos val="l"/>
        <c:numFmt formatCode="_ * #,##0.00_ ;_ * \-#,##0.00_ ;_ * &quot;-&quot;??_ ;_ @_ " sourceLinked="true"/>
        <c:majorTickMark val="none"/>
        <c:minorTickMark val="none"/>
        <c:tickLblPos val="nextTo"/>
        <c:txPr>
          <a:bodyPr rot="-60000000" spcFirstLastPara="0" vertOverflow="ellipsis" vert="horz" wrap="square" anchor="ctr" anchorCtr="true"/>
          <a:lstStyle/>
          <a:p>
            <a:pPr>
              <a:defRPr lang="zh-CN" sz="1000" b="0" i="0" u="none" strike="noStrike" kern="1200" baseline="0">
                <a:solidFill>
                  <a:schemeClr val="tx1"/>
                </a:solidFill>
                <a:latin typeface="+mn-lt"/>
                <a:ea typeface="+mn-ea"/>
                <a:cs typeface="+mn-cs"/>
              </a:defRPr>
            </a:pPr>
          </a:p>
        </c:txPr>
        <c:crossAx val="65911424"/>
        <c:crosses val="autoZero"/>
        <c:crossBetween val="between"/>
      </c:valAx>
    </c:plotArea>
    <c:legend>
      <c:legendPos val="b"/>
      <c:layout/>
      <c:overlay val="false"/>
      <c:txPr>
        <a:bodyPr rot="0" spcFirstLastPara="0" vertOverflow="ellipsis" vert="horz" wrap="square" anchor="ctr" anchorCtr="true"/>
        <a:lstStyle/>
        <a:p>
          <a:pPr>
            <a:defRPr lang="zh-CN" sz="1000" b="0" i="0" u="none" strike="noStrike" kern="1200" baseline="0">
              <a:solidFill>
                <a:schemeClr val="tx1"/>
              </a:solidFill>
              <a:latin typeface="+mn-lt"/>
              <a:ea typeface="+mn-ea"/>
              <a:cs typeface="+mn-cs"/>
            </a:defRPr>
          </a:pPr>
        </a:p>
      </c:txPr>
    </c:legend>
    <c:plotVisOnly val="true"/>
    <c:dispBlanksAs val="gap"/>
    <c:showDLblsOverMax val="false"/>
  </c:chart>
  <c:txPr>
    <a:bodyPr/>
    <a:lstStyle/>
    <a:p>
      <a:pPr>
        <a:defRPr lang="zh-CN"/>
      </a:pPr>
    </a:p>
  </c:txPr>
  <c:externalData r:id="rId1">
    <c:autoUpdate val="false"/>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barChart>
        <c:barDir val="col"/>
        <c:grouping val="clustered"/>
        <c:varyColors val="false"/>
        <c:ser>
          <c:idx val="0"/>
          <c:order val="0"/>
          <c:tx>
            <c:strRef>
              <c:f>[2025年决算图表数据.xlsx]一般公共预算财政拨款支出1!$A$2</c:f>
              <c:strCache>
                <c:ptCount val="1"/>
                <c:pt idx="0">
                  <c:v>一般公共预算财政拨款支出总计</c:v>
                </c:pt>
              </c:strCache>
            </c:strRef>
          </c:tx>
          <c:invertIfNegative val="false"/>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ext>
            </c:extLst>
          </c:dLbls>
          <c:cat>
            <c:strRef>
              <c:f>[2025年决算图表数据.xlsx]一般公共预算财政拨款支出1!$B$1:$C$1</c:f>
              <c:strCache>
                <c:ptCount val="2"/>
                <c:pt idx="0">
                  <c:v>2024年度</c:v>
                </c:pt>
                <c:pt idx="1">
                  <c:v>2025年度</c:v>
                </c:pt>
              </c:strCache>
            </c:strRef>
          </c:cat>
          <c:val>
            <c:numRef>
              <c:f>[2025年决算图表数据.xlsx]一般公共预算财政拨款支出1!$B$2:$C$2</c:f>
              <c:numCache>
                <c:formatCode>_ * #,##0.00_ ;_ * \-#,##0.00_ ;_ * "-"??_ ;_ @_ </c:formatCode>
                <c:ptCount val="2"/>
                <c:pt idx="0">
                  <c:v>5948.57</c:v>
                </c:pt>
                <c:pt idx="1">
                  <c:v>5930.78</c:v>
                </c:pt>
              </c:numCache>
            </c:numRef>
          </c:val>
        </c:ser>
        <c:ser>
          <c:idx val="1"/>
          <c:order val="1"/>
          <c:tx>
            <c:strRef>
              <c:f>#REF!</c:f>
              <c:strCache>
                <c:ptCount val="1"/>
                <c:pt idx="0">
                  <c:v/>
                </c:pt>
              </c:strCache>
            </c:strRef>
          </c:tx>
          <c:invertIfNegative val="false"/>
          <c:dLbls>
            <c:delete val="true"/>
          </c:dLbls>
          <c:cat>
            <c:strRef>
              <c:f>[2025年决算图表数据.xlsx]一般公共预算财政拨款支出1!$B$1:$C$1</c:f>
              <c:strCache>
                <c:ptCount val="2"/>
                <c:pt idx="0">
                  <c:v>2024年度</c:v>
                </c:pt>
                <c:pt idx="1">
                  <c:v>2025年度</c:v>
                </c:pt>
              </c:strCache>
            </c:strRef>
          </c:cat>
          <c:val>
            <c:numRef>
              <c:f>#REF!</c:f>
              <c:numCache>
                <c:formatCode>General</c:formatCode>
                <c:ptCount val="1"/>
                <c:pt idx="0">
                  <c:v>1</c:v>
                </c:pt>
              </c:numCache>
            </c:numRef>
          </c:val>
        </c:ser>
        <c:dLbls>
          <c:showLegendKey val="false"/>
          <c:showVal val="false"/>
          <c:showCatName val="false"/>
          <c:showSerName val="false"/>
          <c:showPercent val="false"/>
          <c:showBubbleSize val="false"/>
        </c:dLbls>
        <c:gapWidth val="75"/>
        <c:overlap val="0"/>
        <c:axId val="65911424"/>
        <c:axId val="65913216"/>
      </c:barChart>
      <c:catAx>
        <c:axId val="65911424"/>
        <c:scaling>
          <c:orientation val="minMax"/>
        </c:scaling>
        <c:delete val="false"/>
        <c:axPos val="b"/>
        <c:majorTickMark val="none"/>
        <c:minorTickMark val="none"/>
        <c:tickLblPos val="nextTo"/>
        <c:txPr>
          <a:bodyPr rot="-60000000" spcFirstLastPara="0" vertOverflow="ellipsis" vert="horz" wrap="square" anchor="ctr" anchorCtr="true"/>
          <a:lstStyle/>
          <a:p>
            <a:pPr>
              <a:defRPr lang="zh-CN" sz="1000" b="0" i="0" u="none" strike="noStrike" kern="1200" baseline="0">
                <a:solidFill>
                  <a:schemeClr val="tx1"/>
                </a:solidFill>
                <a:latin typeface="+mn-lt"/>
                <a:ea typeface="+mn-ea"/>
                <a:cs typeface="+mn-cs"/>
              </a:defRPr>
            </a:pPr>
          </a:p>
        </c:txPr>
        <c:crossAx val="65913216"/>
        <c:crosses val="autoZero"/>
        <c:auto val="true"/>
        <c:lblAlgn val="ctr"/>
        <c:lblOffset val="100"/>
        <c:noMultiLvlLbl val="false"/>
      </c:catAx>
      <c:valAx>
        <c:axId val="65913216"/>
        <c:scaling>
          <c:orientation val="minMax"/>
        </c:scaling>
        <c:delete val="false"/>
        <c:axPos val="l"/>
        <c:numFmt formatCode="_ * #,##0.00_ ;_ * \-#,##0.00_ ;_ * &quot;-&quot;??_ ;_ @_ " sourceLinked="true"/>
        <c:majorTickMark val="none"/>
        <c:minorTickMark val="none"/>
        <c:tickLblPos val="nextTo"/>
        <c:txPr>
          <a:bodyPr rot="-60000000" spcFirstLastPara="0" vertOverflow="ellipsis" vert="horz" wrap="square" anchor="ctr" anchorCtr="true"/>
          <a:lstStyle/>
          <a:p>
            <a:pPr>
              <a:defRPr lang="zh-CN" sz="1000" b="0" i="0" u="none" strike="noStrike" kern="1200" baseline="0">
                <a:solidFill>
                  <a:schemeClr val="tx1"/>
                </a:solidFill>
                <a:latin typeface="+mn-lt"/>
                <a:ea typeface="+mn-ea"/>
                <a:cs typeface="+mn-cs"/>
              </a:defRPr>
            </a:pPr>
          </a:p>
        </c:txPr>
        <c:crossAx val="65911424"/>
        <c:crosses val="autoZero"/>
        <c:crossBetween val="between"/>
      </c:valAx>
    </c:plotArea>
    <c:legend>
      <c:legendPos val="b"/>
      <c:legendEntry>
        <c:idx val="1"/>
        <c:delete val="true"/>
      </c:legendEntry>
      <c:layout/>
      <c:overlay val="false"/>
      <c:txPr>
        <a:bodyPr rot="0" spcFirstLastPara="0" vertOverflow="ellipsis" vert="horz" wrap="square" anchor="ctr" anchorCtr="true"/>
        <a:lstStyle/>
        <a:p>
          <a:pPr>
            <a:defRPr lang="zh-CN" sz="1000" b="0" i="0" u="none" strike="noStrike" kern="1200" baseline="0">
              <a:solidFill>
                <a:schemeClr val="tx1"/>
              </a:solidFill>
              <a:latin typeface="+mn-lt"/>
              <a:ea typeface="+mn-ea"/>
              <a:cs typeface="+mn-cs"/>
            </a:defRPr>
          </a:pPr>
        </a:p>
      </c:txPr>
    </c:legend>
    <c:plotVisOnly val="true"/>
    <c:dispBlanksAs val="gap"/>
    <c:showDLblsOverMax val="false"/>
  </c:chart>
  <c:txPr>
    <a:bodyPr/>
    <a:lstStyle/>
    <a:p>
      <a:pPr>
        <a:defRPr lang="zh-CN"/>
      </a:pPr>
    </a:p>
  </c:txPr>
  <c:externalData r:id="rId1">
    <c:autoUpdate val="false"/>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pieChart>
        <c:varyColors val="true"/>
        <c:ser>
          <c:idx val="0"/>
          <c:order val="0"/>
          <c:spPr/>
          <c:explosion val="0"/>
          <c:dPt>
            <c:idx val="0"/>
            <c:bubble3D val="false"/>
            <c:spPr>
              <a:solidFill>
                <a:schemeClr val="accent1"/>
              </a:solidFill>
              <a:ln w="19050">
                <a:solidFill>
                  <a:schemeClr val="lt1"/>
                </a:solidFill>
              </a:ln>
              <a:effectLst/>
            </c:spPr>
          </c:dPt>
          <c:dPt>
            <c:idx val="1"/>
            <c:bubble3D val="false"/>
            <c:spPr>
              <a:solidFill>
                <a:schemeClr val="accent2"/>
              </a:solidFill>
              <a:ln w="19050">
                <a:solidFill>
                  <a:schemeClr val="lt1"/>
                </a:solidFill>
              </a:ln>
              <a:effectLst/>
            </c:spPr>
          </c:dPt>
          <c:dPt>
            <c:idx val="2"/>
            <c:bubble3D val="false"/>
            <c:spPr>
              <a:solidFill>
                <a:schemeClr val="accent3"/>
              </a:solidFill>
              <a:ln w="19050">
                <a:solidFill>
                  <a:schemeClr val="lt1"/>
                </a:solidFill>
              </a:ln>
              <a:effectLst/>
            </c:spPr>
          </c:dPt>
          <c:dPt>
            <c:idx val="3"/>
            <c:bubble3D val="false"/>
            <c:spPr>
              <a:solidFill>
                <a:schemeClr val="accent4"/>
              </a:solidFill>
              <a:ln w="19050">
                <a:solidFill>
                  <a:schemeClr val="lt1"/>
                </a:solidFill>
              </a:ln>
              <a:effectLst/>
            </c:spPr>
          </c:dPt>
          <c:dLbls>
            <c:dLbl>
              <c:idx val="1"/>
              <c:layout>
                <c:manualLayout>
                  <c:x val="-0.0809142538334443"/>
                  <c:y val="0.218545758211104"/>
                </c:manualLayout>
              </c:layout>
              <c:dLblPos val="bestFit"/>
              <c:showLegendKey val="false"/>
              <c:showVal val="false"/>
              <c:showCatName val="true"/>
              <c:showSerName val="false"/>
              <c:showPercent val="true"/>
              <c:showBubbleSize val="false"/>
              <c:separator>
</c:separator>
              <c:extLst>
                <c:ext xmlns:c15="http://schemas.microsoft.com/office/drawing/2012/chart" uri="{CE6537A1-D6FC-4f65-9D91-7224C49458BB}">
                  <c15:layout/>
                </c:ext>
              </c:extLst>
            </c:dLbl>
            <c:dLbl>
              <c:idx val="2"/>
              <c:layout>
                <c:manualLayout>
                  <c:x val="0.0241114695146126"/>
                  <c:y val="0.368644812780101"/>
                </c:manualLayout>
              </c:layout>
              <c:dLblPos val="bestFit"/>
              <c:showLegendKey val="false"/>
              <c:showVal val="false"/>
              <c:showCatName val="true"/>
              <c:showSerName val="false"/>
              <c:showPercent val="true"/>
              <c:showBubbleSize val="false"/>
              <c:separator>
</c:separator>
              <c:extLst>
                <c:ext xmlns:c15="http://schemas.microsoft.com/office/drawing/2012/chart" uri="{CE6537A1-D6FC-4f65-9D91-7224C49458BB}">
                  <c15:layout/>
                </c:ext>
              </c:extLst>
            </c:dLbl>
            <c:dLbl>
              <c:idx val="3"/>
              <c:layout>
                <c:manualLayout>
                  <c:x val="0.109150354743729"/>
                  <c:y val="0.146757822138749"/>
                </c:manualLayout>
              </c:layout>
              <c:tx>
                <c:rich>
                  <a:bodyPr rot="0" spcFirstLastPara="0" vertOverflow="ellipsis" vert="horz" wrap="square" lIns="38100" tIns="19050" rIns="38100" bIns="19050" anchor="ctr" anchorCtr="true"/>
                  <a:lstStyle/>
                  <a:p>
                    <a:pPr defTabSz="914400">
                      <a:defRPr lang="zh-CN" sz="900" b="0" i="0" u="none" strike="noStrike" kern="1200" baseline="0">
                        <a:solidFill>
                          <a:schemeClr val="tx1">
                            <a:lumMod val="75000"/>
                            <a:lumOff val="25000"/>
                          </a:schemeClr>
                        </a:solidFill>
                        <a:latin typeface="+mn-lt"/>
                        <a:ea typeface="+mn-ea"/>
                        <a:cs typeface="+mn-cs"/>
                      </a:defRPr>
                    </a:pPr>
                    <a:r>
                      <a:t>住房保障支出1%</a:t>
                    </a:r>
                  </a:p>
                </c:rich>
              </c:tx>
              <c:dLblPos val="bestFit"/>
              <c:showLegendKey val="false"/>
              <c:showVal val="false"/>
              <c:showCatName val="true"/>
              <c:showSerName val="false"/>
              <c:showPercent val="true"/>
              <c:showBubbleSize val="false"/>
              <c:separator>
</c:separator>
              <c:extLst>
                <c:ext xmlns:c15="http://schemas.microsoft.com/office/drawing/2012/chart" uri="{CE6537A1-D6FC-4f65-9D91-7224C49458BB}">
                  <c15:layout/>
                </c:ext>
              </c:extLst>
            </c:dLbl>
            <c:numFmt formatCode="0.00%" sourceLinked="fals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false"/>
            <c:showVal val="false"/>
            <c:showCatName val="true"/>
            <c:showSerName val="false"/>
            <c:showPercent val="tru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[2025年决算图表数据.xlsx]一般公共预算财政拨款支出决算结构!$A$1:$A$4</c:f>
              <c:strCache>
                <c:ptCount val="4"/>
                <c:pt idx="0">
                  <c:v>一般公共服务支出</c:v>
                </c:pt>
                <c:pt idx="1">
                  <c:v>社会保障和就业支出</c:v>
                </c:pt>
                <c:pt idx="2">
                  <c:v>卫生健康支出</c:v>
                </c:pt>
                <c:pt idx="3">
                  <c:v>住房保障支出</c:v>
                </c:pt>
              </c:strCache>
            </c:strRef>
          </c:cat>
          <c:val>
            <c:numRef>
              <c:f>[2025年决算图表数据.xlsx]一般公共预算财政拨款支出决算结构!$B$1:$B$4</c:f>
              <c:numCache>
                <c:formatCode>0.00%</c:formatCode>
                <c:ptCount val="4"/>
                <c:pt idx="0">
                  <c:v>0.974</c:v>
                </c:pt>
                <c:pt idx="1">
                  <c:v>0.0114</c:v>
                </c:pt>
                <c:pt idx="2">
                  <c:v>0.0063</c:v>
                </c:pt>
                <c:pt idx="3">
                  <c:v>0.0084</c:v>
                </c:pt>
              </c:numCache>
            </c:numRef>
          </c:val>
        </c:ser>
        <c:ser>
          <c:idx val="1"/>
          <c:order val="1"/>
          <c:spPr/>
          <c:explosion val="0"/>
          <c:dPt>
            <c:idx val="0"/>
            <c:bubble3D val="false"/>
            <c:spPr>
              <a:solidFill>
                <a:schemeClr val="accent1"/>
              </a:solidFill>
              <a:ln w="19050">
                <a:solidFill>
                  <a:schemeClr val="lt1"/>
                </a:solidFill>
              </a:ln>
              <a:effectLst/>
            </c:spPr>
          </c:dPt>
          <c:dPt>
            <c:idx val="1"/>
            <c:bubble3D val="false"/>
            <c:spPr>
              <a:solidFill>
                <a:schemeClr val="accent2"/>
              </a:solidFill>
              <a:ln w="19050">
                <a:solidFill>
                  <a:schemeClr val="lt1"/>
                </a:solidFill>
              </a:ln>
              <a:effectLst/>
            </c:spPr>
          </c:dPt>
          <c:dPt>
            <c:idx val="2"/>
            <c:bubble3D val="false"/>
            <c:spPr>
              <a:solidFill>
                <a:schemeClr val="accent3"/>
              </a:solidFill>
              <a:ln w="19050">
                <a:solidFill>
                  <a:schemeClr val="lt1"/>
                </a:solidFill>
              </a:ln>
              <a:effectLst/>
            </c:spPr>
          </c:dPt>
          <c:dPt>
            <c:idx val="3"/>
            <c:bubble3D val="false"/>
            <c:spPr>
              <a:solidFill>
                <a:schemeClr val="accent4"/>
              </a:solidFill>
              <a:ln w="19050">
                <a:solidFill>
                  <a:schemeClr val="lt1"/>
                </a:solidFill>
              </a:ln>
              <a:effectLst/>
            </c:spPr>
          </c:dPt>
          <c:dPt>
            <c:idx val="4"/>
            <c:bubble3D val="false"/>
            <c:spPr>
              <a:solidFill>
                <a:schemeClr val="accent5"/>
              </a:solidFill>
              <a:ln w="19050">
                <a:solidFill>
                  <a:schemeClr val="lt1"/>
                </a:solidFill>
              </a:ln>
              <a:effectLst/>
            </c:spPr>
          </c:dPt>
          <c:dLbls>
            <c:numFmt formatCode="General" sourceLinked="tru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false"/>
            <c:showVal val="false"/>
            <c:showCatName val="true"/>
            <c:showSerName val="false"/>
            <c:showPercent val="tru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[2025年决算图表数据.xlsx]一般公共预算财政拨款支出决算结构!$A$1:$A$4</c:f>
              <c:strCache>
                <c:ptCount val="4"/>
                <c:pt idx="0">
                  <c:v>一般公共服务支出</c:v>
                </c:pt>
                <c:pt idx="1">
                  <c:v>社会保障和就业支出</c:v>
                </c:pt>
                <c:pt idx="2">
                  <c:v>卫生健康支出</c:v>
                </c:pt>
                <c:pt idx="3">
                  <c:v>住房保障支出</c:v>
                </c:pt>
              </c:strCache>
            </c:strRef>
          </c:cat>
          <c:val>
            <c:numRef>
              <c:f>[2025年决算图表数据.xlsx]一般公共预算财政拨款支出决算结构!$C$1:$C$5</c:f>
              <c:numCache>
                <c:formatCode>_ * #,##0.00_ ;_ * \-#,##0.00_ ;_ * "-"??_ ;_ @_ </c:formatCode>
                <c:ptCount val="5"/>
                <c:pt idx="0">
                  <c:v>5776.66</c:v>
                </c:pt>
                <c:pt idx="1" c:formatCode="General">
                  <c:v>67.32</c:v>
                </c:pt>
                <c:pt idx="2" c:formatCode="General">
                  <c:v>37.18</c:v>
                </c:pt>
                <c:pt idx="3" c:formatCode="General">
                  <c:v>49.62</c:v>
                </c:pt>
                <c:pt idx="4">
                  <c:v>5930.78</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zero"/>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0" i="0" u="none" strike="noStrike" kern="1200" spc="0" baseline="0">
                <a:solidFill>
                  <a:schemeClr val="tx1">
                    <a:lumMod val="65000"/>
                    <a:lumOff val="35000"/>
                  </a:schemeClr>
                </a:solidFill>
                <a:latin typeface="+mn-lt"/>
                <a:ea typeface="+mn-ea"/>
                <a:cs typeface="+mn-cs"/>
              </a:defRPr>
            </a:pPr>
            <a:r>
              <a:t>“三公”经费财政拨款支出结构</a:t>
            </a:r>
          </a:p>
        </c:rich>
      </c:tx>
      <c:layout/>
      <c:overlay val="false"/>
      <c:spPr>
        <a:noFill/>
        <a:ln>
          <a:noFill/>
        </a:ln>
        <a:effectLst/>
      </c:spPr>
    </c:title>
    <c:autoTitleDeleted val="false"/>
    <c:plotArea>
      <c:layout/>
      <c:pieChart>
        <c:varyColors val="true"/>
        <c:ser>
          <c:idx val="0"/>
          <c:order val="0"/>
          <c:spPr/>
          <c:explosion val="0"/>
          <c:dPt>
            <c:idx val="0"/>
            <c:bubble3D val="false"/>
            <c:spPr>
              <a:solidFill>
                <a:schemeClr val="accent1"/>
              </a:solidFill>
              <a:ln w="19050">
                <a:solidFill>
                  <a:schemeClr val="lt1"/>
                </a:solidFill>
              </a:ln>
              <a:effectLst/>
            </c:spPr>
          </c:dPt>
          <c:dPt>
            <c:idx val="1"/>
            <c:bubble3D val="false"/>
            <c:spPr>
              <a:solidFill>
                <a:schemeClr val="accent2"/>
              </a:solidFill>
              <a:ln w="19050">
                <a:solidFill>
                  <a:schemeClr val="lt1"/>
                </a:solidFill>
              </a:ln>
              <a:effectLst/>
            </c:spPr>
          </c:dPt>
          <c:dLbls>
            <c:dLbl>
              <c:idx val="0"/>
              <c:layout/>
              <c:tx>
                <c:rich>
                  <a:bodyPr rot="0" spcFirstLastPara="0" vertOverflow="ellipsis" vert="horz" wrap="square" lIns="38100" tIns="19050" rIns="38100" bIns="19050" anchor="ctr" anchorCtr="true"/>
                  <a:lstStyle/>
                  <a:p>
                    <a:pPr defTabSz="914400">
                      <a:defRPr lang="zh-CN" sz="900" b="0" i="0" u="none" strike="noStrike" kern="1200" baseline="0">
                        <a:solidFill>
                          <a:schemeClr val="tx1">
                            <a:lumMod val="75000"/>
                            <a:lumOff val="25000"/>
                          </a:schemeClr>
                        </a:solidFill>
                        <a:latin typeface="+mn-lt"/>
                        <a:ea typeface="+mn-ea"/>
                        <a:cs typeface="+mn-cs"/>
                      </a:defRPr>
                    </a:pPr>
                    <a:r>
                      <a:t>公务用车购置及运行维护费支出9</a:t>
                    </a:r>
                    <a:r>
                      <a:rPr lang="en-US" altLang="zh-CN"/>
                      <a:t>7.75</a:t>
                    </a:r>
                    <a:r>
                      <a:t>%</a:t>
                    </a:r>
                  </a:p>
                </c:rich>
              </c:tx>
              <c:dLblPos val="inEnd"/>
              <c:showLegendKey val="false"/>
              <c:showVal val="false"/>
              <c:showCatName val="true"/>
              <c:showSerName val="false"/>
              <c:showPercent val="true"/>
              <c:showBubbleSize val="false"/>
              <c:separator>
</c:separator>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true"/>
                  <a:lstStyle/>
                  <a:p>
                    <a:pPr defTabSz="914400">
                      <a:defRPr lang="zh-CN" sz="900" b="0" i="0" u="none" strike="noStrike" kern="1200" baseline="0">
                        <a:solidFill>
                          <a:schemeClr val="tx1">
                            <a:lumMod val="75000"/>
                            <a:lumOff val="25000"/>
                          </a:schemeClr>
                        </a:solidFill>
                        <a:latin typeface="+mn-lt"/>
                        <a:ea typeface="+mn-ea"/>
                        <a:cs typeface="+mn-cs"/>
                      </a:defRPr>
                    </a:pPr>
                    <a:r>
                      <a:t>公务接待费支出2</a:t>
                    </a:r>
                    <a:r>
                      <a:rPr lang="en-US" altLang="zh-CN"/>
                      <a:t>.25</a:t>
                    </a:r>
                    <a:r>
                      <a:t>%</a:t>
                    </a:r>
                  </a:p>
                </c:rich>
              </c:tx>
              <c:dLblPos val="inEnd"/>
              <c:showLegendKey val="false"/>
              <c:showVal val="false"/>
              <c:showCatName val="true"/>
              <c:showSerName val="false"/>
              <c:showPercent val="true"/>
              <c:showBubbleSize val="false"/>
              <c:separator>
</c:separator>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false"/>
            <c:showVal val="false"/>
            <c:showCatName val="true"/>
            <c:showSerName val="false"/>
            <c:showPercent val="tru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[2024年决算图表数据.xlsx]“三公”经费财政拨款支出结构!$A$1:$A$2</c:f>
              <c:strCache>
                <c:ptCount val="2"/>
                <c:pt idx="0">
                  <c:v>公务用车购置及运行维护费支出</c:v>
                </c:pt>
                <c:pt idx="1">
                  <c:v>公务接待费支出</c:v>
                </c:pt>
              </c:strCache>
            </c:strRef>
          </c:cat>
          <c:val>
            <c:numRef>
              <c:f>[2024年决算图表数据.xlsx]“三公”经费财政拨款支出结构!$B$1:$B$2</c:f>
              <c:numCache>
                <c:formatCode>0.00%</c:formatCode>
                <c:ptCount val="2"/>
                <c:pt idx="0">
                  <c:v>0.9775</c:v>
                </c:pt>
                <c:pt idx="1">
                  <c:v>0.0225</c:v>
                </c:pt>
              </c:numCache>
            </c:numRef>
          </c:val>
        </c:ser>
        <c:dLbls>
          <c:showLegendKey val="false"/>
          <c:showVal val="false"/>
          <c:showCatName val="true"/>
          <c:showSerName val="false"/>
          <c:showPercent val="true"/>
          <c:showBubbleSize val="false"/>
          <c:showLeaderLines val="true"/>
        </c:dLbls>
        <c:firstSliceAng val="0"/>
      </c:pieChart>
      <c:spPr>
        <a:noFill/>
        <a:ln>
          <a:noFill/>
        </a:ln>
        <a:effectLst/>
      </c:spPr>
    </c:plotArea>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 id="14">
  <a:schemeClr val="accent1"/>
</cs:colorStyle>
</file>

<file path=word/charts/colors3.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7">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23</Pages>
  <Words>1299</Words>
  <Characters>7410</Characters>
  <Lines>61</Lines>
  <Paragraphs>17</Paragraphs>
  <TotalTime>29</TotalTime>
  <ScaleCrop>false</ScaleCrop>
  <LinksUpToDate>false</LinksUpToDate>
  <CharactersWithSpaces>8692</CharactersWithSpaces>
  <Application>WPS Office_11.8.2.9864_F1E327BC-269C-435d-A152-05C5408002CA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2020-08-22T09:49:00Z</dcterms:created>
  <dc:creator>曹颖</dc:creator>
  <cp:lastModifiedBy>user</cp:lastModifiedBy>
  <cp:lastPrinted>2026-09-15T09:24:00Z</cp:lastPrinted>
  <dcterms:modified xsi:type="dcterms:W3CDTF">2026-09-15T16:54:04Z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2052-11.8.2.9864</vt:lpwstr>
  </property>
  <property fmtid="{D5CDD505-2E9C-101B-9397-08002B2CF9AE}" pid="3" name="ICV">
    <vt:lpwstr>04787F2533EB45DC91BCDE4AB213247F</vt:lpwstr>
  </property>
</Properties>
</file>