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93"/>
        <w:rPr>
          <w:rFonts w:ascii="Times New Roman" w:eastAsia="方正小标宋简体"/>
          <w:kern w:val="2"/>
          <w:sz w:val="72"/>
          <w:szCs w:val="72"/>
        </w:rPr>
      </w:pPr>
      <w:bookmarkStart w:id="0" w:name="_Toc15396475"/>
      <w:bookmarkStart w:id="1" w:name="_Toc15396597"/>
      <w:bookmarkStart w:id="2" w:name="_Toc15306267"/>
      <w:bookmarkStart w:id="3" w:name="_Toc15377425"/>
      <w:bookmarkStart w:id="4" w:name="_Toc15377193"/>
      <w:bookmarkStart w:id="5" w:name="_Toc15378441"/>
    </w:p>
    <w:p>
      <w:pPr>
        <w:pStyle w:val="5"/>
        <w:spacing w:before="93"/>
        <w:rPr>
          <w:rFonts w:ascii="Times New Roman" w:eastAsia="方正小标宋简体"/>
          <w:kern w:val="2"/>
          <w:sz w:val="72"/>
          <w:szCs w:val="72"/>
        </w:rPr>
      </w:pPr>
    </w:p>
    <w:p>
      <w:pPr>
        <w:pStyle w:val="5"/>
        <w:spacing w:before="93"/>
        <w:rPr>
          <w:rFonts w:ascii="Times New Roman" w:eastAsia="方正小标宋简体"/>
          <w:kern w:val="2"/>
          <w:sz w:val="72"/>
          <w:szCs w:val="72"/>
        </w:rPr>
      </w:pP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2025年度四川省</w:t>
      </w: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攀枝花市公安局交通警察支队</w:t>
      </w: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部门决算公开编制说明</w:t>
      </w: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ascii="Times New Roman" w:hAnsi="Times New Roman" w:eastAsia="仿宋_GB2312" w:cs="仿宋_GB2312"/>
          <w:sz w:val="32"/>
          <w:szCs w:val="32"/>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bookmarkStart w:id="63" w:name="_GoBack"/>
      <w:bookmarkEnd w:id="63"/>
      <w:r>
        <w:rPr>
          <w:rFonts w:hint="eastAsia" w:ascii="Times New Roman" w:hAnsi="Times New Roman" w:eastAsia="仿宋_GB2312" w:cs="仿宋_GB2312"/>
          <w:sz w:val="32"/>
          <w:szCs w:val="32"/>
        </w:rPr>
        <w:t>日</w:t>
      </w:r>
    </w:p>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ascii="Times New Roman" w:hAnsi="Times New Roman" w:eastAsia="黑体" w:cs="黑体"/>
          <w:sz w:val="32"/>
          <w:szCs w:val="32"/>
        </w:rPr>
        <w:tab/>
      </w:r>
      <w:r>
        <w:rPr>
          <w:rFonts w:ascii="Times New Roman" w:hAnsi="Times New Roman" w:eastAsia="黑体" w:cs="黑体"/>
          <w:sz w:val="32"/>
          <w:szCs w:val="32"/>
        </w:rPr>
        <w:t>3</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eastAsia="仿宋_GB2312" w:cs="仿宋_GB2312"/>
          <w:sz w:val="32"/>
          <w:szCs w:val="32"/>
        </w:rPr>
        <w:tab/>
      </w:r>
      <w:r>
        <w:rPr>
          <w:rFonts w:ascii="仿宋" w:hAnsi="仿宋" w:eastAsia="仿宋" w:cs="仿宋_GB2312"/>
          <w:sz w:val="32"/>
          <w:szCs w:val="32"/>
        </w:rPr>
        <w:t>3</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ab/>
      </w:r>
      <w:r>
        <w:rPr>
          <w:rFonts w:ascii="仿宋" w:hAnsi="仿宋" w:eastAsia="仿宋" w:cs="仿宋_GB2312"/>
          <w:sz w:val="32"/>
          <w:szCs w:val="32"/>
        </w:rPr>
        <w:t>3</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r>
        <w:rPr>
          <w:rFonts w:ascii="Times New Roman" w:hAnsi="Times New Roman" w:eastAsia="黑体" w:cs="黑体"/>
          <w:sz w:val="32"/>
          <w:szCs w:val="32"/>
        </w:rPr>
        <w:tab/>
      </w:r>
      <w:r>
        <w:rPr>
          <w:rFonts w:ascii="Times New Roman" w:hAnsi="Times New Roman" w:eastAsia="黑体" w:cs="黑体"/>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eastAsia="仿宋_GB2312" w:cs="仿宋_GB2312"/>
          <w:sz w:val="32"/>
          <w:szCs w:val="32"/>
        </w:rPr>
        <w:tab/>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eastAsia="仿宋_GB2312" w:cs="仿宋_GB2312"/>
          <w:sz w:val="32"/>
          <w:szCs w:val="32"/>
        </w:rPr>
        <w:tab/>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eastAsia="仿宋_GB2312" w:cs="仿宋_GB2312"/>
          <w:sz w:val="32"/>
          <w:szCs w:val="32"/>
        </w:rPr>
        <w:tab/>
      </w:r>
      <w:r>
        <w:rPr>
          <w:rFonts w:ascii="仿宋" w:hAnsi="仿宋" w:eastAsia="仿宋" w:cs="仿宋_GB2312"/>
          <w:sz w:val="32"/>
          <w:szCs w:val="32"/>
        </w:rPr>
        <w:t>5</w:t>
      </w:r>
    </w:p>
    <w:p>
      <w:pPr>
        <w:pStyle w:val="14"/>
        <w:tabs>
          <w:tab w:val="right" w:leader="dot" w:pos="7980"/>
        </w:tabs>
        <w:adjustRightInd w:val="0"/>
        <w:snapToGrid w:val="0"/>
        <w:spacing w:line="560" w:lineRule="exact"/>
        <w:ind w:left="0" w:leftChars="0" w:firstLine="640" w:firstLineChars="200"/>
        <w:jc w:val="left"/>
        <w:rPr>
          <w:rFonts w:ascii="仿宋" w:hAnsi="仿宋" w:eastAsia="仿宋" w:cs="仿宋_GB2312"/>
          <w:sz w:val="32"/>
          <w:szCs w:val="32"/>
        </w:rPr>
      </w:pPr>
      <w:r>
        <w:rPr>
          <w:rFonts w:hint="eastAsia" w:eastAsia="仿宋_GB2312" w:cs="仿宋_GB2312"/>
          <w:sz w:val="32"/>
          <w:szCs w:val="32"/>
        </w:rPr>
        <w:t>四、财政拨款收入支出决算总体情况说明</w:t>
      </w:r>
      <w:r>
        <w:rPr>
          <w:rFonts w:eastAsia="仿宋_GB2312" w:cs="仿宋_GB2312"/>
          <w:sz w:val="32"/>
          <w:szCs w:val="32"/>
        </w:rPr>
        <w:tab/>
      </w:r>
      <w:r>
        <w:rPr>
          <w:rFonts w:ascii="仿宋" w:hAnsi="仿宋" w:eastAsia="仿宋" w:cs="仿宋_GB2312"/>
          <w:sz w:val="32"/>
          <w:szCs w:val="32"/>
        </w:rPr>
        <w:t>5</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eastAsia="仿宋_GB2312" w:cs="仿宋_GB2312"/>
          <w:sz w:val="32"/>
          <w:szCs w:val="32"/>
        </w:rPr>
        <w:tab/>
      </w:r>
      <w:r>
        <w:rPr>
          <w:rFonts w:ascii="仿宋" w:hAnsi="仿宋" w:eastAsia="仿宋" w:cs="仿宋_GB2312"/>
          <w:sz w:val="32"/>
          <w:szCs w:val="32"/>
        </w:rPr>
        <w:t>5</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eastAsia="仿宋_GB2312" w:cs="仿宋_GB2312"/>
          <w:sz w:val="32"/>
          <w:szCs w:val="32"/>
        </w:rPr>
        <w:tab/>
      </w:r>
      <w:r>
        <w:rPr>
          <w:rFonts w:ascii="仿宋" w:hAnsi="仿宋" w:eastAsia="仿宋" w:cs="仿宋_GB2312"/>
          <w:sz w:val="32"/>
          <w:szCs w:val="32"/>
        </w:rPr>
        <w:t>8</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ab/>
      </w:r>
      <w:r>
        <w:rPr>
          <w:rFonts w:ascii="仿宋" w:hAnsi="仿宋" w:eastAsia="仿宋" w:cs="仿宋_GB2312"/>
          <w:sz w:val="32"/>
          <w:szCs w:val="32"/>
        </w:rPr>
        <w:t>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ab/>
      </w:r>
      <w:r>
        <w:rPr>
          <w:rFonts w:hint="eastAsia" w:ascii="仿宋" w:hAnsi="仿宋" w:eastAsia="仿宋" w:cs="仿宋_GB2312"/>
          <w:sz w:val="32"/>
          <w:szCs w:val="32"/>
        </w:rPr>
        <w:t>1</w:t>
      </w:r>
      <w:r>
        <w:rPr>
          <w:rFonts w:ascii="仿宋" w:hAnsi="仿宋" w:eastAsia="仿宋" w:cs="仿宋_GB2312"/>
          <w:sz w:val="32"/>
          <w:szCs w:val="32"/>
        </w:rPr>
        <w:t>0</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eastAsia="仿宋_GB2312" w:cs="仿宋_GB2312"/>
          <w:sz w:val="32"/>
          <w:szCs w:val="32"/>
        </w:rPr>
        <w:tab/>
      </w:r>
      <w:r>
        <w:rPr>
          <w:rFonts w:hint="eastAsia" w:ascii="仿宋" w:hAnsi="仿宋" w:eastAsia="仿宋" w:cs="仿宋_GB2312"/>
          <w:sz w:val="32"/>
          <w:szCs w:val="32"/>
        </w:rPr>
        <w:t>1</w:t>
      </w:r>
      <w:r>
        <w:rPr>
          <w:rFonts w:ascii="仿宋" w:hAnsi="仿宋" w:eastAsia="仿宋" w:cs="仿宋_GB2312"/>
          <w:sz w:val="32"/>
          <w:szCs w:val="32"/>
        </w:rPr>
        <w:t>1</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eastAsia="仿宋_GB2312" w:cs="仿宋_GB2312"/>
          <w:sz w:val="32"/>
          <w:szCs w:val="32"/>
        </w:rPr>
        <w:tab/>
      </w:r>
      <w:r>
        <w:rPr>
          <w:rFonts w:hint="eastAsia" w:ascii="仿宋" w:hAnsi="仿宋" w:eastAsia="仿宋" w:cs="仿宋_GB2312"/>
          <w:sz w:val="32"/>
          <w:szCs w:val="32"/>
        </w:rPr>
        <w:t>1</w:t>
      </w:r>
      <w:r>
        <w:rPr>
          <w:rFonts w:ascii="仿宋" w:hAnsi="仿宋" w:eastAsia="仿宋" w:cs="仿宋_GB2312"/>
          <w:sz w:val="32"/>
          <w:szCs w:val="32"/>
        </w:rPr>
        <w:t>1</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rFonts w:ascii="Times New Roman" w:hAnsi="Times New Roman" w:eastAsia="黑体" w:cs="黑体"/>
          <w:sz w:val="32"/>
          <w:szCs w:val="32"/>
        </w:rPr>
        <w:tab/>
      </w:r>
      <w:r>
        <w:rPr>
          <w:rFonts w:hint="eastAsia" w:ascii="Times New Roman" w:hAnsi="Times New Roman" w:eastAsia="黑体" w:cs="黑体"/>
          <w:sz w:val="32"/>
          <w:szCs w:val="32"/>
        </w:rPr>
        <w:t>1</w:t>
      </w:r>
      <w:r>
        <w:rPr>
          <w:rFonts w:ascii="Times New Roman" w:hAnsi="Times New Roman" w:eastAsia="黑体" w:cs="黑体"/>
          <w:sz w:val="32"/>
          <w:szCs w:val="32"/>
        </w:rPr>
        <w:t>4</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ab/>
      </w:r>
      <w:r>
        <w:rPr>
          <w:rFonts w:hint="eastAsia" w:ascii="Times New Roman" w:hAnsi="Times New Roman" w:eastAsia="黑体" w:cs="黑体"/>
          <w:sz w:val="32"/>
          <w:szCs w:val="32"/>
        </w:rPr>
        <w:t>1</w:t>
      </w:r>
      <w:r>
        <w:rPr>
          <w:rFonts w:ascii="Times New Roman" w:hAnsi="Times New Roman" w:eastAsia="黑体" w:cs="黑体"/>
          <w:sz w:val="32"/>
          <w:szCs w:val="32"/>
        </w:rPr>
        <w:t>8</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ab/>
      </w:r>
      <w:r>
        <w:rPr>
          <w:rFonts w:hint="eastAsia" w:ascii="Times New Roman" w:hAnsi="Times New Roman" w:eastAsia="黑体" w:cs="黑体"/>
          <w:sz w:val="32"/>
          <w:szCs w:val="32"/>
        </w:rPr>
        <w:t>4</w:t>
      </w:r>
      <w:r>
        <w:rPr>
          <w:rFonts w:ascii="Times New Roman" w:hAnsi="Times New Roman" w:eastAsia="黑体" w:cs="黑体"/>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ascii="仿宋" w:hAnsi="仿宋" w:eastAsia="仿宋" w:cs="仿宋_GB2312"/>
          <w:sz w:val="32"/>
          <w:szCs w:val="32"/>
        </w:rPr>
      </w:pPr>
      <w:r>
        <w:rPr>
          <w:rFonts w:hint="eastAsia" w:eastAsia="仿宋_GB2312" w:cs="仿宋_GB2312"/>
          <w:sz w:val="32"/>
          <w:szCs w:val="32"/>
        </w:rPr>
        <w:t>八、一般公共预算财政拨款基本支出决算明细表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十、政府性基金预算财政拨款收入支出决算表（此表无数据）</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十一、国有资本经营预算财政拨款收入支出决算表（此表无数据）</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十二、国有资本经营预算财政拨款支出决算表（此表无数据）</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eastAsia="仿宋_GB2312" w:cs="仿宋_GB2312"/>
          <w:sz w:val="32"/>
          <w:szCs w:val="32"/>
        </w:rPr>
        <w:tab/>
      </w:r>
      <w:r>
        <w:rPr>
          <w:rFonts w:hint="eastAsia" w:ascii="仿宋" w:hAnsi="仿宋" w:eastAsia="仿宋" w:cs="仿宋_GB2312"/>
          <w:sz w:val="32"/>
          <w:szCs w:val="32"/>
        </w:rPr>
        <w:t>4</w:t>
      </w:r>
      <w:r>
        <w:rPr>
          <w:rFonts w:ascii="仿宋" w:hAnsi="仿宋" w:eastAsia="仿宋" w:cs="仿宋_GB2312"/>
          <w:sz w:val="32"/>
          <w:szCs w:val="32"/>
        </w:rPr>
        <w:t>4</w:t>
      </w:r>
    </w:p>
    <w:p>
      <w:pPr>
        <w:pStyle w:val="14"/>
        <w:adjustRightInd w:val="0"/>
        <w:snapToGrid w:val="0"/>
        <w:spacing w:line="560" w:lineRule="exact"/>
        <w:ind w:left="0" w:leftChars="0" w:firstLine="643" w:firstLineChars="200"/>
        <w:jc w:val="left"/>
        <w:rPr>
          <w:rFonts w:eastAsia="仿宋_GB2312" w:cs="仿宋_GB2312"/>
          <w:b/>
          <w:bCs/>
          <w:sz w:val="32"/>
          <w:szCs w:val="32"/>
        </w:rPr>
      </w:pPr>
    </w:p>
    <w:p>
      <w:pPr>
        <w:widowControl/>
        <w:spacing w:line="560" w:lineRule="exact"/>
        <w:jc w:val="left"/>
        <w:rPr>
          <w:rFonts w:eastAsia="仿宋_GB2312" w:cs="仿宋_GB2312"/>
          <w:bCs/>
          <w:kern w:val="44"/>
          <w:sz w:val="32"/>
          <w:szCs w:val="32"/>
        </w:rPr>
      </w:pPr>
      <w:bookmarkStart w:id="6" w:name="_Toc15377196"/>
      <w:bookmarkStart w:id="7" w:name="_Toc15396599"/>
      <w:r>
        <w:rPr>
          <w:rFonts w:hint="eastAsia" w:eastAsia="仿宋_GB2312" w:cs="仿宋_GB2312"/>
          <w:b/>
          <w:sz w:val="32"/>
          <w:szCs w:val="32"/>
        </w:rPr>
        <w:br w:type="page"/>
      </w:r>
    </w:p>
    <w:p>
      <w:pPr>
        <w:pStyle w:val="2"/>
        <w:jc w:val="center"/>
        <w:rPr>
          <w:rStyle w:val="29"/>
          <w:rFonts w:eastAsia="方正小标宋简体" w:cs="方正小标宋简体"/>
          <w:b/>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6"/>
      <w:bookmarkEnd w:id="7"/>
    </w:p>
    <w:p>
      <w:pPr>
        <w:widowControl/>
        <w:jc w:val="left"/>
        <w:rPr>
          <w:rFonts w:eastAsia="黑体"/>
          <w:sz w:val="32"/>
          <w:szCs w:val="32"/>
        </w:rPr>
      </w:pPr>
    </w:p>
    <w:p>
      <w:pPr>
        <w:pStyle w:val="3"/>
        <w:ind w:firstLine="640" w:firstLineChars="200"/>
        <w:rPr>
          <w:rFonts w:ascii="Times New Roman" w:hAnsi="Times New Roman" w:eastAsia="黑体"/>
          <w:b w:val="0"/>
        </w:rPr>
      </w:pPr>
      <w:bookmarkStart w:id="8" w:name="_Toc15377197"/>
      <w:bookmarkStart w:id="9" w:name="_Toc15396600"/>
      <w:r>
        <w:rPr>
          <w:rFonts w:hint="eastAsia" w:ascii="Times New Roman" w:hAnsi="Times New Roman" w:eastAsia="黑体"/>
          <w:b w:val="0"/>
        </w:rPr>
        <w:t>一、</w:t>
      </w:r>
      <w:bookmarkEnd w:id="8"/>
      <w:bookmarkEnd w:id="9"/>
      <w:r>
        <w:rPr>
          <w:rFonts w:hint="eastAsia" w:ascii="Times New Roman" w:hAnsi="Times New Roman" w:eastAsia="黑体"/>
          <w:b w:val="0"/>
        </w:rPr>
        <w:t>部门职责</w:t>
      </w:r>
    </w:p>
    <w:p>
      <w:pPr>
        <w:ind w:firstLine="640" w:firstLineChars="200"/>
      </w:pPr>
      <w:r>
        <w:rPr>
          <w:rFonts w:hint="eastAsia" w:ascii="仿宋_GB2312" w:eastAsia="仿宋_GB2312"/>
          <w:sz w:val="32"/>
          <w:szCs w:val="32"/>
        </w:rPr>
        <w:t>攀枝花市公安局交通警察支队组建于1987年，掌握全市道路交通安全情况，组织、指导、监督全市公安机关依法查处道路交通违法行为、处理交通事故、维护道路交通安全秩序；组织、指导、监督机动车（不含拖拉机）登记、安全检验和驾驶人员考试发证工作；组织、指导道路交通安全宣传教育工作；负责民用爆炸物品、剧毒化学品、易制毒化学品的道路运输审批；组织、指导道路交通管理科技工作；指导全市公安机关参与城市建设、道路交通和安全设施的规划。</w:t>
      </w:r>
    </w:p>
    <w:p>
      <w:pPr>
        <w:pStyle w:val="3"/>
        <w:ind w:firstLine="640" w:firstLineChars="200"/>
        <w:rPr>
          <w:rStyle w:val="30"/>
          <w:rFonts w:ascii="Times New Roman" w:hAnsi="Times New Roman"/>
          <w:b w:val="0"/>
          <w:bCs w:val="0"/>
        </w:rPr>
      </w:pPr>
      <w:bookmarkStart w:id="10" w:name="_Toc15396601"/>
      <w:bookmarkStart w:id="11" w:name="_Toc15377200"/>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0"/>
      <w:bookmarkEnd w:id="11"/>
    </w:p>
    <w:p>
      <w:pPr>
        <w:spacing w:line="560" w:lineRule="exact"/>
        <w:ind w:firstLine="600"/>
        <w:rPr>
          <w:rFonts w:ascii="仿宋_GB2312" w:eastAsia="仿宋_GB2312"/>
          <w:sz w:val="32"/>
          <w:szCs w:val="32"/>
        </w:rPr>
      </w:pPr>
      <w:r>
        <w:rPr>
          <w:rFonts w:hint="eastAsia" w:ascii="仿宋_GB2312" w:eastAsia="仿宋_GB2312"/>
          <w:sz w:val="32"/>
          <w:szCs w:val="32"/>
        </w:rPr>
        <w:t>交警支队隶属于攀枝花市公安局，属副县级行政单位，</w:t>
      </w:r>
      <w:r>
        <w:rPr>
          <w:rFonts w:hint="eastAsia" w:ascii="仿宋" w:hAnsi="仿宋" w:eastAsia="仿宋"/>
          <w:sz w:val="32"/>
          <w:szCs w:val="32"/>
        </w:rPr>
        <w:t>下属二级预算单位</w:t>
      </w:r>
      <w:r>
        <w:rPr>
          <w:rFonts w:ascii="仿宋" w:hAnsi="仿宋" w:eastAsia="仿宋"/>
          <w:sz w:val="32"/>
          <w:szCs w:val="32"/>
        </w:rPr>
        <w:t>0</w:t>
      </w:r>
      <w:r>
        <w:rPr>
          <w:rFonts w:hint="eastAsia" w:ascii="仿宋" w:hAnsi="仿宋" w:eastAsia="仿宋"/>
          <w:sz w:val="32"/>
          <w:szCs w:val="32"/>
        </w:rPr>
        <w:t>个，其中行政单位</w:t>
      </w:r>
      <w:r>
        <w:rPr>
          <w:rFonts w:ascii="仿宋" w:hAnsi="仿宋" w:eastAsia="仿宋"/>
          <w:sz w:val="32"/>
          <w:szCs w:val="32"/>
        </w:rPr>
        <w:t>0</w:t>
      </w:r>
      <w:r>
        <w:rPr>
          <w:rFonts w:hint="eastAsia" w:ascii="仿宋" w:hAnsi="仿宋" w:eastAsia="仿宋"/>
          <w:sz w:val="32"/>
          <w:szCs w:val="32"/>
        </w:rPr>
        <w:t>个，参照公务员法管理的事业单位</w:t>
      </w:r>
      <w:r>
        <w:rPr>
          <w:rFonts w:ascii="仿宋" w:hAnsi="仿宋" w:eastAsia="仿宋"/>
          <w:bCs/>
          <w:sz w:val="32"/>
          <w:szCs w:val="32"/>
        </w:rPr>
        <w:t>0</w:t>
      </w:r>
      <w:r>
        <w:rPr>
          <w:rFonts w:hint="eastAsia" w:ascii="仿宋" w:hAnsi="仿宋" w:eastAsia="仿宋"/>
          <w:sz w:val="32"/>
          <w:szCs w:val="32"/>
        </w:rPr>
        <w:t>个，其他事业单位</w:t>
      </w:r>
      <w:r>
        <w:rPr>
          <w:rFonts w:ascii="仿宋" w:hAnsi="仿宋" w:eastAsia="仿宋"/>
          <w:sz w:val="32"/>
          <w:szCs w:val="32"/>
        </w:rPr>
        <w:t>0</w:t>
      </w:r>
      <w:r>
        <w:rPr>
          <w:rFonts w:hint="eastAsia" w:ascii="仿宋" w:hAnsi="仿宋" w:eastAsia="仿宋"/>
          <w:sz w:val="32"/>
          <w:szCs w:val="32"/>
        </w:rPr>
        <w:t>个。</w:t>
      </w:r>
    </w:p>
    <w:p>
      <w:pPr>
        <w:pStyle w:val="5"/>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纳入攀枝花市</w:t>
      </w:r>
      <w:r>
        <w:rPr>
          <w:rFonts w:ascii="仿宋" w:hAnsi="仿宋" w:eastAsia="仿宋"/>
          <w:sz w:val="32"/>
          <w:szCs w:val="32"/>
        </w:rPr>
        <w:t>公安局交通警察支队</w:t>
      </w: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年度部门决算编制范围的二级预算单位：无。</w:t>
      </w:r>
    </w:p>
    <w:p>
      <w:pPr>
        <w:widowControl/>
        <w:jc w:val="left"/>
        <w:rPr>
          <w:rFonts w:eastAsia="仿宋"/>
          <w:kern w:val="0"/>
          <w:sz w:val="32"/>
          <w:szCs w:val="32"/>
        </w:rPr>
      </w:pPr>
      <w:r>
        <w:rPr>
          <w:rFonts w:eastAsia="仿宋"/>
          <w:sz w:val="32"/>
          <w:szCs w:val="32"/>
        </w:rPr>
        <w:br w:type="page"/>
      </w:r>
    </w:p>
    <w:p>
      <w:pPr>
        <w:pStyle w:val="2"/>
        <w:jc w:val="center"/>
        <w:rPr>
          <w:rFonts w:eastAsia="方正小标宋简体" w:cs="方正小标宋简体"/>
          <w:b w:val="0"/>
        </w:rPr>
      </w:pPr>
      <w:bookmarkStart w:id="12" w:name="_Toc15377204"/>
      <w:bookmarkStart w:id="13" w:name="_Toc15396602"/>
      <w:r>
        <w:rPr>
          <w:rFonts w:hint="eastAsia" w:eastAsia="方正小标宋简体" w:cs="方正小标宋简体"/>
          <w:b w:val="0"/>
        </w:rPr>
        <w:t>第二部分  2025年度部门决算情况说明</w:t>
      </w:r>
      <w:bookmarkEnd w:id="12"/>
      <w:bookmarkEnd w:id="13"/>
    </w:p>
    <w:p>
      <w:pPr>
        <w:pStyle w:val="28"/>
        <w:spacing w:line="600" w:lineRule="exact"/>
        <w:ind w:firstLine="640"/>
        <w:outlineLvl w:val="1"/>
        <w:rPr>
          <w:rStyle w:val="30"/>
          <w:rFonts w:ascii="Times New Roman" w:hAnsi="Times New Roman" w:eastAsia="黑体"/>
          <w:b w:val="0"/>
        </w:rPr>
      </w:pPr>
      <w:bookmarkStart w:id="14" w:name="_Toc15377205"/>
      <w:bookmarkStart w:id="15"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14"/>
      <w:bookmarkEnd w:id="15"/>
    </w:p>
    <w:p>
      <w:pPr>
        <w:pStyle w:val="28"/>
        <w:spacing w:line="60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59264" behindDoc="0" locked="0" layoutInCell="1" allowOverlap="1">
            <wp:simplePos x="0" y="0"/>
            <wp:positionH relativeFrom="column">
              <wp:posOffset>1242060</wp:posOffset>
            </wp:positionH>
            <wp:positionV relativeFrom="paragraph">
              <wp:posOffset>1436370</wp:posOffset>
            </wp:positionV>
            <wp:extent cx="2719070" cy="1634490"/>
            <wp:effectExtent l="0" t="0" r="5715" b="444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718978" cy="1634399"/>
                    </a:xfrm>
                    <a:prstGeom prst="rect">
                      <a:avLst/>
                    </a:prstGeom>
                    <a:noFill/>
                  </pic:spPr>
                </pic:pic>
              </a:graphicData>
            </a:graphic>
          </wp:anchor>
        </w:drawing>
      </w:r>
      <w:r>
        <w:rPr>
          <w:rFonts w:hint="eastAsia" w:eastAsia="仿宋_GB2312" w:cs="仿宋_GB2312"/>
          <w:sz w:val="32"/>
          <w:szCs w:val="32"/>
        </w:rPr>
        <w:t>2025年度收入、支出总计均为8773.44万元。与上年度相比，收入、支出总计各减少852.8万元，下降8.86%。主要变动原因是2025年项目经费收入、支出较2024年大幅减少。</w:t>
      </w: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spacing w:line="600" w:lineRule="exact"/>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8"/>
        <w:spacing w:line="600" w:lineRule="exact"/>
        <w:ind w:firstLine="640"/>
        <w:outlineLvl w:val="1"/>
        <w:rPr>
          <w:rFonts w:eastAsia="黑体"/>
          <w:sz w:val="32"/>
          <w:szCs w:val="32"/>
        </w:rPr>
      </w:pPr>
      <w:bookmarkStart w:id="16" w:name="_Toc15396604"/>
      <w:bookmarkStart w:id="17" w:name="_Toc15377206"/>
      <w:r>
        <w:rPr>
          <w:rFonts w:hint="eastAsia" w:eastAsia="黑体"/>
          <w:sz w:val="32"/>
          <w:szCs w:val="32"/>
        </w:rPr>
        <w:t>二、收入决算情况说明</w:t>
      </w:r>
      <w:bookmarkEnd w:id="16"/>
      <w:bookmarkEnd w:id="17"/>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2025年度本年收入合计8683.4</w:t>
      </w:r>
      <w:r>
        <w:rPr>
          <w:rFonts w:eastAsia="仿宋_GB2312" w:cs="仿宋_GB2312"/>
          <w:sz w:val="32"/>
          <w:szCs w:val="32"/>
        </w:rPr>
        <w:t>4</w:t>
      </w:r>
      <w:r>
        <w:rPr>
          <w:rFonts w:hint="eastAsia" w:eastAsia="仿宋_GB2312" w:cs="仿宋_GB2312"/>
          <w:sz w:val="32"/>
          <w:szCs w:val="32"/>
        </w:rPr>
        <w:t>万元，其中：一般公共预算财政拨款收入8683.08万元，占99.99%；其他收入0.36万元，占0.01%。</w:t>
      </w:r>
    </w:p>
    <w:p>
      <w:pPr>
        <w:pStyle w:val="28"/>
        <w:spacing w:line="60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60288" behindDoc="0" locked="0" layoutInCell="1" allowOverlap="1">
            <wp:simplePos x="0" y="0"/>
            <wp:positionH relativeFrom="column">
              <wp:posOffset>1254760</wp:posOffset>
            </wp:positionH>
            <wp:positionV relativeFrom="paragraph">
              <wp:posOffset>44450</wp:posOffset>
            </wp:positionV>
            <wp:extent cx="2434590" cy="1589405"/>
            <wp:effectExtent l="0" t="0" r="4445"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53353" cy="1601584"/>
                    </a:xfrm>
                    <a:prstGeom prst="rect">
                      <a:avLst/>
                    </a:prstGeom>
                    <a:noFill/>
                  </pic:spPr>
                </pic:pic>
              </a:graphicData>
            </a:graphic>
          </wp:anchor>
        </w:drawing>
      </w: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spacing w:line="600" w:lineRule="exact"/>
        <w:outlineLvl w:val="1"/>
        <w:rPr>
          <w:rFonts w:eastAsia="仿宋_GB2312" w:cs="仿宋_GB2312"/>
          <w:sz w:val="32"/>
          <w:szCs w:val="32"/>
        </w:rPr>
      </w:pPr>
    </w:p>
    <w:p>
      <w:pPr>
        <w:spacing w:line="600" w:lineRule="exact"/>
        <w:outlineLvl w:val="1"/>
        <w:rPr>
          <w:rFonts w:eastAsia="仿宋_GB2312" w:cs="仿宋_GB2312"/>
          <w:sz w:val="32"/>
          <w:szCs w:val="32"/>
        </w:rPr>
      </w:pPr>
    </w:p>
    <w:p>
      <w:pPr>
        <w:pStyle w:val="28"/>
        <w:spacing w:line="600" w:lineRule="exact"/>
        <w:ind w:firstLine="2240" w:firstLineChars="700"/>
        <w:jc w:val="left"/>
        <w:outlineLvl w:val="1"/>
        <w:rPr>
          <w:rFonts w:eastAsia="仿宋_GB2312" w:cs="仿宋_GB2312"/>
          <w:sz w:val="32"/>
          <w:szCs w:val="32"/>
        </w:rPr>
      </w:pPr>
      <w:r>
        <w:rPr>
          <w:rFonts w:hint="eastAsia" w:eastAsia="仿宋_GB2312" w:cs="仿宋_GB2312"/>
          <w:sz w:val="32"/>
          <w:szCs w:val="32"/>
        </w:rPr>
        <w:t>（图2：收入决算结构图）</w:t>
      </w:r>
    </w:p>
    <w:p>
      <w:pPr>
        <w:pStyle w:val="28"/>
        <w:spacing w:line="600" w:lineRule="exact"/>
        <w:ind w:firstLine="2240" w:firstLineChars="700"/>
        <w:jc w:val="left"/>
        <w:outlineLvl w:val="1"/>
        <w:rPr>
          <w:rFonts w:eastAsia="仿宋_GB2312" w:cs="仿宋_GB2312"/>
          <w:sz w:val="32"/>
          <w:szCs w:val="32"/>
        </w:rPr>
      </w:pPr>
    </w:p>
    <w:p>
      <w:pPr>
        <w:pStyle w:val="28"/>
        <w:spacing w:line="600" w:lineRule="exact"/>
        <w:ind w:firstLine="640"/>
        <w:outlineLvl w:val="1"/>
        <w:rPr>
          <w:rStyle w:val="30"/>
          <w:rFonts w:ascii="Times New Roman" w:hAnsi="Times New Roman" w:eastAsia="黑体"/>
          <w:b w:val="0"/>
        </w:rPr>
      </w:pPr>
      <w:bookmarkStart w:id="18" w:name="_Toc15377207"/>
      <w:bookmarkStart w:id="19" w:name="_Toc15396605"/>
      <w:r>
        <w:rPr>
          <w:rFonts w:hint="eastAsia" w:eastAsia="黑体"/>
          <w:sz w:val="32"/>
          <w:szCs w:val="32"/>
        </w:rPr>
        <w:t>三、支</w:t>
      </w:r>
      <w:r>
        <w:rPr>
          <w:rStyle w:val="30"/>
          <w:rFonts w:hint="eastAsia" w:ascii="Times New Roman" w:hAnsi="Times New Roman" w:eastAsia="黑体"/>
          <w:b w:val="0"/>
        </w:rPr>
        <w:t>出决算情况说明</w:t>
      </w:r>
      <w:bookmarkEnd w:id="18"/>
      <w:bookmarkEnd w:id="19"/>
    </w:p>
    <w:p>
      <w:pPr>
        <w:pStyle w:val="28"/>
        <w:spacing w:line="600" w:lineRule="exact"/>
        <w:ind w:firstLine="640"/>
        <w:outlineLvl w:val="1"/>
        <w:rPr>
          <w:rFonts w:cs="仿宋_GB2312"/>
          <w:sz w:val="32"/>
          <w:szCs w:val="32"/>
        </w:rPr>
      </w:pPr>
      <w:r>
        <w:rPr>
          <w:rFonts w:hint="eastAsia" w:eastAsia="仿宋_GB2312" w:cs="仿宋_GB2312"/>
          <w:sz w:val="32"/>
          <w:szCs w:val="32"/>
        </w:rPr>
        <w:t>2025年度本年支出合计8770.86万元，其中：基本支出6863.66万元，占78.26%；项目支出1907.2万元，占21.74%</w:t>
      </w:r>
      <w:r>
        <w:rPr>
          <w:rFonts w:hint="eastAsia"/>
        </w:rPr>
        <w:t>。</w:t>
      </w:r>
    </w:p>
    <w:p>
      <w:pPr>
        <w:pStyle w:val="28"/>
        <w:spacing w:line="600" w:lineRule="exact"/>
        <w:outlineLvl w:val="1"/>
        <w:rPr>
          <w:rFonts w:eastAsia="仿宋_GB2312" w:cs="仿宋_GB2312"/>
          <w:sz w:val="32"/>
          <w:szCs w:val="32"/>
        </w:rPr>
      </w:pPr>
      <w:r>
        <w:drawing>
          <wp:anchor distT="0" distB="0" distL="114300" distR="114300" simplePos="0" relativeHeight="251661312" behindDoc="0" locked="0" layoutInCell="1" allowOverlap="1">
            <wp:simplePos x="0" y="0"/>
            <wp:positionH relativeFrom="column">
              <wp:posOffset>1278890</wp:posOffset>
            </wp:positionH>
            <wp:positionV relativeFrom="paragraph">
              <wp:posOffset>218440</wp:posOffset>
            </wp:positionV>
            <wp:extent cx="2755265" cy="1925955"/>
            <wp:effectExtent l="0" t="0" r="6985" b="1778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0" w:firstLineChars="0"/>
        <w:outlineLvl w:val="1"/>
        <w:rPr>
          <w:rFonts w:eastAsia="仿宋_GB2312" w:cs="仿宋_GB2312"/>
          <w:sz w:val="32"/>
          <w:szCs w:val="32"/>
        </w:rPr>
      </w:pPr>
    </w:p>
    <w:p>
      <w:pPr>
        <w:pStyle w:val="28"/>
        <w:spacing w:line="600" w:lineRule="exact"/>
        <w:ind w:firstLine="0" w:firstLineChars="0"/>
        <w:outlineLvl w:val="1"/>
        <w:rPr>
          <w:rFonts w:eastAsia="仿宋_GB2312" w:cs="仿宋_GB2312"/>
          <w:sz w:val="32"/>
          <w:szCs w:val="32"/>
        </w:rPr>
      </w:pPr>
    </w:p>
    <w:p>
      <w:pPr>
        <w:pStyle w:val="28"/>
        <w:spacing w:line="600" w:lineRule="exact"/>
        <w:ind w:firstLine="0" w:firstLineChars="0"/>
        <w:jc w:val="center"/>
        <w:outlineLvl w:val="1"/>
        <w:rPr>
          <w:rFonts w:eastAsia="黑体"/>
          <w:sz w:val="32"/>
          <w:szCs w:val="32"/>
        </w:rPr>
      </w:pPr>
      <w:r>
        <w:rPr>
          <w:rFonts w:hint="eastAsia" w:eastAsia="仿宋_GB2312" w:cs="仿宋_GB2312"/>
          <w:sz w:val="32"/>
          <w:szCs w:val="32"/>
        </w:rPr>
        <w:t>（图3：支出决算结构图）</w:t>
      </w:r>
      <w:bookmarkStart w:id="20" w:name="_Toc15377208"/>
      <w:bookmarkStart w:id="21" w:name="_Toc15396606"/>
    </w:p>
    <w:p>
      <w:pPr>
        <w:spacing w:line="600" w:lineRule="exact"/>
        <w:ind w:firstLine="640" w:firstLineChars="200"/>
        <w:outlineLvl w:val="1"/>
        <w:rPr>
          <w:rStyle w:val="30"/>
          <w:rFonts w:ascii="Times New Roman" w:hAnsi="Times New Roman" w:eastAsia="黑体"/>
          <w:b w:val="0"/>
        </w:rPr>
      </w:pPr>
      <w:r>
        <w:rPr>
          <w:rFonts w:hint="eastAsia" w:eastAsia="黑体"/>
          <w:sz w:val="32"/>
          <w:szCs w:val="32"/>
        </w:rPr>
        <w:t>四、财</w:t>
      </w:r>
      <w:r>
        <w:rPr>
          <w:rStyle w:val="30"/>
          <w:rFonts w:hint="eastAsia" w:ascii="Times New Roman" w:hAnsi="Times New Roman" w:eastAsia="黑体"/>
          <w:b w:val="0"/>
        </w:rPr>
        <w:t>政拨款收入支出决算总体情况说明</w:t>
      </w:r>
      <w:bookmarkEnd w:id="20"/>
      <w:bookmarkEnd w:id="21"/>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2025年度财政拨款收入、支出总计均为8683.08万元。与上年度相比，财政拨款收入、支出总计各减少852.86万元，下降8.94%。主要变动原因是2025年财政拨款项目经费收入、支出较2024年大幅减少。</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3360" behindDoc="0" locked="0" layoutInCell="1" allowOverlap="1">
            <wp:simplePos x="0" y="0"/>
            <wp:positionH relativeFrom="column">
              <wp:posOffset>1206500</wp:posOffset>
            </wp:positionH>
            <wp:positionV relativeFrom="paragraph">
              <wp:posOffset>164465</wp:posOffset>
            </wp:positionV>
            <wp:extent cx="2773680" cy="1666875"/>
            <wp:effectExtent l="0" t="0" r="8255"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80173" cy="1671184"/>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rPr>
          <w:rFonts w:eastAsia="仿宋_GB2312" w:cs="仿宋_GB2312"/>
          <w:sz w:val="32"/>
          <w:szCs w:val="32"/>
        </w:rPr>
      </w:pPr>
    </w:p>
    <w:p>
      <w:pPr>
        <w:spacing w:line="600" w:lineRule="exact"/>
        <w:ind w:firstLine="1280" w:firstLineChars="400"/>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firstLineChars="200"/>
        <w:outlineLvl w:val="1"/>
        <w:rPr>
          <w:rStyle w:val="30"/>
          <w:rFonts w:ascii="Times New Roman" w:hAnsi="Times New Roman" w:eastAsia="黑体"/>
          <w:b w:val="0"/>
        </w:rPr>
      </w:pPr>
      <w:bookmarkStart w:id="22" w:name="_Toc15377209"/>
      <w:bookmarkStart w:id="23" w:name="_Toc15396607"/>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2"/>
      <w:bookmarkEnd w:id="23"/>
    </w:p>
    <w:p>
      <w:pPr>
        <w:spacing w:line="600" w:lineRule="exact"/>
        <w:ind w:firstLine="643" w:firstLineChars="200"/>
        <w:outlineLvl w:val="2"/>
        <w:rPr>
          <w:rFonts w:eastAsia="楷体_GB2312" w:cs="楷体_GB2312"/>
          <w:b/>
          <w:sz w:val="32"/>
          <w:szCs w:val="32"/>
        </w:rPr>
      </w:pPr>
      <w:bookmarkStart w:id="24" w:name="_Toc15377210"/>
      <w:r>
        <w:rPr>
          <w:rFonts w:hint="eastAsia" w:eastAsia="楷体_GB2312" w:cs="楷体_GB2312"/>
          <w:b/>
          <w:sz w:val="32"/>
          <w:szCs w:val="32"/>
        </w:rPr>
        <w:t>（一）一般公共预算财政拨款支出决算总体情况</w:t>
      </w:r>
      <w:bookmarkEnd w:id="24"/>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2025年度一般公共预算财政拨款支出8683.08万元，占本年支出合计的99%。与上年度相比，一般公共预算财政拨款支出减少756.56万元，下降8.01%。主要变动原因是2025年财政拨款项目经费收入、支出较2024年大幅减少。</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4384" behindDoc="0" locked="0" layoutInCell="1" allowOverlap="1">
            <wp:simplePos x="0" y="0"/>
            <wp:positionH relativeFrom="column">
              <wp:posOffset>1012190</wp:posOffset>
            </wp:positionH>
            <wp:positionV relativeFrom="paragraph">
              <wp:posOffset>61595</wp:posOffset>
            </wp:positionV>
            <wp:extent cx="3036570" cy="1825625"/>
            <wp:effectExtent l="0" t="0" r="0" b="381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046143" cy="1831061"/>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3" w:firstLineChars="200"/>
        <w:outlineLvl w:val="2"/>
        <w:rPr>
          <w:rFonts w:eastAsia="楷体_GB2312" w:cs="楷体_GB2312"/>
          <w:b/>
          <w:sz w:val="32"/>
          <w:szCs w:val="32"/>
        </w:rPr>
      </w:pPr>
      <w:bookmarkStart w:id="25" w:name="_Toc15377211"/>
      <w:r>
        <w:rPr>
          <w:rFonts w:hint="eastAsia" w:eastAsia="楷体_GB2312" w:cs="楷体_GB2312"/>
          <w:b/>
          <w:sz w:val="32"/>
          <w:szCs w:val="32"/>
        </w:rPr>
        <w:t>（二）一般公共预算财政拨款支出决算结构情况</w:t>
      </w:r>
      <w:bookmarkEnd w:id="25"/>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2025年度一般公共预算财政拨款支出8683.08万元，主要用于以下方面：一般公共服务支出217.63万元，占2.51%；公共安全支出6834.1</w:t>
      </w:r>
      <w:r>
        <w:rPr>
          <w:rFonts w:eastAsia="仿宋_GB2312" w:cs="仿宋_GB2312"/>
          <w:sz w:val="32"/>
          <w:szCs w:val="32"/>
        </w:rPr>
        <w:t>7</w:t>
      </w:r>
      <w:r>
        <w:rPr>
          <w:rFonts w:hint="eastAsia" w:eastAsia="仿宋_GB2312" w:cs="仿宋_GB2312"/>
          <w:sz w:val="32"/>
          <w:szCs w:val="32"/>
        </w:rPr>
        <w:t>万元，占78.71%；社会保障和就业支出929.18万元，占10.7%；卫生健康支出265.88万元，占3.06%；城乡社区支出70万元，占0.8%；住房保障支出366.22万元，占4.22%。</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5408" behindDoc="0" locked="0" layoutInCell="1" allowOverlap="1">
            <wp:simplePos x="0" y="0"/>
            <wp:positionH relativeFrom="column">
              <wp:posOffset>1206500</wp:posOffset>
            </wp:positionH>
            <wp:positionV relativeFrom="paragraph">
              <wp:posOffset>50165</wp:posOffset>
            </wp:positionV>
            <wp:extent cx="2761615" cy="1846580"/>
            <wp:effectExtent l="0" t="0" r="1270" b="127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765440" cy="1849361"/>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b/>
          <w:bCs/>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3" w:firstLineChars="200"/>
        <w:outlineLvl w:val="2"/>
        <w:rPr>
          <w:rFonts w:eastAsia="楷体_GB2312" w:cs="楷体_GB2312"/>
          <w:b/>
          <w:sz w:val="32"/>
          <w:szCs w:val="32"/>
        </w:rPr>
      </w:pPr>
      <w:bookmarkStart w:id="26" w:name="_Toc15377212"/>
      <w:r>
        <w:rPr>
          <w:rFonts w:hint="eastAsia" w:eastAsia="楷体_GB2312" w:cs="楷体_GB2312"/>
          <w:b/>
          <w:sz w:val="32"/>
          <w:szCs w:val="32"/>
        </w:rPr>
        <w:t>（三）一般公共预算财政拨款支出决算具体情况</w:t>
      </w:r>
      <w:bookmarkEnd w:id="26"/>
    </w:p>
    <w:p>
      <w:pPr>
        <w:spacing w:line="600" w:lineRule="exact"/>
        <w:ind w:firstLine="640"/>
        <w:rPr>
          <w:rFonts w:eastAsia="仿宋_GB2312" w:cs="仿宋_GB2312"/>
          <w:sz w:val="32"/>
          <w:szCs w:val="32"/>
        </w:rPr>
      </w:pPr>
      <w:bookmarkStart w:id="27" w:name="_Toc15377213"/>
      <w:bookmarkStart w:id="28" w:name="_Toc15378460"/>
      <w:bookmarkStart w:id="29" w:name="_Toc15377444"/>
      <w:r>
        <w:rPr>
          <w:rFonts w:hint="eastAsia" w:eastAsia="仿宋_GB2312" w:cs="仿宋_GB2312"/>
          <w:sz w:val="32"/>
          <w:szCs w:val="32"/>
        </w:rPr>
        <w:t>2025年度一般公共预算支出决算数为8683.08万元，完成预算100%。其中：</w:t>
      </w:r>
      <w:bookmarkEnd w:id="27"/>
      <w:bookmarkEnd w:id="28"/>
      <w:bookmarkEnd w:id="29"/>
    </w:p>
    <w:p>
      <w:pPr>
        <w:numPr>
          <w:ilvl w:val="0"/>
          <w:numId w:val="1"/>
        </w:numPr>
        <w:spacing w:line="600" w:lineRule="exact"/>
        <w:ind w:firstLine="640"/>
        <w:rPr>
          <w:rFonts w:eastAsia="仿宋_GB2312" w:cs="仿宋_GB2312"/>
          <w:sz w:val="32"/>
          <w:szCs w:val="32"/>
        </w:rPr>
      </w:pPr>
      <w:r>
        <w:rPr>
          <w:rFonts w:hint="eastAsia" w:eastAsia="仿宋_GB2312" w:cs="仿宋_GB2312"/>
          <w:sz w:val="32"/>
          <w:szCs w:val="32"/>
        </w:rPr>
        <w:t>一般公共服务（类）人大事务（款）行政运行（项）：支出决算为205.52万元，完成预算100%。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2.一般公共服务（类）政协事务（款）行政运行（项）：支出决算为12.11万元，完成预算100%。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3.公共安全支出（类）公安（款）行政运行（项）：支出决算为5084.75万元，完成预算100%。</w:t>
      </w:r>
    </w:p>
    <w:p>
      <w:pPr>
        <w:spacing w:line="600" w:lineRule="exact"/>
        <w:ind w:firstLine="640"/>
        <w:rPr>
          <w:rFonts w:eastAsia="仿宋_GB2312" w:cs="仿宋_GB2312"/>
          <w:sz w:val="32"/>
          <w:szCs w:val="32"/>
        </w:rPr>
      </w:pPr>
      <w:r>
        <w:rPr>
          <w:rFonts w:hint="eastAsia" w:eastAsia="仿宋_GB2312" w:cs="仿宋_GB2312"/>
          <w:sz w:val="32"/>
          <w:szCs w:val="32"/>
        </w:rPr>
        <w:t>4.公共安全支出（类）公安（款）一般行政管理事务（项）：支出决算为177.31万元，完成预算100%。</w:t>
      </w:r>
    </w:p>
    <w:p>
      <w:pPr>
        <w:spacing w:line="600" w:lineRule="exact"/>
        <w:ind w:firstLine="640"/>
        <w:rPr>
          <w:rFonts w:eastAsia="仿宋_GB2312" w:cs="仿宋_GB2312"/>
          <w:sz w:val="32"/>
          <w:szCs w:val="32"/>
        </w:rPr>
      </w:pPr>
      <w:r>
        <w:rPr>
          <w:rFonts w:hint="eastAsia" w:eastAsia="仿宋_GB2312" w:cs="仿宋_GB2312"/>
          <w:sz w:val="32"/>
          <w:szCs w:val="32"/>
        </w:rPr>
        <w:t>5.公共安全支出（类）公安（款）信息化建设（项）：支出决算为97.57万元，完成预算100%。</w:t>
      </w:r>
    </w:p>
    <w:p>
      <w:pPr>
        <w:spacing w:line="600" w:lineRule="exact"/>
        <w:ind w:firstLine="640"/>
        <w:rPr>
          <w:rFonts w:eastAsia="仿宋_GB2312" w:cs="仿宋_GB2312"/>
          <w:sz w:val="32"/>
          <w:szCs w:val="32"/>
        </w:rPr>
      </w:pPr>
      <w:r>
        <w:rPr>
          <w:rFonts w:hint="eastAsia" w:eastAsia="仿宋_GB2312" w:cs="仿宋_GB2312"/>
          <w:sz w:val="32"/>
          <w:szCs w:val="32"/>
        </w:rPr>
        <w:t>6.公共安全支出（类）公安（款）执法办案（项）：支出决算为307.4万元，完成预算100%。</w:t>
      </w:r>
    </w:p>
    <w:p>
      <w:pPr>
        <w:spacing w:line="600" w:lineRule="exact"/>
        <w:ind w:firstLine="640"/>
        <w:rPr>
          <w:rFonts w:eastAsia="仿宋_GB2312" w:cs="仿宋_GB2312"/>
          <w:sz w:val="32"/>
          <w:szCs w:val="32"/>
        </w:rPr>
      </w:pPr>
      <w:r>
        <w:rPr>
          <w:rFonts w:hint="eastAsia" w:eastAsia="仿宋_GB2312" w:cs="仿宋_GB2312"/>
          <w:sz w:val="32"/>
          <w:szCs w:val="32"/>
        </w:rPr>
        <w:t>7.公共安全支出（类）公安（款）其他公安支出（项）：支出决算为1167.1</w:t>
      </w:r>
      <w:r>
        <w:rPr>
          <w:rFonts w:eastAsia="仿宋_GB2312" w:cs="仿宋_GB2312"/>
          <w:sz w:val="32"/>
          <w:szCs w:val="32"/>
        </w:rPr>
        <w:t>4</w:t>
      </w:r>
      <w:r>
        <w:rPr>
          <w:rFonts w:hint="eastAsia" w:eastAsia="仿宋_GB2312" w:cs="仿宋_GB2312"/>
          <w:sz w:val="32"/>
          <w:szCs w:val="32"/>
        </w:rPr>
        <w:t>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8.社会保障和就业（类）行政事业单位养老支出（款）行政单位离退休（项）：支出决算为335.26万元，完成预算100%。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9.社会保障和就业（类）行政事业单位养老支出（款）机关事业单位基本养老保险缴费支出（项）：支出决算为446.28万元，完成预算100%。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10.社会保障和就业（类）行政事业单位养老支出（款）机关事业单位职业年金缴费支出（项）：支出决算为78.01万元，完成预算100%。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11.社会保障和就业（类）抚恤（款）死亡抚恤（项）：支出决算为69.63万元，完成预算100%。</w:t>
      </w:r>
    </w:p>
    <w:p>
      <w:pPr>
        <w:spacing w:line="600" w:lineRule="exact"/>
        <w:ind w:firstLine="640"/>
        <w:rPr>
          <w:rFonts w:eastAsia="仿宋_GB2312" w:cs="仿宋_GB2312"/>
          <w:sz w:val="32"/>
          <w:szCs w:val="32"/>
        </w:rPr>
      </w:pPr>
      <w:r>
        <w:rPr>
          <w:rFonts w:hint="eastAsia" w:eastAsia="仿宋_GB2312" w:cs="仿宋_GB2312"/>
          <w:sz w:val="32"/>
          <w:szCs w:val="32"/>
        </w:rPr>
        <w:t>12.卫生健康（类）行政事业单位医疗（款）行政单位医疗（项）：支出决算为242.71万元，完成预算100%。</w:t>
      </w:r>
    </w:p>
    <w:p>
      <w:pPr>
        <w:spacing w:line="600" w:lineRule="exact"/>
        <w:ind w:firstLine="640"/>
        <w:rPr>
          <w:rFonts w:eastAsia="仿宋_GB2312" w:cs="仿宋_GB2312"/>
          <w:sz w:val="32"/>
          <w:szCs w:val="32"/>
        </w:rPr>
      </w:pPr>
      <w:r>
        <w:rPr>
          <w:rFonts w:hint="eastAsia" w:eastAsia="仿宋_GB2312" w:cs="仿宋_GB2312"/>
          <w:sz w:val="32"/>
          <w:szCs w:val="32"/>
        </w:rPr>
        <w:t>13.卫生健康（类）行政事业单位医疗（款）公务员医疗补助（项）：支出决算为23.17万元，完成预算100%。</w:t>
      </w:r>
    </w:p>
    <w:p>
      <w:pPr>
        <w:spacing w:line="600" w:lineRule="exact"/>
        <w:ind w:firstLine="640"/>
        <w:rPr>
          <w:rFonts w:eastAsia="仿宋_GB2312" w:cs="仿宋_GB2312"/>
          <w:sz w:val="32"/>
          <w:szCs w:val="32"/>
        </w:rPr>
      </w:pPr>
      <w:r>
        <w:rPr>
          <w:rFonts w:hint="eastAsia" w:eastAsia="仿宋_GB2312" w:cs="仿宋_GB2312"/>
          <w:sz w:val="32"/>
          <w:szCs w:val="32"/>
        </w:rPr>
        <w:t>14.城乡社区支出（类）城乡社区公共设施（款）其他城乡社区公共设施（项）：支出决算为70万元，完成预算100%。</w:t>
      </w:r>
    </w:p>
    <w:p>
      <w:pPr>
        <w:spacing w:line="600" w:lineRule="exact"/>
        <w:ind w:firstLine="640"/>
        <w:rPr>
          <w:rFonts w:eastAsia="仿宋_GB2312" w:cs="仿宋_GB2312"/>
          <w:sz w:val="32"/>
          <w:szCs w:val="32"/>
        </w:rPr>
      </w:pPr>
      <w:r>
        <w:rPr>
          <w:rFonts w:hint="eastAsia" w:eastAsia="仿宋_GB2312" w:cs="仿宋_GB2312"/>
          <w:sz w:val="32"/>
          <w:szCs w:val="32"/>
        </w:rPr>
        <w:t>15.住房保障支出（类）住房改革支出（款）住房公积金（项）：支出决算为366.22万元，完成预算100%。</w:t>
      </w:r>
    </w:p>
    <w:p>
      <w:pPr>
        <w:tabs>
          <w:tab w:val="right" w:pos="8306"/>
        </w:tabs>
        <w:spacing w:line="600" w:lineRule="exact"/>
        <w:ind w:firstLine="640"/>
        <w:outlineLvl w:val="1"/>
        <w:rPr>
          <w:rStyle w:val="30"/>
          <w:rFonts w:ascii="Times New Roman" w:hAnsi="Times New Roman"/>
        </w:rPr>
      </w:pPr>
      <w:bookmarkStart w:id="30" w:name="_Toc15377214"/>
      <w:bookmarkStart w:id="31" w:name="_Toc1539660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0"/>
      <w:bookmarkEnd w:id="31"/>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2025年度一般公共预算财政拨款基本支出6863.66万元，其中：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6299.87万元，主要包括：基本工资、津贴补贴、奖金、机关事业单位基本养老保险缴费、职业年金缴费、职工基本医疗保险缴费、公务员医疗补助缴费、住房公积金、其他工资福利支出、抚恤金、生活补助、医疗费补助、奖励金等。</w:t>
      </w:r>
      <w:r>
        <w:rPr>
          <w:rFonts w:hint="eastAsia" w:eastAsia="仿宋_GB2312" w:cs="仿宋_GB2312"/>
          <w:sz w:val="32"/>
          <w:szCs w:val="32"/>
        </w:rPr>
        <w:br w:type="textWrapping"/>
      </w:r>
      <w:r>
        <w:rPr>
          <w:rFonts w:hint="eastAsia" w:eastAsia="仿宋_GB2312" w:cs="仿宋_GB2312"/>
          <w:sz w:val="32"/>
          <w:szCs w:val="32"/>
        </w:rPr>
        <w:t>　　公用经费563.79万元，主要包括：办公费、水费、电费、差旅费、维修（护）费、培训费、公务接待费、工会经费、福利费、公务用车运行维护费、其他交通费、其他商品和服务支出等。</w:t>
      </w:r>
    </w:p>
    <w:p>
      <w:pPr>
        <w:spacing w:line="600" w:lineRule="exact"/>
        <w:ind w:firstLine="640"/>
        <w:outlineLvl w:val="1"/>
        <w:rPr>
          <w:rStyle w:val="30"/>
          <w:rFonts w:ascii="Times New Roman" w:hAnsi="Times New Roman" w:eastAsia="黑体"/>
          <w:b w:val="0"/>
        </w:rPr>
      </w:pPr>
      <w:bookmarkStart w:id="32" w:name="_Toc15377215"/>
      <w:bookmarkStart w:id="33"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32"/>
      <w:bookmarkEnd w:id="33"/>
    </w:p>
    <w:p>
      <w:pPr>
        <w:spacing w:line="600" w:lineRule="exact"/>
        <w:ind w:firstLine="643" w:firstLineChars="200"/>
        <w:outlineLvl w:val="2"/>
        <w:rPr>
          <w:rFonts w:eastAsia="楷体_GB2312" w:cs="楷体_GB2312"/>
          <w:b/>
          <w:sz w:val="32"/>
          <w:szCs w:val="32"/>
        </w:rPr>
      </w:pPr>
      <w:bookmarkStart w:id="34" w:name="_Toc15377216"/>
      <w:r>
        <w:rPr>
          <w:rFonts w:hint="eastAsia" w:eastAsia="楷体_GB2312" w:cs="楷体_GB2312"/>
          <w:b/>
          <w:sz w:val="32"/>
          <w:szCs w:val="32"/>
        </w:rPr>
        <w:t>（一）财政拨款“三公”经费支出决算总体情况说明</w:t>
      </w:r>
      <w:bookmarkEnd w:id="34"/>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2025年度财政拨款“三公”经费支出决算为113.62万元，完成预算100%，较上年度减少0.1万元，下降0.09%。决算数与预算数持平。</w:t>
      </w:r>
    </w:p>
    <w:p>
      <w:pPr>
        <w:spacing w:line="600" w:lineRule="exact"/>
        <w:ind w:firstLine="643" w:firstLineChars="200"/>
        <w:outlineLvl w:val="2"/>
        <w:rPr>
          <w:rFonts w:eastAsia="楷体_GB2312" w:cs="楷体_GB2312"/>
          <w:b/>
          <w:sz w:val="32"/>
          <w:szCs w:val="32"/>
        </w:rPr>
      </w:pPr>
      <w:bookmarkStart w:id="35" w:name="_Toc15377217"/>
      <w:r>
        <w:rPr>
          <w:rFonts w:hint="eastAsia" w:eastAsia="楷体_GB2312" w:cs="楷体_GB2312"/>
          <w:b/>
          <w:sz w:val="32"/>
          <w:szCs w:val="32"/>
        </w:rPr>
        <w:t>（二）财政拨款“三公”经费支出决算具体情况说明</w:t>
      </w:r>
      <w:bookmarkEnd w:id="35"/>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2025年度财政拨款“三公”经费支出决算中，因公出国（境）费支出决算0万元，占0%；公务用车购置及运行维护费支出决算113.51万元，占99.9%；公务接待费支出决算0.11万元，占0.1%。具体情况如下：</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6432" behindDoc="0" locked="0" layoutInCell="1" allowOverlap="1">
            <wp:simplePos x="0" y="0"/>
            <wp:positionH relativeFrom="column">
              <wp:posOffset>1059815</wp:posOffset>
            </wp:positionH>
            <wp:positionV relativeFrom="paragraph">
              <wp:posOffset>41275</wp:posOffset>
            </wp:positionV>
            <wp:extent cx="3136900" cy="1885315"/>
            <wp:effectExtent l="0" t="0" r="6985" b="63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136816" cy="1885565"/>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1280" w:firstLineChars="400"/>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w:t>
      </w:r>
      <w:r>
        <w:rPr>
          <w:rFonts w:eastAsia="仿宋_GB2312" w:cs="仿宋_GB2312"/>
          <w:b/>
          <w:bCs/>
          <w:sz w:val="32"/>
          <w:szCs w:val="32"/>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eastAsia="仿宋_GB2312" w:cs="仿宋_GB2312"/>
          <w:sz w:val="32"/>
          <w:szCs w:val="32"/>
        </w:rPr>
        <w:t>0</w:t>
      </w:r>
      <w:r>
        <w:rPr>
          <w:rFonts w:hint="eastAsia" w:eastAsia="仿宋_GB2312" w:cs="仿宋_GB2312"/>
          <w:sz w:val="32"/>
          <w:szCs w:val="32"/>
        </w:rPr>
        <w:t>次，出国（境）0人。因公出国（境）支出决算与上年持平，均未开支。</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2.公务用车购置及运行维护费支出113.51万元，完成预算100%。</w:t>
      </w:r>
      <w:r>
        <w:rPr>
          <w:rFonts w:hint="eastAsia" w:eastAsia="仿宋_GB2312" w:cs="仿宋_GB2312"/>
          <w:sz w:val="32"/>
          <w:szCs w:val="32"/>
        </w:rPr>
        <w:t>公务用车购置及运行维护费支出决算比上年度减少0.08万元，下降0.07%。主要原因是支队加强公务车辆管理，进一步减少公务用车运行维护费支出。</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其中：公务用车购置支出0万元。全年按规定更新购置公务用车0辆，其中：轿车0辆、金额0万元，越野车0辆、金额0万元，载客汽车0辆、金额0万元。截至2025年12月31日，单位共有公务用车</w:t>
      </w:r>
      <w:r>
        <w:rPr>
          <w:rFonts w:eastAsia="仿宋_GB2312" w:cs="仿宋_GB2312"/>
          <w:sz w:val="32"/>
          <w:szCs w:val="32"/>
        </w:rPr>
        <w:t>63</w:t>
      </w:r>
      <w:r>
        <w:rPr>
          <w:rFonts w:hint="eastAsia" w:eastAsia="仿宋_GB2312" w:cs="仿宋_GB2312"/>
          <w:sz w:val="32"/>
          <w:szCs w:val="32"/>
        </w:rPr>
        <w:t>辆，其中：轿车</w:t>
      </w:r>
      <w:r>
        <w:rPr>
          <w:rFonts w:eastAsia="仿宋_GB2312" w:cs="仿宋_GB2312"/>
          <w:sz w:val="32"/>
          <w:szCs w:val="32"/>
        </w:rPr>
        <w:t>58</w:t>
      </w:r>
      <w:r>
        <w:rPr>
          <w:rFonts w:hint="eastAsia" w:eastAsia="仿宋_GB2312" w:cs="仿宋_GB2312"/>
          <w:sz w:val="32"/>
          <w:szCs w:val="32"/>
        </w:rPr>
        <w:t>辆、越野车</w:t>
      </w:r>
      <w:r>
        <w:rPr>
          <w:rFonts w:eastAsia="仿宋_GB2312" w:cs="仿宋_GB2312"/>
          <w:sz w:val="32"/>
          <w:szCs w:val="32"/>
        </w:rPr>
        <w:t>3</w:t>
      </w:r>
      <w:r>
        <w:rPr>
          <w:rFonts w:hint="eastAsia" w:eastAsia="仿宋_GB2312" w:cs="仿宋_GB2312"/>
          <w:sz w:val="32"/>
          <w:szCs w:val="32"/>
        </w:rPr>
        <w:t>辆、载客汽车</w:t>
      </w:r>
      <w:r>
        <w:rPr>
          <w:rFonts w:eastAsia="仿宋_GB2312" w:cs="仿宋_GB2312"/>
          <w:sz w:val="32"/>
          <w:szCs w:val="32"/>
        </w:rPr>
        <w:t>2</w:t>
      </w:r>
      <w:r>
        <w:rPr>
          <w:rFonts w:hint="eastAsia" w:eastAsia="仿宋_GB2312" w:cs="仿宋_GB2312"/>
          <w:sz w:val="32"/>
          <w:szCs w:val="32"/>
        </w:rPr>
        <w:t>辆。</w:t>
      </w:r>
    </w:p>
    <w:p>
      <w:pPr>
        <w:spacing w:line="600" w:lineRule="exact"/>
        <w:ind w:firstLine="640"/>
        <w:rPr>
          <w:rFonts w:ascii="仿宋_GB2312" w:eastAsia="仿宋_GB2312"/>
          <w:color w:val="000000"/>
          <w:sz w:val="32"/>
          <w:szCs w:val="32"/>
        </w:rPr>
      </w:pPr>
      <w:r>
        <w:rPr>
          <w:rFonts w:hint="eastAsia" w:eastAsia="仿宋_GB2312" w:cs="仿宋_GB2312"/>
          <w:sz w:val="32"/>
          <w:szCs w:val="32"/>
        </w:rPr>
        <w:t>公务用车运行维护费支出113.51万元</w:t>
      </w:r>
      <w:r>
        <w:rPr>
          <w:rFonts w:hint="eastAsia" w:ascii="仿宋_GB2312" w:eastAsia="仿宋_GB2312"/>
          <w:color w:val="000000"/>
          <w:sz w:val="32"/>
          <w:szCs w:val="32"/>
        </w:rPr>
        <w:t>主要用于公安交通管理执勤执法车辆路面巡逻、秩序管理、交通事故处理、警保卫、交通安全宣传等日常公务用车活动所需的公务用车燃料费、维修费、过路过桥费、保险费等支出。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3.公务接待费支出0.11万元，完成预算100%。</w:t>
      </w:r>
      <w:r>
        <w:rPr>
          <w:rFonts w:hint="eastAsia" w:eastAsia="仿宋_GB2312" w:cs="仿宋_GB2312"/>
          <w:sz w:val="32"/>
          <w:szCs w:val="32"/>
        </w:rPr>
        <w:t>公务接待费支出决算比上年度减少0.02万元，下降15.38%。主要原因是本年来攀交流人数较上年减少。其中：</w:t>
      </w:r>
    </w:p>
    <w:p>
      <w:pPr>
        <w:spacing w:line="600" w:lineRule="exact"/>
        <w:ind w:firstLine="640"/>
        <w:rPr>
          <w:rFonts w:eastAsia="仿宋_GB2312" w:cs="仿宋_GB2312"/>
          <w:sz w:val="32"/>
          <w:szCs w:val="32"/>
          <w:highlight w:val="yellow"/>
        </w:rPr>
      </w:pPr>
      <w:r>
        <w:rPr>
          <w:rFonts w:hint="eastAsia" w:eastAsia="仿宋_GB2312" w:cs="仿宋_GB2312"/>
          <w:sz w:val="32"/>
          <w:szCs w:val="32"/>
        </w:rPr>
        <w:t>国内公务接待支出</w:t>
      </w:r>
      <w:r>
        <w:rPr>
          <w:rFonts w:eastAsia="仿宋_GB2312" w:cs="仿宋_GB2312"/>
          <w:sz w:val="32"/>
          <w:szCs w:val="32"/>
        </w:rPr>
        <w:t>0.11</w:t>
      </w:r>
      <w:r>
        <w:rPr>
          <w:rFonts w:hint="eastAsia" w:eastAsia="仿宋_GB2312" w:cs="仿宋_GB2312"/>
          <w:sz w:val="32"/>
          <w:szCs w:val="32"/>
        </w:rPr>
        <w:t>万元，</w:t>
      </w:r>
      <w:r>
        <w:rPr>
          <w:rFonts w:hint="eastAsia" w:ascii="仿宋_GB2312" w:eastAsia="仿宋_GB2312"/>
          <w:sz w:val="32"/>
          <w:szCs w:val="32"/>
        </w:rPr>
        <w:t>主要用于执行公务、开展公务接待业务活动用餐费等</w:t>
      </w:r>
      <w:r>
        <w:rPr>
          <w:rFonts w:hint="eastAsia" w:eastAsia="仿宋_GB2312" w:cs="仿宋_GB2312"/>
          <w:sz w:val="32"/>
          <w:szCs w:val="32"/>
        </w:rPr>
        <w:t>。国内公务接待</w:t>
      </w:r>
      <w:r>
        <w:rPr>
          <w:rFonts w:eastAsia="仿宋_GB2312" w:cs="仿宋_GB2312"/>
          <w:sz w:val="32"/>
          <w:szCs w:val="32"/>
        </w:rPr>
        <w:t>1</w:t>
      </w:r>
      <w:r>
        <w:rPr>
          <w:rFonts w:hint="eastAsia" w:eastAsia="仿宋_GB2312" w:cs="仿宋_GB2312"/>
          <w:sz w:val="32"/>
          <w:szCs w:val="32"/>
        </w:rPr>
        <w:t>批次，</w:t>
      </w:r>
      <w:r>
        <w:rPr>
          <w:rFonts w:eastAsia="仿宋_GB2312" w:cs="仿宋_GB2312"/>
          <w:sz w:val="32"/>
          <w:szCs w:val="32"/>
        </w:rPr>
        <w:t>5</w:t>
      </w:r>
      <w:r>
        <w:rPr>
          <w:rFonts w:hint="eastAsia" w:eastAsia="仿宋_GB2312" w:cs="仿宋_GB2312"/>
          <w:sz w:val="32"/>
          <w:szCs w:val="32"/>
        </w:rPr>
        <w:t>人次（不包括陪同人员），共计支出</w:t>
      </w:r>
      <w:r>
        <w:rPr>
          <w:rFonts w:eastAsia="仿宋_GB2312" w:cs="仿宋_GB2312"/>
          <w:sz w:val="32"/>
          <w:szCs w:val="32"/>
        </w:rPr>
        <w:t>0.11</w:t>
      </w:r>
      <w:r>
        <w:rPr>
          <w:rFonts w:hint="eastAsia" w:eastAsia="仿宋_GB2312" w:cs="仿宋_GB2312"/>
          <w:sz w:val="32"/>
          <w:szCs w:val="32"/>
        </w:rPr>
        <w:t>万元，具体内容包括：接待元谋公安局到攀考察交流支出0</w:t>
      </w:r>
      <w:r>
        <w:rPr>
          <w:rFonts w:eastAsia="仿宋_GB2312" w:cs="仿宋_GB2312"/>
          <w:sz w:val="32"/>
          <w:szCs w:val="32"/>
        </w:rPr>
        <w:t>.11万元</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外事接待支出0万元，外事接待0批次，0人次（不包括陪同人员），共计支出0万元。</w:t>
      </w:r>
    </w:p>
    <w:p>
      <w:pPr>
        <w:spacing w:line="600" w:lineRule="exact"/>
        <w:ind w:firstLine="640"/>
        <w:outlineLvl w:val="1"/>
        <w:rPr>
          <w:rStyle w:val="30"/>
          <w:rFonts w:ascii="Times New Roman" w:hAnsi="Times New Roman" w:eastAsia="黑体"/>
        </w:rPr>
      </w:pPr>
      <w:bookmarkStart w:id="36" w:name="_Toc15377218"/>
      <w:bookmarkStart w:id="37" w:name="_Toc15396610"/>
      <w:r>
        <w:rPr>
          <w:rFonts w:hint="eastAsia" w:eastAsia="黑体"/>
          <w:sz w:val="32"/>
          <w:szCs w:val="32"/>
        </w:rPr>
        <w:t>八、</w:t>
      </w:r>
      <w:r>
        <w:rPr>
          <w:rStyle w:val="30"/>
          <w:rFonts w:hint="eastAsia" w:ascii="Times New Roman" w:hAnsi="Times New Roman" w:eastAsia="黑体"/>
          <w:b w:val="0"/>
        </w:rPr>
        <w:t>政府性基金预算支出决算情况说明</w:t>
      </w:r>
      <w:bookmarkEnd w:id="36"/>
      <w:bookmarkEnd w:id="37"/>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2025年度政府性基金预算财政拨款支出0万元，占本年支出合计的0%。与上年度相比，政府性基金预算财政拨款支出减少96.3万元，下降</w:t>
      </w:r>
      <w:r>
        <w:rPr>
          <w:rFonts w:eastAsia="仿宋_GB2312" w:cs="仿宋_GB2312"/>
          <w:sz w:val="32"/>
          <w:szCs w:val="32"/>
        </w:rPr>
        <w:t>100</w:t>
      </w:r>
      <w:r>
        <w:rPr>
          <w:rFonts w:hint="eastAsia" w:eastAsia="仿宋_GB2312" w:cs="仿宋_GB2312"/>
          <w:sz w:val="32"/>
          <w:szCs w:val="32"/>
        </w:rPr>
        <w:t>%。主要变动原因是上年安排了96.3万元的政府性基金预算，本年未安排。</w:t>
      </w:r>
    </w:p>
    <w:p>
      <w:pPr>
        <w:spacing w:line="600" w:lineRule="exact"/>
        <w:ind w:left="630"/>
        <w:outlineLvl w:val="1"/>
        <w:rPr>
          <w:rStyle w:val="30"/>
          <w:rFonts w:ascii="Times New Roman" w:hAnsi="Times New Roman" w:eastAsia="黑体"/>
          <w:b w:val="0"/>
        </w:rPr>
      </w:pPr>
      <w:bookmarkStart w:id="38" w:name="_Toc15377219"/>
      <w:bookmarkStart w:id="39" w:name="_Toc15396611"/>
      <w:r>
        <w:rPr>
          <w:rStyle w:val="30"/>
          <w:rFonts w:hint="eastAsia" w:ascii="Times New Roman" w:hAnsi="Times New Roman" w:eastAsia="黑体"/>
          <w:b w:val="0"/>
        </w:rPr>
        <w:t>九、国有资本经营预算支出决算情况说明</w:t>
      </w:r>
      <w:bookmarkEnd w:id="38"/>
      <w:bookmarkEnd w:id="39"/>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2025年度国有资本经营预算财政拨款支出0万元，占本年支出合计的0%。与上年度相比，国有资本经营预算财政拨款支出与上年持平，均未安排。</w:t>
      </w:r>
    </w:p>
    <w:p>
      <w:pPr>
        <w:spacing w:line="600" w:lineRule="exact"/>
        <w:ind w:left="630"/>
        <w:outlineLvl w:val="1"/>
        <w:rPr>
          <w:rStyle w:val="30"/>
          <w:rFonts w:ascii="Times New Roman" w:hAnsi="Times New Roman" w:eastAsia="黑体"/>
          <w:b w:val="0"/>
        </w:rPr>
      </w:pPr>
      <w:bookmarkStart w:id="40" w:name="_Toc15377221"/>
      <w:bookmarkStart w:id="41" w:name="_Toc15396612"/>
      <w:r>
        <w:rPr>
          <w:rStyle w:val="30"/>
          <w:rFonts w:hint="eastAsia" w:ascii="Times New Roman" w:hAnsi="Times New Roman" w:eastAsia="黑体"/>
          <w:b w:val="0"/>
        </w:rPr>
        <w:t>十、其他重要事项的情况说明</w:t>
      </w:r>
      <w:bookmarkEnd w:id="40"/>
      <w:bookmarkEnd w:id="41"/>
    </w:p>
    <w:p>
      <w:pPr>
        <w:spacing w:line="600" w:lineRule="exact"/>
        <w:ind w:firstLine="643" w:firstLineChars="200"/>
        <w:outlineLvl w:val="2"/>
        <w:rPr>
          <w:rFonts w:eastAsia="楷体_GB2312" w:cs="楷体_GB2312"/>
          <w:b/>
          <w:sz w:val="32"/>
          <w:szCs w:val="32"/>
        </w:rPr>
      </w:pPr>
      <w:bookmarkStart w:id="42" w:name="_Toc15377222"/>
      <w:r>
        <w:rPr>
          <w:rFonts w:hint="eastAsia" w:eastAsia="楷体_GB2312" w:cs="楷体_GB2312"/>
          <w:b/>
          <w:sz w:val="32"/>
          <w:szCs w:val="32"/>
        </w:rPr>
        <w:t>（一）机关运行经费支出情况</w:t>
      </w:r>
      <w:bookmarkEnd w:id="42"/>
    </w:p>
    <w:p>
      <w:pPr>
        <w:spacing w:line="600" w:lineRule="exact"/>
        <w:ind w:firstLine="640"/>
        <w:rPr>
          <w:rFonts w:eastAsia="仿宋_GB2312" w:cs="仿宋_GB2312"/>
          <w:sz w:val="32"/>
          <w:szCs w:val="32"/>
        </w:rPr>
      </w:pPr>
      <w:r>
        <w:rPr>
          <w:rFonts w:hint="eastAsia" w:eastAsia="仿宋_GB2312" w:cs="仿宋_GB2312"/>
          <w:sz w:val="32"/>
          <w:szCs w:val="32"/>
        </w:rPr>
        <w:t>2025年度，攀枝花市公安局交通警察支队机关运行经费支出563.79万元，比上年度减少19.91万元，下降</w:t>
      </w:r>
      <w:r>
        <w:rPr>
          <w:rFonts w:eastAsia="仿宋_GB2312" w:cs="仿宋_GB2312"/>
          <w:sz w:val="32"/>
          <w:szCs w:val="32"/>
        </w:rPr>
        <w:t>3.41</w:t>
      </w:r>
      <w:r>
        <w:rPr>
          <w:rFonts w:hint="eastAsia" w:eastAsia="仿宋_GB2312" w:cs="仿宋_GB2312"/>
          <w:sz w:val="32"/>
          <w:szCs w:val="32"/>
        </w:rPr>
        <w:t>%。主要原因是本年继续加强经费管理，严控一般性支出，机关运行经费较上年减少。</w:t>
      </w:r>
    </w:p>
    <w:p>
      <w:pPr>
        <w:spacing w:line="600" w:lineRule="exact"/>
        <w:ind w:firstLine="643" w:firstLineChars="200"/>
        <w:outlineLvl w:val="2"/>
        <w:rPr>
          <w:rFonts w:eastAsia="楷体_GB2312" w:cs="楷体_GB2312"/>
          <w:b/>
          <w:sz w:val="32"/>
          <w:szCs w:val="32"/>
        </w:rPr>
      </w:pPr>
      <w:bookmarkStart w:id="43" w:name="_Toc15377223"/>
      <w:r>
        <w:rPr>
          <w:rFonts w:hint="eastAsia" w:eastAsia="楷体_GB2312" w:cs="楷体_GB2312"/>
          <w:b/>
          <w:sz w:val="32"/>
          <w:szCs w:val="32"/>
        </w:rPr>
        <w:t>（二）政府采购支出情况</w:t>
      </w:r>
      <w:bookmarkEnd w:id="43"/>
    </w:p>
    <w:p>
      <w:pPr>
        <w:spacing w:line="600" w:lineRule="exact"/>
        <w:ind w:firstLine="640"/>
        <w:rPr>
          <w:rFonts w:eastAsia="仿宋_GB2312" w:cs="仿宋_GB2312"/>
          <w:sz w:val="32"/>
          <w:szCs w:val="32"/>
        </w:rPr>
      </w:pPr>
      <w:r>
        <w:rPr>
          <w:rFonts w:hint="eastAsia" w:eastAsia="仿宋_GB2312" w:cs="仿宋_GB2312"/>
          <w:sz w:val="32"/>
          <w:szCs w:val="32"/>
        </w:rPr>
        <w:t>2025年度，攀枝花市公安局交通管理支队政府采购支出总额605.53万元，其中：政府采购货物支出112.38万元、政府采购工程支出0万元、政府采购服务支出493.15万元。主要用于</w:t>
      </w:r>
      <w:r>
        <w:rPr>
          <w:rFonts w:hint="eastAsia" w:ascii="仿宋_GB2312" w:eastAsia="仿宋_GB2312"/>
          <w:sz w:val="32"/>
          <w:szCs w:val="32"/>
        </w:rPr>
        <w:t>公安交通管理信息化系统维护，车管所号牌制作、物业服务、食堂开支、标志标线施划与维护费等</w:t>
      </w:r>
      <w:r>
        <w:rPr>
          <w:rFonts w:hint="eastAsia" w:eastAsia="仿宋_GB2312" w:cs="仿宋_GB2312"/>
          <w:sz w:val="32"/>
          <w:szCs w:val="32"/>
        </w:rPr>
        <w:t>。授予中小企业合同金额453.93万元，占政府采购支出总额的74.96%，其中：授予小微企业合同金额385.32万元，占政府采购支出总额的63.63%。</w:t>
      </w:r>
    </w:p>
    <w:p>
      <w:pPr>
        <w:spacing w:line="600" w:lineRule="exact"/>
        <w:ind w:firstLine="643" w:firstLineChars="200"/>
        <w:outlineLvl w:val="2"/>
        <w:rPr>
          <w:rFonts w:eastAsia="楷体_GB2312" w:cs="楷体_GB2312"/>
          <w:b/>
          <w:sz w:val="32"/>
          <w:szCs w:val="32"/>
        </w:rPr>
      </w:pPr>
      <w:bookmarkStart w:id="44" w:name="_Toc15377224"/>
      <w:r>
        <w:rPr>
          <w:rFonts w:hint="eastAsia" w:eastAsia="楷体_GB2312" w:cs="楷体_GB2312"/>
          <w:b/>
          <w:sz w:val="32"/>
          <w:szCs w:val="32"/>
        </w:rPr>
        <w:t>（三）国有资产占有使用情况</w:t>
      </w:r>
      <w:bookmarkEnd w:id="44"/>
    </w:p>
    <w:p>
      <w:pPr>
        <w:spacing w:line="600" w:lineRule="exact"/>
        <w:ind w:firstLine="640"/>
        <w:rPr>
          <w:rFonts w:eastAsia="仿宋_GB2312" w:cs="仿宋_GB2312"/>
          <w:sz w:val="32"/>
          <w:szCs w:val="32"/>
        </w:rPr>
      </w:pPr>
      <w:r>
        <w:rPr>
          <w:rFonts w:hint="eastAsia" w:eastAsia="仿宋_GB2312" w:cs="仿宋_GB2312"/>
          <w:sz w:val="32"/>
          <w:szCs w:val="32"/>
        </w:rPr>
        <w:t>截至2025年12月31日，交警支队共有车辆</w:t>
      </w:r>
      <w:r>
        <w:rPr>
          <w:rFonts w:eastAsia="仿宋_GB2312" w:cs="仿宋_GB2312"/>
          <w:sz w:val="32"/>
          <w:szCs w:val="32"/>
        </w:rPr>
        <w:t>63</w:t>
      </w:r>
      <w:r>
        <w:rPr>
          <w:rFonts w:hint="eastAsia" w:eastAsia="仿宋_GB2312" w:cs="仿宋_GB2312"/>
          <w:sz w:val="32"/>
          <w:szCs w:val="32"/>
        </w:rPr>
        <w:t>辆，其中：副部（省）级及以上领导用车</w:t>
      </w:r>
      <w:r>
        <w:rPr>
          <w:rFonts w:eastAsia="仿宋_GB2312" w:cs="仿宋_GB2312"/>
          <w:sz w:val="32"/>
          <w:szCs w:val="32"/>
        </w:rPr>
        <w:t>0</w:t>
      </w:r>
      <w:r>
        <w:rPr>
          <w:rFonts w:hint="eastAsia" w:eastAsia="仿宋_GB2312" w:cs="仿宋_GB2312"/>
          <w:sz w:val="32"/>
          <w:szCs w:val="32"/>
        </w:rPr>
        <w:t>辆、主要负责人用车</w:t>
      </w:r>
      <w:r>
        <w:rPr>
          <w:rFonts w:eastAsia="仿宋_GB2312" w:cs="仿宋_GB2312"/>
          <w:sz w:val="32"/>
          <w:szCs w:val="32"/>
        </w:rPr>
        <w:t>0</w:t>
      </w:r>
      <w:r>
        <w:rPr>
          <w:rFonts w:hint="eastAsia" w:eastAsia="仿宋_GB2312" w:cs="仿宋_GB2312"/>
          <w:sz w:val="32"/>
          <w:szCs w:val="32"/>
        </w:rPr>
        <w:t>辆、机要通信用车</w:t>
      </w:r>
      <w:r>
        <w:rPr>
          <w:rFonts w:eastAsia="仿宋_GB2312" w:cs="仿宋_GB2312"/>
          <w:sz w:val="32"/>
          <w:szCs w:val="32"/>
        </w:rPr>
        <w:t>0</w:t>
      </w:r>
      <w:r>
        <w:rPr>
          <w:rFonts w:hint="eastAsia" w:eastAsia="仿宋_GB2312" w:cs="仿宋_GB2312"/>
          <w:sz w:val="32"/>
          <w:szCs w:val="32"/>
        </w:rPr>
        <w:t>辆、应急保障用车</w:t>
      </w:r>
      <w:r>
        <w:rPr>
          <w:rFonts w:eastAsia="仿宋_GB2312" w:cs="仿宋_GB2312"/>
          <w:sz w:val="32"/>
          <w:szCs w:val="32"/>
        </w:rPr>
        <w:t>0</w:t>
      </w:r>
      <w:r>
        <w:rPr>
          <w:rFonts w:hint="eastAsia" w:eastAsia="仿宋_GB2312" w:cs="仿宋_GB2312"/>
          <w:sz w:val="32"/>
          <w:szCs w:val="32"/>
        </w:rPr>
        <w:t>辆、执法执勤用车</w:t>
      </w:r>
      <w:r>
        <w:rPr>
          <w:rFonts w:eastAsia="仿宋_GB2312" w:cs="仿宋_GB2312"/>
          <w:sz w:val="32"/>
          <w:szCs w:val="32"/>
        </w:rPr>
        <w:t>62</w:t>
      </w:r>
      <w:r>
        <w:rPr>
          <w:rFonts w:hint="eastAsia" w:eastAsia="仿宋_GB2312" w:cs="仿宋_GB2312"/>
          <w:sz w:val="32"/>
          <w:szCs w:val="32"/>
        </w:rPr>
        <w:t>辆、特种专业技术用车</w:t>
      </w:r>
      <w:r>
        <w:rPr>
          <w:rFonts w:eastAsia="仿宋_GB2312" w:cs="仿宋_GB2312"/>
          <w:sz w:val="32"/>
          <w:szCs w:val="32"/>
        </w:rPr>
        <w:t>0</w:t>
      </w:r>
      <w:r>
        <w:rPr>
          <w:rFonts w:hint="eastAsia" w:eastAsia="仿宋_GB2312" w:cs="仿宋_GB2312"/>
          <w:sz w:val="32"/>
          <w:szCs w:val="32"/>
        </w:rPr>
        <w:t>辆、离退休干部服务用车</w:t>
      </w:r>
      <w:r>
        <w:rPr>
          <w:rFonts w:eastAsia="仿宋_GB2312" w:cs="仿宋_GB2312"/>
          <w:sz w:val="32"/>
          <w:szCs w:val="32"/>
        </w:rPr>
        <w:t>0</w:t>
      </w:r>
      <w:r>
        <w:rPr>
          <w:rFonts w:hint="eastAsia" w:eastAsia="仿宋_GB2312" w:cs="仿宋_GB2312"/>
          <w:sz w:val="32"/>
          <w:szCs w:val="32"/>
        </w:rPr>
        <w:t>辆、其他用车</w:t>
      </w:r>
      <w:r>
        <w:rPr>
          <w:rFonts w:eastAsia="仿宋_GB2312" w:cs="仿宋_GB2312"/>
          <w:sz w:val="32"/>
          <w:szCs w:val="32"/>
        </w:rPr>
        <w:t>1</w:t>
      </w:r>
      <w:r>
        <w:rPr>
          <w:rFonts w:hint="eastAsia" w:eastAsia="仿宋_GB2312" w:cs="仿宋_GB2312"/>
          <w:sz w:val="32"/>
          <w:szCs w:val="32"/>
        </w:rPr>
        <w:t>辆，其他用车主要是用于车管所巡逻用车。单价100万元（含）以上设备（不含车辆）</w:t>
      </w:r>
      <w:r>
        <w:rPr>
          <w:rFonts w:eastAsia="仿宋_GB2312" w:cs="仿宋_GB2312"/>
          <w:sz w:val="32"/>
          <w:szCs w:val="32"/>
        </w:rPr>
        <w:t>0</w:t>
      </w:r>
      <w:r>
        <w:rPr>
          <w:rFonts w:hint="eastAsia" w:eastAsia="仿宋_GB2312" w:cs="仿宋_GB2312"/>
          <w:sz w:val="32"/>
          <w:szCs w:val="32"/>
        </w:rPr>
        <w:t>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根据预算绩效管理要求，攀枝花市公安局交通警察支队在2025年度，组织对交通管理信息化系统建设维护费、重要交通组织“微改造”等</w:t>
      </w:r>
      <w:r>
        <w:rPr>
          <w:rFonts w:eastAsia="仿宋_GB2312" w:cs="仿宋_GB2312"/>
          <w:sz w:val="32"/>
          <w:szCs w:val="32"/>
        </w:rPr>
        <w:t>5</w:t>
      </w:r>
      <w:r>
        <w:rPr>
          <w:rFonts w:hint="eastAsia" w:eastAsia="仿宋_GB2312" w:cs="仿宋_GB2312"/>
          <w:sz w:val="32"/>
          <w:szCs w:val="32"/>
        </w:rPr>
        <w:t>个项目涉及金额</w:t>
      </w:r>
      <w:r>
        <w:rPr>
          <w:rFonts w:eastAsia="仿宋_GB2312" w:cs="仿宋_GB2312"/>
          <w:sz w:val="32"/>
          <w:szCs w:val="32"/>
        </w:rPr>
        <w:t>1819.42</w:t>
      </w:r>
      <w:r>
        <w:rPr>
          <w:rFonts w:hint="eastAsia" w:eastAsia="仿宋_GB2312" w:cs="仿宋_GB2312"/>
          <w:sz w:val="32"/>
          <w:szCs w:val="32"/>
        </w:rPr>
        <w:t>万元开展了事前绩效评估，对</w:t>
      </w:r>
      <w:r>
        <w:rPr>
          <w:rFonts w:eastAsia="仿宋_GB2312" w:cs="仿宋_GB2312"/>
          <w:sz w:val="32"/>
          <w:szCs w:val="32"/>
        </w:rPr>
        <w:t>5</w:t>
      </w:r>
      <w:r>
        <w:rPr>
          <w:rFonts w:hint="eastAsia" w:eastAsia="仿宋_GB2312" w:cs="仿宋_GB2312"/>
          <w:sz w:val="32"/>
          <w:szCs w:val="32"/>
        </w:rPr>
        <w:t>个项目编制了绩效目标，预算执行过程中，对所有项目开展绩效监控。</w:t>
      </w:r>
    </w:p>
    <w:p>
      <w:pPr>
        <w:snapToGrid w:val="0"/>
        <w:spacing w:line="540" w:lineRule="exact"/>
        <w:ind w:firstLine="660"/>
        <w:rPr>
          <w:rFonts w:eastAsia="仿宋_GB2312"/>
          <w:color w:val="000000" w:themeColor="text1"/>
          <w:sz w:val="32"/>
          <w:szCs w:val="32"/>
          <w14:textFill>
            <w14:solidFill>
              <w14:schemeClr w14:val="tx1"/>
            </w14:solidFill>
          </w14:textFill>
        </w:rPr>
      </w:pPr>
      <w:r>
        <w:rPr>
          <w:rFonts w:hint="eastAsia" w:eastAsia="仿宋_GB2312" w:cs="仿宋_GB2312"/>
          <w:sz w:val="32"/>
          <w:szCs w:val="32"/>
        </w:rPr>
        <w:t>组织对2025年度一般公共预算、政府性基金预算等全面开展绩效自评，形成攀枝花市公安局交通警察支队部门预算绩效自评报告、交通组织“微改造”、公安交通管理指挥中心弱电网络建设项目等专项预算项目绩效自评报告，其中，攀枝花市公安局交通警察支队部门预算绩效自评得分为</w:t>
      </w:r>
      <w:r>
        <w:rPr>
          <w:rFonts w:eastAsia="仿宋_GB2312" w:cs="仿宋_GB2312"/>
          <w:sz w:val="32"/>
          <w:szCs w:val="32"/>
        </w:rPr>
        <w:t>98</w:t>
      </w:r>
      <w:r>
        <w:rPr>
          <w:rFonts w:hint="eastAsia" w:eastAsia="仿宋_GB2312" w:cs="仿宋_GB2312"/>
          <w:sz w:val="32"/>
          <w:szCs w:val="32"/>
        </w:rPr>
        <w:t>分，绩效自评综述</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025年</w:t>
      </w:r>
      <w:r>
        <w:rPr>
          <w:rFonts w:hint="eastAsia" w:eastAsia="仿宋_GB2312"/>
          <w:color w:val="000000" w:themeColor="text1"/>
          <w:sz w:val="32"/>
          <w:szCs w:val="32"/>
          <w14:textFill>
            <w14:solidFill>
              <w14:schemeClr w14:val="tx1"/>
            </w14:solidFill>
          </w14:textFill>
        </w:rPr>
        <w:t>，交警支队锚定事故预防“减量控大”核心目标，以各类专项行动为抓手，扎实推进队伍管理、事故预防、违法打击、宣传教育、隐患排查、源头管理等重点工作，全市道路交通安全形势持续平稳向好，未发生较大以上道路交通事故。截至12月31日，全市一般程序道路交通事故起数、死亡人数、受伤人数，同比分别下降4.6%、7.8%、1.0%，万车死亡率1.44，同比下降11.7%。</w:t>
      </w:r>
    </w:p>
    <w:p>
      <w:pPr>
        <w:snapToGrid w:val="0"/>
        <w:spacing w:line="560" w:lineRule="exact"/>
        <w:ind w:firstLine="640" w:firstLineChars="200"/>
        <w:jc w:val="left"/>
        <w:rPr>
          <w:rFonts w:ascii="仿宋_GB2312" w:eastAsia="仿宋_GB2312"/>
          <w:color w:val="000000"/>
          <w:sz w:val="32"/>
          <w:szCs w:val="32"/>
        </w:rPr>
      </w:pPr>
    </w:p>
    <w:p>
      <w:pPr>
        <w:spacing w:line="578" w:lineRule="exact"/>
        <w:ind w:firstLine="640" w:firstLineChars="200"/>
        <w:rPr>
          <w:rFonts w:eastAsia="仿宋_GB2312"/>
          <w:sz w:val="32"/>
          <w:szCs w:val="32"/>
        </w:rPr>
      </w:pPr>
      <w:r>
        <w:rPr>
          <w:rFonts w:eastAsia="仿宋_GB2312"/>
          <w:sz w:val="32"/>
          <w:szCs w:val="32"/>
        </w:rPr>
        <w:t>标志标线施划与维护费</w:t>
      </w:r>
      <w:r>
        <w:rPr>
          <w:rFonts w:hint="eastAsia" w:eastAsia="仿宋_GB2312"/>
          <w:sz w:val="32"/>
          <w:szCs w:val="32"/>
        </w:rPr>
        <w:t>项目绩效自评得分1</w:t>
      </w:r>
      <w:r>
        <w:rPr>
          <w:rFonts w:eastAsia="仿宋_GB2312"/>
          <w:sz w:val="32"/>
          <w:szCs w:val="32"/>
        </w:rPr>
        <w:t>00分，绩效自评综述：项目</w:t>
      </w:r>
      <w:r>
        <w:rPr>
          <w:rFonts w:hint="eastAsia" w:eastAsia="仿宋_GB2312"/>
          <w:sz w:val="32"/>
          <w:szCs w:val="32"/>
        </w:rPr>
        <w:t>的实施对火车南站那总路，银江湖路段交通标志标线进行完善，设置交通设施，进一步提高了道路通行率和利用率，减少或防止交通事故，保障人民群众的生命财产安全。</w:t>
      </w:r>
    </w:p>
    <w:p>
      <w:pPr>
        <w:spacing w:line="578" w:lineRule="exact"/>
        <w:ind w:firstLine="640" w:firstLineChars="200"/>
        <w:rPr>
          <w:rFonts w:ascii="仿宋_GB2312" w:eastAsia="仿宋_GB2312"/>
          <w:sz w:val="32"/>
          <w:szCs w:val="32"/>
        </w:rPr>
      </w:pPr>
      <w:r>
        <w:rPr>
          <w:rFonts w:hint="eastAsia" w:ascii="仿宋_GB2312" w:eastAsia="仿宋_GB2312"/>
          <w:color w:val="000000"/>
          <w:sz w:val="32"/>
          <w:szCs w:val="32"/>
        </w:rPr>
        <w:t>特别业务费</w:t>
      </w:r>
      <w:r>
        <w:rPr>
          <w:rFonts w:hint="eastAsia" w:ascii="仿宋_GB2312" w:hAnsi="仿宋_GB2312" w:eastAsia="仿宋_GB2312" w:cs="仿宋_GB2312"/>
          <w:sz w:val="32"/>
          <w:szCs w:val="32"/>
        </w:rPr>
        <w:t>专项预算项目绩效自评得分为90分，绩效自评综述：交警支队特别业务费专项经费</w:t>
      </w:r>
      <w:r>
        <w:rPr>
          <w:rFonts w:hint="eastAsia" w:ascii="仿宋_GB2312" w:eastAsia="仿宋_GB2312"/>
          <w:sz w:val="32"/>
          <w:szCs w:val="32"/>
        </w:rPr>
        <w:t>用于支付支队办公区域电费、零星维修费、一线执勤执法人员部分食堂开支等，在一定程度上弥补了交警支队日常公用经费不足的情况，保障了交通管理基本业务的正常运转，但存在着年度未执行指标被收回未结转的问题。</w:t>
      </w:r>
    </w:p>
    <w:p>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重要交通点段交通组织优化“微改造”项目绩效自评得分1</w:t>
      </w:r>
      <w:r>
        <w:rPr>
          <w:rFonts w:ascii="仿宋_GB2312" w:eastAsia="仿宋_GB2312"/>
          <w:kern w:val="0"/>
          <w:sz w:val="32"/>
          <w:szCs w:val="32"/>
        </w:rPr>
        <w:t>00分，绩效自评综述：</w:t>
      </w:r>
      <w:r>
        <w:rPr>
          <w:rFonts w:hint="eastAsia" w:ascii="仿宋_GB2312" w:eastAsia="仿宋_GB2312"/>
          <w:kern w:val="0"/>
          <w:sz w:val="32"/>
          <w:szCs w:val="32"/>
        </w:rPr>
        <w:t>项目的实施进一步缓解主城区交通拥堵，切实提升城市道路通行效率。</w:t>
      </w:r>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公安交通管理业务费项目绩效自评得分9</w:t>
      </w:r>
      <w:r>
        <w:rPr>
          <w:rFonts w:ascii="仿宋_GB2312" w:eastAsia="仿宋_GB2312"/>
          <w:sz w:val="32"/>
          <w:szCs w:val="32"/>
        </w:rPr>
        <w:t>5分，绩效自评综述：</w:t>
      </w:r>
      <w:r>
        <w:rPr>
          <w:rFonts w:hint="eastAsia" w:ascii="仿宋_GB2312" w:eastAsia="仿宋_GB2312"/>
          <w:sz w:val="32"/>
          <w:szCs w:val="32"/>
        </w:rPr>
        <w:t>本项目的主要内容</w:t>
      </w:r>
      <w:r>
        <w:rPr>
          <w:rFonts w:hint="eastAsia" w:ascii="仿宋_GB2312" w:eastAsia="仿宋_GB2312"/>
          <w:b/>
          <w:sz w:val="32"/>
          <w:szCs w:val="32"/>
        </w:rPr>
        <w:t>一是</w:t>
      </w:r>
      <w:r>
        <w:rPr>
          <w:rFonts w:hint="eastAsia" w:ascii="仿宋_GB2312" w:eastAsia="仿宋_GB2312"/>
          <w:sz w:val="32"/>
          <w:szCs w:val="32"/>
        </w:rPr>
        <w:t>保障了执法办案业务经费，通过加大对交通违法行为的打击力度，强力震慑了交通违法行为，为全市人民营造和谐、畅通、安全的道路交通通行环境；</w:t>
      </w:r>
      <w:r>
        <w:rPr>
          <w:rFonts w:hint="eastAsia" w:ascii="仿宋_GB2312" w:eastAsia="仿宋_GB2312"/>
          <w:b/>
          <w:sz w:val="32"/>
          <w:szCs w:val="32"/>
        </w:rPr>
        <w:t>二是</w:t>
      </w:r>
      <w:r>
        <w:rPr>
          <w:rFonts w:hint="eastAsia" w:ascii="仿宋_GB2312" w:eastAsia="仿宋_GB2312"/>
          <w:sz w:val="32"/>
          <w:szCs w:val="32"/>
        </w:rPr>
        <w:t>保障了全市车辆管理和驾驶员管理业务的正常开展，落实了公安交通管理“放管服”新举措，提升了管理和服务水平；</w:t>
      </w:r>
      <w:r>
        <w:rPr>
          <w:rFonts w:hint="eastAsia" w:ascii="仿宋_GB2312" w:eastAsia="仿宋_GB2312"/>
          <w:b/>
          <w:sz w:val="32"/>
          <w:szCs w:val="32"/>
        </w:rPr>
        <w:t>三是</w:t>
      </w:r>
      <w:r>
        <w:rPr>
          <w:rFonts w:hint="eastAsia" w:ascii="仿宋_GB2312" w:eastAsia="仿宋_GB2312"/>
          <w:sz w:val="32"/>
          <w:szCs w:val="32"/>
        </w:rPr>
        <w:t>保障公安交通管理信息化系统（车辆违法超速抓拍系统、一二期红绿灯系统维护、集成指挥平台及智能交通建设项目维护）的正常维护与运转；</w:t>
      </w:r>
      <w:r>
        <w:rPr>
          <w:rFonts w:hint="eastAsia" w:ascii="仿宋_GB2312" w:eastAsia="仿宋_GB2312"/>
          <w:b/>
          <w:sz w:val="32"/>
          <w:szCs w:val="32"/>
        </w:rPr>
        <w:t>四是</w:t>
      </w:r>
      <w:r>
        <w:rPr>
          <w:rFonts w:hint="eastAsia" w:ascii="仿宋_GB2312" w:eastAsia="仿宋_GB2312"/>
          <w:sz w:val="32"/>
          <w:szCs w:val="32"/>
        </w:rPr>
        <w:t>保障了道路交通标志标线的施化与维护；</w:t>
      </w:r>
      <w:r>
        <w:rPr>
          <w:rFonts w:hint="eastAsia" w:ascii="仿宋_GB2312" w:eastAsia="仿宋_GB2312"/>
          <w:b/>
          <w:sz w:val="32"/>
          <w:szCs w:val="32"/>
        </w:rPr>
        <w:t>五是</w:t>
      </w:r>
      <w:r>
        <w:rPr>
          <w:rFonts w:hint="eastAsia" w:ascii="仿宋_GB2312" w:eastAsia="仿宋_GB2312"/>
          <w:sz w:val="32"/>
          <w:szCs w:val="32"/>
        </w:rPr>
        <w:t>保障交通安全宣传和执法办案开支。</w:t>
      </w:r>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公安交通管理指挥中心弱电网络建设项目绩效自评得分1</w:t>
      </w:r>
      <w:r>
        <w:rPr>
          <w:rFonts w:ascii="仿宋_GB2312" w:eastAsia="仿宋_GB2312"/>
          <w:sz w:val="32"/>
          <w:szCs w:val="32"/>
        </w:rPr>
        <w:t>00分</w:t>
      </w:r>
      <w:r>
        <w:rPr>
          <w:rFonts w:hint="eastAsia" w:ascii="仿宋_GB2312" w:eastAsia="仿宋_GB2312"/>
          <w:sz w:val="32"/>
          <w:szCs w:val="32"/>
        </w:rPr>
        <w:t>，绩效自评综述：完善攀枝花市公安局业务技术用房建设项目（公安交通管理指挥中心）功能满足需求，极大促进我市道路交通管理工作的发展，提升工作质效，从而达到提升群众满意度的效果。</w:t>
      </w:r>
    </w:p>
    <w:p>
      <w:pPr>
        <w:adjustRightInd w:val="0"/>
        <w:snapToGrid w:val="0"/>
        <w:spacing w:line="560" w:lineRule="exact"/>
        <w:ind w:firstLine="720"/>
        <w:rPr>
          <w:rFonts w:ascii="仿宋_GB2312" w:hAnsi="仿宋_GB2312" w:eastAsia="仿宋_GB2312" w:cs="仿宋_GB2312"/>
          <w:sz w:val="32"/>
          <w:szCs w:val="32"/>
        </w:rPr>
      </w:pPr>
      <w:r>
        <w:rPr>
          <w:rFonts w:hint="eastAsia" w:ascii="仿宋_GB2312" w:hAnsi="仿宋_GB2312" w:eastAsia="仿宋_GB2312" w:cs="仿宋_GB2312"/>
          <w:sz w:val="32"/>
          <w:szCs w:val="32"/>
        </w:rPr>
        <w:t>绩效自评报告详见附件。</w:t>
      </w:r>
    </w:p>
    <w:p>
      <w:pPr>
        <w:spacing w:line="600" w:lineRule="exact"/>
        <w:rPr>
          <w:rFonts w:eastAsia="仿宋_GB2312" w:cs="仿宋_GB2312"/>
          <w:sz w:val="32"/>
          <w:szCs w:val="32"/>
        </w:rPr>
      </w:pPr>
    </w:p>
    <w:p>
      <w:pPr>
        <w:spacing w:line="600" w:lineRule="exact"/>
        <w:jc w:val="center"/>
        <w:outlineLvl w:val="0"/>
        <w:rPr>
          <w:rFonts w:eastAsia="黑体"/>
          <w:sz w:val="44"/>
          <w:szCs w:val="44"/>
        </w:rPr>
      </w:pPr>
      <w:bookmarkStart w:id="45" w:name="_Toc15396613"/>
      <w:bookmarkStart w:id="46" w:name="_Toc15377225"/>
      <w:r>
        <w:rPr>
          <w:rFonts w:hint="eastAsia" w:eastAsia="黑体"/>
          <w:sz w:val="44"/>
          <w:szCs w:val="44"/>
        </w:rPr>
        <w:t>第三部分  名词解释</w:t>
      </w:r>
      <w:bookmarkEnd w:id="45"/>
      <w:bookmarkEnd w:id="46"/>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sz w:val="32"/>
          <w:szCs w:val="32"/>
        </w:rPr>
        <w:t>2</w:t>
      </w:r>
      <w:r>
        <w:rPr>
          <w:rFonts w:hint="eastAsia" w:eastAsia="仿宋_GB2312" w:cs="仿宋_GB2312"/>
          <w:sz w:val="32"/>
          <w:szCs w:val="32"/>
        </w:rPr>
        <w:t>.其他收入：</w:t>
      </w:r>
      <w:r>
        <w:rPr>
          <w:rFonts w:hint="eastAsia" w:eastAsia="仿宋_GB2312"/>
          <w:sz w:val="32"/>
          <w:szCs w:val="32"/>
        </w:rPr>
        <w:t>指单位取得的除财政拨款收入、事业收入、经营收入以外的各项收入</w:t>
      </w:r>
      <w:r>
        <w:rPr>
          <w:rFonts w:hint="eastAsia" w:eastAsia="仿宋_GB2312" w:cs="仿宋_GB2312"/>
          <w:sz w:val="32"/>
          <w:szCs w:val="32"/>
        </w:rPr>
        <w:t xml:space="preserve">。 </w:t>
      </w:r>
    </w:p>
    <w:p>
      <w:pPr>
        <w:spacing w:line="600" w:lineRule="exact"/>
        <w:ind w:firstLine="640"/>
        <w:rPr>
          <w:rFonts w:eastAsia="仿宋_GB2312" w:cs="仿宋_GB2312"/>
          <w:sz w:val="32"/>
          <w:szCs w:val="32"/>
        </w:rPr>
      </w:pPr>
      <w:r>
        <w:rPr>
          <w:rFonts w:eastAsia="仿宋_GB2312" w:cs="仿宋_GB2312"/>
          <w:sz w:val="32"/>
          <w:szCs w:val="32"/>
        </w:rPr>
        <w:t>3</w:t>
      </w:r>
      <w:r>
        <w:rPr>
          <w:rFonts w:hint="eastAsia" w:eastAsia="仿宋_GB2312" w:cs="仿宋_GB2312"/>
          <w:sz w:val="32"/>
          <w:szCs w:val="32"/>
        </w:rPr>
        <w:t xml:space="preserve">.年初结转和结余：指以前年度尚未完成、结转到本年按有关规定继续使用的资金。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sz w:val="32"/>
          <w:szCs w:val="32"/>
        </w:rPr>
        <w:t>4</w:t>
      </w:r>
      <w:r>
        <w:rPr>
          <w:rFonts w:hint="eastAsia" w:eastAsia="仿宋_GB2312" w:cs="仿宋_GB2312"/>
          <w:sz w:val="32"/>
          <w:szCs w:val="32"/>
        </w:rPr>
        <w:t>.年末结转和结余：指单位按有关规定结转到下年或以后年度继续使用的资金。</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公共安全支出（类）公安（款）行政运行（项）：反映政府维护社会公共安全方面公安事务及管理的基本支出。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公共安全支出（类）公安（款）一般行政管理实务（项）：反映政府维护社会公共安全方面公安事务及管理的未单独设置项级科目的其他项目支出。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公共安全支出（类）公安（款）信息化建设（项）：反映各级公安机关用于非涉密的信息网络建设和运行维护相关支出。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公共安全支出（类）公安（款）执法办案（项）：反映公安机关从事行政执法、刑事司法及侦查办案等相关活动的支出。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公共安全支出（类）公安（款）其他公安支出（项）：指反映除上述项目以外其他用于公安方面的支出。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社会保障和就业支出（类）行政事业单位养老支出（款）行政单位离退休（项）：指反映行政单位（包括实行公务员管理的事业单位）开支的离退休经费。</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社会保障和就业支出（类）行政事业单位离退休（款）机关事业单位基本养老保险缴费支出（项）：指反映机关事业单位实施养老保险制度由单位缴纳的基本养老保险支出。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社会保障和就业支出（类）行政事业单位离退休（款）机关事业单位职业年金缴费支出（项）：指反映机关事业单位实施养老保险制度由单位实际缴纳的职业年金支出。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社会保障和就业支出（类）抚恤（款）死亡抚恤（项）：指反映按规定用于烈士和牺牲、病故人员家属的一次性和定期抚恤金以及丧葬补助费。</w:t>
      </w:r>
    </w:p>
    <w:p>
      <w:pPr>
        <w:pStyle w:val="13"/>
        <w:snapToGrid/>
        <w:spacing w:before="93"/>
        <w:ind w:firstLine="360" w:firstLineChars="200"/>
        <w:contextualSpacing/>
        <w:rPr>
          <w:rFonts w:ascii="仿宋_GB2312" w:hAnsi="仿宋_GB2312" w:eastAsia="仿宋_GB2312" w:cs="仿宋_GB2312"/>
          <w:color w:val="000000"/>
          <w:sz w:val="32"/>
          <w:szCs w:val="32"/>
        </w:rPr>
      </w:pPr>
      <w:r>
        <w:rPr>
          <w:rFonts w:hint="eastAsia"/>
        </w:rPr>
        <w:t xml:space="preserve"> </w:t>
      </w:r>
      <w:r>
        <w:t xml:space="preserve">   </w:t>
      </w:r>
      <w:r>
        <w:rPr>
          <w:rFonts w:hint="eastAsia" w:ascii="仿宋_GB2312" w:eastAsia="仿宋_GB2312"/>
          <w:sz w:val="32"/>
          <w:szCs w:val="32"/>
        </w:rPr>
        <w:t>1</w:t>
      </w:r>
      <w:r>
        <w:rPr>
          <w:rFonts w:ascii="仿宋_GB2312" w:eastAsia="仿宋_GB2312"/>
          <w:sz w:val="32"/>
          <w:szCs w:val="32"/>
        </w:rPr>
        <w:t>4</w:t>
      </w:r>
      <w:r>
        <w:rPr>
          <w:rFonts w:hint="eastAsia" w:ascii="仿宋_GB2312" w:eastAsia="仿宋_GB2312"/>
          <w:sz w:val="32"/>
          <w:szCs w:val="32"/>
        </w:rPr>
        <w:t>.</w:t>
      </w:r>
      <w:r>
        <w:rPr>
          <w:rFonts w:hint="eastAsia" w:ascii="仿宋_GB2312" w:hAnsi="仿宋_GB2312" w:eastAsia="仿宋_GB2312" w:cs="仿宋_GB2312"/>
          <w:color w:val="000000"/>
          <w:sz w:val="32"/>
          <w:szCs w:val="32"/>
        </w:rPr>
        <w:t>卫生健康支出（类）行政事业单位医疗（款）行政单位医疗（项）:</w:t>
      </w:r>
      <w:r>
        <w:rPr>
          <w:rFonts w:ascii="仿宋_GB2312" w:hAnsi="仿宋_GB2312" w:eastAsia="仿宋_GB2312" w:cs="仿宋_GB2312"/>
          <w:color w:val="000000"/>
          <w:sz w:val="32"/>
          <w:szCs w:val="32"/>
        </w:rPr>
        <w:t>反映财政部门安排的行政单位（包括实行公务员管理的事业单位，下同）基本医疗保险缴费经费，未参加医疗保险的行政单位工费医疗经费，按国家规定享受离休人员、红军老战士待遇人员的医疗经费。</w:t>
      </w:r>
    </w:p>
    <w:p>
      <w:pPr>
        <w:pStyle w:val="13"/>
        <w:snapToGrid/>
        <w:spacing w:before="93"/>
        <w:ind w:firstLine="640" w:firstLineChars="200"/>
        <w:contextualSpacing/>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.卫生健康支出（类）行政事业单位医疗（款）公务员医疗补助（项）:反映</w:t>
      </w:r>
      <w:r>
        <w:rPr>
          <w:rFonts w:ascii="仿宋_GB2312" w:hAnsi="仿宋_GB2312" w:eastAsia="仿宋_GB2312" w:cs="仿宋_GB2312"/>
          <w:color w:val="000000"/>
          <w:sz w:val="32"/>
          <w:szCs w:val="32"/>
        </w:rPr>
        <w:t>财政部门安排的公务员医疗补助经费。</w:t>
      </w:r>
    </w:p>
    <w:p>
      <w:pPr>
        <w:pStyle w:val="13"/>
        <w:snapToGrid/>
        <w:spacing w:before="93"/>
        <w:ind w:firstLine="640" w:firstLineChars="200"/>
        <w:contextualSpacing/>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.卫生健康支出（类）行政事业单位医疗（款）其他行政事业单位医疗支出（项）:反映除上述项目以外的其他用于行政事业单位医疗方面的支出。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17</w:t>
      </w:r>
      <w:r>
        <w:rPr>
          <w:rFonts w:hint="eastAsia" w:ascii="仿宋_GB2312" w:hAnsi="仿宋_GB2312" w:eastAsia="仿宋_GB2312" w:cs="仿宋_GB2312"/>
          <w:color w:val="000000"/>
          <w:sz w:val="32"/>
          <w:szCs w:val="32"/>
        </w:rPr>
        <w:t>.住房保障支出（类）住房改革支出（款）住房公积金（项）：指反映行政事业单位按照人力资源和社会保障部、财政部规定的基本工资和津贴补贴以及规定比例为职工缴纳的住房公积金。</w:t>
      </w:r>
    </w:p>
    <w:p>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8.城乡社区支出（类）城乡社区公共设施（款）其他城乡社区公共设施支出（项）：反映</w:t>
      </w:r>
      <w:r>
        <w:rPr>
          <w:rFonts w:hint="eastAsia" w:ascii="仿宋_GB2312" w:hAnsi="仿宋_GB2312" w:eastAsia="仿宋_GB2312" w:cs="仿宋_GB2312"/>
          <w:color w:val="000000"/>
          <w:sz w:val="32"/>
          <w:szCs w:val="32"/>
        </w:rPr>
        <w:t>其他</w:t>
      </w:r>
      <w:r>
        <w:rPr>
          <w:rFonts w:ascii="仿宋_GB2312" w:hAnsi="仿宋_GB2312" w:eastAsia="仿宋_GB2312" w:cs="仿宋_GB2312"/>
          <w:color w:val="000000"/>
          <w:sz w:val="32"/>
          <w:szCs w:val="32"/>
        </w:rPr>
        <w:t>用于政府城乡社区</w:t>
      </w:r>
      <w:r>
        <w:rPr>
          <w:rFonts w:hint="eastAsia" w:ascii="仿宋_GB2312" w:hAnsi="仿宋_GB2312" w:eastAsia="仿宋_GB2312" w:cs="仿宋_GB2312"/>
          <w:color w:val="000000"/>
          <w:sz w:val="32"/>
          <w:szCs w:val="32"/>
        </w:rPr>
        <w:t>公共</w:t>
      </w:r>
      <w:r>
        <w:rPr>
          <w:rFonts w:ascii="仿宋_GB2312" w:hAnsi="仿宋_GB2312" w:eastAsia="仿宋_GB2312" w:cs="仿宋_GB2312"/>
          <w:color w:val="000000"/>
          <w:sz w:val="32"/>
          <w:szCs w:val="32"/>
        </w:rPr>
        <w:t>设施方面的支出。</w:t>
      </w:r>
    </w:p>
    <w:p>
      <w:pPr>
        <w:spacing w:line="600" w:lineRule="exact"/>
        <w:ind w:firstLine="640"/>
        <w:rPr>
          <w:rFonts w:eastAsia="仿宋_GB2312" w:cs="仿宋_GB2312"/>
          <w:sz w:val="32"/>
          <w:szCs w:val="32"/>
        </w:rPr>
      </w:pPr>
      <w:r>
        <w:rPr>
          <w:rFonts w:eastAsia="仿宋_GB2312" w:cs="仿宋_GB2312"/>
          <w:sz w:val="32"/>
          <w:szCs w:val="32"/>
        </w:rPr>
        <w:t>19</w:t>
      </w:r>
      <w:r>
        <w:rPr>
          <w:rFonts w:hint="eastAsia" w:eastAsia="仿宋_GB2312" w:cs="仿宋_GB2312"/>
          <w:sz w:val="32"/>
          <w:szCs w:val="32"/>
        </w:rPr>
        <w:t>.基本支出：指为保障机构正常运转、完成日常工作任务而发生的人员支出和公用支出。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sz w:val="32"/>
          <w:szCs w:val="32"/>
        </w:rPr>
        <w:t>20</w:t>
      </w:r>
      <w:r>
        <w:rPr>
          <w:rFonts w:hint="eastAsia" w:eastAsia="仿宋_GB2312" w:cs="仿宋_GB2312"/>
          <w:sz w:val="32"/>
          <w:szCs w:val="32"/>
        </w:rPr>
        <w:t xml:space="preserve">.项目支出：指在基本支出之外为完成特定行政任务和事业发展目标所发生的支出。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sz w:val="32"/>
          <w:szCs w:val="32"/>
        </w:rPr>
        <w:t>21</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sz w:val="32"/>
          <w:szCs w:val="32"/>
        </w:rPr>
        <w:t>22</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rPr>
          <w:rFonts w:eastAsia="仿宋_GB2312" w:cs="仿宋_GB2312"/>
          <w:b/>
          <w:bCs/>
          <w:sz w:val="32"/>
          <w:szCs w:val="32"/>
        </w:rPr>
      </w:pPr>
      <w:bookmarkStart w:id="47" w:name="_Toc15396614"/>
      <w:bookmarkStart w:id="48" w:name="_Toc15377226"/>
    </w:p>
    <w:p>
      <w:pPr>
        <w:spacing w:line="600" w:lineRule="exact"/>
        <w:jc w:val="center"/>
        <w:rPr>
          <w:rStyle w:val="29"/>
          <w:rFonts w:eastAsia="黑体"/>
          <w:b w:val="0"/>
        </w:rPr>
      </w:pPr>
      <w:r>
        <w:rPr>
          <w:rFonts w:hint="eastAsia" w:eastAsia="黑体"/>
          <w:sz w:val="44"/>
          <w:szCs w:val="44"/>
        </w:rPr>
        <w:t>第四部分  附件</w:t>
      </w:r>
      <w:bookmarkEnd w:id="47"/>
    </w:p>
    <w:p>
      <w:pPr>
        <w:pStyle w:val="13"/>
      </w:pPr>
    </w:p>
    <w:p>
      <w:pPr>
        <w:spacing w:line="572" w:lineRule="exact"/>
        <w:jc w:val="left"/>
        <w:outlineLvl w:val="0"/>
        <w:rPr>
          <w:rFonts w:eastAsia="黑体" w:cs="方正小标宋简体"/>
          <w:sz w:val="44"/>
          <w:szCs w:val="44"/>
        </w:rPr>
      </w:pPr>
      <w:r>
        <w:rPr>
          <w:rFonts w:hint="eastAsia" w:eastAsia="黑体" w:cs="黑体"/>
          <w:sz w:val="32"/>
          <w:szCs w:val="32"/>
        </w:rPr>
        <w:t>附件1</w:t>
      </w:r>
    </w:p>
    <w:p>
      <w:pPr>
        <w:widowControl/>
        <w:spacing w:line="578" w:lineRule="exact"/>
        <w:contextualSpacing/>
        <w:jc w:val="center"/>
        <w:rPr>
          <w:rFonts w:eastAsia="方正小标宋简体"/>
          <w:bCs/>
          <w:sz w:val="44"/>
          <w:szCs w:val="44"/>
          <w:shd w:val="clear" w:color="auto" w:fill="FFFFFF"/>
        </w:rPr>
      </w:pP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攀枝花市公安局交通警察支队</w:t>
      </w:r>
    </w:p>
    <w:p>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2</w:t>
      </w:r>
      <w:r>
        <w:rPr>
          <w:rFonts w:eastAsia="方正小标宋简体"/>
          <w:bCs/>
          <w:sz w:val="44"/>
          <w:szCs w:val="44"/>
          <w:shd w:val="clear" w:color="auto" w:fill="FFFFFF"/>
        </w:rPr>
        <w:t>025年度部门预算绩效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p>
    <w:p>
      <w:pPr>
        <w:widowControl/>
        <w:adjustRightInd w:val="0"/>
        <w:snapToGrid w:val="0"/>
        <w:spacing w:line="578" w:lineRule="exact"/>
        <w:ind w:firstLine="640" w:firstLineChars="200"/>
        <w:contextualSpacing/>
        <w:jc w:val="left"/>
        <w:rPr>
          <w:rFonts w:eastAsia="仿宋_GB2312"/>
          <w:sz w:val="32"/>
          <w:szCs w:val="32"/>
        </w:rPr>
      </w:pPr>
      <w:r>
        <w:rPr>
          <w:rFonts w:eastAsia="黑体"/>
          <w:color w:val="000000"/>
          <w:kern w:val="0"/>
          <w:sz w:val="32"/>
          <w:szCs w:val="32"/>
          <w:shd w:val="clear" w:color="auto" w:fill="FFFFFF"/>
          <w:lang w:val="zh-CN"/>
        </w:rPr>
        <w:t>一、部门基本情况</w:t>
      </w:r>
    </w:p>
    <w:p>
      <w:pPr>
        <w:widowControl/>
        <w:adjustRightInd w:val="0"/>
        <w:snapToGrid w:val="0"/>
        <w:spacing w:line="580" w:lineRule="exact"/>
        <w:ind w:firstLine="643" w:firstLineChars="200"/>
        <w:contextualSpacing/>
        <w:jc w:val="left"/>
        <w:rPr>
          <w:rFonts w:ascii="楷体_GB2312" w:hAnsi="宋体" w:eastAsia="楷体_GB2312" w:cs="宋体"/>
          <w:b/>
          <w:color w:val="000000"/>
          <w:kern w:val="0"/>
          <w:sz w:val="32"/>
          <w:szCs w:val="32"/>
          <w:shd w:val="clear" w:color="auto" w:fill="FFFFFF"/>
          <w:lang w:val="zh-CN"/>
        </w:rPr>
      </w:pPr>
      <w:r>
        <w:rPr>
          <w:rFonts w:hint="eastAsia" w:ascii="楷体_GB2312" w:hAnsi="宋体" w:eastAsia="楷体_GB2312" w:cs="宋体"/>
          <w:b/>
          <w:color w:val="000000"/>
          <w:kern w:val="0"/>
          <w:sz w:val="32"/>
          <w:szCs w:val="32"/>
          <w:shd w:val="clear" w:color="auto" w:fill="FFFFFF"/>
          <w:lang w:val="zh-CN"/>
        </w:rPr>
        <w:t>（一）机构组成。</w:t>
      </w:r>
    </w:p>
    <w:p>
      <w:pPr>
        <w:spacing w:line="560" w:lineRule="exact"/>
        <w:ind w:firstLine="640" w:firstLineChars="200"/>
        <w:rPr>
          <w:rFonts w:ascii="仿宋_GB2312" w:hAnsi="华文仿宋" w:eastAsia="仿宋_GB2312" w:cs="宋体-18030"/>
          <w:b/>
          <w:bCs/>
          <w:sz w:val="32"/>
          <w:szCs w:val="32"/>
        </w:rPr>
      </w:pPr>
      <w:r>
        <w:rPr>
          <w:rFonts w:hint="eastAsia" w:ascii="仿宋_GB2312" w:hAnsi="华文仿宋" w:eastAsia="仿宋_GB2312" w:cs="宋体-18030"/>
          <w:bCs/>
          <w:sz w:val="32"/>
          <w:szCs w:val="32"/>
        </w:rPr>
        <w:t>交警支队隶属于攀枝花市公安局，属副县级行政单位，为一级预算管理单位，</w:t>
      </w:r>
      <w:r>
        <w:rPr>
          <w:rFonts w:hint="eastAsia" w:ascii="仿宋_GB2312" w:eastAsia="仿宋_GB2312"/>
          <w:sz w:val="32"/>
          <w:szCs w:val="32"/>
        </w:rPr>
        <w:t>支队</w:t>
      </w:r>
      <w:r>
        <w:rPr>
          <w:rFonts w:hint="eastAsia" w:ascii="仿宋_GB2312" w:hAnsi="华文仿宋" w:eastAsia="仿宋_GB2312" w:cs="宋体-18030"/>
          <w:bCs/>
          <w:sz w:val="32"/>
          <w:szCs w:val="32"/>
        </w:rPr>
        <w:t>下设1</w:t>
      </w:r>
      <w:r>
        <w:rPr>
          <w:rFonts w:ascii="仿宋_GB2312" w:hAnsi="华文仿宋" w:eastAsia="仿宋_GB2312" w:cs="宋体-18030"/>
          <w:bCs/>
          <w:sz w:val="32"/>
          <w:szCs w:val="32"/>
        </w:rPr>
        <w:t>4</w:t>
      </w:r>
      <w:r>
        <w:rPr>
          <w:rFonts w:hint="eastAsia" w:ascii="仿宋_GB2312" w:hAnsi="华文仿宋" w:eastAsia="仿宋_GB2312" w:cs="宋体-18030"/>
          <w:bCs/>
          <w:sz w:val="32"/>
          <w:szCs w:val="32"/>
        </w:rPr>
        <w:t>个科、室、所、队，</w:t>
      </w:r>
      <w:r>
        <w:rPr>
          <w:rFonts w:hint="eastAsia" w:ascii="仿宋_GB2312" w:eastAsia="仿宋_GB2312"/>
          <w:sz w:val="32"/>
          <w:szCs w:val="32"/>
        </w:rPr>
        <w:t>实行报账管理制，未设置二级预算经费核算管理机构</w:t>
      </w:r>
      <w:r>
        <w:rPr>
          <w:rFonts w:hint="eastAsia" w:ascii="仿宋_GB2312" w:hAnsi="华文仿宋" w:eastAsia="仿宋_GB2312" w:cs="宋体-18030"/>
          <w:bCs/>
          <w:sz w:val="32"/>
          <w:szCs w:val="32"/>
        </w:rPr>
        <w:t>。</w:t>
      </w:r>
    </w:p>
    <w:p>
      <w:pPr>
        <w:widowControl/>
        <w:adjustRightInd w:val="0"/>
        <w:snapToGrid w:val="0"/>
        <w:spacing w:line="580" w:lineRule="exact"/>
        <w:ind w:firstLine="643" w:firstLineChars="200"/>
        <w:contextualSpacing/>
        <w:jc w:val="left"/>
        <w:rPr>
          <w:rFonts w:ascii="楷体_GB2312" w:hAnsi="宋体" w:eastAsia="楷体_GB2312" w:cs="宋体"/>
          <w:b/>
          <w:color w:val="000000"/>
          <w:kern w:val="0"/>
          <w:sz w:val="32"/>
          <w:szCs w:val="32"/>
          <w:shd w:val="clear" w:color="auto" w:fill="FFFFFF"/>
          <w:lang w:val="zh-CN"/>
        </w:rPr>
      </w:pPr>
      <w:r>
        <w:rPr>
          <w:rFonts w:hint="eastAsia" w:ascii="楷体_GB2312" w:hAnsi="宋体" w:eastAsia="楷体_GB2312" w:cs="宋体"/>
          <w:b/>
          <w:color w:val="000000"/>
          <w:kern w:val="0"/>
          <w:sz w:val="32"/>
          <w:szCs w:val="32"/>
          <w:shd w:val="clear" w:color="auto" w:fill="FFFFFF"/>
          <w:lang w:val="zh-CN"/>
        </w:rPr>
        <w:t>（二）机构职能。</w:t>
      </w:r>
    </w:p>
    <w:p>
      <w:pPr>
        <w:widowControl/>
        <w:shd w:val="clear" w:color="auto" w:fill="FFFFFF"/>
        <w:snapToGrid w:val="0"/>
        <w:spacing w:before="150" w:after="150" w:line="560" w:lineRule="exact"/>
        <w:ind w:firstLine="640" w:firstLineChars="200"/>
        <w:jc w:val="left"/>
        <w:rPr>
          <w:rFonts w:ascii="仿宋_GB2312" w:hAnsi="宋体" w:eastAsia="仿宋_GB2312"/>
          <w:color w:val="000000"/>
          <w:kern w:val="0"/>
          <w:sz w:val="32"/>
          <w:szCs w:val="32"/>
        </w:rPr>
      </w:pPr>
      <w:r>
        <w:rPr>
          <w:rFonts w:hint="eastAsia" w:ascii="仿宋_GB2312" w:hAnsi="宋体" w:eastAsia="仿宋_GB2312"/>
          <w:color w:val="000000"/>
          <w:kern w:val="0"/>
          <w:sz w:val="32"/>
          <w:szCs w:val="32"/>
        </w:rPr>
        <w:t>攀枝花市公安局交通警察支队组建于</w:t>
      </w:r>
      <w:r>
        <w:rPr>
          <w:rFonts w:ascii="仿宋_GB2312" w:hAnsi="宋体" w:eastAsia="仿宋_GB2312"/>
          <w:color w:val="000000"/>
          <w:kern w:val="0"/>
          <w:sz w:val="32"/>
          <w:szCs w:val="32"/>
        </w:rPr>
        <w:t>1987</w:t>
      </w:r>
      <w:r>
        <w:rPr>
          <w:rFonts w:hint="eastAsia" w:ascii="仿宋_GB2312" w:hAnsi="宋体" w:eastAsia="仿宋_GB2312"/>
          <w:color w:val="000000"/>
          <w:kern w:val="0"/>
          <w:sz w:val="32"/>
          <w:szCs w:val="32"/>
        </w:rPr>
        <w:t>年，负责全市道路交通安全，组织、指导、监督全市公安机关依法查处道路交通违法行为、处理交通事故、维护道路交通安全秩序；组织、指导、监督机动车（不含拖拉机）登记、安全检验和驾驶人员考试发证工作；组织、指导道路交通安全宣传教育工作；负责民用爆炸物品、剧毒化学品、易制毒化学品的道路运输审批；组织、指导道路交通管理科技工作；指导全市公安机关参与城市建设、道路交通和安全设施的规划。</w:t>
      </w:r>
    </w:p>
    <w:p>
      <w:pPr>
        <w:widowControl/>
        <w:adjustRightInd w:val="0"/>
        <w:snapToGrid w:val="0"/>
        <w:spacing w:line="580" w:lineRule="exact"/>
        <w:ind w:firstLine="643" w:firstLineChars="200"/>
        <w:contextualSpacing/>
        <w:jc w:val="left"/>
        <w:rPr>
          <w:rFonts w:ascii="楷体_GB2312" w:hAnsi="宋体" w:eastAsia="楷体_GB2312" w:cs="宋体"/>
          <w:b/>
          <w:color w:val="000000"/>
          <w:kern w:val="0"/>
          <w:sz w:val="32"/>
          <w:szCs w:val="32"/>
          <w:shd w:val="clear" w:color="auto" w:fill="FFFFFF"/>
          <w:lang w:val="zh-CN"/>
        </w:rPr>
      </w:pPr>
      <w:r>
        <w:rPr>
          <w:rFonts w:hint="eastAsia" w:ascii="楷体_GB2312" w:hAnsi="宋体" w:eastAsia="楷体_GB2312" w:cs="宋体"/>
          <w:b/>
          <w:color w:val="000000"/>
          <w:kern w:val="0"/>
          <w:sz w:val="32"/>
          <w:szCs w:val="32"/>
          <w:shd w:val="clear" w:color="auto" w:fill="FFFFFF"/>
          <w:lang w:val="zh-CN"/>
        </w:rPr>
        <w:t>（三）人员概况</w:t>
      </w:r>
      <w:r>
        <w:rPr>
          <w:rFonts w:hint="eastAsia" w:ascii="楷体_GB2312" w:hAnsi="宋体" w:eastAsia="楷体_GB2312" w:cs="宋体"/>
          <w:b/>
          <w:kern w:val="0"/>
          <w:sz w:val="32"/>
          <w:szCs w:val="32"/>
          <w:shd w:val="clear" w:color="auto" w:fill="FFFFFF"/>
          <w:lang w:val="zh-CN"/>
        </w:rPr>
        <w:t>。</w:t>
      </w:r>
    </w:p>
    <w:p>
      <w:pPr>
        <w:snapToGrid w:val="0"/>
        <w:spacing w:line="560" w:lineRule="exact"/>
        <w:ind w:firstLine="640" w:firstLineChars="200"/>
        <w:rPr>
          <w:rFonts w:ascii="仿宋_GB2312" w:hAnsi="华文仿宋" w:eastAsia="仿宋_GB2312" w:cs="宋体-18030"/>
          <w:sz w:val="32"/>
          <w:szCs w:val="32"/>
        </w:rPr>
      </w:pPr>
      <w:r>
        <w:rPr>
          <w:rFonts w:hint="eastAsia" w:ascii="仿宋_GB2312" w:hAnsi="华文仿宋" w:eastAsia="仿宋_GB2312" w:cs="宋体-18030"/>
          <w:sz w:val="32"/>
          <w:szCs w:val="32"/>
        </w:rPr>
        <w:t>截止202</w:t>
      </w:r>
      <w:r>
        <w:rPr>
          <w:rFonts w:ascii="仿宋_GB2312" w:hAnsi="华文仿宋" w:eastAsia="仿宋_GB2312" w:cs="宋体-18030"/>
          <w:sz w:val="32"/>
          <w:szCs w:val="32"/>
        </w:rPr>
        <w:t>5</w:t>
      </w:r>
      <w:r>
        <w:rPr>
          <w:rFonts w:hint="eastAsia" w:ascii="仿宋_GB2312" w:hAnsi="华文仿宋" w:eastAsia="仿宋_GB2312" w:cs="宋体-18030"/>
          <w:sz w:val="32"/>
          <w:szCs w:val="32"/>
        </w:rPr>
        <w:t>年底，</w:t>
      </w:r>
      <w:r>
        <w:rPr>
          <w:rFonts w:hint="eastAsia" w:ascii="仿宋_GB2312" w:eastAsia="仿宋_GB2312"/>
          <w:sz w:val="32"/>
          <w:szCs w:val="32"/>
        </w:rPr>
        <w:t>交警支队人员期末数为481人, 其中在职人员</w:t>
      </w:r>
      <w:r>
        <w:rPr>
          <w:rFonts w:ascii="仿宋_GB2312" w:eastAsia="仿宋_GB2312"/>
          <w:sz w:val="32"/>
          <w:szCs w:val="32"/>
        </w:rPr>
        <w:t>19</w:t>
      </w:r>
      <w:r>
        <w:rPr>
          <w:rFonts w:hint="eastAsia" w:ascii="仿宋_GB2312" w:eastAsia="仿宋_GB2312"/>
          <w:sz w:val="32"/>
          <w:szCs w:val="32"/>
        </w:rPr>
        <w:t>2人，退休人员104人，交通管理辅警人员</w:t>
      </w:r>
      <w:r>
        <w:rPr>
          <w:rFonts w:ascii="仿宋_GB2312" w:eastAsia="仿宋_GB2312"/>
          <w:sz w:val="32"/>
          <w:szCs w:val="32"/>
        </w:rPr>
        <w:t>185</w:t>
      </w:r>
      <w:r>
        <w:rPr>
          <w:rFonts w:hint="eastAsia" w:ascii="仿宋_GB2312" w:eastAsia="仿宋_GB2312"/>
          <w:sz w:val="32"/>
          <w:szCs w:val="32"/>
        </w:rPr>
        <w:t>人。</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pPr>
        <w:widowControl/>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lang w:val="zh-CN"/>
        </w:rPr>
        <w:t>（一）收入情况。</w:t>
      </w:r>
      <w:r>
        <w:rPr>
          <w:rFonts w:eastAsia="仿宋_GB2312"/>
          <w:sz w:val="32"/>
          <w:szCs w:val="32"/>
        </w:rPr>
        <w:t>2025年年初预算收入7565.89万元，其中：人员经费5949.73万元，日常公用经费614.11万元，项目经费1002.05万元。决算报表收入8683.43万元，其中：人员经费6299.87万元，日常公用经费563.79万元，</w:t>
      </w:r>
      <w:r>
        <w:rPr>
          <w:rFonts w:hint="eastAsia" w:eastAsia="仿宋_GB2312"/>
          <w:sz w:val="32"/>
          <w:szCs w:val="32"/>
        </w:rPr>
        <w:t>项目</w:t>
      </w:r>
      <w:r>
        <w:rPr>
          <w:rFonts w:eastAsia="仿宋_GB2312"/>
          <w:sz w:val="32"/>
          <w:szCs w:val="32"/>
        </w:rPr>
        <w:t>经费1819.77万元。</w:t>
      </w:r>
    </w:p>
    <w:p>
      <w:pPr>
        <w:widowControl/>
        <w:adjustRightInd w:val="0"/>
        <w:snapToGrid w:val="0"/>
        <w:spacing w:line="578" w:lineRule="exact"/>
        <w:ind w:firstLine="643" w:firstLineChars="200"/>
        <w:contextualSpacing/>
        <w:jc w:val="left"/>
        <w:rPr>
          <w:rFonts w:eastAsia="仿宋_GB2312"/>
          <w:sz w:val="32"/>
          <w:szCs w:val="32"/>
        </w:rPr>
      </w:pPr>
      <w:r>
        <w:rPr>
          <w:rFonts w:eastAsia="楷体_GB2312"/>
          <w:b/>
          <w:bCs/>
          <w:color w:val="000000"/>
          <w:kern w:val="0"/>
          <w:sz w:val="32"/>
          <w:szCs w:val="32"/>
          <w:shd w:val="clear" w:color="auto" w:fill="FFFFFF"/>
          <w:lang w:val="zh-CN"/>
        </w:rPr>
        <w:t>（二）支出情况。</w:t>
      </w:r>
      <w:r>
        <w:rPr>
          <w:rFonts w:eastAsia="仿宋_GB2312"/>
          <w:sz w:val="32"/>
          <w:szCs w:val="32"/>
        </w:rPr>
        <w:t>2025年年初预算支出7565.89万元，其中：人员经费5949.73万元，日常公用经费614.11万元，项目经费1002.05万元。决算报表支出8770.86万元，其中：人员经费6299.87万元，日常公用经费563.79万元，</w:t>
      </w:r>
      <w:r>
        <w:rPr>
          <w:rFonts w:hint="eastAsia" w:eastAsia="仿宋_GB2312"/>
          <w:sz w:val="32"/>
          <w:szCs w:val="32"/>
        </w:rPr>
        <w:t>项目</w:t>
      </w:r>
      <w:r>
        <w:rPr>
          <w:rFonts w:eastAsia="仿宋_GB2312"/>
          <w:sz w:val="32"/>
          <w:szCs w:val="32"/>
        </w:rPr>
        <w:t>经费1907.2万元。</w:t>
      </w:r>
    </w:p>
    <w:p>
      <w:pPr>
        <w:snapToGrid w:val="0"/>
        <w:spacing w:line="560" w:lineRule="exact"/>
        <w:ind w:firstLine="640" w:firstLineChars="200"/>
        <w:jc w:val="left"/>
        <w:rPr>
          <w:rFonts w:ascii="仿宋_GB2312" w:hAnsi="Calibri" w:eastAsia="仿宋_GB2312"/>
          <w:sz w:val="32"/>
          <w:szCs w:val="32"/>
        </w:rPr>
      </w:pPr>
      <w:r>
        <w:rPr>
          <w:rFonts w:hint="eastAsia" w:ascii="仿宋_GB2312" w:hAnsi="Calibri" w:eastAsia="仿宋_GB2312" w:cs="Calibri"/>
          <w:sz w:val="32"/>
          <w:szCs w:val="32"/>
        </w:rPr>
        <w:t>1</w:t>
      </w:r>
      <w:r>
        <w:rPr>
          <w:rFonts w:ascii="仿宋_GB2312" w:hAnsi="Calibri" w:eastAsia="仿宋_GB2312" w:cs="Calibri"/>
          <w:sz w:val="32"/>
          <w:szCs w:val="32"/>
        </w:rPr>
        <w:t>.</w:t>
      </w:r>
      <w:r>
        <w:rPr>
          <w:rFonts w:hint="eastAsia" w:ascii="仿宋_GB2312" w:hAnsi="Calibri" w:eastAsia="仿宋_GB2312" w:cs="Calibri"/>
          <w:sz w:val="32"/>
          <w:szCs w:val="32"/>
        </w:rPr>
        <w:t>人员经费支出</w:t>
      </w:r>
      <w:r>
        <w:rPr>
          <w:rFonts w:ascii="仿宋_GB2312" w:hAnsi="宋体" w:eastAsia="仿宋_GB2312" w:cs="宋体"/>
          <w:color w:val="000000"/>
          <w:kern w:val="0"/>
          <w:sz w:val="32"/>
          <w:szCs w:val="32"/>
          <w:shd w:val="clear" w:color="auto" w:fill="FFFFFF"/>
          <w:lang w:val="zh-CN"/>
        </w:rPr>
        <w:t>6299.87</w:t>
      </w:r>
      <w:r>
        <w:rPr>
          <w:rFonts w:hint="eastAsia" w:ascii="仿宋_GB2312" w:hAnsi="Calibri" w:eastAsia="仿宋_GB2312" w:cs="Calibri"/>
          <w:sz w:val="32"/>
          <w:szCs w:val="32"/>
        </w:rPr>
        <w:t>万元，保障了</w:t>
      </w:r>
      <w:r>
        <w:rPr>
          <w:rFonts w:hint="eastAsia" w:ascii="仿宋_GB2312" w:hAnsi="Calibri" w:eastAsia="仿宋_GB2312"/>
          <w:sz w:val="32"/>
          <w:szCs w:val="32"/>
        </w:rPr>
        <w:t>在职人员的基本工资、津贴补贴、奖金、机关事业单位养老保险缴费、其他工资福利支出、在职人员基本医疗保险、补充医疗保险、住房公积金，退休人员退休费和医疗费补助等人员经费支出。</w:t>
      </w:r>
    </w:p>
    <w:p>
      <w:pPr>
        <w:snapToGrid w:val="0"/>
        <w:spacing w:line="560" w:lineRule="exact"/>
        <w:ind w:firstLine="640" w:firstLineChars="200"/>
        <w:jc w:val="left"/>
        <w:rPr>
          <w:rFonts w:ascii="仿宋_GB2312" w:hAnsi="Calibri" w:eastAsia="仿宋_GB2312"/>
          <w:sz w:val="32"/>
          <w:szCs w:val="32"/>
        </w:rPr>
      </w:pPr>
      <w:r>
        <w:rPr>
          <w:rFonts w:hint="eastAsia" w:ascii="仿宋_GB2312" w:hAnsi="Calibri" w:eastAsia="仿宋_GB2312" w:cs="Calibri"/>
          <w:sz w:val="32"/>
          <w:szCs w:val="32"/>
        </w:rPr>
        <w:t>2</w:t>
      </w:r>
      <w:r>
        <w:rPr>
          <w:rFonts w:ascii="仿宋_GB2312" w:hAnsi="Calibri" w:eastAsia="仿宋_GB2312" w:cs="Calibri"/>
          <w:sz w:val="32"/>
          <w:szCs w:val="32"/>
        </w:rPr>
        <w:t>.</w:t>
      </w:r>
      <w:r>
        <w:rPr>
          <w:rFonts w:hint="eastAsia" w:ascii="仿宋_GB2312" w:hAnsi="Calibri" w:eastAsia="仿宋_GB2312" w:cs="Calibri"/>
          <w:sz w:val="32"/>
          <w:szCs w:val="32"/>
        </w:rPr>
        <w:t>日常公用经费支出</w:t>
      </w:r>
      <w:r>
        <w:rPr>
          <w:rFonts w:ascii="仿宋_GB2312" w:hAnsi="宋体" w:eastAsia="仿宋_GB2312" w:cs="宋体"/>
          <w:color w:val="000000"/>
          <w:kern w:val="0"/>
          <w:sz w:val="32"/>
          <w:szCs w:val="32"/>
          <w:shd w:val="clear" w:color="auto" w:fill="FFFFFF"/>
          <w:lang w:val="zh-CN"/>
        </w:rPr>
        <w:t>563.79</w:t>
      </w:r>
      <w:r>
        <w:rPr>
          <w:rFonts w:hint="eastAsia" w:ascii="仿宋_GB2312" w:hAnsi="Calibri" w:eastAsia="仿宋_GB2312" w:cs="Calibri"/>
          <w:sz w:val="32"/>
          <w:szCs w:val="32"/>
        </w:rPr>
        <w:t>万元，</w:t>
      </w:r>
      <w:r>
        <w:rPr>
          <w:rFonts w:hint="eastAsia" w:ascii="仿宋_GB2312" w:hAnsi="Calibri" w:eastAsia="仿宋_GB2312"/>
          <w:sz w:val="32"/>
          <w:szCs w:val="32"/>
        </w:rPr>
        <w:t>主要用于办公费、水电费、差旅费、接待费、工会经费、公务用车运行维护费、在职及退休人员党建经费等，保障了交通管理基本日常公用工作的正常开展。</w:t>
      </w:r>
    </w:p>
    <w:p>
      <w:pPr>
        <w:widowControl/>
        <w:adjustRightInd w:val="0"/>
        <w:snapToGrid w:val="0"/>
        <w:spacing w:line="578" w:lineRule="exact"/>
        <w:ind w:firstLine="640" w:firstLineChars="200"/>
        <w:contextualSpacing/>
        <w:jc w:val="left"/>
        <w:rPr>
          <w:rFonts w:eastAsia="仿宋_GB2312"/>
          <w:sz w:val="32"/>
          <w:szCs w:val="32"/>
        </w:rPr>
      </w:pPr>
      <w:r>
        <w:rPr>
          <w:rFonts w:hint="eastAsia" w:eastAsia="仿宋_GB2312"/>
          <w:sz w:val="32"/>
          <w:szCs w:val="32"/>
        </w:rPr>
        <w:t>3</w:t>
      </w:r>
      <w:r>
        <w:rPr>
          <w:rFonts w:eastAsia="仿宋_GB2312"/>
          <w:sz w:val="32"/>
          <w:szCs w:val="32"/>
        </w:rPr>
        <w:t>. 项目经费支出1907.2万元，主要用于交通管理非税征收成本性支出及执法办案支出，标志标线施划，交通管理信息化系统维护费用等。保障交管业务的基本运转。</w:t>
      </w:r>
    </w:p>
    <w:p>
      <w:pPr>
        <w:widowControl/>
        <w:adjustRightInd w:val="0"/>
        <w:snapToGrid w:val="0"/>
        <w:spacing w:line="578" w:lineRule="exact"/>
        <w:ind w:firstLine="643" w:firstLineChars="200"/>
        <w:contextualSpacing/>
        <w:jc w:val="left"/>
        <w:rPr>
          <w:rFonts w:eastAsia="仿宋_GB2312"/>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w:t>
      </w:r>
      <w:r>
        <w:rPr>
          <w:rFonts w:eastAsia="楷体_GB2312"/>
          <w:b/>
          <w:sz w:val="32"/>
          <w:szCs w:val="32"/>
        </w:rPr>
        <w:t>结余分配和结转结余情况。</w:t>
      </w:r>
      <w:r>
        <w:rPr>
          <w:rFonts w:hint="eastAsia" w:eastAsia="仿宋_GB2312"/>
          <w:sz w:val="32"/>
          <w:szCs w:val="32"/>
        </w:rPr>
        <w:t>交警</w:t>
      </w:r>
      <w:r>
        <w:rPr>
          <w:rFonts w:eastAsia="仿宋_GB2312"/>
          <w:sz w:val="32"/>
          <w:szCs w:val="32"/>
        </w:rPr>
        <w:t>支队2025年决算报表</w:t>
      </w:r>
      <w:r>
        <w:rPr>
          <w:rFonts w:eastAsia="仿宋_GB2312"/>
          <w:color w:val="000000"/>
          <w:kern w:val="0"/>
          <w:sz w:val="32"/>
          <w:szCs w:val="32"/>
          <w:shd w:val="clear" w:color="auto" w:fill="FFFFFF"/>
        </w:rPr>
        <w:t>结转结余2.57万元，为东区政府划拨的辅警人员经费，结转至</w:t>
      </w:r>
      <w:r>
        <w:rPr>
          <w:rFonts w:hint="eastAsia" w:eastAsia="仿宋_GB2312"/>
          <w:color w:val="000000"/>
          <w:kern w:val="0"/>
          <w:sz w:val="32"/>
          <w:szCs w:val="32"/>
          <w:shd w:val="clear" w:color="auto" w:fill="FFFFFF"/>
        </w:rPr>
        <w:t>2</w:t>
      </w:r>
      <w:r>
        <w:rPr>
          <w:rFonts w:eastAsia="仿宋_GB2312"/>
          <w:color w:val="000000"/>
          <w:kern w:val="0"/>
          <w:sz w:val="32"/>
          <w:szCs w:val="32"/>
          <w:shd w:val="clear" w:color="auto" w:fill="FFFFFF"/>
        </w:rPr>
        <w:t>026年使用。</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三、部门预算绩效分析</w:t>
      </w:r>
    </w:p>
    <w:p>
      <w:pPr>
        <w:adjustRightInd w:val="0"/>
        <w:snapToGrid w:val="0"/>
        <w:spacing w:line="578" w:lineRule="exact"/>
        <w:ind w:firstLine="643" w:firstLineChars="200"/>
        <w:contextualSpacing/>
        <w:jc w:val="left"/>
        <w:rPr>
          <w:rFonts w:eastAsia="仿宋_GB2312"/>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（一）部门预算总体绩效分析。</w:t>
      </w:r>
    </w:p>
    <w:p>
      <w:pPr>
        <w:snapToGrid w:val="0"/>
        <w:spacing w:line="560" w:lineRule="exact"/>
        <w:ind w:firstLine="660"/>
        <w:rPr>
          <w:rFonts w:eastAsia="仿宋_GB2312"/>
          <w:color w:val="000000"/>
          <w:sz w:val="32"/>
          <w:szCs w:val="32"/>
        </w:rPr>
      </w:pPr>
      <w:r>
        <w:rPr>
          <w:rFonts w:eastAsia="楷体_GB2312"/>
          <w:color w:val="000000"/>
          <w:kern w:val="0"/>
          <w:sz w:val="32"/>
          <w:szCs w:val="32"/>
          <w:shd w:val="clear" w:color="auto" w:fill="FFFFFF"/>
        </w:rPr>
        <w:t>1.</w:t>
      </w:r>
      <w:r>
        <w:rPr>
          <w:rFonts w:eastAsia="楷体_GB2312"/>
          <w:color w:val="000000"/>
          <w:kern w:val="0"/>
          <w:sz w:val="32"/>
          <w:szCs w:val="32"/>
          <w:shd w:val="clear" w:color="auto" w:fill="FFFFFF"/>
          <w:lang w:val="zh-CN"/>
        </w:rPr>
        <w:t>履职效能。</w:t>
      </w:r>
      <w:r>
        <w:rPr>
          <w:rFonts w:hint="eastAsia" w:eastAsia="仿宋_GB2312"/>
          <w:color w:val="000000"/>
          <w:sz w:val="32"/>
          <w:szCs w:val="32"/>
        </w:rPr>
        <w:t>2</w:t>
      </w:r>
      <w:r>
        <w:rPr>
          <w:rFonts w:eastAsia="仿宋_GB2312"/>
          <w:color w:val="000000"/>
          <w:sz w:val="32"/>
          <w:szCs w:val="32"/>
        </w:rPr>
        <w:t>025年</w:t>
      </w:r>
      <w:r>
        <w:rPr>
          <w:rFonts w:hint="eastAsia" w:eastAsia="仿宋_GB2312"/>
          <w:color w:val="000000"/>
          <w:sz w:val="32"/>
          <w:szCs w:val="32"/>
        </w:rPr>
        <w:t>，交警支队坚持锚定事故预防“减量控大”核心目标，以各类专项行动为抓手，扎实推进队伍管理、事故预防、违法打击、宣传教育、隐患排查、源头管理等重点工作，全市道路交通安全形势持续平稳向好，未发生较大以上道路交通事故。截至12月31日，全市共发生一般程序道路交通事故起数、死亡人数、受伤人数，较上年同比分别下降4.6%、7.8%、1.0%，万车死亡率1.44</w:t>
      </w:r>
      <w:r>
        <w:rPr>
          <w:rFonts w:eastAsia="仿宋_GB2312"/>
          <w:color w:val="000000"/>
          <w:sz w:val="32"/>
          <w:szCs w:val="32"/>
        </w:rPr>
        <w:t>%</w:t>
      </w:r>
      <w:r>
        <w:rPr>
          <w:rFonts w:hint="eastAsia" w:eastAsia="仿宋_GB2312"/>
          <w:color w:val="000000"/>
          <w:sz w:val="32"/>
          <w:szCs w:val="32"/>
        </w:rPr>
        <w:t>，同比下降11.7%，未发生一次死亡3人以上较大道路交通事故，</w:t>
      </w:r>
      <w:r>
        <w:rPr>
          <w:rFonts w:hint="eastAsia" w:ascii="仿宋_GB2312" w:eastAsia="仿宋_GB2312"/>
          <w:color w:val="000000"/>
          <w:kern w:val="0"/>
          <w:sz w:val="32"/>
          <w:szCs w:val="32"/>
          <w:lang w:bidi="ar"/>
        </w:rPr>
        <w:t>交警支队履职效能自评得分15分。</w:t>
      </w:r>
    </w:p>
    <w:p>
      <w:pPr>
        <w:adjustRightInd w:val="0"/>
        <w:snapToGrid w:val="0"/>
        <w:spacing w:line="578" w:lineRule="exact"/>
        <w:ind w:firstLine="640" w:firstLineChars="200"/>
        <w:contextualSpacing/>
        <w:jc w:val="left"/>
        <w:rPr>
          <w:rFonts w:eastAsia="楷体_GB2312"/>
          <w:color w:val="000000"/>
          <w:kern w:val="0"/>
          <w:sz w:val="32"/>
          <w:szCs w:val="32"/>
          <w:shd w:val="clear" w:color="auto" w:fill="FFFFFF"/>
          <w:lang w:val="zh-CN"/>
        </w:rPr>
      </w:pPr>
      <w:r>
        <w:rPr>
          <w:rFonts w:eastAsia="楷体_GB2312"/>
          <w:color w:val="000000"/>
          <w:kern w:val="0"/>
          <w:sz w:val="32"/>
          <w:szCs w:val="32"/>
          <w:shd w:val="clear" w:color="auto" w:fill="FFFFFF"/>
        </w:rPr>
        <w:t>2.</w:t>
      </w:r>
      <w:r>
        <w:rPr>
          <w:rFonts w:eastAsia="楷体_GB2312"/>
          <w:color w:val="000000"/>
          <w:kern w:val="0"/>
          <w:sz w:val="32"/>
          <w:szCs w:val="32"/>
          <w:shd w:val="clear" w:color="auto" w:fill="FFFFFF"/>
          <w:lang w:val="zh-CN"/>
        </w:rPr>
        <w:t>预算管理。</w:t>
      </w:r>
      <w:r>
        <w:rPr>
          <w:rFonts w:hint="eastAsia" w:ascii="仿宋_GB2312" w:eastAsia="仿宋_GB2312"/>
          <w:color w:val="000000"/>
          <w:kern w:val="0"/>
          <w:sz w:val="32"/>
          <w:szCs w:val="32"/>
          <w:shd w:val="clear" w:color="auto" w:fill="FFFFFF"/>
          <w:lang w:val="zh-CN"/>
        </w:rPr>
        <w:t>严格按要求及预算编制口径并结合实际工作情况和经费需求编制年初部门预算，年初预算编制的科学性和准确性较高，自评得分8分。</w:t>
      </w:r>
      <w:r>
        <w:rPr>
          <w:rFonts w:hint="eastAsia" w:eastAsia="仿宋_GB2312"/>
          <w:color w:val="000000"/>
          <w:kern w:val="0"/>
          <w:sz w:val="32"/>
          <w:szCs w:val="32"/>
          <w:shd w:val="clear" w:color="auto" w:fill="FFFFFF"/>
          <w:lang w:val="zh-CN"/>
        </w:rPr>
        <w:t>交警</w:t>
      </w:r>
      <w:r>
        <w:rPr>
          <w:rFonts w:eastAsia="仿宋_GB2312"/>
          <w:color w:val="000000"/>
          <w:kern w:val="0"/>
          <w:sz w:val="32"/>
          <w:szCs w:val="32"/>
          <w:shd w:val="clear" w:color="auto" w:fill="FFFFFF"/>
          <w:lang w:val="zh-CN"/>
        </w:rPr>
        <w:t>支队为行政单位，预算资金来源为财政拨款收入及东区政府划拨的辅警人员经费，无统筹自有收入，自评得分4</w:t>
      </w:r>
      <w:r>
        <w:rPr>
          <w:rFonts w:hint="eastAsia" w:eastAsia="仿宋_GB2312"/>
          <w:color w:val="000000"/>
          <w:kern w:val="0"/>
          <w:sz w:val="32"/>
          <w:szCs w:val="32"/>
          <w:shd w:val="clear" w:color="auto" w:fill="FFFFFF"/>
          <w:lang w:val="zh-CN"/>
        </w:rPr>
        <w:t>分。因财政执行每月支付调度制度，支队年度执行中预算执行进度不足的情况，自评得分</w:t>
      </w:r>
      <w:r>
        <w:rPr>
          <w:rFonts w:eastAsia="仿宋_GB2312"/>
          <w:color w:val="000000"/>
          <w:kern w:val="0"/>
          <w:sz w:val="32"/>
          <w:szCs w:val="32"/>
          <w:shd w:val="clear" w:color="auto" w:fill="FFFFFF"/>
          <w:lang w:val="zh-CN"/>
        </w:rPr>
        <w:t>4</w:t>
      </w:r>
      <w:r>
        <w:rPr>
          <w:rFonts w:hint="eastAsia" w:eastAsia="仿宋_GB2312"/>
          <w:color w:val="000000"/>
          <w:kern w:val="0"/>
          <w:sz w:val="32"/>
          <w:szCs w:val="32"/>
          <w:shd w:val="clear" w:color="auto" w:fill="FFFFFF"/>
          <w:lang w:val="zh-CN"/>
        </w:rPr>
        <w:t>分。</w:t>
      </w:r>
      <w:r>
        <w:rPr>
          <w:rFonts w:eastAsia="仿宋_GB2312"/>
          <w:color w:val="000000"/>
          <w:kern w:val="0"/>
          <w:sz w:val="32"/>
          <w:szCs w:val="32"/>
          <w:shd w:val="clear" w:color="auto" w:fill="FFFFFF"/>
          <w:lang w:val="zh-CN"/>
        </w:rPr>
        <w:t>预算年终结余</w:t>
      </w:r>
      <w:r>
        <w:rPr>
          <w:rFonts w:hint="eastAsia" w:eastAsia="仿宋_GB2312"/>
          <w:color w:val="000000"/>
          <w:kern w:val="0"/>
          <w:sz w:val="32"/>
          <w:szCs w:val="32"/>
          <w:shd w:val="clear" w:color="auto" w:fill="FFFFFF"/>
          <w:lang w:val="zh-CN"/>
        </w:rPr>
        <w:t>0万元，预算年终结转</w:t>
      </w:r>
      <w:r>
        <w:rPr>
          <w:rFonts w:eastAsia="仿宋_GB2312"/>
          <w:color w:val="000000"/>
          <w:kern w:val="0"/>
          <w:sz w:val="32"/>
          <w:szCs w:val="32"/>
          <w:shd w:val="clear" w:color="auto" w:fill="FFFFFF"/>
          <w:lang w:val="zh-CN"/>
        </w:rPr>
        <w:t>2.57万元，自评得分</w:t>
      </w:r>
      <w:r>
        <w:rPr>
          <w:rFonts w:hint="eastAsia" w:eastAsia="仿宋_GB2312"/>
          <w:color w:val="000000"/>
          <w:kern w:val="0"/>
          <w:sz w:val="32"/>
          <w:szCs w:val="32"/>
          <w:shd w:val="clear" w:color="auto" w:fill="FFFFFF"/>
          <w:lang w:val="zh-CN"/>
        </w:rPr>
        <w:t>2分。部门严控“三公”经费、会议、培训、差旅、办节办展、办公设备购置、信息网络及软件购置更新、课题经费等8项一般性支出，均在预算经费内支出，实现较上年大幅压减，自评得分5分</w:t>
      </w:r>
      <w:r>
        <w:rPr>
          <w:rFonts w:eastAsia="仿宋_GB2312"/>
          <w:color w:val="000000"/>
          <w:kern w:val="0"/>
          <w:sz w:val="32"/>
          <w:szCs w:val="32"/>
          <w:shd w:val="clear" w:color="auto" w:fill="FFFFFF"/>
          <w:lang w:val="zh-CN"/>
        </w:rPr>
        <w:t>。</w:t>
      </w:r>
    </w:p>
    <w:p>
      <w:pPr>
        <w:adjustRightInd w:val="0"/>
        <w:snapToGrid w:val="0"/>
        <w:spacing w:line="578" w:lineRule="exact"/>
        <w:ind w:firstLine="640" w:firstLineChars="200"/>
        <w:contextualSpacing/>
        <w:jc w:val="left"/>
        <w:rPr>
          <w:rFonts w:eastAsia="楷体_GB2312"/>
          <w:color w:val="000000"/>
          <w:kern w:val="0"/>
          <w:sz w:val="32"/>
          <w:szCs w:val="32"/>
          <w:shd w:val="clear" w:color="auto" w:fill="FFFFFF"/>
          <w:lang w:val="zh-CN"/>
        </w:rPr>
      </w:pPr>
      <w:r>
        <w:rPr>
          <w:rFonts w:eastAsia="楷体_GB2312"/>
          <w:color w:val="000000"/>
          <w:kern w:val="0"/>
          <w:sz w:val="32"/>
          <w:szCs w:val="32"/>
          <w:shd w:val="clear" w:color="auto" w:fill="FFFFFF"/>
        </w:rPr>
        <w:t>3.</w:t>
      </w:r>
      <w:r>
        <w:rPr>
          <w:rFonts w:eastAsia="楷体_GB2312"/>
          <w:color w:val="000000"/>
          <w:kern w:val="0"/>
          <w:sz w:val="32"/>
          <w:szCs w:val="32"/>
          <w:shd w:val="clear" w:color="auto" w:fill="FFFFFF"/>
          <w:lang w:val="zh-CN"/>
        </w:rPr>
        <w:t>财务管理。</w:t>
      </w:r>
      <w:r>
        <w:rPr>
          <w:rFonts w:hint="eastAsia" w:ascii="仿宋_GB2312" w:eastAsia="仿宋_GB2312"/>
          <w:color w:val="000000"/>
          <w:kern w:val="0"/>
          <w:sz w:val="32"/>
          <w:szCs w:val="32"/>
          <w:shd w:val="clear" w:color="auto" w:fill="FFFFFF"/>
          <w:lang w:val="zh-CN"/>
        </w:rPr>
        <w:t>根据实际工作情况进一步完善单位内控制度和财务管理相关制度并严格执行，自评得分4分。</w:t>
      </w:r>
      <w:r>
        <w:rPr>
          <w:rFonts w:eastAsia="仿宋_GB2312"/>
          <w:color w:val="000000"/>
          <w:kern w:val="0"/>
          <w:sz w:val="32"/>
          <w:szCs w:val="32"/>
          <w:shd w:val="clear" w:color="auto" w:fill="FFFFFF"/>
          <w:lang w:val="zh-CN"/>
        </w:rPr>
        <w:t>财务岗位按照不相融岗位职责分离相关规定设置，并定期执行轮岗，自评得分</w:t>
      </w:r>
      <w:r>
        <w:rPr>
          <w:rFonts w:hint="eastAsia" w:eastAsia="仿宋_GB2312"/>
          <w:color w:val="000000"/>
          <w:kern w:val="0"/>
          <w:sz w:val="32"/>
          <w:szCs w:val="32"/>
          <w:shd w:val="clear" w:color="auto" w:fill="FFFFFF"/>
          <w:lang w:val="zh-CN"/>
        </w:rPr>
        <w:t>2分。使用符合相关财务管理制度规定，自评得分4分</w:t>
      </w:r>
      <w:r>
        <w:rPr>
          <w:rFonts w:eastAsia="仿宋_GB2312"/>
          <w:color w:val="000000"/>
          <w:kern w:val="0"/>
          <w:sz w:val="32"/>
          <w:szCs w:val="32"/>
          <w:shd w:val="clear" w:color="auto" w:fill="FFFFFF"/>
          <w:lang w:val="zh-CN"/>
        </w:rPr>
        <w:t>。</w:t>
      </w:r>
    </w:p>
    <w:p>
      <w:pPr>
        <w:adjustRightInd w:val="0"/>
        <w:snapToGrid w:val="0"/>
        <w:spacing w:line="578" w:lineRule="exact"/>
        <w:ind w:firstLine="640" w:firstLineChars="200"/>
        <w:contextualSpacing/>
        <w:jc w:val="left"/>
        <w:rPr>
          <w:rFonts w:eastAsia="楷体_GB2312"/>
          <w:kern w:val="0"/>
          <w:sz w:val="32"/>
          <w:szCs w:val="32"/>
          <w:shd w:val="clear" w:color="auto" w:fill="FFFFFF"/>
          <w:lang w:val="zh-CN"/>
        </w:rPr>
      </w:pPr>
      <w:r>
        <w:rPr>
          <w:rFonts w:eastAsia="楷体_GB2312"/>
          <w:kern w:val="0"/>
          <w:sz w:val="32"/>
          <w:szCs w:val="32"/>
          <w:shd w:val="clear" w:color="auto" w:fill="FFFFFF"/>
        </w:rPr>
        <w:t>4.</w:t>
      </w:r>
      <w:r>
        <w:rPr>
          <w:rFonts w:eastAsia="楷体_GB2312"/>
          <w:kern w:val="0"/>
          <w:sz w:val="32"/>
          <w:szCs w:val="32"/>
          <w:shd w:val="clear" w:color="auto" w:fill="FFFFFF"/>
          <w:lang w:val="zh-CN"/>
        </w:rPr>
        <w:t>资产管理。</w:t>
      </w:r>
      <w:r>
        <w:rPr>
          <w:rFonts w:hint="eastAsia" w:eastAsia="仿宋_GB2312"/>
          <w:kern w:val="0"/>
          <w:sz w:val="32"/>
          <w:szCs w:val="32"/>
          <w:shd w:val="clear" w:color="auto" w:fill="FFFFFF"/>
          <w:lang w:val="zh-CN"/>
        </w:rPr>
        <w:t>执勤</w:t>
      </w:r>
      <w:r>
        <w:rPr>
          <w:rFonts w:eastAsia="仿宋_GB2312"/>
          <w:kern w:val="0"/>
          <w:sz w:val="32"/>
          <w:szCs w:val="32"/>
          <w:shd w:val="clear" w:color="auto" w:fill="FFFFFF"/>
          <w:lang w:val="zh-CN"/>
        </w:rPr>
        <w:t>执法、办公设备使用频率较高，资产盘活度较高，做到了个部门资产资源共享共用，专人管理，确保固定资产在使用期限内的最低消耗及在处置年限内正常使用，自评得分</w:t>
      </w:r>
      <w:r>
        <w:rPr>
          <w:rFonts w:hint="eastAsia" w:eastAsia="仿宋_GB2312"/>
          <w:kern w:val="0"/>
          <w:sz w:val="32"/>
          <w:szCs w:val="32"/>
          <w:shd w:val="clear" w:color="auto" w:fill="FFFFFF"/>
          <w:lang w:val="zh-CN"/>
        </w:rPr>
        <w:t>6分</w:t>
      </w:r>
      <w:r>
        <w:rPr>
          <w:rFonts w:eastAsia="仿宋_GB2312"/>
          <w:kern w:val="0"/>
          <w:sz w:val="32"/>
          <w:szCs w:val="32"/>
          <w:shd w:val="clear" w:color="auto" w:fill="FFFFFF"/>
          <w:lang w:val="zh-CN"/>
        </w:rPr>
        <w:t>。</w:t>
      </w:r>
    </w:p>
    <w:p>
      <w:pPr>
        <w:adjustRightInd w:val="0"/>
        <w:snapToGrid w:val="0"/>
        <w:spacing w:line="578" w:lineRule="exact"/>
        <w:ind w:firstLine="640" w:firstLineChars="200"/>
        <w:contextualSpacing/>
        <w:jc w:val="left"/>
        <w:rPr>
          <w:rFonts w:eastAsia="楷体_GB2312"/>
          <w:kern w:val="0"/>
          <w:sz w:val="32"/>
          <w:szCs w:val="32"/>
          <w:shd w:val="clear" w:color="auto" w:fill="FFFFFF"/>
          <w:lang w:val="zh-CN"/>
        </w:rPr>
      </w:pPr>
      <w:r>
        <w:rPr>
          <w:rFonts w:eastAsia="楷体_GB2312"/>
          <w:kern w:val="0"/>
          <w:sz w:val="32"/>
          <w:szCs w:val="32"/>
          <w:shd w:val="clear" w:color="auto" w:fill="FFFFFF"/>
        </w:rPr>
        <w:t>5.</w:t>
      </w:r>
      <w:r>
        <w:rPr>
          <w:rFonts w:eastAsia="楷体_GB2312"/>
          <w:kern w:val="0"/>
          <w:sz w:val="32"/>
          <w:szCs w:val="32"/>
          <w:shd w:val="clear" w:color="auto" w:fill="FFFFFF"/>
          <w:lang w:val="zh-CN"/>
        </w:rPr>
        <w:t>采购管理。</w:t>
      </w:r>
      <w:r>
        <w:rPr>
          <w:rFonts w:hint="eastAsia" w:ascii="仿宋_GB2312" w:eastAsia="仿宋_GB2312"/>
          <w:kern w:val="0"/>
          <w:sz w:val="32"/>
          <w:szCs w:val="32"/>
          <w:shd w:val="clear" w:color="auto" w:fill="FFFFFF"/>
          <w:lang w:val="zh-CN"/>
        </w:rPr>
        <w:t>执行政府采购促进中小企业发展相关管理办法，202</w:t>
      </w:r>
      <w:r>
        <w:rPr>
          <w:rFonts w:ascii="仿宋_GB2312" w:eastAsia="仿宋_GB2312"/>
          <w:kern w:val="0"/>
          <w:sz w:val="32"/>
          <w:szCs w:val="32"/>
          <w:shd w:val="clear" w:color="auto" w:fill="FFFFFF"/>
          <w:lang w:val="zh-CN"/>
        </w:rPr>
        <w:t>5</w:t>
      </w:r>
      <w:r>
        <w:rPr>
          <w:rFonts w:hint="eastAsia" w:ascii="仿宋_GB2312" w:eastAsia="仿宋_GB2312"/>
          <w:kern w:val="0"/>
          <w:sz w:val="32"/>
          <w:szCs w:val="32"/>
          <w:shd w:val="clear" w:color="auto" w:fill="FFFFFF"/>
          <w:lang w:val="zh-CN"/>
        </w:rPr>
        <w:t>年政府采购项目签订合同</w:t>
      </w:r>
      <w:r>
        <w:rPr>
          <w:rFonts w:ascii="仿宋_GB2312" w:eastAsia="仿宋_GB2312"/>
          <w:kern w:val="0"/>
          <w:sz w:val="32"/>
          <w:szCs w:val="32"/>
          <w:shd w:val="clear" w:color="auto" w:fill="FFFFFF"/>
          <w:lang w:val="zh-CN"/>
        </w:rPr>
        <w:t>605.53</w:t>
      </w:r>
      <w:r>
        <w:rPr>
          <w:rFonts w:hint="eastAsia" w:ascii="仿宋_GB2312" w:eastAsia="仿宋_GB2312"/>
          <w:kern w:val="0"/>
          <w:sz w:val="32"/>
          <w:szCs w:val="32"/>
          <w:shd w:val="clear" w:color="auto" w:fill="FFFFFF"/>
          <w:lang w:val="zh-CN"/>
        </w:rPr>
        <w:t>万元，其中授予中小企业合同</w:t>
      </w:r>
      <w:r>
        <w:rPr>
          <w:rFonts w:ascii="仿宋_GB2312" w:eastAsia="仿宋_GB2312"/>
          <w:kern w:val="0"/>
          <w:sz w:val="32"/>
          <w:szCs w:val="32"/>
          <w:shd w:val="clear" w:color="auto" w:fill="FFFFFF"/>
          <w:lang w:val="zh-CN"/>
        </w:rPr>
        <w:t>453.93</w:t>
      </w:r>
      <w:r>
        <w:rPr>
          <w:rFonts w:hint="eastAsia" w:ascii="仿宋_GB2312" w:eastAsia="仿宋_GB2312"/>
          <w:kern w:val="0"/>
          <w:sz w:val="32"/>
          <w:szCs w:val="32"/>
          <w:shd w:val="clear" w:color="auto" w:fill="FFFFFF"/>
          <w:lang w:val="zh-CN"/>
        </w:rPr>
        <w:t>万元，自评得分3分；政府采购项目资金因未完全完成支付的原因，支付比例扣2分，自评得分1分。</w:t>
      </w:r>
    </w:p>
    <w:p>
      <w:pPr>
        <w:widowControl/>
        <w:adjustRightInd w:val="0"/>
        <w:snapToGrid w:val="0"/>
        <w:spacing w:line="578" w:lineRule="exact"/>
        <w:ind w:firstLine="643" w:firstLineChars="200"/>
        <w:contextualSpacing/>
        <w:jc w:val="left"/>
        <w:rPr>
          <w:rFonts w:eastAsia="楷体_GB2312"/>
          <w:b/>
          <w:bCs/>
          <w:kern w:val="0"/>
          <w:sz w:val="32"/>
          <w:szCs w:val="32"/>
          <w:shd w:val="clear" w:color="auto" w:fill="FFFFFF"/>
          <w:lang w:val="zh-CN"/>
        </w:rPr>
      </w:pPr>
      <w:r>
        <w:rPr>
          <w:rFonts w:eastAsia="楷体_GB2312"/>
          <w:b/>
          <w:bCs/>
          <w:kern w:val="0"/>
          <w:sz w:val="32"/>
          <w:szCs w:val="32"/>
          <w:shd w:val="clear" w:color="auto" w:fill="FFFFFF"/>
          <w:lang w:val="zh-CN"/>
        </w:rPr>
        <w:t>（二）部门预算项目绩效分析。</w:t>
      </w:r>
    </w:p>
    <w:p>
      <w:pPr>
        <w:adjustRightInd w:val="0"/>
        <w:snapToGrid w:val="0"/>
        <w:spacing w:line="578" w:lineRule="exact"/>
        <w:ind w:firstLine="640" w:firstLineChars="200"/>
        <w:contextualSpacing/>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常年项目绩效分析。</w:t>
      </w:r>
      <w:r>
        <w:rPr>
          <w:rFonts w:eastAsia="仿宋_GB2312"/>
          <w:color w:val="000000"/>
          <w:kern w:val="0"/>
          <w:sz w:val="32"/>
          <w:szCs w:val="32"/>
          <w:shd w:val="clear" w:color="auto" w:fill="FFFFFF"/>
          <w:lang w:val="zh-CN"/>
        </w:rPr>
        <w:t>该类项目总数</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个，涉及预算总金额</w:t>
      </w:r>
      <w:r>
        <w:rPr>
          <w:rFonts w:eastAsia="仿宋_GB2312"/>
          <w:color w:val="000000"/>
          <w:kern w:val="0"/>
          <w:sz w:val="32"/>
          <w:szCs w:val="32"/>
          <w:shd w:val="clear" w:color="auto" w:fill="FFFFFF"/>
        </w:rPr>
        <w:t>1669.48</w:t>
      </w:r>
      <w:r>
        <w:rPr>
          <w:rFonts w:eastAsia="仿宋_GB2312"/>
          <w:color w:val="000000"/>
          <w:kern w:val="0"/>
          <w:sz w:val="32"/>
          <w:szCs w:val="32"/>
          <w:shd w:val="clear" w:color="auto" w:fill="FFFFFF"/>
          <w:lang w:val="zh-CN"/>
        </w:rPr>
        <w:t>万元，1</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eastAsia="仿宋_GB2312"/>
          <w:color w:val="000000"/>
          <w:kern w:val="0"/>
          <w:sz w:val="32"/>
          <w:szCs w:val="32"/>
          <w:shd w:val="clear" w:color="auto" w:fill="FFFFFF"/>
        </w:rPr>
        <w:t>100</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pPr>
        <w:adjustRightInd w:val="0"/>
        <w:snapToGrid w:val="0"/>
        <w:spacing w:line="578" w:lineRule="exact"/>
        <w:ind w:firstLine="640" w:firstLineChars="200"/>
        <w:contextualSpacing/>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阶段（</w:t>
      </w:r>
      <w:r>
        <w:rPr>
          <w:rFonts w:hint="eastAsia" w:eastAsia="仿宋_GB2312"/>
          <w:color w:val="000000"/>
          <w:kern w:val="0"/>
          <w:sz w:val="32"/>
          <w:szCs w:val="32"/>
          <w:shd w:val="clear" w:color="auto" w:fill="FFFFFF"/>
        </w:rPr>
        <w:t>含</w:t>
      </w:r>
      <w:r>
        <w:rPr>
          <w:rFonts w:eastAsia="仿宋_GB2312"/>
          <w:color w:val="000000"/>
          <w:kern w:val="0"/>
          <w:sz w:val="32"/>
          <w:szCs w:val="32"/>
          <w:shd w:val="clear" w:color="auto" w:fill="FFFFFF"/>
        </w:rPr>
        <w:t>一次性）项目绩效分析。</w:t>
      </w:r>
      <w:r>
        <w:rPr>
          <w:rFonts w:eastAsia="仿宋_GB2312"/>
          <w:color w:val="000000"/>
          <w:kern w:val="0"/>
          <w:sz w:val="32"/>
          <w:szCs w:val="32"/>
          <w:shd w:val="clear" w:color="auto" w:fill="FFFFFF"/>
          <w:lang w:val="zh-CN"/>
        </w:rPr>
        <w:t>该类项目总数</w:t>
      </w: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个，涉及预算总金额</w:t>
      </w:r>
      <w:r>
        <w:rPr>
          <w:rFonts w:eastAsia="仿宋_GB2312"/>
          <w:color w:val="000000"/>
          <w:kern w:val="0"/>
          <w:sz w:val="32"/>
          <w:szCs w:val="32"/>
          <w:shd w:val="clear" w:color="auto" w:fill="FFFFFF"/>
        </w:rPr>
        <w:t>149.93</w:t>
      </w:r>
      <w:r>
        <w:rPr>
          <w:rFonts w:eastAsia="仿宋_GB2312"/>
          <w:color w:val="000000"/>
          <w:kern w:val="0"/>
          <w:sz w:val="32"/>
          <w:szCs w:val="32"/>
          <w:shd w:val="clear" w:color="auto" w:fill="FFFFFF"/>
          <w:lang w:val="zh-CN"/>
        </w:rPr>
        <w:t>万元，1</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eastAsia="仿宋_GB2312"/>
          <w:color w:val="000000"/>
          <w:kern w:val="0"/>
          <w:sz w:val="32"/>
          <w:szCs w:val="32"/>
          <w:shd w:val="clear" w:color="auto" w:fill="FFFFFF"/>
        </w:rPr>
        <w:t xml:space="preserve">100 </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pPr>
        <w:spacing w:line="578" w:lineRule="exact"/>
        <w:ind w:firstLine="640" w:firstLineChars="200"/>
        <w:rPr>
          <w:rFonts w:eastAsia="仿宋_GB2312"/>
          <w:sz w:val="32"/>
          <w:szCs w:val="32"/>
        </w:rPr>
      </w:pPr>
      <w:r>
        <w:rPr>
          <w:rFonts w:eastAsia="仿宋_GB2312"/>
          <w:sz w:val="32"/>
          <w:szCs w:val="32"/>
        </w:rPr>
        <w:t>交警支队</w:t>
      </w:r>
      <w:r>
        <w:rPr>
          <w:rFonts w:hint="eastAsia" w:eastAsia="仿宋_GB2312"/>
          <w:sz w:val="32"/>
          <w:szCs w:val="32"/>
        </w:rPr>
        <w:t>2</w:t>
      </w:r>
      <w:r>
        <w:rPr>
          <w:rFonts w:eastAsia="仿宋_GB2312"/>
          <w:sz w:val="32"/>
          <w:szCs w:val="32"/>
        </w:rPr>
        <w:t>025年财政拨款项目经费安排共计5</w:t>
      </w:r>
      <w:r>
        <w:rPr>
          <w:rFonts w:hint="eastAsia" w:eastAsia="仿宋_GB2312"/>
          <w:sz w:val="32"/>
          <w:szCs w:val="32"/>
        </w:rPr>
        <w:t>个，</w:t>
      </w:r>
      <w:r>
        <w:rPr>
          <w:rFonts w:eastAsia="仿宋_GB2312"/>
          <w:sz w:val="32"/>
          <w:szCs w:val="32"/>
        </w:rPr>
        <w:t>经费支出数1819.41万元，其中：</w:t>
      </w:r>
    </w:p>
    <w:p>
      <w:pPr>
        <w:spacing w:line="578"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1</w:t>
      </w:r>
      <w:r>
        <w:rPr>
          <w:rFonts w:eastAsia="仿宋_GB2312"/>
          <w:sz w:val="32"/>
          <w:szCs w:val="32"/>
        </w:rPr>
        <w:t>）标志标线施划与维护费29.93万元，项目通过对道路交通标志标线标牌的施划、设置与维护引导道路使用者有序使用道路，提高道路运行效率，预防和减少道路交通事故，保障人民群众的生命财产安全。</w:t>
      </w:r>
    </w:p>
    <w:p>
      <w:pPr>
        <w:snapToGrid w:val="0"/>
        <w:spacing w:line="560" w:lineRule="exact"/>
        <w:ind w:firstLine="643" w:firstLineChars="200"/>
        <w:jc w:val="left"/>
        <w:rPr>
          <w:rFonts w:ascii="仿宋_GB2312" w:hAnsi="Calibri" w:eastAsia="仿宋_GB2312"/>
          <w:sz w:val="32"/>
          <w:szCs w:val="32"/>
        </w:rPr>
      </w:pPr>
      <w:r>
        <w:rPr>
          <w:rFonts w:hint="eastAsia" w:ascii="仿宋_GB2312" w:hAnsi="Calibri" w:eastAsia="仿宋_GB2312"/>
          <w:b/>
          <w:sz w:val="32"/>
          <w:szCs w:val="32"/>
        </w:rPr>
        <w:t>产出指标完成情况：数量指标：</w:t>
      </w:r>
      <w:r>
        <w:rPr>
          <w:rFonts w:hint="eastAsia" w:ascii="仿宋_GB2312" w:hAnsi="Calibri" w:eastAsia="仿宋_GB2312"/>
          <w:sz w:val="32"/>
          <w:szCs w:val="32"/>
        </w:rPr>
        <w:t>城区主干道施划标线数量1</w:t>
      </w:r>
      <w:r>
        <w:rPr>
          <w:rFonts w:ascii="仿宋_GB2312" w:hAnsi="Calibri" w:eastAsia="仿宋_GB2312"/>
          <w:sz w:val="32"/>
          <w:szCs w:val="32"/>
        </w:rPr>
        <w:t>0069平方米；重要交通路口施划标志标线数量</w:t>
      </w:r>
      <w:r>
        <w:rPr>
          <w:rFonts w:hint="eastAsia" w:ascii="仿宋_GB2312" w:hAnsi="Calibri" w:eastAsia="仿宋_GB2312"/>
          <w:sz w:val="32"/>
          <w:szCs w:val="32"/>
        </w:rPr>
        <w:t>1</w:t>
      </w:r>
      <w:r>
        <w:rPr>
          <w:rFonts w:ascii="仿宋_GB2312" w:hAnsi="Calibri" w:eastAsia="仿宋_GB2312"/>
          <w:sz w:val="32"/>
          <w:szCs w:val="32"/>
        </w:rPr>
        <w:t>768平方米</w:t>
      </w:r>
      <w:r>
        <w:rPr>
          <w:rFonts w:hint="eastAsia" w:ascii="仿宋_GB2312" w:hAnsi="Calibri" w:eastAsia="仿宋_GB2312"/>
          <w:sz w:val="32"/>
          <w:szCs w:val="32"/>
        </w:rPr>
        <w:t>；采购移动式红绿灯4台；</w:t>
      </w:r>
      <w:r>
        <w:rPr>
          <w:rFonts w:hint="eastAsia" w:ascii="仿宋_GB2312" w:hAnsi="Calibri" w:eastAsia="仿宋_GB2312"/>
          <w:b/>
          <w:sz w:val="32"/>
          <w:szCs w:val="32"/>
        </w:rPr>
        <w:t>质量指标：</w:t>
      </w:r>
      <w:r>
        <w:rPr>
          <w:rFonts w:hint="eastAsia" w:ascii="仿宋_GB2312" w:hAnsi="Calibri" w:eastAsia="仿宋_GB2312"/>
          <w:sz w:val="32"/>
          <w:szCs w:val="32"/>
        </w:rPr>
        <w:t>施划标志标线清晰，符合国家及行业标准；</w:t>
      </w:r>
      <w:r>
        <w:rPr>
          <w:rFonts w:hint="eastAsia" w:ascii="仿宋_GB2312" w:hAnsi="Calibri" w:eastAsia="仿宋_GB2312"/>
          <w:b/>
          <w:sz w:val="32"/>
          <w:szCs w:val="32"/>
        </w:rPr>
        <w:t>时效指标：</w:t>
      </w:r>
      <w:r>
        <w:rPr>
          <w:rFonts w:hint="eastAsia" w:ascii="仿宋_GB2312" w:hAnsi="Calibri" w:eastAsia="仿宋_GB2312"/>
          <w:sz w:val="32"/>
          <w:szCs w:val="32"/>
        </w:rPr>
        <w:t>2</w:t>
      </w:r>
      <w:r>
        <w:rPr>
          <w:rFonts w:ascii="仿宋_GB2312" w:hAnsi="Calibri" w:eastAsia="仿宋_GB2312"/>
          <w:sz w:val="32"/>
          <w:szCs w:val="32"/>
        </w:rPr>
        <w:t>025年</w:t>
      </w:r>
      <w:r>
        <w:rPr>
          <w:rFonts w:hint="eastAsia" w:ascii="仿宋_GB2312" w:hAnsi="Calibri" w:eastAsia="仿宋_GB2312"/>
          <w:sz w:val="32"/>
          <w:szCs w:val="32"/>
        </w:rPr>
        <w:t>4月-</w:t>
      </w:r>
      <w:r>
        <w:rPr>
          <w:rFonts w:ascii="仿宋_GB2312" w:hAnsi="Calibri" w:eastAsia="仿宋_GB2312"/>
          <w:sz w:val="32"/>
          <w:szCs w:val="32"/>
        </w:rPr>
        <w:t>12月按工作进度执行；</w:t>
      </w:r>
      <w:r>
        <w:rPr>
          <w:rFonts w:hint="eastAsia" w:ascii="仿宋_GB2312" w:hAnsi="Calibri" w:eastAsia="仿宋_GB2312"/>
          <w:b/>
          <w:sz w:val="32"/>
          <w:szCs w:val="32"/>
        </w:rPr>
        <w:t>成本指标：</w:t>
      </w:r>
      <w:r>
        <w:rPr>
          <w:rFonts w:hint="eastAsia" w:ascii="仿宋_GB2312" w:hAnsi="Calibri" w:eastAsia="仿宋_GB2312"/>
          <w:sz w:val="32"/>
          <w:szCs w:val="32"/>
        </w:rPr>
        <w:t>项目中标金额</w:t>
      </w:r>
      <w:r>
        <w:rPr>
          <w:rFonts w:ascii="仿宋_GB2312" w:hAnsi="Calibri" w:eastAsia="仿宋_GB2312"/>
          <w:sz w:val="32"/>
          <w:szCs w:val="32"/>
        </w:rPr>
        <w:t>29.93万元。</w:t>
      </w:r>
    </w:p>
    <w:p>
      <w:pPr>
        <w:snapToGrid w:val="0"/>
        <w:spacing w:line="560" w:lineRule="exact"/>
        <w:ind w:firstLine="643" w:firstLineChars="200"/>
        <w:jc w:val="left"/>
        <w:rPr>
          <w:rFonts w:ascii="仿宋_GB2312" w:hAnsi="Calibri" w:eastAsia="仿宋_GB2312"/>
          <w:sz w:val="32"/>
          <w:szCs w:val="32"/>
        </w:rPr>
      </w:pPr>
      <w:r>
        <w:rPr>
          <w:rFonts w:ascii="仿宋_GB2312" w:hAnsi="Calibri" w:eastAsia="仿宋_GB2312"/>
          <w:b/>
          <w:sz w:val="32"/>
          <w:szCs w:val="32"/>
        </w:rPr>
        <w:t>效益指标完成情况：社会效益指标：</w:t>
      </w:r>
      <w:r>
        <w:rPr>
          <w:rFonts w:ascii="仿宋_GB2312" w:hAnsi="Calibri" w:eastAsia="仿宋_GB2312"/>
          <w:sz w:val="32"/>
          <w:szCs w:val="32"/>
        </w:rPr>
        <w:t>通过标志标线的施划与维护，交通管理设施的设置，提高道路通行率和利用率，减少或防止交通事故，保障人民群众的生命财产安全。</w:t>
      </w:r>
      <w:r>
        <w:rPr>
          <w:rFonts w:ascii="仿宋_GB2312" w:hAnsi="Calibri" w:eastAsia="仿宋_GB2312"/>
          <w:b/>
          <w:sz w:val="32"/>
          <w:szCs w:val="32"/>
        </w:rPr>
        <w:t>生态效益指标：</w:t>
      </w:r>
      <w:r>
        <w:rPr>
          <w:rFonts w:ascii="仿宋_GB2312" w:hAnsi="Calibri" w:eastAsia="仿宋_GB2312"/>
          <w:sz w:val="32"/>
          <w:szCs w:val="32"/>
        </w:rPr>
        <w:t>道路交通标志标线完善清晰、整洁，有助于加强城市的市容市貌建设。</w:t>
      </w:r>
    </w:p>
    <w:p>
      <w:pPr>
        <w:snapToGrid w:val="0"/>
        <w:spacing w:line="560" w:lineRule="exact"/>
        <w:ind w:firstLine="643" w:firstLineChars="200"/>
        <w:jc w:val="left"/>
        <w:rPr>
          <w:rFonts w:ascii="仿宋_GB2312" w:hAnsi="Calibri" w:eastAsia="仿宋_GB2312"/>
          <w:sz w:val="32"/>
          <w:szCs w:val="32"/>
        </w:rPr>
      </w:pPr>
      <w:r>
        <w:rPr>
          <w:rFonts w:ascii="仿宋_GB2312" w:hAnsi="Calibri" w:eastAsia="仿宋_GB2312"/>
          <w:b/>
          <w:sz w:val="32"/>
          <w:szCs w:val="32"/>
        </w:rPr>
        <w:t>满意度指标完成情况：</w:t>
      </w:r>
      <w:r>
        <w:rPr>
          <w:rFonts w:hint="eastAsia" w:ascii="仿宋_GB2312" w:hAnsi="Calibri" w:eastAsia="仿宋_GB2312"/>
          <w:sz w:val="32"/>
          <w:szCs w:val="32"/>
        </w:rPr>
        <w:t>人民</w:t>
      </w:r>
      <w:r>
        <w:rPr>
          <w:rFonts w:ascii="仿宋_GB2312" w:hAnsi="Calibri" w:eastAsia="仿宋_GB2312"/>
          <w:sz w:val="32"/>
          <w:szCs w:val="32"/>
        </w:rPr>
        <w:t>群众满意度</w:t>
      </w:r>
      <w:r>
        <w:rPr>
          <w:rFonts w:hint="eastAsia" w:ascii="仿宋_GB2312" w:hAnsi="Calibri" w:eastAsia="仿宋_GB2312"/>
          <w:sz w:val="32"/>
          <w:szCs w:val="32"/>
        </w:rPr>
        <w:t>大于9</w:t>
      </w:r>
      <w:r>
        <w:rPr>
          <w:rFonts w:ascii="仿宋_GB2312" w:hAnsi="Calibri" w:eastAsia="仿宋_GB2312"/>
          <w:sz w:val="32"/>
          <w:szCs w:val="32"/>
        </w:rPr>
        <w:t>0%。</w:t>
      </w:r>
    </w:p>
    <w:p>
      <w:pPr>
        <w:spacing w:line="64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2）</w:t>
      </w:r>
      <w:r>
        <w:rPr>
          <w:rFonts w:eastAsia="仿宋_GB2312"/>
          <w:sz w:val="32"/>
          <w:szCs w:val="32"/>
        </w:rPr>
        <w:t>公安交通管理指挥中心弱电网络建设项目70万元，</w:t>
      </w:r>
    </w:p>
    <w:p>
      <w:pPr>
        <w:spacing w:line="640" w:lineRule="exact"/>
        <w:ind w:firstLine="640" w:firstLineChars="200"/>
        <w:jc w:val="left"/>
        <w:rPr>
          <w:rFonts w:ascii="仿宋_GB2312" w:eastAsia="仿宋_GB2312"/>
          <w:sz w:val="32"/>
          <w:szCs w:val="32"/>
        </w:rPr>
      </w:pPr>
      <w:r>
        <w:rPr>
          <w:rFonts w:hint="eastAsia" w:ascii="仿宋_GB2312" w:eastAsia="仿宋_GB2312"/>
          <w:sz w:val="32"/>
          <w:szCs w:val="32"/>
        </w:rPr>
        <w:t>按照市政府关于《攀枝花市公安局关于进行业务技术用房建设项目（公安交通管理指挥中心）弱电网络建设的请示》（攀公</w:t>
      </w:r>
      <w:r>
        <w:rPr>
          <w:rFonts w:hint="eastAsia" w:ascii="微软雅黑" w:hAnsi="微软雅黑" w:eastAsia="微软雅黑" w:cs="微软雅黑"/>
          <w:sz w:val="32"/>
          <w:szCs w:val="32"/>
        </w:rPr>
        <w:t>﹝</w:t>
      </w:r>
      <w:r>
        <w:rPr>
          <w:rFonts w:hint="eastAsia" w:ascii="仿宋_GB2312" w:eastAsia="仿宋_GB2312"/>
          <w:sz w:val="32"/>
          <w:szCs w:val="32"/>
        </w:rPr>
        <w:t>2018</w:t>
      </w:r>
      <w:r>
        <w:rPr>
          <w:rFonts w:hint="eastAsia" w:ascii="微软雅黑" w:hAnsi="微软雅黑" w:eastAsia="微软雅黑" w:cs="微软雅黑"/>
          <w:sz w:val="32"/>
          <w:szCs w:val="32"/>
        </w:rPr>
        <w:t>﹞</w:t>
      </w:r>
      <w:r>
        <w:rPr>
          <w:rFonts w:hint="eastAsia" w:ascii="仿宋_GB2312" w:hAnsi="宋体" w:eastAsia="仿宋_GB2312" w:cs="宋体"/>
          <w:sz w:val="32"/>
          <w:szCs w:val="32"/>
        </w:rPr>
        <w:t>31</w:t>
      </w:r>
      <w:r>
        <w:rPr>
          <w:rFonts w:hint="eastAsia" w:ascii="仿宋_GB2312" w:eastAsia="仿宋_GB2312"/>
          <w:sz w:val="32"/>
          <w:szCs w:val="32"/>
        </w:rPr>
        <w:t>号）文件批示要求，该项目于2019年5月进行了公开招标，同年8月开始进场施工，于2</w:t>
      </w:r>
      <w:r>
        <w:rPr>
          <w:rFonts w:ascii="仿宋_GB2312" w:eastAsia="仿宋_GB2312"/>
          <w:sz w:val="32"/>
          <w:szCs w:val="32"/>
        </w:rPr>
        <w:t>022年完成施工</w:t>
      </w:r>
      <w:r>
        <w:rPr>
          <w:rFonts w:hint="eastAsia" w:ascii="仿宋_GB2312" w:eastAsia="仿宋_GB2312"/>
          <w:sz w:val="32"/>
          <w:szCs w:val="32"/>
        </w:rPr>
        <w:t>，项目财务决算竣工金额8</w:t>
      </w:r>
      <w:r>
        <w:rPr>
          <w:rFonts w:ascii="仿宋_GB2312" w:eastAsia="仿宋_GB2312"/>
          <w:sz w:val="32"/>
          <w:szCs w:val="32"/>
        </w:rPr>
        <w:t>88.92万元，2025年以前支付580.94万元，</w:t>
      </w:r>
      <w:r>
        <w:rPr>
          <w:rFonts w:hint="eastAsia" w:ascii="仿宋_GB2312" w:eastAsia="仿宋_GB2312"/>
          <w:sz w:val="32"/>
          <w:szCs w:val="32"/>
        </w:rPr>
        <w:t>2</w:t>
      </w:r>
      <w:r>
        <w:rPr>
          <w:rFonts w:ascii="仿宋_GB2312" w:eastAsia="仿宋_GB2312"/>
          <w:sz w:val="32"/>
          <w:szCs w:val="32"/>
        </w:rPr>
        <w:t>025年支付项目款70万元，目前该项目欠款237.98万元。</w:t>
      </w:r>
    </w:p>
    <w:p>
      <w:pPr>
        <w:spacing w:line="640" w:lineRule="exact"/>
        <w:ind w:firstLine="640" w:firstLineChars="200"/>
        <w:jc w:val="left"/>
        <w:rPr>
          <w:rFonts w:ascii="仿宋_GB2312" w:eastAsia="仿宋_GB2312"/>
          <w:sz w:val="32"/>
          <w:szCs w:val="32"/>
        </w:rPr>
      </w:pPr>
      <w:r>
        <w:rPr>
          <w:rFonts w:hint="eastAsia" w:ascii="仿宋_GB2312" w:eastAsia="仿宋_GB2312"/>
          <w:sz w:val="32"/>
          <w:szCs w:val="32"/>
        </w:rPr>
        <w:t>项目实施后，完善攀枝花市公安局业务技术用房建设项目（公安交通管理指挥中心）功能满足需求，极大促进我市道路交通管理工作的发展，提升工作质效，从而达到提升群众满意度的效果。</w:t>
      </w:r>
    </w:p>
    <w:p>
      <w:pPr>
        <w:snapToGrid w:val="0"/>
        <w:spacing w:line="560" w:lineRule="exact"/>
        <w:ind w:firstLine="640" w:firstLineChars="200"/>
        <w:jc w:val="left"/>
        <w:rPr>
          <w:rFonts w:ascii="仿宋_GB2312" w:hAnsi="Calibri"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特别业务费177.31万元，</w:t>
      </w:r>
      <w:r>
        <w:rPr>
          <w:rFonts w:hint="eastAsia" w:ascii="仿宋_GB2312" w:hAnsi="Calibri" w:eastAsia="仿宋_GB2312"/>
          <w:sz w:val="32"/>
          <w:szCs w:val="32"/>
        </w:rPr>
        <w:t>项目用于支付支队办公区域电费、零星维修费、一线执勤执法人员部分食堂开支等，在一定程度上弥补了交警支队日常公用经费不足的情况，保障了交通管理基本业务的正常运转。</w:t>
      </w:r>
    </w:p>
    <w:p>
      <w:pPr>
        <w:snapToGrid w:val="0"/>
        <w:spacing w:line="560" w:lineRule="exact"/>
        <w:ind w:firstLine="643" w:firstLineChars="200"/>
        <w:jc w:val="left"/>
        <w:rPr>
          <w:rFonts w:ascii="仿宋_GB2312" w:hAnsi="Calibri" w:eastAsia="仿宋_GB2312"/>
          <w:sz w:val="32"/>
          <w:szCs w:val="32"/>
        </w:rPr>
      </w:pPr>
      <w:r>
        <w:rPr>
          <w:rFonts w:hint="eastAsia" w:ascii="仿宋_GB2312" w:hAnsi="Calibri" w:eastAsia="仿宋_GB2312"/>
          <w:b/>
          <w:sz w:val="32"/>
          <w:szCs w:val="32"/>
        </w:rPr>
        <w:t>产出指标完成情况：数量指标：</w:t>
      </w:r>
      <w:r>
        <w:rPr>
          <w:rFonts w:hint="eastAsia" w:ascii="仿宋_GB2312" w:hAnsi="Calibri" w:eastAsia="仿宋_GB2312"/>
          <w:sz w:val="32"/>
          <w:szCs w:val="32"/>
        </w:rPr>
        <w:t>交警支队在职民警人数</w:t>
      </w:r>
      <w:r>
        <w:rPr>
          <w:rFonts w:ascii="仿宋_GB2312" w:hAnsi="Calibri" w:eastAsia="仿宋_GB2312"/>
          <w:sz w:val="32"/>
          <w:szCs w:val="32"/>
        </w:rPr>
        <w:t>192人，辅警人数185人，支队直管办公场所</w:t>
      </w:r>
      <w:r>
        <w:rPr>
          <w:rFonts w:hint="eastAsia" w:ascii="仿宋_GB2312" w:hAnsi="Calibri" w:eastAsia="仿宋_GB2312"/>
          <w:sz w:val="32"/>
          <w:szCs w:val="32"/>
        </w:rPr>
        <w:t>6个；</w:t>
      </w:r>
      <w:r>
        <w:rPr>
          <w:rFonts w:hint="eastAsia" w:ascii="仿宋_GB2312" w:hAnsi="Calibri" w:eastAsia="仿宋_GB2312"/>
          <w:b/>
          <w:sz w:val="32"/>
          <w:szCs w:val="32"/>
        </w:rPr>
        <w:t>质量指标：</w:t>
      </w:r>
      <w:r>
        <w:rPr>
          <w:rFonts w:hint="eastAsia" w:ascii="仿宋_GB2312" w:hAnsi="Calibri" w:eastAsia="仿宋_GB2312"/>
          <w:sz w:val="32"/>
          <w:szCs w:val="32"/>
        </w:rPr>
        <w:t>特别业务费项目经费在一定程度上弥补了支队公用经费不足的情况，保障了交通管理基本业务的正常运转；</w:t>
      </w:r>
      <w:r>
        <w:rPr>
          <w:rFonts w:hint="eastAsia" w:ascii="仿宋_GB2312" w:hAnsi="Calibri" w:eastAsia="仿宋_GB2312"/>
          <w:b/>
          <w:sz w:val="32"/>
          <w:szCs w:val="32"/>
        </w:rPr>
        <w:t>成本指标：</w:t>
      </w:r>
      <w:r>
        <w:rPr>
          <w:rFonts w:ascii="仿宋_GB2312" w:hAnsi="Calibri" w:eastAsia="仿宋_GB2312"/>
          <w:sz w:val="32"/>
          <w:szCs w:val="32"/>
        </w:rPr>
        <w:t>177.31万元。</w:t>
      </w:r>
    </w:p>
    <w:p>
      <w:pPr>
        <w:snapToGrid w:val="0"/>
        <w:spacing w:line="560" w:lineRule="exact"/>
        <w:ind w:firstLine="643" w:firstLineChars="200"/>
        <w:jc w:val="left"/>
        <w:rPr>
          <w:rFonts w:ascii="仿宋_GB2312" w:hAnsi="Calibri" w:eastAsia="仿宋_GB2312"/>
          <w:sz w:val="32"/>
          <w:szCs w:val="32"/>
        </w:rPr>
      </w:pPr>
      <w:r>
        <w:rPr>
          <w:rFonts w:ascii="仿宋_GB2312" w:hAnsi="Calibri" w:eastAsia="仿宋_GB2312"/>
          <w:b/>
          <w:sz w:val="32"/>
          <w:szCs w:val="32"/>
        </w:rPr>
        <w:t>效益指标完成情况：社会效益指标：</w:t>
      </w:r>
      <w:r>
        <w:rPr>
          <w:rFonts w:ascii="仿宋_GB2312" w:hAnsi="Calibri" w:eastAsia="仿宋_GB2312"/>
          <w:sz w:val="32"/>
          <w:szCs w:val="32"/>
        </w:rPr>
        <w:t>保障了交通管理基本业务的运转。</w:t>
      </w:r>
    </w:p>
    <w:p>
      <w:pPr>
        <w:snapToGrid w:val="0"/>
        <w:spacing w:line="560" w:lineRule="exact"/>
        <w:ind w:firstLine="643" w:firstLineChars="200"/>
        <w:jc w:val="left"/>
        <w:rPr>
          <w:rFonts w:ascii="仿宋_GB2312" w:hAnsi="Calibri" w:eastAsia="仿宋_GB2312"/>
          <w:sz w:val="32"/>
          <w:szCs w:val="32"/>
        </w:rPr>
      </w:pPr>
      <w:r>
        <w:rPr>
          <w:rFonts w:ascii="仿宋_GB2312" w:hAnsi="Calibri" w:eastAsia="仿宋_GB2312"/>
          <w:b/>
          <w:sz w:val="32"/>
          <w:szCs w:val="32"/>
        </w:rPr>
        <w:t>满意度指标完成情况：</w:t>
      </w:r>
      <w:r>
        <w:rPr>
          <w:rFonts w:ascii="仿宋_GB2312" w:hAnsi="Calibri" w:eastAsia="仿宋_GB2312"/>
          <w:sz w:val="32"/>
          <w:szCs w:val="32"/>
        </w:rPr>
        <w:t>交警支队满意度</w:t>
      </w:r>
      <w:r>
        <w:rPr>
          <w:rFonts w:hint="eastAsia" w:ascii="仿宋_GB2312" w:hAnsi="Calibri" w:eastAsia="仿宋_GB2312"/>
          <w:sz w:val="32"/>
          <w:szCs w:val="32"/>
        </w:rPr>
        <w:t>大于9</w:t>
      </w:r>
      <w:r>
        <w:rPr>
          <w:rFonts w:ascii="仿宋_GB2312" w:hAnsi="Calibri" w:eastAsia="仿宋_GB2312"/>
          <w:sz w:val="32"/>
          <w:szCs w:val="32"/>
        </w:rPr>
        <w:t>0%。</w:t>
      </w:r>
    </w:p>
    <w:p>
      <w:pPr>
        <w:snapToGrid w:val="0"/>
        <w:spacing w:line="560" w:lineRule="exact"/>
        <w:ind w:firstLine="640" w:firstLineChars="200"/>
        <w:jc w:val="left"/>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重要交通组织“微改造”项目50万元，交警支队按照“因地制宜、以点带面、精准治理”的原则，对炳草岗片区三线大道机场路口、三线大道新鸿路口等共计</w:t>
      </w:r>
      <w:r>
        <w:rPr>
          <w:rFonts w:hint="eastAsia" w:eastAsia="仿宋_GB2312"/>
          <w:sz w:val="32"/>
          <w:szCs w:val="32"/>
        </w:rPr>
        <w:t>7个重点点位增设交通信号灯、优化标志标线设施等，实施交通组织优化“微改造”项目。项目的实施进一步缓解了主城区交通拥堵，切实提升了城市道路通行效率，推进城市品质化建设，深化城市道路交通精细化管理。</w:t>
      </w:r>
    </w:p>
    <w:p>
      <w:pPr>
        <w:snapToGrid w:val="0"/>
        <w:spacing w:line="560" w:lineRule="exact"/>
        <w:ind w:firstLine="643" w:firstLineChars="200"/>
        <w:jc w:val="left"/>
        <w:rPr>
          <w:rFonts w:ascii="仿宋_GB2312" w:hAnsi="Calibri" w:eastAsia="仿宋_GB2312"/>
          <w:sz w:val="32"/>
          <w:szCs w:val="32"/>
        </w:rPr>
      </w:pPr>
      <w:r>
        <w:rPr>
          <w:rFonts w:hint="eastAsia" w:ascii="仿宋_GB2312" w:hAnsi="Calibri" w:eastAsia="仿宋_GB2312"/>
          <w:b/>
          <w:sz w:val="32"/>
          <w:szCs w:val="32"/>
        </w:rPr>
        <w:t>产出指标完成情况：数量指标：</w:t>
      </w:r>
      <w:r>
        <w:rPr>
          <w:rFonts w:hint="eastAsia" w:ascii="仿宋_GB2312" w:hAnsi="Calibri" w:eastAsia="仿宋_GB2312"/>
          <w:sz w:val="32"/>
          <w:szCs w:val="32"/>
        </w:rPr>
        <w:t>炳草岗片区重点点位路口数量7个，建设红绿灯、电子警察、违停抓拍设备数量1</w:t>
      </w:r>
      <w:r>
        <w:rPr>
          <w:rFonts w:ascii="仿宋_GB2312" w:hAnsi="Calibri" w:eastAsia="仿宋_GB2312"/>
          <w:sz w:val="32"/>
          <w:szCs w:val="32"/>
        </w:rPr>
        <w:t>1套，新增</w:t>
      </w:r>
      <w:r>
        <w:rPr>
          <w:rFonts w:hint="eastAsia" w:ascii="仿宋_GB2312" w:hAnsi="Calibri" w:eastAsia="仿宋_GB2312"/>
          <w:sz w:val="32"/>
          <w:szCs w:val="32"/>
        </w:rPr>
        <w:t>L</w:t>
      </w:r>
      <w:r>
        <w:rPr>
          <w:rFonts w:ascii="仿宋_GB2312" w:hAnsi="Calibri" w:eastAsia="仿宋_GB2312"/>
          <w:sz w:val="32"/>
          <w:szCs w:val="32"/>
        </w:rPr>
        <w:t>ED电子屏及提示屏数量</w:t>
      </w:r>
      <w:r>
        <w:rPr>
          <w:rFonts w:hint="eastAsia" w:ascii="仿宋_GB2312" w:hAnsi="Calibri" w:eastAsia="仿宋_GB2312"/>
          <w:sz w:val="32"/>
          <w:szCs w:val="32"/>
        </w:rPr>
        <w:t>2套；</w:t>
      </w:r>
      <w:r>
        <w:rPr>
          <w:rFonts w:hint="eastAsia" w:ascii="仿宋_GB2312" w:hAnsi="Calibri" w:eastAsia="仿宋_GB2312"/>
          <w:b/>
          <w:sz w:val="32"/>
          <w:szCs w:val="32"/>
        </w:rPr>
        <w:t>质量指标：</w:t>
      </w:r>
      <w:r>
        <w:rPr>
          <w:rFonts w:hint="eastAsia" w:ascii="仿宋_GB2312" w:hAnsi="Calibri" w:eastAsia="仿宋_GB2312"/>
          <w:sz w:val="32"/>
          <w:szCs w:val="32"/>
        </w:rPr>
        <w:t>建设交通组织安装工程质量达标，符合国家及行业标准；</w:t>
      </w:r>
      <w:r>
        <w:rPr>
          <w:rFonts w:hint="eastAsia" w:ascii="仿宋_GB2312" w:hAnsi="Calibri" w:eastAsia="仿宋_GB2312"/>
          <w:b/>
          <w:sz w:val="32"/>
          <w:szCs w:val="32"/>
        </w:rPr>
        <w:t>时效指标：</w:t>
      </w:r>
      <w:r>
        <w:rPr>
          <w:rFonts w:hint="eastAsia" w:ascii="仿宋_GB2312" w:hAnsi="Calibri" w:eastAsia="仿宋_GB2312"/>
          <w:sz w:val="32"/>
          <w:szCs w:val="32"/>
        </w:rPr>
        <w:t>2</w:t>
      </w:r>
      <w:r>
        <w:rPr>
          <w:rFonts w:ascii="仿宋_GB2312" w:hAnsi="Calibri" w:eastAsia="仿宋_GB2312"/>
          <w:sz w:val="32"/>
          <w:szCs w:val="32"/>
        </w:rPr>
        <w:t>024年</w:t>
      </w:r>
      <w:r>
        <w:rPr>
          <w:rFonts w:hint="eastAsia" w:ascii="仿宋_GB2312" w:hAnsi="Calibri" w:eastAsia="仿宋_GB2312"/>
          <w:sz w:val="32"/>
          <w:szCs w:val="32"/>
        </w:rPr>
        <w:t>4</w:t>
      </w:r>
      <w:r>
        <w:rPr>
          <w:rFonts w:ascii="仿宋_GB2312" w:hAnsi="Calibri" w:eastAsia="仿宋_GB2312"/>
          <w:sz w:val="32"/>
          <w:szCs w:val="32"/>
        </w:rPr>
        <w:t>-12月按进度实施；</w:t>
      </w:r>
      <w:r>
        <w:rPr>
          <w:rFonts w:hint="eastAsia" w:ascii="仿宋_GB2312" w:hAnsi="Calibri" w:eastAsia="仿宋_GB2312"/>
          <w:b/>
          <w:sz w:val="32"/>
          <w:szCs w:val="32"/>
        </w:rPr>
        <w:t>成本指标：</w:t>
      </w:r>
      <w:r>
        <w:rPr>
          <w:rFonts w:hint="eastAsia" w:ascii="仿宋_GB2312" w:hAnsi="Calibri" w:eastAsia="仿宋_GB2312"/>
          <w:sz w:val="32"/>
          <w:szCs w:val="32"/>
        </w:rPr>
        <w:t>项目中标金额</w:t>
      </w:r>
      <w:r>
        <w:rPr>
          <w:rFonts w:ascii="仿宋_GB2312" w:hAnsi="Calibri" w:eastAsia="仿宋_GB2312"/>
          <w:sz w:val="32"/>
          <w:szCs w:val="32"/>
        </w:rPr>
        <w:t>171.98万元，</w:t>
      </w:r>
      <w:r>
        <w:rPr>
          <w:rFonts w:hint="eastAsia" w:ascii="仿宋_GB2312" w:hAnsi="Calibri" w:eastAsia="仿宋_GB2312"/>
          <w:sz w:val="32"/>
          <w:szCs w:val="32"/>
        </w:rPr>
        <w:t>2</w:t>
      </w:r>
      <w:r>
        <w:rPr>
          <w:rFonts w:ascii="仿宋_GB2312" w:hAnsi="Calibri" w:eastAsia="仿宋_GB2312"/>
          <w:sz w:val="32"/>
          <w:szCs w:val="32"/>
        </w:rPr>
        <w:t>024年支付</w:t>
      </w:r>
      <w:r>
        <w:rPr>
          <w:rFonts w:hint="eastAsia" w:ascii="仿宋_GB2312" w:hAnsi="Calibri" w:eastAsia="仿宋_GB2312"/>
          <w:sz w:val="32"/>
          <w:szCs w:val="32"/>
        </w:rPr>
        <w:t>7</w:t>
      </w:r>
      <w:r>
        <w:rPr>
          <w:rFonts w:ascii="仿宋_GB2312" w:hAnsi="Calibri" w:eastAsia="仿宋_GB2312"/>
          <w:sz w:val="32"/>
          <w:szCs w:val="32"/>
        </w:rPr>
        <w:t>1.98万元，</w:t>
      </w:r>
      <w:r>
        <w:rPr>
          <w:rFonts w:hint="eastAsia" w:ascii="仿宋_GB2312" w:hAnsi="Calibri" w:eastAsia="仿宋_GB2312"/>
          <w:sz w:val="32"/>
          <w:szCs w:val="32"/>
        </w:rPr>
        <w:t>2</w:t>
      </w:r>
      <w:r>
        <w:rPr>
          <w:rFonts w:ascii="仿宋_GB2312" w:hAnsi="Calibri" w:eastAsia="仿宋_GB2312"/>
          <w:sz w:val="32"/>
          <w:szCs w:val="32"/>
        </w:rPr>
        <w:t>025年支付</w:t>
      </w:r>
      <w:r>
        <w:rPr>
          <w:rFonts w:hint="eastAsia" w:ascii="仿宋_GB2312" w:hAnsi="Calibri" w:eastAsia="仿宋_GB2312"/>
          <w:sz w:val="32"/>
          <w:szCs w:val="32"/>
        </w:rPr>
        <w:t>5</w:t>
      </w:r>
      <w:r>
        <w:rPr>
          <w:rFonts w:ascii="仿宋_GB2312" w:hAnsi="Calibri" w:eastAsia="仿宋_GB2312"/>
          <w:sz w:val="32"/>
          <w:szCs w:val="32"/>
        </w:rPr>
        <w:t>0万元，剩余资金50万元结转至</w:t>
      </w:r>
      <w:r>
        <w:rPr>
          <w:rFonts w:hint="eastAsia" w:ascii="仿宋_GB2312" w:hAnsi="Calibri" w:eastAsia="仿宋_GB2312"/>
          <w:sz w:val="32"/>
          <w:szCs w:val="32"/>
        </w:rPr>
        <w:t>2</w:t>
      </w:r>
      <w:r>
        <w:rPr>
          <w:rFonts w:ascii="仿宋_GB2312" w:hAnsi="Calibri" w:eastAsia="仿宋_GB2312"/>
          <w:sz w:val="32"/>
          <w:szCs w:val="32"/>
        </w:rPr>
        <w:t>025年。</w:t>
      </w:r>
    </w:p>
    <w:p>
      <w:pPr>
        <w:snapToGrid w:val="0"/>
        <w:spacing w:line="560" w:lineRule="exact"/>
        <w:ind w:firstLine="643" w:firstLineChars="200"/>
        <w:jc w:val="left"/>
        <w:rPr>
          <w:rFonts w:ascii="仿宋_GB2312" w:hAnsi="Calibri" w:eastAsia="仿宋_GB2312"/>
          <w:sz w:val="32"/>
          <w:szCs w:val="32"/>
        </w:rPr>
      </w:pPr>
      <w:r>
        <w:rPr>
          <w:rFonts w:ascii="仿宋_GB2312" w:hAnsi="Calibri" w:eastAsia="仿宋_GB2312"/>
          <w:b/>
          <w:sz w:val="32"/>
          <w:szCs w:val="32"/>
        </w:rPr>
        <w:t>效益指标完成情况：社会效益指标：</w:t>
      </w:r>
      <w:r>
        <w:rPr>
          <w:rFonts w:hint="eastAsia" w:ascii="仿宋_GB2312" w:hAnsi="Calibri" w:eastAsia="仿宋_GB2312"/>
          <w:sz w:val="32"/>
          <w:szCs w:val="32"/>
        </w:rPr>
        <w:t>进一步</w:t>
      </w:r>
      <w:r>
        <w:rPr>
          <w:rFonts w:ascii="仿宋_GB2312" w:hAnsi="Calibri" w:eastAsia="仿宋_GB2312"/>
          <w:sz w:val="32"/>
          <w:szCs w:val="32"/>
        </w:rPr>
        <w:t>缓解主城区交通拥堵，切实提升城市道路通行效率。</w:t>
      </w:r>
    </w:p>
    <w:p>
      <w:pPr>
        <w:snapToGrid w:val="0"/>
        <w:spacing w:line="560" w:lineRule="exact"/>
        <w:ind w:firstLine="643" w:firstLineChars="200"/>
        <w:jc w:val="left"/>
        <w:rPr>
          <w:rFonts w:ascii="仿宋_GB2312" w:hAnsi="Calibri" w:eastAsia="仿宋_GB2312"/>
          <w:sz w:val="32"/>
          <w:szCs w:val="32"/>
        </w:rPr>
      </w:pPr>
      <w:r>
        <w:rPr>
          <w:rFonts w:ascii="仿宋_GB2312" w:hAnsi="Calibri" w:eastAsia="仿宋_GB2312"/>
          <w:b/>
          <w:sz w:val="32"/>
          <w:szCs w:val="32"/>
        </w:rPr>
        <w:t>满意度指标完成情况：</w:t>
      </w:r>
      <w:r>
        <w:rPr>
          <w:rFonts w:hint="eastAsia" w:ascii="仿宋_GB2312" w:hAnsi="Calibri" w:eastAsia="仿宋_GB2312"/>
          <w:sz w:val="32"/>
          <w:szCs w:val="32"/>
        </w:rPr>
        <w:t>人民</w:t>
      </w:r>
      <w:r>
        <w:rPr>
          <w:rFonts w:ascii="仿宋_GB2312" w:hAnsi="Calibri" w:eastAsia="仿宋_GB2312"/>
          <w:sz w:val="32"/>
          <w:szCs w:val="32"/>
        </w:rPr>
        <w:t>群众满意度</w:t>
      </w:r>
      <w:r>
        <w:rPr>
          <w:rFonts w:hint="eastAsia" w:ascii="仿宋_GB2312" w:hAnsi="Calibri" w:eastAsia="仿宋_GB2312"/>
          <w:sz w:val="32"/>
          <w:szCs w:val="32"/>
        </w:rPr>
        <w:t>大于9</w:t>
      </w:r>
      <w:r>
        <w:rPr>
          <w:rFonts w:ascii="仿宋_GB2312" w:hAnsi="Calibri" w:eastAsia="仿宋_GB2312"/>
          <w:sz w:val="32"/>
          <w:szCs w:val="32"/>
        </w:rPr>
        <w:t>0%。</w:t>
      </w:r>
    </w:p>
    <w:p>
      <w:pPr>
        <w:snapToGrid w:val="0"/>
        <w:spacing w:line="560" w:lineRule="exact"/>
        <w:ind w:firstLine="640" w:firstLineChars="200"/>
        <w:jc w:val="left"/>
        <w:rPr>
          <w:rFonts w:ascii="仿宋_GB2312" w:eastAsia="仿宋_GB2312"/>
          <w:sz w:val="32"/>
          <w:szCs w:val="32"/>
        </w:rPr>
      </w:pPr>
      <w:r>
        <w:rPr>
          <w:rFonts w:eastAsia="仿宋_GB2312"/>
          <w:sz w:val="32"/>
          <w:szCs w:val="32"/>
        </w:rPr>
        <w:t>（5</w:t>
      </w:r>
      <w:r>
        <w:rPr>
          <w:rFonts w:hint="eastAsia" w:eastAsia="仿宋_GB2312"/>
          <w:sz w:val="32"/>
          <w:szCs w:val="32"/>
        </w:rPr>
        <w:t>）公安交通管理业务费</w:t>
      </w:r>
      <w:r>
        <w:rPr>
          <w:rFonts w:eastAsia="仿宋_GB2312"/>
          <w:sz w:val="32"/>
          <w:szCs w:val="32"/>
        </w:rPr>
        <w:t>1492.17万元，其中：</w:t>
      </w:r>
      <w:r>
        <w:rPr>
          <w:rFonts w:hint="eastAsia" w:ascii="仿宋_GB2312" w:eastAsia="仿宋_GB2312"/>
          <w:sz w:val="32"/>
          <w:szCs w:val="32"/>
        </w:rPr>
        <w:t>公安交通管理业务费</w:t>
      </w:r>
      <w:r>
        <w:rPr>
          <w:rFonts w:ascii="仿宋_GB2312" w:eastAsia="仿宋_GB2312"/>
          <w:sz w:val="32"/>
          <w:szCs w:val="32"/>
        </w:rPr>
        <w:t>307.4</w:t>
      </w:r>
      <w:r>
        <w:rPr>
          <w:rFonts w:hint="eastAsia" w:ascii="仿宋_GB2312" w:eastAsia="仿宋_GB2312"/>
          <w:sz w:val="32"/>
          <w:szCs w:val="32"/>
        </w:rPr>
        <w:t>万元，省级政法转移支付资金</w:t>
      </w:r>
      <w:r>
        <w:rPr>
          <w:rFonts w:ascii="仿宋_GB2312" w:eastAsia="仿宋_GB2312"/>
          <w:sz w:val="32"/>
          <w:szCs w:val="32"/>
        </w:rPr>
        <w:t>1087.2</w:t>
      </w:r>
      <w:r>
        <w:rPr>
          <w:rFonts w:hint="eastAsia" w:ascii="仿宋_GB2312" w:eastAsia="仿宋_GB2312"/>
          <w:sz w:val="32"/>
          <w:szCs w:val="32"/>
        </w:rPr>
        <w:t>万元，交通管理信息化系统维护费</w:t>
      </w:r>
      <w:r>
        <w:rPr>
          <w:rFonts w:ascii="仿宋_GB2312" w:eastAsia="仿宋_GB2312"/>
          <w:sz w:val="32"/>
          <w:szCs w:val="32"/>
        </w:rPr>
        <w:t>97.57万元</w:t>
      </w:r>
      <w:r>
        <w:rPr>
          <w:rFonts w:hint="eastAsia" w:ascii="仿宋_GB2312" w:eastAsia="仿宋_GB2312"/>
          <w:sz w:val="32"/>
          <w:szCs w:val="32"/>
        </w:rPr>
        <w:t>。</w:t>
      </w:r>
    </w:p>
    <w:p>
      <w:pPr>
        <w:snapToGrid w:val="0"/>
        <w:spacing w:line="560" w:lineRule="exact"/>
        <w:ind w:firstLine="643" w:firstLineChars="200"/>
        <w:jc w:val="left"/>
        <w:rPr>
          <w:rFonts w:ascii="仿宋_GB2312" w:eastAsia="仿宋_GB2312"/>
          <w:sz w:val="32"/>
          <w:szCs w:val="32"/>
        </w:rPr>
      </w:pPr>
      <w:r>
        <w:rPr>
          <w:rFonts w:hint="eastAsia" w:ascii="仿宋_GB2312" w:eastAsia="仿宋_GB2312"/>
          <w:b/>
          <w:sz w:val="32"/>
          <w:szCs w:val="32"/>
        </w:rPr>
        <w:t>产出指标完成情况：数量指标：</w:t>
      </w:r>
      <w:r>
        <w:rPr>
          <w:rFonts w:hint="eastAsia" w:ascii="仿宋_GB2312" w:eastAsia="仿宋_GB2312"/>
          <w:sz w:val="32"/>
          <w:szCs w:val="32"/>
        </w:rPr>
        <w:t>202</w:t>
      </w:r>
      <w:r>
        <w:rPr>
          <w:rFonts w:ascii="仿宋_GB2312" w:eastAsia="仿宋_GB2312"/>
          <w:sz w:val="32"/>
          <w:szCs w:val="32"/>
        </w:rPr>
        <w:t>5</w:t>
      </w:r>
      <w:r>
        <w:rPr>
          <w:rFonts w:hint="eastAsia" w:ascii="仿宋_GB2312" w:eastAsia="仿宋_GB2312"/>
          <w:sz w:val="32"/>
          <w:szCs w:val="32"/>
        </w:rPr>
        <w:t>年全市交警系统查处和纠正交通违法行为**余万起，车管所全年组织开展车驾管业务38万余件，均超额完成年初设定的任务目标。</w:t>
      </w:r>
      <w:r>
        <w:rPr>
          <w:rFonts w:hint="eastAsia" w:ascii="仿宋_GB2312" w:eastAsia="仿宋_GB2312"/>
          <w:b/>
          <w:sz w:val="32"/>
          <w:szCs w:val="32"/>
        </w:rPr>
        <w:t>质量指标：</w:t>
      </w:r>
      <w:r>
        <w:rPr>
          <w:rFonts w:hint="eastAsia" w:ascii="仿宋_GB2312" w:eastAsia="仿宋_GB2312"/>
          <w:sz w:val="32"/>
          <w:szCs w:val="32"/>
        </w:rPr>
        <w:t>办理的车驾管业务符合国家标准，按照国家的法律法规依法查处道路交通违法行为、处理交通事故、维护道路交通安全秩序。</w:t>
      </w:r>
      <w:r>
        <w:rPr>
          <w:rFonts w:hint="eastAsia" w:ascii="仿宋_GB2312" w:eastAsia="仿宋_GB2312"/>
          <w:b/>
          <w:sz w:val="32"/>
          <w:szCs w:val="32"/>
        </w:rPr>
        <w:t>成本指标：</w:t>
      </w:r>
      <w:r>
        <w:rPr>
          <w:rFonts w:hint="eastAsia" w:ascii="仿宋_GB2312" w:eastAsia="仿宋_GB2312"/>
          <w:sz w:val="32"/>
          <w:szCs w:val="32"/>
        </w:rPr>
        <w:t>保障交通管理执法办案业务经费、交通违法当事人血检、酒检费，事故车辆鉴定费、执法装备购置费、涉案停车场保管费、车驾管（车管所）基本业务工作正常运转的号牌制作费、机动车驾驶人管理、保安保洁费、智能交通建设项目、</w:t>
      </w:r>
      <w:r>
        <w:rPr>
          <w:rFonts w:hint="eastAsia" w:ascii="仿宋_GB2312" w:hAnsi="楷体" w:eastAsia="仿宋_GB2312" w:cs="仿宋_GB2312"/>
          <w:sz w:val="32"/>
          <w:szCs w:val="32"/>
        </w:rPr>
        <w:t>红绿灯智能交通管控系统、车辆违法超速抓拍系统、公安交通集成指挥平台等交通管理信息系统维护</w:t>
      </w:r>
      <w:r>
        <w:rPr>
          <w:rFonts w:hint="eastAsia" w:ascii="仿宋_GB2312" w:eastAsia="仿宋_GB2312"/>
          <w:sz w:val="32"/>
          <w:szCs w:val="32"/>
        </w:rPr>
        <w:t>等合计</w:t>
      </w:r>
      <w:r>
        <w:rPr>
          <w:rFonts w:ascii="仿宋_GB2312" w:eastAsia="仿宋_GB2312"/>
          <w:sz w:val="32"/>
          <w:szCs w:val="32"/>
        </w:rPr>
        <w:t>1492.17</w:t>
      </w:r>
      <w:r>
        <w:rPr>
          <w:rFonts w:hint="eastAsia" w:ascii="仿宋_GB2312" w:eastAsia="仿宋_GB2312"/>
          <w:sz w:val="32"/>
          <w:szCs w:val="32"/>
        </w:rPr>
        <w:t>万元。</w:t>
      </w:r>
    </w:p>
    <w:p>
      <w:pPr>
        <w:snapToGrid w:val="0"/>
        <w:spacing w:line="560" w:lineRule="exact"/>
        <w:ind w:firstLine="643" w:firstLineChars="200"/>
        <w:jc w:val="left"/>
        <w:rPr>
          <w:rFonts w:ascii="仿宋_GB2312" w:eastAsia="仿宋_GB2312"/>
          <w:sz w:val="32"/>
          <w:szCs w:val="32"/>
        </w:rPr>
      </w:pPr>
      <w:r>
        <w:rPr>
          <w:rFonts w:hint="eastAsia" w:ascii="仿宋_GB2312" w:eastAsia="仿宋_GB2312"/>
          <w:b/>
          <w:sz w:val="32"/>
          <w:szCs w:val="32"/>
        </w:rPr>
        <w:t>效益指标完成情况，经济效益指标：</w:t>
      </w:r>
      <w:r>
        <w:rPr>
          <w:rFonts w:hint="eastAsia" w:ascii="仿宋_GB2312" w:eastAsia="仿宋_GB2312"/>
          <w:sz w:val="32"/>
          <w:szCs w:val="32"/>
        </w:rPr>
        <w:t>加强道路交通秩序管理，运用科技手段加强道路监管，有效控制因超速引发的重特大交通事故的发生，减少人民群众的财产损失。</w:t>
      </w:r>
    </w:p>
    <w:p>
      <w:pPr>
        <w:snapToGrid w:val="0"/>
        <w:spacing w:line="560" w:lineRule="exact"/>
        <w:ind w:firstLine="643" w:firstLineChars="200"/>
        <w:jc w:val="left"/>
        <w:rPr>
          <w:rFonts w:ascii="仿宋_GB2312" w:eastAsia="仿宋_GB2312"/>
          <w:color w:val="000000"/>
          <w:kern w:val="0"/>
          <w:sz w:val="32"/>
          <w:szCs w:val="32"/>
          <w:lang w:bidi="ar"/>
        </w:rPr>
      </w:pPr>
      <w:r>
        <w:rPr>
          <w:rFonts w:hint="eastAsia" w:ascii="仿宋_GB2312" w:eastAsia="仿宋_GB2312"/>
          <w:b/>
          <w:sz w:val="32"/>
          <w:szCs w:val="32"/>
        </w:rPr>
        <w:t>社会效益指标：</w:t>
      </w:r>
      <w:r>
        <w:rPr>
          <w:rFonts w:hint="eastAsia" w:ascii="仿宋_GB2312" w:eastAsia="仿宋_GB2312"/>
          <w:sz w:val="32"/>
          <w:szCs w:val="32"/>
        </w:rPr>
        <w:t>开展车驾管业务和驾驶员业务管理，把好预防道路交通事故源头关，确保了人们群众的生命财产安全；加大对交通违法行为的打击力度，有利于营造安全、畅通的交通通行环境，保障了人民群众的切身利益。</w:t>
      </w:r>
      <w:r>
        <w:rPr>
          <w:rFonts w:hint="eastAsia" w:ascii="仿宋_GB2312" w:eastAsia="仿宋_GB2312"/>
          <w:color w:val="000000"/>
          <w:kern w:val="0"/>
          <w:sz w:val="32"/>
          <w:szCs w:val="32"/>
          <w:lang w:bidi="ar"/>
        </w:rPr>
        <w:t>全市公安交通安全管理工作成效主要体现为“四个下降，两个零发生”：</w:t>
      </w:r>
      <w:r>
        <w:rPr>
          <w:rFonts w:hint="eastAsia" w:eastAsia="仿宋_GB2312"/>
          <w:color w:val="000000"/>
          <w:sz w:val="32"/>
          <w:szCs w:val="32"/>
        </w:rPr>
        <w:t>截至12月31日，全市共发生一般程序道路交通事故起数、死亡人数、受伤人数，较上年同比分别下降4.6%、7.8%、1.0%，万车死亡率1.44，同比下降11.7%</w:t>
      </w:r>
      <w:r>
        <w:rPr>
          <w:rFonts w:hint="eastAsia" w:ascii="仿宋_GB2312" w:eastAsia="仿宋_GB2312"/>
          <w:color w:val="000000"/>
          <w:kern w:val="0"/>
          <w:sz w:val="32"/>
          <w:szCs w:val="32"/>
          <w:lang w:bidi="ar"/>
        </w:rPr>
        <w:t>。</w:t>
      </w:r>
      <w:r>
        <w:rPr>
          <w:rFonts w:hint="eastAsia" w:eastAsia="仿宋_GB2312"/>
          <w:color w:val="000000"/>
          <w:sz w:val="32"/>
          <w:szCs w:val="32"/>
        </w:rPr>
        <w:t>未发生一次死亡3人以上较大道路交通事故。</w:t>
      </w:r>
    </w:p>
    <w:p>
      <w:pPr>
        <w:snapToGrid w:val="0"/>
        <w:spacing w:line="560" w:lineRule="exact"/>
        <w:ind w:firstLine="643" w:firstLineChars="200"/>
        <w:jc w:val="left"/>
        <w:rPr>
          <w:rFonts w:ascii="仿宋_GB2312" w:eastAsia="仿宋_GB2312"/>
          <w:sz w:val="32"/>
          <w:szCs w:val="32"/>
        </w:rPr>
      </w:pPr>
      <w:r>
        <w:rPr>
          <w:rFonts w:hint="eastAsia" w:ascii="仿宋_GB2312" w:eastAsia="仿宋_GB2312"/>
          <w:b/>
          <w:sz w:val="32"/>
          <w:szCs w:val="32"/>
        </w:rPr>
        <w:t>满意度指标完成情况：</w:t>
      </w:r>
      <w:r>
        <w:rPr>
          <w:rFonts w:hint="eastAsia" w:ascii="仿宋_GB2312" w:eastAsia="仿宋_GB2312"/>
          <w:sz w:val="32"/>
          <w:szCs w:val="32"/>
        </w:rPr>
        <w:t>提高服务群众的能力，有力打击交通违法行为，实现缓堵保畅任务，交通参与者满意度达到年初设定的预期目标。</w:t>
      </w:r>
    </w:p>
    <w:p>
      <w:pPr>
        <w:shd w:val="clear" w:color="auto" w:fill="FFFFFF"/>
        <w:spacing w:line="560" w:lineRule="exact"/>
        <w:ind w:firstLine="643" w:firstLineChars="200"/>
        <w:rPr>
          <w:rFonts w:eastAsia="楷体_GB2312"/>
          <w:b/>
          <w:bCs/>
          <w:sz w:val="32"/>
          <w:szCs w:val="32"/>
          <w:lang w:val="zh-CN"/>
        </w:rPr>
      </w:pPr>
      <w:r>
        <w:rPr>
          <w:rFonts w:eastAsia="楷体_GB2312"/>
          <w:b/>
          <w:bCs/>
          <w:color w:val="000000"/>
          <w:kern w:val="0"/>
          <w:sz w:val="32"/>
          <w:szCs w:val="32"/>
          <w:shd w:val="clear" w:color="auto" w:fill="FFFFFF"/>
          <w:lang w:val="zh-CN"/>
        </w:rPr>
        <w:t>（三）</w:t>
      </w:r>
      <w:r>
        <w:rPr>
          <w:rFonts w:eastAsia="楷体_GB2312"/>
          <w:b/>
          <w:bCs/>
          <w:sz w:val="32"/>
          <w:szCs w:val="32"/>
          <w:lang w:val="zh-CN"/>
        </w:rPr>
        <w:t>绩效结果应用情况。</w:t>
      </w:r>
    </w:p>
    <w:p>
      <w:pPr>
        <w:shd w:val="clear" w:color="auto" w:fill="FFFFFF"/>
        <w:spacing w:line="560" w:lineRule="exact"/>
        <w:ind w:firstLine="640" w:firstLineChars="200"/>
        <w:rPr>
          <w:rFonts w:ascii="仿宋_GB2312" w:hAnsi="Calibri" w:eastAsia="仿宋_GB2312"/>
          <w:color w:val="333333"/>
          <w:sz w:val="32"/>
          <w:szCs w:val="32"/>
        </w:rPr>
      </w:pPr>
      <w:r>
        <w:rPr>
          <w:rFonts w:hint="eastAsia" w:ascii="仿宋_GB2312" w:hAnsi="Calibri" w:eastAsia="仿宋_GB2312"/>
          <w:color w:val="333333"/>
          <w:sz w:val="32"/>
          <w:szCs w:val="32"/>
        </w:rPr>
        <w:t>交警支队积极响应国家、省、市关于全面实施预算绩效管理工作部署，在市级财政部门的统一安排下，将绩效理念和管理方法深度融入预算编制、执行和监督全过程，构建事前、事中、事后绩效管理闭环体制，紧盯工作目标，按照“谁申请资金，谁设定绩效目标”的原则开展预算资金绩效评价。</w:t>
      </w:r>
    </w:p>
    <w:p>
      <w:pPr>
        <w:shd w:val="clear" w:color="auto" w:fill="FFFFFF"/>
        <w:spacing w:line="560" w:lineRule="exact"/>
        <w:ind w:firstLine="640" w:firstLineChars="200"/>
        <w:rPr>
          <w:rFonts w:ascii="仿宋_GB2312" w:hAnsi="宋体" w:eastAsia="仿宋_GB2312" w:cs="宋体"/>
          <w:color w:val="333333"/>
          <w:kern w:val="0"/>
          <w:sz w:val="32"/>
          <w:szCs w:val="32"/>
        </w:rPr>
      </w:pPr>
      <w:r>
        <w:rPr>
          <w:rFonts w:hint="eastAsia" w:ascii="仿宋_GB2312" w:hAnsi="Calibri" w:eastAsia="仿宋_GB2312"/>
          <w:color w:val="333333"/>
          <w:sz w:val="32"/>
          <w:szCs w:val="32"/>
        </w:rPr>
        <w:t>在绩效自评结果拟应用方面</w:t>
      </w:r>
      <w:r>
        <w:rPr>
          <w:rFonts w:hint="eastAsia" w:ascii="仿宋_GB2312" w:hAnsi="宋体" w:eastAsia="仿宋_GB2312" w:cs="宋体"/>
          <w:color w:val="333333"/>
          <w:kern w:val="0"/>
          <w:sz w:val="32"/>
          <w:szCs w:val="32"/>
        </w:rPr>
        <w:t>积极落实评价结果反馈与整改，针对重点项目绩效评价中发现的问题，要求项目管理部门限时整改，并将重点项目绩效结果评价和整改情况作为编制、安排下年预算的重要依据。同时，通过开展预算资金绩效目标管理，认真分析资金使用过程中存在的实际困难，并向财政局提出相关建议，促进支队的财政资金预算管理水平。</w:t>
      </w:r>
    </w:p>
    <w:p>
      <w:pPr>
        <w:snapToGrid w:val="0"/>
        <w:spacing w:line="600" w:lineRule="exact"/>
        <w:ind w:firstLine="640" w:firstLineChars="200"/>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pPr>
        <w:spacing w:line="560" w:lineRule="exact"/>
        <w:ind w:firstLine="643" w:firstLineChars="20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pPr>
        <w:spacing w:line="560" w:lineRule="exact"/>
        <w:ind w:firstLine="640" w:firstLineChars="200"/>
        <w:rPr>
          <w:rFonts w:eastAsia="仿宋_GB2312"/>
          <w:color w:val="000000"/>
          <w:sz w:val="32"/>
          <w:szCs w:val="32"/>
        </w:rPr>
      </w:pPr>
      <w:r>
        <w:rPr>
          <w:rFonts w:eastAsia="仿宋_GB2312"/>
          <w:color w:val="000000"/>
          <w:sz w:val="32"/>
          <w:szCs w:val="32"/>
        </w:rPr>
        <w:t>2025年，全市公安交警部门按照市局党委决策部署，紧密围绕市局党委“一一三五”工作思路，以整体晋级升位为目标，以深化交通事故预防“减量控大”为重点，以健全“三大体系”为保障，以实施“三大工程”为导向，以“谋治”系列专项行动为抓手，深入开展“四大战役”，坚决守住不发生较大以上道路交通事故底线，全力以赴维护全市道路交通秩序安全稳定，为攀枝花高质量发展建设共同富裕试验区保驾护航。</w:t>
      </w:r>
    </w:p>
    <w:p>
      <w:pPr>
        <w:spacing w:line="640" w:lineRule="exact"/>
        <w:ind w:firstLine="645"/>
        <w:rPr>
          <w:rFonts w:ascii="仿宋_GB2312" w:hAnsi="宋体" w:eastAsia="仿宋_GB2312"/>
          <w:sz w:val="32"/>
          <w:szCs w:val="32"/>
        </w:rPr>
      </w:pPr>
      <w:r>
        <w:rPr>
          <w:rFonts w:hint="eastAsia" w:ascii="仿宋_GB2312" w:eastAsia="仿宋_GB2312"/>
          <w:color w:val="000000"/>
          <w:sz w:val="32"/>
          <w:szCs w:val="32"/>
        </w:rPr>
        <w:t>但随着近年来机动车、驾驶人保有量和道路里程不断增加，维持道路交通管理必要的软硬件设施和非税征收所需的成本也不断增加，但与此同时，受全国经济形势下行影响，交警支队在经费保障方面的困难和问题日益突出。</w:t>
      </w:r>
    </w:p>
    <w:p>
      <w:pPr>
        <w:widowControl/>
        <w:adjustRightInd w:val="0"/>
        <w:snapToGrid w:val="0"/>
        <w:spacing w:line="580" w:lineRule="exact"/>
        <w:ind w:firstLine="643" w:firstLineChars="200"/>
        <w:contextualSpacing/>
        <w:jc w:val="left"/>
        <w:rPr>
          <w:rFonts w:ascii="楷体_GB2312" w:hAnsi="宋体" w:eastAsia="楷体_GB2312" w:cs="宋体"/>
          <w:b/>
          <w:color w:val="000000"/>
          <w:kern w:val="0"/>
          <w:sz w:val="32"/>
          <w:szCs w:val="32"/>
          <w:shd w:val="clear" w:color="auto" w:fill="FFFFFF"/>
          <w:lang w:val="zh-CN"/>
        </w:rPr>
      </w:pPr>
      <w:r>
        <w:rPr>
          <w:rFonts w:hint="eastAsia" w:ascii="楷体_GB2312" w:hAnsi="宋体" w:eastAsia="楷体_GB2312" w:cs="宋体"/>
          <w:b/>
          <w:color w:val="000000"/>
          <w:kern w:val="0"/>
          <w:sz w:val="32"/>
          <w:szCs w:val="32"/>
          <w:shd w:val="clear" w:color="auto" w:fill="FFFFFF"/>
          <w:lang w:val="zh-CN"/>
        </w:rPr>
        <w:t>（二）存在问题。</w:t>
      </w:r>
    </w:p>
    <w:p>
      <w:pPr>
        <w:spacing w:line="560" w:lineRule="exact"/>
        <w:ind w:firstLine="803" w:firstLineChars="250"/>
        <w:rPr>
          <w:rFonts w:ascii="仿宋_GB2312" w:hAnsi="Calibri" w:eastAsia="仿宋_GB2312"/>
          <w:b/>
          <w:color w:val="000000"/>
          <w:sz w:val="32"/>
          <w:szCs w:val="32"/>
        </w:rPr>
      </w:pPr>
      <w:r>
        <w:rPr>
          <w:rFonts w:hint="eastAsia" w:ascii="仿宋_GB2312" w:hAnsi="Calibri" w:eastAsia="仿宋_GB2312"/>
          <w:b/>
          <w:color w:val="000000"/>
          <w:sz w:val="32"/>
          <w:szCs w:val="32"/>
        </w:rPr>
        <w:t>1.项目预算批复存在较大缺口。</w:t>
      </w:r>
    </w:p>
    <w:p>
      <w:pPr>
        <w:spacing w:line="640" w:lineRule="exact"/>
        <w:ind w:firstLine="640" w:firstLineChars="200"/>
        <w:rPr>
          <w:rFonts w:ascii="仿宋_GB2312" w:hAnsi="宋体" w:eastAsia="仿宋_GB2312" w:cs="宋体"/>
          <w:color w:val="000000"/>
          <w:kern w:val="0"/>
          <w:sz w:val="32"/>
          <w:szCs w:val="32"/>
        </w:rPr>
      </w:pPr>
      <w:r>
        <w:rPr>
          <w:rFonts w:hint="eastAsia" w:ascii="仿宋_GB2312" w:hAnsi="Calibri" w:eastAsia="仿宋_GB2312"/>
          <w:color w:val="000000"/>
          <w:sz w:val="32"/>
          <w:szCs w:val="32"/>
        </w:rPr>
        <w:t>近年来，市财政仅批复了交警支队部分基本业务运行经费，公安交通管理非税征收工作成本性支出保障不足</w:t>
      </w:r>
      <w:r>
        <w:rPr>
          <w:rFonts w:hint="eastAsia" w:ascii="仿宋_GB2312" w:hAnsi="华文仿宋" w:eastAsia="仿宋_GB2312" w:cs="宋体-18030"/>
          <w:color w:val="000000"/>
          <w:sz w:val="32"/>
          <w:szCs w:val="32"/>
        </w:rPr>
        <w:t>，</w:t>
      </w:r>
      <w:r>
        <w:rPr>
          <w:rFonts w:hint="eastAsia" w:ascii="仿宋_GB2312" w:hAnsi="华文仿宋" w:eastAsia="仿宋_GB2312" w:cs="宋体-18030"/>
          <w:bCs/>
          <w:color w:val="000000"/>
          <w:sz w:val="32"/>
          <w:szCs w:val="32"/>
        </w:rPr>
        <w:t>交警支队</w:t>
      </w:r>
      <w:r>
        <w:rPr>
          <w:rFonts w:hint="eastAsia" w:ascii="仿宋_GB2312" w:hAnsi="宋体" w:eastAsia="仿宋_GB2312" w:cs="宋体"/>
          <w:color w:val="000000"/>
          <w:kern w:val="0"/>
          <w:sz w:val="32"/>
          <w:szCs w:val="32"/>
        </w:rPr>
        <w:t>保障公用及项目基本运转经费与可用经费之间存在较大差距，保障基本运转存在较大困难，对交警系统的发展造成较大影响，近年来各项装备及科技水平均处于全省落后水平。</w:t>
      </w:r>
    </w:p>
    <w:p>
      <w:pPr>
        <w:spacing w:line="560" w:lineRule="exact"/>
        <w:ind w:firstLine="643" w:firstLineChars="200"/>
        <w:rPr>
          <w:rFonts w:ascii="仿宋_GB2312" w:hAnsi="华文仿宋" w:eastAsia="仿宋_GB2312" w:cs="宋体-18030"/>
          <w:b/>
          <w:bCs/>
          <w:color w:val="000000"/>
          <w:sz w:val="32"/>
          <w:szCs w:val="32"/>
        </w:rPr>
      </w:pPr>
      <w:r>
        <w:rPr>
          <w:rFonts w:hint="eastAsia" w:ascii="仿宋_GB2312" w:hAnsi="华文仿宋" w:eastAsia="仿宋_GB2312" w:cs="宋体-18030"/>
          <w:b/>
          <w:bCs/>
          <w:color w:val="000000"/>
          <w:sz w:val="32"/>
          <w:szCs w:val="32"/>
        </w:rPr>
        <w:t>2.已批复项目资金支付困难。</w:t>
      </w:r>
    </w:p>
    <w:p>
      <w:pPr>
        <w:spacing w:line="560" w:lineRule="exact"/>
        <w:ind w:firstLine="640" w:firstLineChars="200"/>
        <w:rPr>
          <w:rFonts w:ascii="仿宋_GB2312" w:hAnsi="华文仿宋" w:eastAsia="仿宋_GB2312" w:cs="宋体-18030"/>
          <w:bCs/>
          <w:color w:val="000000"/>
          <w:sz w:val="32"/>
          <w:szCs w:val="32"/>
        </w:rPr>
      </w:pPr>
      <w:r>
        <w:rPr>
          <w:rFonts w:hint="eastAsia" w:ascii="仿宋_GB2312" w:hAnsi="Calibri" w:eastAsia="仿宋_GB2312"/>
          <w:color w:val="000000"/>
          <w:sz w:val="32"/>
          <w:szCs w:val="32"/>
        </w:rPr>
        <w:t>2020年底至今，交警支队由于已批复项目支付困难，应付未支付款项逐年增加</w:t>
      </w:r>
      <w:r>
        <w:rPr>
          <w:rFonts w:hint="eastAsia" w:ascii="仿宋_GB2312" w:hAnsi="华文仿宋" w:eastAsia="仿宋_GB2312" w:cs="宋体-18030"/>
          <w:bCs/>
          <w:color w:val="000000"/>
          <w:sz w:val="32"/>
          <w:szCs w:val="32"/>
        </w:rPr>
        <w:t>，目前支队各项实施项目均处于欠费状态，财政非税收入征收项目工作已经难以维持，交通管理服务及民生保障项目处于无力运行的状态。</w:t>
      </w:r>
    </w:p>
    <w:p>
      <w:pPr>
        <w:spacing w:line="560" w:lineRule="exact"/>
        <w:ind w:firstLine="643" w:firstLineChars="200"/>
        <w:rPr>
          <w:rFonts w:ascii="仿宋_GB2312" w:hAnsi="华文仿宋" w:eastAsia="仿宋_GB2312" w:cs="宋体-18030"/>
          <w:bCs/>
          <w:color w:val="000000"/>
          <w:sz w:val="32"/>
          <w:szCs w:val="32"/>
        </w:rPr>
      </w:pPr>
      <w:r>
        <w:rPr>
          <w:rFonts w:hint="eastAsia" w:ascii="楷体_GB2312" w:hAnsi="宋体" w:eastAsia="楷体_GB2312" w:cs="宋体"/>
          <w:b/>
          <w:color w:val="000000"/>
          <w:kern w:val="0"/>
          <w:sz w:val="32"/>
          <w:szCs w:val="32"/>
          <w:shd w:val="clear" w:color="auto" w:fill="FFFFFF"/>
          <w:lang w:val="zh-CN"/>
        </w:rPr>
        <w:t>（三）改进建议。</w:t>
      </w:r>
    </w:p>
    <w:p>
      <w:pPr>
        <w:tabs>
          <w:tab w:val="left" w:pos="1980"/>
        </w:tabs>
        <w:spacing w:line="560" w:lineRule="exact"/>
        <w:ind w:firstLine="633" w:firstLineChars="198"/>
        <w:rPr>
          <w:rFonts w:ascii="仿宋_GB2312" w:hAnsi="华文仿宋" w:eastAsia="仿宋_GB2312" w:cs="宋体-18030"/>
          <w:sz w:val="32"/>
          <w:szCs w:val="32"/>
        </w:rPr>
      </w:pPr>
      <w:r>
        <w:rPr>
          <w:rFonts w:hint="eastAsia" w:ascii="仿宋_GB2312" w:hAnsi="华文仿宋" w:eastAsia="仿宋_GB2312" w:cs="宋体-18030"/>
          <w:sz w:val="32"/>
          <w:szCs w:val="32"/>
        </w:rPr>
        <w:t>希望财政核实近几年交通管理项目经费实际情况并给予运行保障资金，使资金投入到提升社会服务水平和能力的工作中来，逐步弥补公安交通管理滚存经费缺口，提升公安交通管理现代化、科技化水平。</w:t>
      </w:r>
    </w:p>
    <w:p>
      <w:pPr>
        <w:pStyle w:val="7"/>
        <w:spacing w:line="560" w:lineRule="exact"/>
        <w:ind w:left="0" w:leftChars="0" w:firstLine="640"/>
        <w:rPr>
          <w:rFonts w:ascii="Times New Roman" w:eastAsia="仿宋_GB2312"/>
          <w:sz w:val="32"/>
          <w:lang w:bidi="ar"/>
        </w:rPr>
      </w:pPr>
    </w:p>
    <w:p>
      <w:pPr>
        <w:pStyle w:val="7"/>
        <w:spacing w:line="560" w:lineRule="exact"/>
        <w:ind w:left="0" w:leftChars="0" w:firstLine="0" w:firstLineChars="0"/>
        <w:rPr>
          <w:rFonts w:ascii="Times New Roman"/>
          <w:sz w:val="32"/>
          <w:highlight w:val="yellow"/>
          <w:lang w:val="zh-CN"/>
        </w:rPr>
      </w:pPr>
    </w:p>
    <w:p>
      <w:pPr>
        <w:pStyle w:val="5"/>
        <w:spacing w:before="93"/>
        <w:rPr>
          <w:rFonts w:ascii="Times New Roman" w:cs="宋体"/>
          <w:color w:val="FF0000"/>
          <w:sz w:val="32"/>
          <w:szCs w:val="32"/>
          <w:highlight w:val="yellow"/>
          <w:shd w:val="clear" w:color="auto" w:fill="FFFFFF"/>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pPr>
        <w:pStyle w:val="5"/>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pPr>
        <w:pStyle w:val="35"/>
        <w:spacing w:line="578" w:lineRule="exact"/>
        <w:jc w:val="center"/>
        <w:rPr>
          <w:rFonts w:ascii="Times New Roman" w:hAnsi="Times New Roman" w:eastAsia="方正小标宋简体" w:cs="方正小标宋简体"/>
          <w:color w:val="auto"/>
          <w:kern w:val="2"/>
          <w:sz w:val="44"/>
          <w:szCs w:val="44"/>
          <w:lang w:val="en-US"/>
        </w:rPr>
      </w:pPr>
    </w:p>
    <w:p>
      <w:pPr>
        <w:autoSpaceDE w:val="0"/>
        <w:autoSpaceDN w:val="0"/>
        <w:adjustRightInd w:val="0"/>
        <w:spacing w:line="600" w:lineRule="exact"/>
        <w:ind w:firstLine="880" w:firstLineChars="200"/>
        <w:jc w:val="center"/>
        <w:rPr>
          <w:rFonts w:ascii="方正小标宋_GBK" w:eastAsia="方正小标宋_GBK"/>
          <w:kern w:val="0"/>
          <w:sz w:val="44"/>
          <w:szCs w:val="44"/>
        </w:rPr>
      </w:pPr>
      <w:r>
        <w:rPr>
          <w:rFonts w:hint="eastAsia" w:ascii="方正小标宋_GBK" w:eastAsia="方正小标宋_GBK"/>
          <w:kern w:val="0"/>
          <w:sz w:val="44"/>
          <w:szCs w:val="44"/>
        </w:rPr>
        <w:t>攀枝花市公安局交通警察支队</w:t>
      </w:r>
    </w:p>
    <w:p>
      <w:pPr>
        <w:autoSpaceDE w:val="0"/>
        <w:autoSpaceDN w:val="0"/>
        <w:adjustRightInd w:val="0"/>
        <w:spacing w:line="600" w:lineRule="exact"/>
        <w:ind w:firstLine="880" w:firstLineChars="200"/>
        <w:jc w:val="center"/>
        <w:rPr>
          <w:rFonts w:ascii="方正小标宋_GBK" w:eastAsia="方正小标宋_GBK"/>
          <w:kern w:val="0"/>
          <w:sz w:val="44"/>
          <w:szCs w:val="44"/>
        </w:rPr>
      </w:pPr>
      <w:r>
        <w:rPr>
          <w:rFonts w:hint="eastAsia" w:ascii="方正小标宋_GBK" w:eastAsia="方正小标宋_GBK"/>
          <w:kern w:val="0"/>
          <w:sz w:val="44"/>
          <w:szCs w:val="44"/>
        </w:rPr>
        <w:t>部门预算项目支出绩效自评报告</w:t>
      </w:r>
    </w:p>
    <w:p>
      <w:pPr>
        <w:autoSpaceDE w:val="0"/>
        <w:autoSpaceDN w:val="0"/>
        <w:adjustRightInd w:val="0"/>
        <w:spacing w:line="600" w:lineRule="exact"/>
        <w:ind w:firstLine="880" w:firstLineChars="200"/>
        <w:jc w:val="center"/>
        <w:rPr>
          <w:rFonts w:ascii="方正小标宋_GBK" w:eastAsia="方正小标宋_GBK"/>
          <w:kern w:val="0"/>
          <w:sz w:val="44"/>
          <w:szCs w:val="44"/>
        </w:rPr>
      </w:pPr>
      <w:r>
        <w:rPr>
          <w:rFonts w:hint="eastAsia" w:ascii="方正小标宋_GBK" w:eastAsia="方正小标宋_GBK"/>
          <w:kern w:val="0"/>
          <w:sz w:val="44"/>
          <w:szCs w:val="44"/>
        </w:rPr>
        <w:t>（公安交通管理业务费项目）</w:t>
      </w:r>
    </w:p>
    <w:p>
      <w:pPr>
        <w:autoSpaceDE w:val="0"/>
        <w:autoSpaceDN w:val="0"/>
        <w:adjustRightInd w:val="0"/>
        <w:spacing w:line="600" w:lineRule="exact"/>
        <w:jc w:val="left"/>
        <w:rPr>
          <w:rFonts w:eastAsia="黑体"/>
          <w:kern w:val="0"/>
          <w:sz w:val="32"/>
          <w:szCs w:val="32"/>
        </w:rPr>
      </w:pP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一、项目概况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（一）项目基本情况。</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交警支队在公安交通管理业务费项目中职能是保障车驾管业务、公安交通管理信息化系统和交通管理一线执勤执法业务的正常运转。</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2．项目立项、资金申报的依据。</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项目的立项根据历年来财政保障公安交通管理业务工作需求。</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3</w:t>
      </w:r>
      <w:r>
        <w:rPr>
          <w:rFonts w:eastAsia="仿宋_GB2312"/>
          <w:kern w:val="0"/>
          <w:sz w:val="32"/>
          <w:szCs w:val="32"/>
        </w:rPr>
        <w:t>．资金分配的原则及考虑因素。</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项目资金根据公安交管工作实际需求进行分配。</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（二）项目绩效目标。</w:t>
      </w:r>
    </w:p>
    <w:p>
      <w:pPr>
        <w:autoSpaceDE w:val="0"/>
        <w:autoSpaceDN w:val="0"/>
        <w:adjustRightInd w:val="0"/>
        <w:spacing w:line="600" w:lineRule="exact"/>
        <w:ind w:firstLine="640" w:firstLineChars="200"/>
        <w:jc w:val="left"/>
        <w:rPr>
          <w:rFonts w:ascii="仿宋_GB2312" w:eastAsia="仿宋_GB2312"/>
          <w:sz w:val="32"/>
          <w:szCs w:val="32"/>
        </w:rPr>
      </w:pPr>
      <w:r>
        <w:rPr>
          <w:rFonts w:eastAsia="仿宋_GB2312"/>
          <w:kern w:val="0"/>
          <w:sz w:val="32"/>
          <w:szCs w:val="32"/>
        </w:rPr>
        <w:t>1．</w:t>
      </w:r>
      <w:r>
        <w:rPr>
          <w:rFonts w:hint="eastAsia" w:ascii="仿宋_GB2312" w:eastAsia="仿宋_GB2312"/>
          <w:sz w:val="32"/>
          <w:szCs w:val="32"/>
        </w:rPr>
        <w:t>本项目的主要内容</w:t>
      </w:r>
      <w:r>
        <w:rPr>
          <w:rFonts w:hint="eastAsia" w:ascii="仿宋_GB2312" w:eastAsia="仿宋_GB2312"/>
          <w:b/>
          <w:sz w:val="32"/>
          <w:szCs w:val="32"/>
        </w:rPr>
        <w:t>一是</w:t>
      </w:r>
      <w:r>
        <w:rPr>
          <w:rFonts w:hint="eastAsia" w:ascii="仿宋_GB2312" w:eastAsia="仿宋_GB2312"/>
          <w:sz w:val="32"/>
          <w:szCs w:val="32"/>
        </w:rPr>
        <w:t>保障了执法办案业务经费，通过加大对交通违法行为的打击力度，强力震慑了交通违法行为，为全市人民营造和谐、畅通、安全的道路交通通行环境；</w:t>
      </w:r>
      <w:r>
        <w:rPr>
          <w:rFonts w:hint="eastAsia" w:ascii="仿宋_GB2312" w:eastAsia="仿宋_GB2312"/>
          <w:b/>
          <w:sz w:val="32"/>
          <w:szCs w:val="32"/>
        </w:rPr>
        <w:t>二是</w:t>
      </w:r>
      <w:r>
        <w:rPr>
          <w:rFonts w:hint="eastAsia" w:ascii="仿宋_GB2312" w:eastAsia="仿宋_GB2312"/>
          <w:sz w:val="32"/>
          <w:szCs w:val="32"/>
        </w:rPr>
        <w:t>保障了全市车辆管理和驾驶员管理业务的正常开展，落实了公安交通管理“放管服”新举措，提升了管理和服务水平；</w:t>
      </w:r>
      <w:r>
        <w:rPr>
          <w:rFonts w:hint="eastAsia" w:ascii="仿宋_GB2312" w:eastAsia="仿宋_GB2312"/>
          <w:b/>
          <w:sz w:val="32"/>
          <w:szCs w:val="32"/>
        </w:rPr>
        <w:t>三是</w:t>
      </w:r>
      <w:r>
        <w:rPr>
          <w:rFonts w:hint="eastAsia" w:ascii="仿宋_GB2312" w:eastAsia="仿宋_GB2312"/>
          <w:sz w:val="32"/>
          <w:szCs w:val="32"/>
        </w:rPr>
        <w:t>保障公安交通管理信息化系统（车辆违法超速抓拍系统、一二期红绿灯系统维护、集成指挥平台及智能交通建设项目维护）的正常维护与运转；</w:t>
      </w:r>
      <w:r>
        <w:rPr>
          <w:rFonts w:hint="eastAsia" w:ascii="仿宋_GB2312" w:eastAsia="仿宋_GB2312"/>
          <w:b/>
          <w:sz w:val="32"/>
          <w:szCs w:val="32"/>
        </w:rPr>
        <w:t>四是</w:t>
      </w:r>
      <w:r>
        <w:rPr>
          <w:rFonts w:hint="eastAsia" w:ascii="仿宋_GB2312" w:eastAsia="仿宋_GB2312"/>
          <w:sz w:val="32"/>
          <w:szCs w:val="32"/>
        </w:rPr>
        <w:t>保障了道路交通标志标线的施化与维护；</w:t>
      </w:r>
      <w:r>
        <w:rPr>
          <w:rFonts w:hint="eastAsia" w:ascii="仿宋_GB2312" w:eastAsia="仿宋_GB2312"/>
          <w:b/>
          <w:sz w:val="32"/>
          <w:szCs w:val="32"/>
        </w:rPr>
        <w:t>五是</w:t>
      </w:r>
      <w:r>
        <w:rPr>
          <w:rFonts w:hint="eastAsia" w:ascii="仿宋_GB2312" w:eastAsia="仿宋_GB2312"/>
          <w:sz w:val="32"/>
          <w:szCs w:val="32"/>
        </w:rPr>
        <w:t>保障交通安全宣传和执法办案开支。</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项目的实施保障了交通管理执法办案业务和车驾管业务的正常运转，通过开展车驾业务，把好预防道路交通事故的源头关，确保人民群众的生命财产安全；通过加大对交通违法行为的打击力度，有利于营造安全、畅通的交通通行环境，保障人民群众的切身利益。</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3</w:t>
      </w:r>
      <w:r>
        <w:rPr>
          <w:rFonts w:hint="eastAsia" w:eastAsia="仿宋_GB2312"/>
          <w:kern w:val="0"/>
          <w:sz w:val="32"/>
          <w:szCs w:val="32"/>
        </w:rPr>
        <w:t>.项目申报内容与实际相符，申报目标合理可行。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项目绩效自评工作由交警支队警保部门与项目实施业务部门共同开展，通过对项目的年初设定的</w:t>
      </w:r>
      <w:r>
        <w:rPr>
          <w:rFonts w:hint="eastAsia" w:eastAsia="仿宋_GB2312"/>
          <w:sz w:val="32"/>
          <w:szCs w:val="32"/>
          <w:lang w:val="zh-CN"/>
        </w:rPr>
        <w:t>产出</w:t>
      </w:r>
      <w:r>
        <w:rPr>
          <w:rFonts w:eastAsia="仿宋_GB2312"/>
          <w:sz w:val="32"/>
          <w:szCs w:val="32"/>
          <w:lang w:val="zh-CN"/>
        </w:rPr>
        <w:t>指标、效益指标、满意度指标完成情况逐项开展自评。</w:t>
      </w:r>
    </w:p>
    <w:p>
      <w:pPr>
        <w:autoSpaceDE w:val="0"/>
        <w:autoSpaceDN w:val="0"/>
        <w:adjustRightInd w:val="0"/>
        <w:spacing w:line="600" w:lineRule="exact"/>
        <w:ind w:firstLine="640" w:firstLineChars="20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（一）项目资金申报及批复情况。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交警支队年申报公安交通管理业务费项目经费预算</w:t>
      </w:r>
      <w:r>
        <w:rPr>
          <w:rFonts w:eastAsia="仿宋_GB2312"/>
          <w:kern w:val="0"/>
          <w:sz w:val="32"/>
          <w:szCs w:val="32"/>
        </w:rPr>
        <w:t>6000</w:t>
      </w:r>
      <w:r>
        <w:rPr>
          <w:rFonts w:hint="eastAsia" w:eastAsia="仿宋_GB2312"/>
          <w:kern w:val="0"/>
          <w:sz w:val="32"/>
          <w:szCs w:val="32"/>
        </w:rPr>
        <w:t>万元，实际项目预算下达数</w:t>
      </w:r>
      <w:r>
        <w:rPr>
          <w:rFonts w:eastAsia="仿宋_GB2312"/>
          <w:kern w:val="0"/>
          <w:sz w:val="32"/>
          <w:szCs w:val="32"/>
        </w:rPr>
        <w:t>1522.1</w:t>
      </w:r>
      <w:r>
        <w:rPr>
          <w:rFonts w:hint="eastAsia" w:eastAsia="仿宋_GB2312"/>
          <w:kern w:val="0"/>
          <w:sz w:val="32"/>
          <w:szCs w:val="32"/>
        </w:rPr>
        <w:t>万元，其中：财政于年初下达交通管理非税征收成本性支出</w:t>
      </w:r>
      <w:r>
        <w:rPr>
          <w:rFonts w:eastAsia="仿宋_GB2312"/>
          <w:kern w:val="0"/>
          <w:sz w:val="32"/>
          <w:szCs w:val="32"/>
        </w:rPr>
        <w:t>267.4万元，信息化系统维护费97.57万元，结转</w:t>
      </w:r>
      <w:r>
        <w:rPr>
          <w:rFonts w:hint="eastAsia" w:eastAsia="仿宋_GB2312"/>
          <w:kern w:val="0"/>
          <w:sz w:val="32"/>
          <w:szCs w:val="32"/>
        </w:rPr>
        <w:t>2</w:t>
      </w:r>
      <w:r>
        <w:rPr>
          <w:rFonts w:eastAsia="仿宋_GB2312"/>
          <w:kern w:val="0"/>
          <w:sz w:val="32"/>
          <w:szCs w:val="32"/>
        </w:rPr>
        <w:t>024年省级政法转移支付资金指标395.17万元，年中下达</w:t>
      </w:r>
      <w:r>
        <w:rPr>
          <w:rFonts w:hint="eastAsia" w:eastAsia="仿宋_GB2312"/>
          <w:kern w:val="0"/>
          <w:sz w:val="32"/>
          <w:szCs w:val="32"/>
        </w:rPr>
        <w:t>2</w:t>
      </w:r>
      <w:r>
        <w:rPr>
          <w:rFonts w:eastAsia="仿宋_GB2312"/>
          <w:kern w:val="0"/>
          <w:sz w:val="32"/>
          <w:szCs w:val="32"/>
        </w:rPr>
        <w:t>025年省级政法转移支付资金</w:t>
      </w:r>
      <w:r>
        <w:rPr>
          <w:rFonts w:hint="eastAsia" w:eastAsia="仿宋_GB2312"/>
          <w:kern w:val="0"/>
          <w:sz w:val="32"/>
          <w:szCs w:val="32"/>
        </w:rPr>
        <w:t>6</w:t>
      </w:r>
      <w:r>
        <w:rPr>
          <w:rFonts w:eastAsia="仿宋_GB2312"/>
          <w:kern w:val="0"/>
          <w:sz w:val="32"/>
          <w:szCs w:val="32"/>
        </w:rPr>
        <w:t>92.03万元，号牌制作费</w:t>
      </w:r>
      <w:r>
        <w:rPr>
          <w:rFonts w:hint="eastAsia" w:eastAsia="仿宋_GB2312"/>
          <w:kern w:val="0"/>
          <w:sz w:val="32"/>
          <w:szCs w:val="32"/>
        </w:rPr>
        <w:t>4</w:t>
      </w:r>
      <w:r>
        <w:rPr>
          <w:rFonts w:eastAsia="仿宋_GB2312"/>
          <w:kern w:val="0"/>
          <w:sz w:val="32"/>
          <w:szCs w:val="32"/>
        </w:rPr>
        <w:t>0万元，标志标线施划及交通设施购置费</w:t>
      </w:r>
      <w:r>
        <w:rPr>
          <w:rFonts w:hint="eastAsia" w:eastAsia="仿宋_GB2312"/>
          <w:kern w:val="0"/>
          <w:sz w:val="32"/>
          <w:szCs w:val="32"/>
        </w:rPr>
        <w:t>2</w:t>
      </w:r>
      <w:r>
        <w:rPr>
          <w:rFonts w:eastAsia="仿宋_GB2312"/>
          <w:kern w:val="0"/>
          <w:sz w:val="32"/>
          <w:szCs w:val="32"/>
        </w:rPr>
        <w:t>9.93万元，</w:t>
      </w:r>
      <w:r>
        <w:rPr>
          <w:rFonts w:hint="eastAsia" w:eastAsia="仿宋_GB2312"/>
          <w:kern w:val="0"/>
          <w:sz w:val="32"/>
          <w:szCs w:val="32"/>
        </w:rPr>
        <w:t>年度执行中未申报预算调整程序。</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（二）资金计划、到位及使用情况。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1．资金计划。</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公安交通管理业务费</w:t>
      </w:r>
      <w:r>
        <w:rPr>
          <w:rFonts w:eastAsia="仿宋_GB2312"/>
          <w:kern w:val="0"/>
          <w:sz w:val="32"/>
          <w:szCs w:val="32"/>
        </w:rPr>
        <w:t>项目</w:t>
      </w:r>
      <w:r>
        <w:rPr>
          <w:rFonts w:hint="eastAsia" w:eastAsia="仿宋_GB2312"/>
          <w:kern w:val="0"/>
          <w:sz w:val="32"/>
          <w:szCs w:val="32"/>
        </w:rPr>
        <w:t>经费合计</w:t>
      </w:r>
      <w:r>
        <w:rPr>
          <w:rFonts w:eastAsia="仿宋_GB2312"/>
          <w:kern w:val="0"/>
          <w:sz w:val="32"/>
          <w:szCs w:val="32"/>
        </w:rPr>
        <w:t>1522.1</w:t>
      </w:r>
      <w:r>
        <w:rPr>
          <w:rFonts w:hint="eastAsia" w:eastAsia="仿宋_GB2312"/>
          <w:kern w:val="0"/>
          <w:sz w:val="32"/>
          <w:szCs w:val="32"/>
        </w:rPr>
        <w:t>万元，其中：市级财政资金保障</w:t>
      </w:r>
      <w:r>
        <w:rPr>
          <w:rFonts w:eastAsia="仿宋_GB2312"/>
          <w:kern w:val="0"/>
          <w:sz w:val="32"/>
          <w:szCs w:val="32"/>
        </w:rPr>
        <w:t>434.9</w:t>
      </w:r>
      <w:r>
        <w:rPr>
          <w:rFonts w:hint="eastAsia" w:eastAsia="仿宋_GB2312"/>
          <w:kern w:val="0"/>
          <w:sz w:val="32"/>
          <w:szCs w:val="32"/>
        </w:rPr>
        <w:t>万元，省财政厅通过市财政局下达省级政法转移支付资金</w:t>
      </w:r>
      <w:r>
        <w:rPr>
          <w:rFonts w:eastAsia="仿宋_GB2312"/>
          <w:kern w:val="0"/>
          <w:sz w:val="32"/>
          <w:szCs w:val="32"/>
        </w:rPr>
        <w:t>1087.2</w:t>
      </w:r>
      <w:r>
        <w:rPr>
          <w:rFonts w:hint="eastAsia" w:eastAsia="仿宋_GB2312"/>
          <w:kern w:val="0"/>
          <w:sz w:val="32"/>
          <w:szCs w:val="32"/>
        </w:rPr>
        <w:t>万元。</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2．资金到位。</w:t>
      </w:r>
    </w:p>
    <w:p>
      <w:pPr>
        <w:autoSpaceDE w:val="0"/>
        <w:autoSpaceDN w:val="0"/>
        <w:adjustRightInd w:val="0"/>
        <w:spacing w:line="600" w:lineRule="exact"/>
        <w:ind w:firstLine="640" w:firstLineChars="200"/>
        <w:jc w:val="left"/>
        <w:rPr>
          <w:rFonts w:eastAsia="楷体_GB2312"/>
          <w:kern w:val="0"/>
          <w:sz w:val="32"/>
          <w:szCs w:val="32"/>
        </w:rPr>
      </w:pPr>
      <w:r>
        <w:rPr>
          <w:rFonts w:hint="eastAsia" w:eastAsia="仿宋_GB2312"/>
          <w:kern w:val="0"/>
          <w:sz w:val="32"/>
          <w:szCs w:val="32"/>
        </w:rPr>
        <w:t>202</w:t>
      </w:r>
      <w:r>
        <w:rPr>
          <w:rFonts w:eastAsia="仿宋_GB2312"/>
          <w:kern w:val="0"/>
          <w:sz w:val="32"/>
          <w:szCs w:val="32"/>
        </w:rPr>
        <w:t>5</w:t>
      </w:r>
      <w:r>
        <w:rPr>
          <w:rFonts w:hint="eastAsia" w:eastAsia="仿宋_GB2312"/>
          <w:kern w:val="0"/>
          <w:sz w:val="32"/>
          <w:szCs w:val="32"/>
        </w:rPr>
        <w:t>年，公安交通管理业务费项目经费实际到位资金</w:t>
      </w:r>
      <w:r>
        <w:rPr>
          <w:rFonts w:eastAsia="仿宋_GB2312"/>
          <w:kern w:val="0"/>
          <w:sz w:val="32"/>
          <w:szCs w:val="32"/>
        </w:rPr>
        <w:t>1522.1</w:t>
      </w:r>
      <w:r>
        <w:rPr>
          <w:rFonts w:hint="eastAsia" w:eastAsia="仿宋_GB2312"/>
          <w:kern w:val="0"/>
          <w:sz w:val="32"/>
          <w:szCs w:val="32"/>
        </w:rPr>
        <w:t>万元，其中：市级财政资金到位</w:t>
      </w:r>
      <w:r>
        <w:rPr>
          <w:rFonts w:eastAsia="仿宋_GB2312"/>
          <w:kern w:val="0"/>
          <w:sz w:val="32"/>
          <w:szCs w:val="32"/>
        </w:rPr>
        <w:t>434.9</w:t>
      </w:r>
      <w:r>
        <w:rPr>
          <w:rFonts w:hint="eastAsia" w:eastAsia="仿宋_GB2312"/>
          <w:kern w:val="0"/>
          <w:sz w:val="32"/>
          <w:szCs w:val="32"/>
        </w:rPr>
        <w:t>万元，省财政厅通过市财政局下达省级政法转移支付资金到位</w:t>
      </w:r>
      <w:r>
        <w:rPr>
          <w:rFonts w:eastAsia="仿宋_GB2312"/>
          <w:kern w:val="0"/>
          <w:sz w:val="32"/>
          <w:szCs w:val="32"/>
        </w:rPr>
        <w:t>1087.2</w:t>
      </w:r>
      <w:r>
        <w:rPr>
          <w:rFonts w:hint="eastAsia" w:eastAsia="仿宋_GB2312"/>
          <w:kern w:val="0"/>
          <w:sz w:val="32"/>
          <w:szCs w:val="32"/>
        </w:rPr>
        <w:t>万元。</w:t>
      </w:r>
      <w:r>
        <w:rPr>
          <w:rFonts w:eastAsia="楷体_GB2312"/>
          <w:kern w:val="0"/>
          <w:sz w:val="32"/>
          <w:szCs w:val="32"/>
        </w:rPr>
        <w:t xml:space="preserve"> </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3．资金使用。</w:t>
      </w:r>
    </w:p>
    <w:p>
      <w:pPr>
        <w:autoSpaceDE w:val="0"/>
        <w:autoSpaceDN w:val="0"/>
        <w:adjustRightInd w:val="0"/>
        <w:spacing w:line="600" w:lineRule="exact"/>
        <w:ind w:firstLine="640" w:firstLineChars="200"/>
        <w:jc w:val="left"/>
        <w:rPr>
          <w:rFonts w:ascii="仿宋_GB2312" w:eastAsia="仿宋_GB2312"/>
          <w:sz w:val="32"/>
          <w:szCs w:val="32"/>
        </w:rPr>
      </w:pPr>
      <w:r>
        <w:rPr>
          <w:rFonts w:eastAsia="仿宋_GB2312"/>
          <w:kern w:val="0"/>
          <w:sz w:val="32"/>
          <w:szCs w:val="32"/>
        </w:rPr>
        <w:t>截止评价时节点该项目资金支出1522.1</w:t>
      </w:r>
      <w:r>
        <w:rPr>
          <w:rFonts w:hint="eastAsia" w:eastAsia="仿宋_GB2312"/>
          <w:kern w:val="0"/>
          <w:sz w:val="32"/>
          <w:szCs w:val="32"/>
        </w:rPr>
        <w:t>万元，执行率</w:t>
      </w:r>
      <w:r>
        <w:rPr>
          <w:rFonts w:eastAsia="仿宋_GB2312"/>
          <w:kern w:val="0"/>
          <w:sz w:val="32"/>
          <w:szCs w:val="32"/>
        </w:rPr>
        <w:t>100</w:t>
      </w:r>
      <w:r>
        <w:rPr>
          <w:rFonts w:hint="eastAsia" w:eastAsia="仿宋_GB2312"/>
          <w:kern w:val="0"/>
          <w:sz w:val="32"/>
          <w:szCs w:val="32"/>
        </w:rPr>
        <w:t>%，用于保障</w:t>
      </w:r>
      <w:r>
        <w:rPr>
          <w:rFonts w:hint="eastAsia" w:eastAsia="仿宋_GB2312"/>
          <w:b/>
          <w:kern w:val="0"/>
          <w:sz w:val="32"/>
          <w:szCs w:val="32"/>
        </w:rPr>
        <w:t>一是</w:t>
      </w:r>
      <w:r>
        <w:rPr>
          <w:rFonts w:hint="eastAsia" w:eastAsia="仿宋_GB2312"/>
          <w:kern w:val="0"/>
          <w:sz w:val="32"/>
          <w:szCs w:val="32"/>
        </w:rPr>
        <w:t>执法办案业务经费和全市车辆管理和驾驶员管理业务的正常开展；</w:t>
      </w:r>
      <w:r>
        <w:rPr>
          <w:rFonts w:hint="eastAsia" w:eastAsia="仿宋_GB2312"/>
          <w:b/>
          <w:kern w:val="0"/>
          <w:sz w:val="32"/>
          <w:szCs w:val="32"/>
        </w:rPr>
        <w:t>二是</w:t>
      </w:r>
      <w:r>
        <w:rPr>
          <w:rFonts w:hint="eastAsia" w:eastAsia="仿宋_GB2312"/>
          <w:kern w:val="0"/>
          <w:sz w:val="32"/>
          <w:szCs w:val="32"/>
        </w:rPr>
        <w:t>落实公安交通管理“放管服”新举措，提升管理和服务水平；</w:t>
      </w:r>
      <w:r>
        <w:rPr>
          <w:rFonts w:hint="eastAsia" w:ascii="仿宋_GB2312" w:eastAsia="仿宋_GB2312"/>
          <w:b/>
          <w:sz w:val="32"/>
          <w:szCs w:val="32"/>
        </w:rPr>
        <w:t>三是</w:t>
      </w:r>
      <w:r>
        <w:rPr>
          <w:rFonts w:hint="eastAsia" w:ascii="仿宋_GB2312" w:eastAsia="仿宋_GB2312"/>
          <w:sz w:val="32"/>
          <w:szCs w:val="32"/>
        </w:rPr>
        <w:t>保障公安交通管理信息化系统（车辆违法超速抓拍系统、一二期红绿灯系统维护、集成指挥平台及智能交通建设项目维护）的正常维护与运转；</w:t>
      </w:r>
      <w:r>
        <w:rPr>
          <w:rFonts w:hint="eastAsia" w:ascii="仿宋_GB2312" w:eastAsia="仿宋_GB2312"/>
          <w:b/>
          <w:sz w:val="32"/>
          <w:szCs w:val="32"/>
        </w:rPr>
        <w:t>四是</w:t>
      </w:r>
      <w:r>
        <w:rPr>
          <w:rFonts w:hint="eastAsia" w:ascii="仿宋_GB2312" w:eastAsia="仿宋_GB2312"/>
          <w:sz w:val="32"/>
          <w:szCs w:val="32"/>
        </w:rPr>
        <w:t>保障了道路交通标志标线的施化与维护；</w:t>
      </w:r>
      <w:r>
        <w:rPr>
          <w:rFonts w:hint="eastAsia" w:ascii="仿宋_GB2312" w:eastAsia="仿宋_GB2312"/>
          <w:b/>
          <w:sz w:val="32"/>
          <w:szCs w:val="32"/>
        </w:rPr>
        <w:t>五是</w:t>
      </w:r>
      <w:r>
        <w:rPr>
          <w:rFonts w:hint="eastAsia" w:ascii="仿宋_GB2312" w:eastAsia="仿宋_GB2312"/>
          <w:sz w:val="32"/>
          <w:szCs w:val="32"/>
        </w:rPr>
        <w:t>保障交通安全宣传和执法办案开支。</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（三）项目财务管理情况。</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总体评价项目实施单位财务管理制度健全，严格执行财务管理制度，账务处理及时，会计核算规范。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三、项目实施及管理情况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ascii="仿宋_GB2312" w:eastAsia="仿宋_GB2312"/>
          <w:sz w:val="32"/>
          <w:szCs w:val="32"/>
        </w:rPr>
        <w:t>该项目由支队各相关科室组织实施，如：政工科实施辅警人员经费，保障辅警队伍战斗力及权益；秩序科负责根据交通管理工作需求实施标志标线施化与维护；指挥中心负责对交通管理信息化系统管理及考核，</w:t>
      </w:r>
      <w:r>
        <w:rPr>
          <w:rFonts w:hint="eastAsia" w:eastAsia="仿宋_GB2312"/>
          <w:kern w:val="0"/>
          <w:sz w:val="32"/>
          <w:szCs w:val="32"/>
        </w:rPr>
        <w:t>车管所负责对保障车驾管业务正常运转的号牌制作费、车管所水电费、考场租赁费等项目的管理与实施；各大队负责对执法办案成本如违法驾驶人血液酒精检测费、事故车辆鉴定费、涉案停车场管理费等项目实施管理。</w:t>
      </w: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四、项目绩效情况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（一）项目完成情况。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项目的实施保障了交通管理各项业务工作的正常运转。</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（二）项目效益情况。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开展车驾业务，把好预防道路交通事故的源头关，确保人民群众的生命财产安全，加大对交通违法行为的打击力度，有利于营造安全、畅通的交通通行环境，保障人民群众的切身利益，逐步提升交通参与者满意度。</w:t>
      </w: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五、评价结论及建议</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（一）评价结论。</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公安交通管理业务费项目的正常运转保障了交通管理基本业务工作的运转，提升了交通管理执勤执法水平，营造和谐、安全、畅通的道路交通环境，保障了人民群众的生命财产安全，同时车驾管业务的有序开展和“放管服”的实施，为人民群众提供了高效优质服务，提升了交通参与者满意度。</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（二）存在的问题。</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随着近年来机动车、驾驶人保有量和道路里程不断增加，维持道路交通管理必要的软硬件设施和非税征收所需的成本也不断增加，但与此同时，受全国经济形势下行影响，交警支队在经费保障方面的困难和问题日益突出。</w:t>
      </w:r>
    </w:p>
    <w:p>
      <w:pPr>
        <w:spacing w:line="640" w:lineRule="exact"/>
        <w:ind w:firstLine="640" w:firstLineChars="200"/>
        <w:rPr>
          <w:rFonts w:ascii="仿宋_GB2312" w:hAnsi="宋体" w:eastAsia="仿宋_GB2312" w:cs="宋体"/>
          <w:color w:val="000000"/>
          <w:kern w:val="0"/>
          <w:sz w:val="32"/>
          <w:szCs w:val="32"/>
        </w:rPr>
      </w:pPr>
      <w:r>
        <w:rPr>
          <w:rFonts w:hint="eastAsia" w:ascii="仿宋_GB2312" w:eastAsia="仿宋_GB2312"/>
          <w:sz w:val="32"/>
          <w:szCs w:val="32"/>
        </w:rPr>
        <w:t>1.</w:t>
      </w:r>
      <w:r>
        <w:rPr>
          <w:rFonts w:ascii="仿宋_GB2312" w:eastAsia="仿宋_GB2312"/>
          <w:sz w:val="32"/>
          <w:szCs w:val="32"/>
        </w:rPr>
        <w:t>红绿灯及超速系统</w:t>
      </w:r>
      <w:r>
        <w:rPr>
          <w:rFonts w:hint="eastAsia" w:ascii="仿宋_GB2312" w:eastAsia="仿宋_GB2312"/>
          <w:sz w:val="32"/>
          <w:szCs w:val="32"/>
        </w:rPr>
        <w:t>、</w:t>
      </w:r>
      <w:r>
        <w:rPr>
          <w:rFonts w:ascii="仿宋_GB2312" w:eastAsia="仿宋_GB2312"/>
          <w:sz w:val="32"/>
          <w:szCs w:val="32"/>
        </w:rPr>
        <w:t>智能交通系统及集成指挥平台</w:t>
      </w:r>
      <w:r>
        <w:rPr>
          <w:rFonts w:hint="eastAsia" w:ascii="仿宋_GB2312" w:eastAsia="仿宋_GB2312"/>
          <w:sz w:val="32"/>
          <w:szCs w:val="32"/>
        </w:rPr>
        <w:t>、智能交通光纤租赁费等项目属于维护道路交通秩序重要的市政设施，每年产生各类租金、维护费等共计</w:t>
      </w:r>
      <w:r>
        <w:rPr>
          <w:rFonts w:ascii="仿宋_GB2312" w:eastAsia="仿宋_GB2312"/>
          <w:sz w:val="32"/>
          <w:szCs w:val="32"/>
        </w:rPr>
        <w:t>1000余</w:t>
      </w:r>
      <w:r>
        <w:rPr>
          <w:rFonts w:hint="eastAsia" w:ascii="仿宋_GB2312" w:eastAsia="仿宋_GB2312"/>
          <w:sz w:val="32"/>
          <w:szCs w:val="32"/>
        </w:rPr>
        <w:t>万元，2021年前，财政以专项经费的方式下达了以上项目的预算指标，但从2022年开始，未下达专项经费。目前，财政下达的信息化系统维护项目经费仅</w:t>
      </w:r>
      <w:r>
        <w:rPr>
          <w:rFonts w:ascii="仿宋_GB2312" w:eastAsia="仿宋_GB2312"/>
          <w:sz w:val="32"/>
          <w:szCs w:val="32"/>
        </w:rPr>
        <w:t>300</w:t>
      </w:r>
      <w:r>
        <w:rPr>
          <w:rFonts w:hint="eastAsia" w:ascii="仿宋_GB2312" w:eastAsia="仿宋_GB2312"/>
          <w:sz w:val="32"/>
          <w:szCs w:val="32"/>
        </w:rPr>
        <w:t>万，保障支队自身信息化建设及维护都非常困难，更无力支付上述市政设施的相关费用。</w:t>
      </w:r>
      <w:r>
        <w:rPr>
          <w:rFonts w:hint="eastAsia" w:ascii="仿宋_GB2312" w:hAnsi="宋体" w:eastAsia="仿宋_GB2312" w:cs="宋体"/>
          <w:color w:val="000000"/>
          <w:kern w:val="0"/>
          <w:sz w:val="32"/>
          <w:szCs w:val="32"/>
        </w:rPr>
        <w:t xml:space="preserve"> </w:t>
      </w:r>
    </w:p>
    <w:p>
      <w:pPr>
        <w:spacing w:line="640" w:lineRule="exact"/>
        <w:ind w:firstLine="320" w:firstLineChars="100"/>
        <w:rPr>
          <w:rFonts w:eastAsia="仿宋_GB2312"/>
          <w:sz w:val="32"/>
          <w:szCs w:val="32"/>
        </w:rPr>
      </w:pPr>
      <w:r>
        <w:rPr>
          <w:rFonts w:ascii="仿宋_GB2312" w:hAnsi="宋体" w:eastAsia="仿宋_GB2312" w:cs="宋体"/>
          <w:color w:val="000000"/>
          <w:kern w:val="0"/>
          <w:sz w:val="32"/>
          <w:szCs w:val="32"/>
        </w:rPr>
        <w:t xml:space="preserve"> </w:t>
      </w:r>
      <w:r>
        <w:rPr>
          <w:rFonts w:hint="eastAsia" w:ascii="仿宋_GB2312" w:eastAsia="仿宋_GB2312"/>
          <w:sz w:val="32"/>
          <w:szCs w:val="32"/>
        </w:rPr>
        <w:t>2.辅警经费的问题。</w:t>
      </w:r>
      <w:r>
        <w:rPr>
          <w:rFonts w:ascii="仿宋_GB2312" w:eastAsia="仿宋_GB2312"/>
          <w:sz w:val="32"/>
          <w:szCs w:val="32"/>
        </w:rPr>
        <w:t>市财政按照6.2万元/人</w:t>
      </w:r>
      <w:r>
        <w:rPr>
          <w:rFonts w:hint="eastAsia" w:ascii="仿宋_GB2312" w:eastAsia="仿宋_GB2312"/>
          <w:sz w:val="32"/>
          <w:szCs w:val="32"/>
        </w:rPr>
        <w:t>/</w:t>
      </w:r>
      <w:r>
        <w:rPr>
          <w:rFonts w:ascii="仿宋_GB2312" w:eastAsia="仿宋_GB2312"/>
          <w:sz w:val="32"/>
          <w:szCs w:val="32"/>
        </w:rPr>
        <w:t>年的标准保障交警支队185名警务辅助人员，全年辅警经费1147万元</w:t>
      </w:r>
      <w:r>
        <w:rPr>
          <w:rFonts w:hint="eastAsia" w:ascii="仿宋_GB2312" w:eastAsia="仿宋_GB2312"/>
          <w:sz w:val="32"/>
          <w:szCs w:val="32"/>
        </w:rPr>
        <w:t>。</w:t>
      </w:r>
      <w:r>
        <w:rPr>
          <w:rFonts w:hint="eastAsia" w:eastAsia="仿宋_GB2312"/>
          <w:sz w:val="32"/>
          <w:szCs w:val="32"/>
        </w:rPr>
        <w:t>警务辅助人员是交警执勤执法的重要辅助，每年也需参加警务训练、承担出差任务、购置警用被装、开展慰问等无经费来源渠道</w:t>
      </w:r>
      <w:r>
        <w:rPr>
          <w:rFonts w:hint="eastAsia" w:ascii="仿宋_GB2312" w:hAnsi="宋体" w:eastAsia="仿宋_GB2312" w:cs="宋体"/>
          <w:color w:val="000000"/>
          <w:kern w:val="0"/>
          <w:sz w:val="32"/>
          <w:szCs w:val="32"/>
        </w:rPr>
        <w:t>。</w:t>
      </w:r>
    </w:p>
    <w:p>
      <w:pPr>
        <w:spacing w:line="640" w:lineRule="exact"/>
        <w:ind w:firstLine="640" w:firstLineChars="200"/>
        <w:rPr>
          <w:rFonts w:ascii="仿宋_GB2312" w:hAnsi="宋体" w:eastAsia="仿宋_GB2312" w:cs="宋体"/>
          <w:color w:val="000000"/>
          <w:kern w:val="0"/>
          <w:sz w:val="32"/>
          <w:szCs w:val="32"/>
        </w:rPr>
      </w:pPr>
      <w:r>
        <w:rPr>
          <w:rFonts w:hint="eastAsia" w:eastAsia="仿宋_GB2312"/>
          <w:sz w:val="32"/>
          <w:szCs w:val="32"/>
        </w:rPr>
        <w:t>3.交警支队食堂目前有380余民辅警就餐，食堂全年正常运转的费用约240万元，该项经费财政仅2021年下达了60万元，之后未再下达，所有费用交警支队均通过公用经费及特别业务费弥补，严重挤占公用经费空间。</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（三）相关建议。</w:t>
      </w:r>
    </w:p>
    <w:p>
      <w:pPr>
        <w:tabs>
          <w:tab w:val="left" w:pos="1980"/>
        </w:tabs>
        <w:snapToGrid w:val="0"/>
        <w:spacing w:line="560" w:lineRule="exact"/>
        <w:ind w:firstLine="640" w:firstLineChars="200"/>
        <w:rPr>
          <w:rFonts w:ascii="仿宋_GB2312" w:hAnsi="华文仿宋" w:eastAsia="仿宋_GB2312" w:cs="宋体-18030"/>
          <w:sz w:val="32"/>
          <w:szCs w:val="32"/>
        </w:rPr>
      </w:pPr>
      <w:r>
        <w:rPr>
          <w:rFonts w:hint="eastAsia" w:ascii="仿宋_GB2312" w:hAnsi="华文仿宋" w:eastAsia="仿宋_GB2312" w:cs="宋体-18030"/>
          <w:sz w:val="32"/>
          <w:szCs w:val="32"/>
        </w:rPr>
        <w:t>建议财政逐步解决交警支队经费缺口问题，确保公安交通管理事业的顺利开展。</w:t>
      </w: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r>
        <w:rPr>
          <w:rFonts w:hint="eastAsia" w:ascii="仿宋_GB2312" w:hAnsi="华文仿宋" w:eastAsia="仿宋_GB2312" w:cs="宋体-18030"/>
          <w:sz w:val="32"/>
          <w:szCs w:val="32"/>
        </w:rPr>
        <w:t xml:space="preserve"> </w:t>
      </w:r>
      <w:r>
        <w:rPr>
          <w:rFonts w:ascii="仿宋_GB2312" w:hAnsi="华文仿宋" w:eastAsia="仿宋_GB2312" w:cs="宋体-18030"/>
          <w:sz w:val="32"/>
          <w:szCs w:val="32"/>
        </w:rPr>
        <w:t xml:space="preserve">                 </w:t>
      </w: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adjustRightInd w:val="0"/>
        <w:snapToGrid w:val="0"/>
        <w:spacing w:line="600" w:lineRule="exact"/>
        <w:ind w:firstLine="720"/>
        <w:rPr>
          <w:rFonts w:eastAsia="黑体"/>
          <w:sz w:val="32"/>
          <w:szCs w:val="32"/>
        </w:rPr>
      </w:pPr>
    </w:p>
    <w:p>
      <w:pPr>
        <w:adjustRightInd w:val="0"/>
        <w:snapToGrid w:val="0"/>
        <w:spacing w:line="600" w:lineRule="exact"/>
        <w:ind w:firstLine="720"/>
        <w:rPr>
          <w:rFonts w:eastAsia="黑体"/>
          <w:sz w:val="32"/>
          <w:szCs w:val="32"/>
        </w:rPr>
      </w:pPr>
    </w:p>
    <w:p>
      <w:pPr>
        <w:adjustRightInd w:val="0"/>
        <w:snapToGrid w:val="0"/>
        <w:spacing w:line="600" w:lineRule="exact"/>
        <w:ind w:firstLine="720"/>
        <w:rPr>
          <w:rFonts w:eastAsia="黑体"/>
          <w:sz w:val="32"/>
          <w:szCs w:val="32"/>
        </w:rPr>
      </w:pPr>
    </w:p>
    <w:p>
      <w:pPr>
        <w:adjustRightInd w:val="0"/>
        <w:snapToGrid w:val="0"/>
        <w:spacing w:line="600" w:lineRule="exact"/>
        <w:ind w:firstLine="720"/>
        <w:rPr>
          <w:rFonts w:eastAsia="黑体"/>
          <w:sz w:val="32"/>
          <w:szCs w:val="32"/>
        </w:rPr>
      </w:pPr>
    </w:p>
    <w:p>
      <w:pPr>
        <w:adjustRightInd w:val="0"/>
        <w:snapToGrid w:val="0"/>
        <w:spacing w:line="600" w:lineRule="exact"/>
        <w:ind w:firstLine="720"/>
        <w:rPr>
          <w:rFonts w:eastAsia="黑体"/>
          <w:sz w:val="32"/>
          <w:szCs w:val="32"/>
        </w:rPr>
      </w:pPr>
    </w:p>
    <w:p>
      <w:pPr>
        <w:adjustRightInd w:val="0"/>
        <w:snapToGrid w:val="0"/>
        <w:spacing w:line="600" w:lineRule="exact"/>
        <w:ind w:firstLine="720"/>
        <w:rPr>
          <w:rFonts w:eastAsia="黑体"/>
          <w:sz w:val="32"/>
          <w:szCs w:val="32"/>
        </w:rPr>
      </w:pPr>
    </w:p>
    <w:p>
      <w:pPr>
        <w:adjustRightInd w:val="0"/>
        <w:snapToGrid w:val="0"/>
        <w:spacing w:line="600" w:lineRule="exact"/>
        <w:ind w:firstLine="720"/>
        <w:rPr>
          <w:rFonts w:eastAsia="黑体"/>
          <w:sz w:val="32"/>
          <w:szCs w:val="32"/>
        </w:rPr>
      </w:pPr>
    </w:p>
    <w:p>
      <w:pPr>
        <w:autoSpaceDE w:val="0"/>
        <w:autoSpaceDN w:val="0"/>
        <w:adjustRightInd w:val="0"/>
        <w:spacing w:line="600" w:lineRule="exact"/>
        <w:ind w:firstLine="880" w:firstLineChars="200"/>
        <w:jc w:val="center"/>
        <w:rPr>
          <w:rFonts w:ascii="方正小标宋_GBK" w:eastAsia="方正小标宋_GBK"/>
          <w:kern w:val="0"/>
          <w:sz w:val="44"/>
          <w:szCs w:val="44"/>
        </w:rPr>
      </w:pPr>
    </w:p>
    <w:p>
      <w:pPr>
        <w:autoSpaceDE w:val="0"/>
        <w:autoSpaceDN w:val="0"/>
        <w:adjustRightInd w:val="0"/>
        <w:spacing w:line="600" w:lineRule="exact"/>
        <w:ind w:firstLine="880" w:firstLineChars="200"/>
        <w:jc w:val="center"/>
        <w:rPr>
          <w:rFonts w:ascii="方正小标宋_GBK" w:eastAsia="方正小标宋_GBK"/>
          <w:kern w:val="0"/>
          <w:sz w:val="44"/>
          <w:szCs w:val="44"/>
        </w:rPr>
      </w:pPr>
      <w:r>
        <w:rPr>
          <w:rFonts w:hint="eastAsia" w:ascii="方正小标宋_GBK" w:eastAsia="方正小标宋_GBK"/>
          <w:kern w:val="0"/>
          <w:sz w:val="44"/>
          <w:szCs w:val="44"/>
        </w:rPr>
        <w:t>攀枝花市公安局交通警察支队</w:t>
      </w:r>
    </w:p>
    <w:p>
      <w:pPr>
        <w:autoSpaceDE w:val="0"/>
        <w:autoSpaceDN w:val="0"/>
        <w:adjustRightInd w:val="0"/>
        <w:spacing w:line="600" w:lineRule="exact"/>
        <w:ind w:firstLine="880" w:firstLineChars="200"/>
        <w:jc w:val="center"/>
        <w:rPr>
          <w:rFonts w:ascii="方正小标宋_GBK" w:eastAsia="方正小标宋_GBK"/>
          <w:kern w:val="0"/>
          <w:sz w:val="44"/>
          <w:szCs w:val="44"/>
        </w:rPr>
      </w:pPr>
      <w:r>
        <w:rPr>
          <w:rFonts w:hint="eastAsia" w:ascii="方正小标宋_GBK" w:eastAsia="方正小标宋_GBK"/>
          <w:kern w:val="0"/>
          <w:sz w:val="44"/>
          <w:szCs w:val="44"/>
        </w:rPr>
        <w:t>部门预算项目支出绩效自评报告</w:t>
      </w:r>
    </w:p>
    <w:p>
      <w:pPr>
        <w:autoSpaceDE w:val="0"/>
        <w:autoSpaceDN w:val="0"/>
        <w:adjustRightInd w:val="0"/>
        <w:spacing w:line="600" w:lineRule="exact"/>
        <w:ind w:firstLine="880" w:firstLineChars="200"/>
        <w:jc w:val="center"/>
        <w:rPr>
          <w:rFonts w:ascii="方正小标宋_GBK" w:eastAsia="方正小标宋_GBK"/>
          <w:kern w:val="0"/>
          <w:sz w:val="44"/>
          <w:szCs w:val="44"/>
        </w:rPr>
      </w:pPr>
      <w:r>
        <w:rPr>
          <w:rFonts w:hint="eastAsia" w:ascii="方正小标宋_GBK" w:eastAsia="方正小标宋_GBK"/>
          <w:kern w:val="0"/>
          <w:sz w:val="44"/>
          <w:szCs w:val="44"/>
        </w:rPr>
        <w:t>（特别业务费）</w:t>
      </w:r>
    </w:p>
    <w:p>
      <w:pPr>
        <w:autoSpaceDE w:val="0"/>
        <w:autoSpaceDN w:val="0"/>
        <w:adjustRightInd w:val="0"/>
        <w:spacing w:line="600" w:lineRule="exact"/>
        <w:jc w:val="left"/>
        <w:rPr>
          <w:rFonts w:eastAsia="黑体"/>
          <w:kern w:val="0"/>
          <w:sz w:val="32"/>
          <w:szCs w:val="32"/>
        </w:rPr>
      </w:pP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一、项目概况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（一）项目基本情况。</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交警支队在特别业务费项目中职能是保障公安交通管理基本办公业务的正常运转。</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2．项目立项、资金申报的依据。</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项目的立项根据市财政局核定的公安人均公用经费保障标准核定的，交警支队为2</w:t>
      </w:r>
      <w:r>
        <w:rPr>
          <w:rFonts w:eastAsia="仿宋_GB2312"/>
          <w:kern w:val="0"/>
          <w:sz w:val="32"/>
          <w:szCs w:val="32"/>
        </w:rPr>
        <w:t>.8万元</w:t>
      </w:r>
      <w:r>
        <w:rPr>
          <w:rFonts w:hint="eastAsia" w:eastAsia="仿宋_GB2312"/>
          <w:kern w:val="0"/>
          <w:sz w:val="32"/>
          <w:szCs w:val="32"/>
        </w:rPr>
        <w:t>/人/年，用于弥补公安公用经费不足。</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3</w:t>
      </w:r>
      <w:r>
        <w:rPr>
          <w:rFonts w:eastAsia="仿宋_GB2312"/>
          <w:kern w:val="0"/>
          <w:sz w:val="32"/>
          <w:szCs w:val="32"/>
        </w:rPr>
        <w:t>．资金分配的原则及考虑因素。</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项目资金根据公安交管工作实际需求进行分配。</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（二）项目绩效目标。</w:t>
      </w:r>
    </w:p>
    <w:p>
      <w:pPr>
        <w:autoSpaceDE w:val="0"/>
        <w:autoSpaceDN w:val="0"/>
        <w:adjustRightInd w:val="0"/>
        <w:spacing w:line="600" w:lineRule="exact"/>
        <w:ind w:firstLine="640" w:firstLineChars="200"/>
        <w:jc w:val="left"/>
        <w:rPr>
          <w:rFonts w:ascii="仿宋_GB2312" w:eastAsia="仿宋_GB2312"/>
          <w:sz w:val="32"/>
          <w:szCs w:val="32"/>
        </w:rPr>
      </w:pPr>
      <w:r>
        <w:rPr>
          <w:rFonts w:eastAsia="仿宋_GB2312"/>
          <w:kern w:val="0"/>
          <w:sz w:val="32"/>
          <w:szCs w:val="32"/>
        </w:rPr>
        <w:t>1．</w:t>
      </w:r>
      <w:r>
        <w:rPr>
          <w:rFonts w:hint="eastAsia" w:ascii="仿宋_GB2312" w:eastAsia="仿宋_GB2312"/>
          <w:sz w:val="32"/>
          <w:szCs w:val="32"/>
        </w:rPr>
        <w:t>本项目的主要内容用于支付办公区域电费、零星维护费、部分一线执勤执法人员食堂开支，弥补公安公用经费不足的情况，保障交通管理基本业务的正常运转。</w:t>
      </w:r>
    </w:p>
    <w:p>
      <w:pPr>
        <w:autoSpaceDE w:val="0"/>
        <w:autoSpaceDN w:val="0"/>
        <w:adjustRightInd w:val="0"/>
        <w:spacing w:line="600" w:lineRule="exact"/>
        <w:ind w:left="420" w:left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.项目的实施保障了公安交通管理基本业务的正常运转。</w:t>
      </w:r>
      <w:r>
        <w:rPr>
          <w:rFonts w:eastAsia="仿宋_GB2312"/>
          <w:kern w:val="0"/>
          <w:sz w:val="32"/>
          <w:szCs w:val="32"/>
        </w:rPr>
        <w:t>3</w:t>
      </w:r>
      <w:r>
        <w:rPr>
          <w:rFonts w:hint="eastAsia" w:eastAsia="仿宋_GB2312"/>
          <w:kern w:val="0"/>
          <w:sz w:val="32"/>
          <w:szCs w:val="32"/>
        </w:rPr>
        <w:t>.项目申报内容与实际相符，申报目标合理可行。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项目绩效自评工作由交警支队警保部门与项目实施业务部门共同开展，通过对项目的年初设定的</w:t>
      </w:r>
      <w:r>
        <w:rPr>
          <w:rFonts w:hint="eastAsia" w:eastAsia="仿宋_GB2312"/>
          <w:sz w:val="32"/>
          <w:szCs w:val="32"/>
          <w:lang w:val="zh-CN"/>
        </w:rPr>
        <w:t>产出</w:t>
      </w:r>
      <w:r>
        <w:rPr>
          <w:rFonts w:eastAsia="仿宋_GB2312"/>
          <w:sz w:val="32"/>
          <w:szCs w:val="32"/>
          <w:lang w:val="zh-CN"/>
        </w:rPr>
        <w:t>指标、效益指标、满意度指标完成情况逐项开展自评。</w:t>
      </w:r>
    </w:p>
    <w:p>
      <w:pPr>
        <w:autoSpaceDE w:val="0"/>
        <w:autoSpaceDN w:val="0"/>
        <w:adjustRightInd w:val="0"/>
        <w:spacing w:line="600" w:lineRule="exact"/>
        <w:ind w:firstLine="640" w:firstLineChars="20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（一）项目资金申报及批复情况。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交警支队申报特别业务费预算</w:t>
      </w:r>
      <w:r>
        <w:rPr>
          <w:rFonts w:eastAsia="仿宋_GB2312"/>
          <w:kern w:val="0"/>
          <w:sz w:val="32"/>
          <w:szCs w:val="32"/>
        </w:rPr>
        <w:t>177.31</w:t>
      </w:r>
      <w:r>
        <w:rPr>
          <w:rFonts w:hint="eastAsia" w:eastAsia="仿宋_GB2312"/>
          <w:kern w:val="0"/>
          <w:sz w:val="32"/>
          <w:szCs w:val="32"/>
        </w:rPr>
        <w:t>万元，实际项目预算下达数</w:t>
      </w:r>
      <w:r>
        <w:rPr>
          <w:rFonts w:eastAsia="仿宋_GB2312"/>
          <w:kern w:val="0"/>
          <w:sz w:val="32"/>
          <w:szCs w:val="32"/>
        </w:rPr>
        <w:t>177.31</w:t>
      </w:r>
      <w:r>
        <w:rPr>
          <w:rFonts w:hint="eastAsia" w:eastAsia="仿宋_GB2312"/>
          <w:kern w:val="0"/>
          <w:sz w:val="32"/>
          <w:szCs w:val="32"/>
        </w:rPr>
        <w:t>万元.年度执行中未申报预算调整程序。</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（二）资金计划、到位及使用情况。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1．资金计划。</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特别业务费</w:t>
      </w:r>
      <w:r>
        <w:rPr>
          <w:rFonts w:eastAsia="仿宋_GB2312"/>
          <w:kern w:val="0"/>
          <w:sz w:val="32"/>
          <w:szCs w:val="32"/>
        </w:rPr>
        <w:t>项目</w:t>
      </w:r>
      <w:r>
        <w:rPr>
          <w:rFonts w:hint="eastAsia" w:eastAsia="仿宋_GB2312"/>
          <w:kern w:val="0"/>
          <w:sz w:val="32"/>
          <w:szCs w:val="32"/>
        </w:rPr>
        <w:t>经费合计</w:t>
      </w:r>
      <w:r>
        <w:rPr>
          <w:rFonts w:eastAsia="仿宋_GB2312"/>
          <w:kern w:val="0"/>
          <w:sz w:val="32"/>
          <w:szCs w:val="32"/>
        </w:rPr>
        <w:t>177.31</w:t>
      </w:r>
      <w:r>
        <w:rPr>
          <w:rFonts w:hint="eastAsia" w:eastAsia="仿宋_GB2312"/>
          <w:kern w:val="0"/>
          <w:sz w:val="32"/>
          <w:szCs w:val="32"/>
        </w:rPr>
        <w:t>万元，全部为市级财政资金保障。</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2．资金到位。</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202</w:t>
      </w:r>
      <w:r>
        <w:rPr>
          <w:rFonts w:eastAsia="仿宋_GB2312"/>
          <w:kern w:val="0"/>
          <w:sz w:val="32"/>
          <w:szCs w:val="32"/>
        </w:rPr>
        <w:t>5</w:t>
      </w:r>
      <w:r>
        <w:rPr>
          <w:rFonts w:hint="eastAsia" w:eastAsia="仿宋_GB2312"/>
          <w:kern w:val="0"/>
          <w:sz w:val="32"/>
          <w:szCs w:val="32"/>
        </w:rPr>
        <w:t>年，交警支队特别业务费实际到位资金</w:t>
      </w:r>
      <w:r>
        <w:rPr>
          <w:rFonts w:eastAsia="仿宋_GB2312"/>
          <w:kern w:val="0"/>
          <w:sz w:val="32"/>
          <w:szCs w:val="32"/>
        </w:rPr>
        <w:t>177.31</w:t>
      </w:r>
      <w:r>
        <w:rPr>
          <w:rFonts w:hint="eastAsia" w:eastAsia="仿宋_GB2312"/>
          <w:kern w:val="0"/>
          <w:sz w:val="32"/>
          <w:szCs w:val="32"/>
        </w:rPr>
        <w:t>万元，全部为实际财政资金。</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3．资金使用。</w:t>
      </w:r>
    </w:p>
    <w:p>
      <w:pPr>
        <w:autoSpaceDE w:val="0"/>
        <w:autoSpaceDN w:val="0"/>
        <w:adjustRightInd w:val="0"/>
        <w:spacing w:line="600" w:lineRule="exact"/>
        <w:ind w:firstLine="640" w:firstLineChars="200"/>
        <w:jc w:val="left"/>
        <w:rPr>
          <w:rFonts w:eastAsia="仿宋_GB2312"/>
          <w:b/>
          <w:kern w:val="0"/>
          <w:sz w:val="32"/>
          <w:szCs w:val="32"/>
        </w:rPr>
      </w:pPr>
      <w:r>
        <w:rPr>
          <w:rFonts w:eastAsia="仿宋_GB2312"/>
          <w:kern w:val="0"/>
          <w:sz w:val="32"/>
          <w:szCs w:val="32"/>
        </w:rPr>
        <w:t>截止评价时节点该项目资金支出177.31</w:t>
      </w:r>
      <w:r>
        <w:rPr>
          <w:rFonts w:hint="eastAsia" w:eastAsia="仿宋_GB2312"/>
          <w:kern w:val="0"/>
          <w:sz w:val="32"/>
          <w:szCs w:val="32"/>
        </w:rPr>
        <w:t>万元，执行率</w:t>
      </w:r>
      <w:r>
        <w:rPr>
          <w:rFonts w:eastAsia="仿宋_GB2312"/>
          <w:kern w:val="0"/>
          <w:sz w:val="32"/>
          <w:szCs w:val="32"/>
        </w:rPr>
        <w:t>100</w:t>
      </w:r>
      <w:r>
        <w:rPr>
          <w:rFonts w:hint="eastAsia" w:eastAsia="仿宋_GB2312"/>
          <w:kern w:val="0"/>
          <w:sz w:val="32"/>
          <w:szCs w:val="32"/>
        </w:rPr>
        <w:t>%，用于保障支队办公区域电费、零星维修费、一线执勤执法人员部分食堂开支等，弥补公安公用经费不足的情况。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（三）项目财务管理情况。</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总体评价项目实施单位财务管理制度健全，严格执行财务管理制度，账务处理及时，会计核算规范。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三、项目实施及管理情况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ascii="仿宋_GB2312" w:eastAsia="仿宋_GB2312"/>
          <w:sz w:val="32"/>
          <w:szCs w:val="32"/>
        </w:rPr>
        <w:t>该项目由支队各相关科室组织实施，如：支队机关和直管大队负责办公区域电费及零星维修费和食堂开支管理等。</w:t>
      </w:r>
      <w:r>
        <w:rPr>
          <w:rFonts w:eastAsia="仿宋_GB2312"/>
          <w:kern w:val="0"/>
          <w:sz w:val="32"/>
          <w:szCs w:val="32"/>
        </w:rPr>
        <w:t xml:space="preserve"> </w:t>
      </w: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四、项目绩效情况</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（一）项目完成情况。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项目的实施保障了交通管理各项业务工作的正常运转。</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（二）项目效益情况。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项目经费弥补支队公用经费不足的情况，保障交通管理基本业务的正常运转。</w:t>
      </w:r>
    </w:p>
    <w:p>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五、评价结论及建议</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（一）评价结论。</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交警支队特别业务</w:t>
      </w:r>
      <w:r>
        <w:rPr>
          <w:rFonts w:hint="eastAsia" w:ascii="仿宋_GB2312" w:hAnsi="微软雅黑" w:eastAsia="仿宋_GB2312" w:cs="微软雅黑"/>
          <w:kern w:val="0"/>
          <w:sz w:val="32"/>
          <w:szCs w:val="32"/>
        </w:rPr>
        <w:t>费</w:t>
      </w:r>
      <w:r>
        <w:rPr>
          <w:rFonts w:hint="eastAsia" w:eastAsia="仿宋_GB2312"/>
          <w:kern w:val="0"/>
          <w:sz w:val="32"/>
          <w:szCs w:val="32"/>
        </w:rPr>
        <w:t>项目的正常运转保障了交通管理基本业务工作的运转，提升了交通管理执勤执法水平，营造和谐、安全、畅通的道路交通环境，保障了人民群众的生命财产安全，提升了交通参与者满意度。</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（二）存在的问题。</w:t>
      </w:r>
    </w:p>
    <w:p>
      <w:pPr>
        <w:autoSpaceDE w:val="0"/>
        <w:autoSpaceDN w:val="0"/>
        <w:adjustRightInd w:val="0"/>
        <w:spacing w:line="600" w:lineRule="exact"/>
        <w:ind w:firstLine="960" w:firstLineChars="300"/>
        <w:jc w:val="left"/>
        <w:rPr>
          <w:rFonts w:ascii="仿宋_GB2312" w:eastAsia="仿宋_GB2312"/>
          <w:color w:val="000000"/>
          <w:sz w:val="32"/>
          <w:szCs w:val="32"/>
        </w:rPr>
      </w:pPr>
      <w:r>
        <w:rPr>
          <w:rFonts w:hint="eastAsia" w:ascii="仿宋_GB2312" w:eastAsia="仿宋_GB2312"/>
          <w:color w:val="000000"/>
          <w:sz w:val="32"/>
          <w:szCs w:val="32"/>
        </w:rPr>
        <w:t>无。</w:t>
      </w:r>
    </w:p>
    <w:p>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（三）相关建议。</w:t>
      </w:r>
    </w:p>
    <w:p>
      <w:pPr>
        <w:tabs>
          <w:tab w:val="left" w:pos="1980"/>
        </w:tabs>
        <w:snapToGrid w:val="0"/>
        <w:spacing w:line="560" w:lineRule="exact"/>
        <w:ind w:firstLine="960" w:firstLineChars="300"/>
        <w:rPr>
          <w:rFonts w:ascii="仿宋_GB2312" w:hAnsi="华文仿宋" w:eastAsia="仿宋_GB2312" w:cs="宋体-18030"/>
          <w:sz w:val="32"/>
          <w:szCs w:val="32"/>
        </w:rPr>
      </w:pPr>
      <w:r>
        <w:rPr>
          <w:rFonts w:hint="eastAsia" w:ascii="仿宋_GB2312" w:hAnsi="华文仿宋" w:eastAsia="仿宋_GB2312" w:cs="宋体-18030"/>
          <w:sz w:val="32"/>
          <w:szCs w:val="32"/>
        </w:rPr>
        <w:t>无。</w:t>
      </w: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r>
        <w:rPr>
          <w:rFonts w:hint="eastAsia" w:ascii="仿宋_GB2312" w:hAnsi="华文仿宋" w:eastAsia="仿宋_GB2312" w:cs="宋体-18030"/>
          <w:sz w:val="32"/>
          <w:szCs w:val="32"/>
        </w:rPr>
        <w:t xml:space="preserve"> </w:t>
      </w:r>
      <w:r>
        <w:rPr>
          <w:rFonts w:ascii="仿宋_GB2312" w:hAnsi="华文仿宋" w:eastAsia="仿宋_GB2312" w:cs="宋体-18030"/>
          <w:sz w:val="32"/>
          <w:szCs w:val="32"/>
        </w:rPr>
        <w:t xml:space="preserve">                 </w:t>
      </w: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640" w:firstLineChars="200"/>
        <w:rPr>
          <w:rFonts w:ascii="仿宋_GB2312" w:hAnsi="华文仿宋" w:eastAsia="仿宋_GB2312" w:cs="宋体-18030"/>
          <w:sz w:val="32"/>
          <w:szCs w:val="32"/>
        </w:rPr>
      </w:pPr>
    </w:p>
    <w:p>
      <w:pPr>
        <w:tabs>
          <w:tab w:val="left" w:pos="1980"/>
        </w:tabs>
        <w:snapToGrid w:val="0"/>
        <w:spacing w:line="560" w:lineRule="exact"/>
        <w:ind w:firstLine="1200" w:firstLineChars="200"/>
        <w:rPr>
          <w:rFonts w:ascii="方正小标宋_GBK" w:hAnsi="Calibri" w:eastAsia="方正小标宋_GBK"/>
          <w:color w:val="FF0000"/>
          <w:sz w:val="60"/>
          <w:szCs w:val="60"/>
          <w:u w:val="double"/>
        </w:rPr>
      </w:pPr>
    </w:p>
    <w:p>
      <w:pPr>
        <w:rPr>
          <w:rFonts w:ascii="方正小标宋_GBK" w:hAnsi="Calibri" w:eastAsia="方正小标宋_GBK"/>
          <w:color w:val="FF0000"/>
          <w:sz w:val="60"/>
          <w:szCs w:val="60"/>
          <w:u w:val="double"/>
        </w:rPr>
      </w:pPr>
    </w:p>
    <w:p>
      <w:pPr>
        <w:spacing w:line="600" w:lineRule="exact"/>
        <w:jc w:val="center"/>
        <w:rPr>
          <w:rFonts w:eastAsia="方正小标宋简体"/>
          <w:sz w:val="44"/>
          <w:szCs w:val="44"/>
          <w:lang w:val="zh-CN"/>
        </w:rPr>
      </w:pPr>
      <w:r>
        <w:rPr>
          <w:rFonts w:hint="eastAsia" w:eastAsia="方正小标宋简体"/>
          <w:sz w:val="44"/>
          <w:szCs w:val="44"/>
          <w:lang w:val="zh-CN"/>
        </w:rPr>
        <w:t>攀枝花市</w:t>
      </w:r>
      <w:r>
        <w:rPr>
          <w:rFonts w:eastAsia="方正小标宋简体"/>
          <w:sz w:val="44"/>
          <w:szCs w:val="44"/>
          <w:lang w:val="zh-CN"/>
        </w:rPr>
        <w:t>公安局交通警察支队</w:t>
      </w:r>
    </w:p>
    <w:p>
      <w:pPr>
        <w:spacing w:line="600" w:lineRule="exact"/>
        <w:jc w:val="center"/>
        <w:rPr>
          <w:rFonts w:eastAsia="方正小标宋简体"/>
          <w:sz w:val="44"/>
          <w:szCs w:val="44"/>
          <w:lang w:val="zh-CN"/>
        </w:rPr>
      </w:pPr>
      <w:r>
        <w:rPr>
          <w:rFonts w:eastAsia="方正小标宋简体"/>
          <w:sz w:val="44"/>
          <w:szCs w:val="44"/>
          <w:lang w:val="zh-CN"/>
        </w:rPr>
        <w:t>专项预算项目支出绩效自评报告</w:t>
      </w:r>
    </w:p>
    <w:p>
      <w:pPr>
        <w:spacing w:line="600" w:lineRule="exact"/>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交通</w:t>
      </w:r>
      <w:r>
        <w:rPr>
          <w:rFonts w:eastAsia="仿宋_GB2312"/>
          <w:sz w:val="32"/>
          <w:szCs w:val="32"/>
          <w:lang w:val="zh-CN"/>
        </w:rPr>
        <w:t>组织“微改造”项目）</w:t>
      </w:r>
    </w:p>
    <w:p>
      <w:pPr>
        <w:spacing w:line="600" w:lineRule="exact"/>
        <w:ind w:firstLine="640"/>
        <w:jc w:val="center"/>
        <w:rPr>
          <w:sz w:val="32"/>
          <w:szCs w:val="32"/>
          <w:lang w:val="zh-CN"/>
        </w:rPr>
      </w:pP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1．说明项目主管部门（单位）在该项目管理中的职能。</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交警支队通过实地勘察，专题讨论研究，收集相关资料，综合分析交通形势，对项目立项的必要性、投入经济性、目标合理性、方案可行性以及筹资合规性开展综合评估。</w:t>
      </w:r>
    </w:p>
    <w:p>
      <w:pPr>
        <w:adjustRightInd w:val="0"/>
        <w:snapToGrid w:val="0"/>
        <w:spacing w:line="600" w:lineRule="exact"/>
        <w:ind w:firstLine="720"/>
        <w:rPr>
          <w:rFonts w:eastAsia="仿宋_GB2312"/>
          <w:sz w:val="32"/>
          <w:szCs w:val="32"/>
          <w:lang w:val="zh-CN"/>
        </w:rPr>
      </w:pPr>
      <w:r>
        <w:rPr>
          <w:rFonts w:eastAsia="仿宋_GB2312"/>
          <w:sz w:val="32"/>
          <w:szCs w:val="32"/>
          <w:lang w:val="zh-CN"/>
        </w:rPr>
        <w:t>2. 项目立项、资金申报的依据。</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为推进城市品质化建设、深化城市道路交通精细化管理，进一步缓解主城区交通拥堵，经市委市政府同意，实施重要交通点段交通组织“微改造”项目。</w:t>
      </w:r>
    </w:p>
    <w:p>
      <w:pPr>
        <w:adjustRightInd w:val="0"/>
        <w:snapToGrid w:val="0"/>
        <w:spacing w:line="600" w:lineRule="exact"/>
        <w:ind w:firstLine="720"/>
        <w:rPr>
          <w:rFonts w:eastAsia="仿宋_GB2312"/>
          <w:sz w:val="32"/>
          <w:szCs w:val="32"/>
          <w:lang w:val="zh-CN"/>
        </w:rPr>
      </w:pPr>
      <w:r>
        <w:rPr>
          <w:rFonts w:eastAsia="仿宋_GB2312"/>
          <w:sz w:val="32"/>
          <w:szCs w:val="32"/>
          <w:lang w:val="zh-CN"/>
        </w:rPr>
        <w:t>资金申报根据</w:t>
      </w:r>
      <w:r>
        <w:rPr>
          <w:rFonts w:hint="eastAsia" w:eastAsia="仿宋_GB2312"/>
          <w:sz w:val="32"/>
          <w:szCs w:val="32"/>
          <w:lang w:val="zh-CN"/>
        </w:rPr>
        <w:t>设置</w:t>
      </w:r>
      <w:r>
        <w:rPr>
          <w:rFonts w:eastAsia="仿宋_GB2312"/>
          <w:sz w:val="32"/>
          <w:szCs w:val="32"/>
          <w:lang w:val="zh-CN"/>
        </w:rPr>
        <w:t>交通信号灯、施划标志标线的数量确定，通过实施政府采购招标程序后确定。</w:t>
      </w:r>
    </w:p>
    <w:p>
      <w:pPr>
        <w:adjustRightInd w:val="0"/>
        <w:snapToGrid w:val="0"/>
        <w:spacing w:line="600" w:lineRule="exact"/>
        <w:ind w:firstLine="720"/>
        <w:rPr>
          <w:rFonts w:eastAsia="仿宋_GB2312"/>
          <w:sz w:val="32"/>
          <w:szCs w:val="32"/>
          <w:lang w:val="zh-CN"/>
        </w:rPr>
      </w:pPr>
      <w:r>
        <w:rPr>
          <w:rFonts w:eastAsia="仿宋_GB2312"/>
          <w:sz w:val="32"/>
          <w:szCs w:val="32"/>
          <w:lang w:val="zh-CN"/>
        </w:rPr>
        <w:t>3. 资金分配的原则及考虑因素。</w:t>
      </w:r>
    </w:p>
    <w:p>
      <w:pPr>
        <w:adjustRightInd w:val="0"/>
        <w:snapToGrid w:val="0"/>
        <w:spacing w:line="600" w:lineRule="exact"/>
        <w:ind w:firstLine="720"/>
        <w:rPr>
          <w:rFonts w:eastAsia="仿宋_GB2312"/>
          <w:sz w:val="32"/>
          <w:szCs w:val="32"/>
          <w:lang w:val="zh-CN"/>
        </w:rPr>
      </w:pPr>
      <w:r>
        <w:rPr>
          <w:rFonts w:eastAsia="仿宋_GB2312"/>
          <w:sz w:val="32"/>
          <w:szCs w:val="32"/>
          <w:lang w:val="zh-CN"/>
        </w:rPr>
        <w:t>资金全部用于交通信号灯设置和标志标线施划，具体分配根据实际设置及施划数量确定。</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djustRightInd w:val="0"/>
        <w:snapToGrid w:val="0"/>
        <w:spacing w:line="600" w:lineRule="exact"/>
        <w:ind w:firstLine="720"/>
        <w:rPr>
          <w:rFonts w:eastAsia="仿宋_GB2312"/>
          <w:sz w:val="32"/>
          <w:szCs w:val="32"/>
          <w:lang w:val="zh-CN"/>
        </w:rPr>
      </w:pPr>
      <w:r>
        <w:rPr>
          <w:rFonts w:eastAsia="仿宋_GB2312"/>
          <w:sz w:val="32"/>
          <w:szCs w:val="32"/>
          <w:lang w:val="zh-CN"/>
        </w:rPr>
        <w:t>1. 项目主要内容。</w:t>
      </w:r>
    </w:p>
    <w:p>
      <w:pPr>
        <w:adjustRightInd w:val="0"/>
        <w:snapToGrid w:val="0"/>
        <w:spacing w:line="600" w:lineRule="exact"/>
        <w:ind w:firstLine="720"/>
        <w:rPr>
          <w:rFonts w:eastAsia="仿宋_GB2312"/>
          <w:sz w:val="32"/>
          <w:szCs w:val="32"/>
          <w:lang w:val="zh-CN"/>
        </w:rPr>
      </w:pPr>
      <w:r>
        <w:rPr>
          <w:rFonts w:eastAsia="仿宋_GB2312"/>
          <w:sz w:val="32"/>
          <w:szCs w:val="32"/>
          <w:lang w:val="zh-CN"/>
        </w:rPr>
        <w:t>交警支队按照“因地制宜、以点</w:t>
      </w:r>
      <w:r>
        <w:rPr>
          <w:rFonts w:hint="eastAsia" w:eastAsia="仿宋_GB2312"/>
          <w:sz w:val="32"/>
          <w:szCs w:val="32"/>
          <w:lang w:val="zh-CN"/>
        </w:rPr>
        <w:t>带面、精准治理</w:t>
      </w:r>
      <w:r>
        <w:rPr>
          <w:rFonts w:eastAsia="仿宋_GB2312"/>
          <w:sz w:val="32"/>
          <w:szCs w:val="32"/>
          <w:lang w:val="zh-CN"/>
        </w:rPr>
        <w:t>”原则对炳草岗片区三线大道机场路口、临江路与天津路交叉口等</w:t>
      </w:r>
      <w:r>
        <w:rPr>
          <w:rFonts w:hint="eastAsia" w:eastAsia="仿宋_GB2312"/>
          <w:sz w:val="32"/>
          <w:szCs w:val="32"/>
          <w:lang w:val="zh-CN"/>
        </w:rPr>
        <w:t>7个重点点位增设交通信号灯、优化标志标线设施等，实施交通组织优化“微改造”项目。项目的实施进一步缓解主城区交通拥堵，切实提升城市道路通行效率，推进城市品质化建设，深化城市道路交通精细化管理。</w:t>
      </w:r>
    </w:p>
    <w:p>
      <w:pPr>
        <w:adjustRightInd w:val="0"/>
        <w:snapToGrid w:val="0"/>
        <w:spacing w:line="600" w:lineRule="exact"/>
        <w:ind w:firstLine="720"/>
        <w:rPr>
          <w:rFonts w:eastAsia="仿宋_GB2312"/>
          <w:sz w:val="32"/>
          <w:szCs w:val="32"/>
          <w:lang w:val="zh-CN"/>
        </w:rPr>
      </w:pPr>
      <w:r>
        <w:rPr>
          <w:rFonts w:eastAsia="仿宋_GB2312"/>
          <w:sz w:val="32"/>
          <w:szCs w:val="32"/>
          <w:lang w:val="zh-CN"/>
        </w:rPr>
        <w:t>2. 项目应实现的具体绩效目标，包括目标的量化、细化情况以及项目实施进度计划等。</w:t>
      </w:r>
    </w:p>
    <w:p>
      <w:pPr>
        <w:snapToGrid w:val="0"/>
        <w:spacing w:line="600" w:lineRule="exact"/>
        <w:ind w:firstLine="643" w:firstLineChars="200"/>
        <w:jc w:val="center"/>
        <w:rPr>
          <w:rFonts w:ascii="宋体" w:hAnsi="宋体"/>
          <w:b/>
          <w:sz w:val="32"/>
          <w:szCs w:val="32"/>
        </w:rPr>
      </w:pPr>
      <w:r>
        <w:rPr>
          <w:rFonts w:hint="eastAsia" w:ascii="宋体" w:hAnsi="宋体"/>
          <w:b/>
          <w:sz w:val="32"/>
          <w:szCs w:val="32"/>
        </w:rPr>
        <w:t>重要交通点段交通组织优化“微改造”项目</w:t>
      </w:r>
      <w:r>
        <w:rPr>
          <w:rFonts w:ascii="宋体" w:hAnsi="宋体"/>
          <w:b/>
          <w:sz w:val="32"/>
          <w:szCs w:val="32"/>
        </w:rPr>
        <w:t>绩效</w:t>
      </w:r>
      <w:r>
        <w:rPr>
          <w:rFonts w:hint="eastAsia" w:ascii="宋体" w:hAnsi="宋体"/>
          <w:b/>
          <w:sz w:val="32"/>
          <w:szCs w:val="32"/>
        </w:rPr>
        <w:t>目标</w:t>
      </w:r>
      <w:r>
        <w:rPr>
          <w:rFonts w:ascii="宋体" w:hAnsi="宋体"/>
          <w:b/>
          <w:sz w:val="32"/>
          <w:szCs w:val="32"/>
        </w:rPr>
        <w:t>表</w:t>
      </w:r>
    </w:p>
    <w:tbl>
      <w:tblPr>
        <w:tblStyle w:val="16"/>
        <w:tblW w:w="10198" w:type="dxa"/>
        <w:jc w:val="center"/>
        <w:tblLayout w:type="autofit"/>
        <w:tblCellMar>
          <w:top w:w="0" w:type="dxa"/>
          <w:left w:w="108" w:type="dxa"/>
          <w:bottom w:w="0" w:type="dxa"/>
          <w:right w:w="108" w:type="dxa"/>
        </w:tblCellMar>
      </w:tblPr>
      <w:tblGrid>
        <w:gridCol w:w="1120"/>
        <w:gridCol w:w="1380"/>
        <w:gridCol w:w="1480"/>
        <w:gridCol w:w="3120"/>
        <w:gridCol w:w="3098"/>
      </w:tblGrid>
      <w:tr>
        <w:tblPrEx>
          <w:tblCellMar>
            <w:top w:w="0" w:type="dxa"/>
            <w:left w:w="108" w:type="dxa"/>
            <w:bottom w:w="0" w:type="dxa"/>
            <w:right w:w="108" w:type="dxa"/>
          </w:tblCellMar>
        </w:tblPrEx>
        <w:trPr>
          <w:trHeight w:val="600" w:hRule="atLeast"/>
          <w:jc w:val="center"/>
        </w:trPr>
        <w:tc>
          <w:tcPr>
            <w:tcW w:w="11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绩效指标</w:t>
            </w:r>
          </w:p>
        </w:tc>
        <w:tc>
          <w:tcPr>
            <w:tcW w:w="13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一级指标</w:t>
            </w:r>
          </w:p>
        </w:tc>
        <w:tc>
          <w:tcPr>
            <w:tcW w:w="14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二级指标</w:t>
            </w:r>
          </w:p>
        </w:tc>
        <w:tc>
          <w:tcPr>
            <w:tcW w:w="3120"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0"/>
                <w:szCs w:val="20"/>
              </w:rPr>
            </w:pPr>
            <w:r>
              <w:rPr>
                <w:rFonts w:hint="eastAsia" w:ascii="宋体" w:hAnsi="宋体" w:cs="宋体"/>
                <w:kern w:val="0"/>
                <w:sz w:val="20"/>
                <w:szCs w:val="20"/>
              </w:rPr>
              <w:t>三级指标</w:t>
            </w:r>
          </w:p>
        </w:tc>
        <w:tc>
          <w:tcPr>
            <w:tcW w:w="3098"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cs="宋体"/>
                <w:kern w:val="0"/>
                <w:sz w:val="20"/>
                <w:szCs w:val="20"/>
              </w:rPr>
            </w:pPr>
            <w:r>
              <w:rPr>
                <w:rFonts w:hint="eastAsia" w:ascii="宋体" w:hAnsi="宋体" w:cs="宋体"/>
                <w:kern w:val="0"/>
                <w:sz w:val="20"/>
                <w:szCs w:val="20"/>
              </w:rPr>
              <w:t>指标值（包含数字及文字描述）</w:t>
            </w:r>
          </w:p>
        </w:tc>
      </w:tr>
      <w:tr>
        <w:tblPrEx>
          <w:tblCellMar>
            <w:top w:w="0" w:type="dxa"/>
            <w:left w:w="108" w:type="dxa"/>
            <w:bottom w:w="0" w:type="dxa"/>
            <w:right w:w="108" w:type="dxa"/>
          </w:tblCellMar>
        </w:tblPrEx>
        <w:trPr>
          <w:trHeight w:val="510"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项目完成</w:t>
            </w:r>
          </w:p>
        </w:tc>
        <w:tc>
          <w:tcPr>
            <w:tcW w:w="14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数量指标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炳草岗片区重点点位路口数量</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7</w:t>
            </w:r>
            <w:r>
              <w:rPr>
                <w:rFonts w:hint="eastAsia" w:ascii="宋体" w:hAnsi="宋体"/>
                <w:kern w:val="0"/>
                <w:sz w:val="18"/>
                <w:szCs w:val="18"/>
              </w:rPr>
              <w:t>个</w:t>
            </w:r>
          </w:p>
        </w:tc>
      </w:tr>
      <w:tr>
        <w:tblPrEx>
          <w:tblCellMar>
            <w:top w:w="0" w:type="dxa"/>
            <w:left w:w="108" w:type="dxa"/>
            <w:bottom w:w="0" w:type="dxa"/>
            <w:right w:w="108" w:type="dxa"/>
          </w:tblCellMar>
        </w:tblPrEx>
        <w:trPr>
          <w:trHeight w:val="510"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建设红绿灯、电子警察、违停抓拍设备数量</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11</w:t>
            </w:r>
            <w:r>
              <w:rPr>
                <w:rFonts w:hint="eastAsia" w:ascii="宋体" w:hAnsi="宋体"/>
                <w:kern w:val="0"/>
                <w:sz w:val="18"/>
                <w:szCs w:val="18"/>
              </w:rPr>
              <w:t>套</w:t>
            </w:r>
          </w:p>
        </w:tc>
      </w:tr>
      <w:tr>
        <w:tblPrEx>
          <w:tblCellMar>
            <w:top w:w="0" w:type="dxa"/>
            <w:left w:w="108" w:type="dxa"/>
            <w:bottom w:w="0" w:type="dxa"/>
            <w:right w:w="108" w:type="dxa"/>
          </w:tblCellMar>
        </w:tblPrEx>
        <w:trPr>
          <w:trHeight w:val="495"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新增LED电子屏及提示屏数量</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2</w:t>
            </w:r>
            <w:r>
              <w:rPr>
                <w:rFonts w:hint="eastAsia" w:ascii="宋体" w:hAnsi="宋体"/>
                <w:kern w:val="0"/>
                <w:sz w:val="18"/>
                <w:szCs w:val="18"/>
              </w:rPr>
              <w:t>套</w:t>
            </w:r>
          </w:p>
        </w:tc>
      </w:tr>
      <w:tr>
        <w:tblPrEx>
          <w:tblCellMar>
            <w:top w:w="0" w:type="dxa"/>
            <w:left w:w="108" w:type="dxa"/>
            <w:bottom w:w="0" w:type="dxa"/>
            <w:right w:w="108" w:type="dxa"/>
          </w:tblCellMar>
        </w:tblPrEx>
        <w:trPr>
          <w:trHeight w:val="503"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质量指标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建设交通组织安装工程质量达标</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建设质量符合国家及行业</w:t>
            </w:r>
          </w:p>
        </w:tc>
      </w:tr>
      <w:tr>
        <w:tblPrEx>
          <w:tblCellMar>
            <w:top w:w="0" w:type="dxa"/>
            <w:left w:w="108" w:type="dxa"/>
            <w:bottom w:w="0" w:type="dxa"/>
            <w:right w:w="108" w:type="dxa"/>
          </w:tblCellMar>
        </w:tblPrEx>
        <w:trPr>
          <w:trHeight w:val="525"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时效指标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202</w:t>
            </w:r>
            <w:r>
              <w:rPr>
                <w:rFonts w:ascii="宋体" w:hAnsi="宋体" w:cs="宋体"/>
                <w:kern w:val="0"/>
                <w:sz w:val="18"/>
                <w:szCs w:val="18"/>
              </w:rPr>
              <w:t>5</w:t>
            </w:r>
            <w:r>
              <w:rPr>
                <w:rFonts w:hint="eastAsia" w:ascii="宋体" w:hAnsi="宋体" w:cs="宋体"/>
                <w:kern w:val="0"/>
                <w:sz w:val="18"/>
                <w:szCs w:val="18"/>
              </w:rPr>
              <w:t>年</w:t>
            </w:r>
            <w:r>
              <w:rPr>
                <w:rFonts w:ascii="宋体" w:hAnsi="宋体" w:cs="宋体"/>
                <w:kern w:val="0"/>
                <w:sz w:val="18"/>
                <w:szCs w:val="18"/>
              </w:rPr>
              <w:t>1</w:t>
            </w:r>
            <w:r>
              <w:rPr>
                <w:rFonts w:hint="eastAsia" w:ascii="宋体" w:hAnsi="宋体" w:cs="宋体"/>
                <w:kern w:val="0"/>
                <w:sz w:val="18"/>
                <w:szCs w:val="18"/>
              </w:rPr>
              <w:t>-12月</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按进度执行</w:t>
            </w:r>
          </w:p>
        </w:tc>
      </w:tr>
      <w:tr>
        <w:tblPrEx>
          <w:tblCellMar>
            <w:top w:w="0" w:type="dxa"/>
            <w:left w:w="108" w:type="dxa"/>
            <w:bottom w:w="0" w:type="dxa"/>
            <w:right w:w="108" w:type="dxa"/>
          </w:tblCellMar>
        </w:tblPrEx>
        <w:trPr>
          <w:trHeight w:val="559"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成本指标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项目建设成本</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 w:val="18"/>
                <w:szCs w:val="18"/>
              </w:rPr>
            </w:pPr>
            <w:r>
              <w:rPr>
                <w:kern w:val="0"/>
                <w:sz w:val="18"/>
                <w:szCs w:val="18"/>
              </w:rPr>
              <w:t>180</w:t>
            </w:r>
            <w:r>
              <w:rPr>
                <w:rFonts w:hint="eastAsia" w:ascii="宋体" w:hAnsi="宋体"/>
                <w:kern w:val="0"/>
                <w:sz w:val="18"/>
                <w:szCs w:val="18"/>
              </w:rPr>
              <w:t>万元,2</w:t>
            </w:r>
            <w:r>
              <w:rPr>
                <w:rFonts w:ascii="宋体" w:hAnsi="宋体"/>
                <w:kern w:val="0"/>
                <w:sz w:val="18"/>
                <w:szCs w:val="18"/>
              </w:rPr>
              <w:t>025年支付</w:t>
            </w:r>
            <w:r>
              <w:rPr>
                <w:rFonts w:hint="eastAsia" w:ascii="宋体" w:hAnsi="宋体"/>
                <w:kern w:val="0"/>
                <w:sz w:val="18"/>
                <w:szCs w:val="18"/>
              </w:rPr>
              <w:t>5</w:t>
            </w:r>
            <w:r>
              <w:rPr>
                <w:rFonts w:ascii="宋体" w:hAnsi="宋体"/>
                <w:kern w:val="0"/>
                <w:sz w:val="18"/>
                <w:szCs w:val="18"/>
              </w:rPr>
              <w:t>0万元</w:t>
            </w:r>
          </w:p>
        </w:tc>
      </w:tr>
      <w:tr>
        <w:tblPrEx>
          <w:tblCellMar>
            <w:top w:w="0" w:type="dxa"/>
            <w:left w:w="108" w:type="dxa"/>
            <w:bottom w:w="0" w:type="dxa"/>
            <w:right w:w="108" w:type="dxa"/>
          </w:tblCellMar>
        </w:tblPrEx>
        <w:trPr>
          <w:trHeight w:val="578"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项目效益</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社会效益指标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提升道路通行效率</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进一步缓解主城区交通拥堵，切实提升城市道路通行效率</w:t>
            </w:r>
          </w:p>
        </w:tc>
      </w:tr>
      <w:tr>
        <w:tblPrEx>
          <w:tblCellMar>
            <w:top w:w="0" w:type="dxa"/>
            <w:left w:w="108" w:type="dxa"/>
            <w:bottom w:w="0" w:type="dxa"/>
            <w:right w:w="108" w:type="dxa"/>
          </w:tblCellMar>
        </w:tblPrEx>
        <w:trPr>
          <w:trHeight w:val="458"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经济效益指标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480"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生态效益指标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309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59"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可持续影响指标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长期</w:t>
            </w:r>
          </w:p>
        </w:tc>
        <w:tc>
          <w:tcPr>
            <w:tcW w:w="309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18"/>
                <w:szCs w:val="18"/>
              </w:rPr>
            </w:pPr>
            <w:r>
              <w:rPr>
                <w:rFonts w:hint="eastAsia" w:ascii="宋体" w:hAnsi="宋体" w:cs="宋体"/>
                <w:kern w:val="0"/>
                <w:sz w:val="18"/>
                <w:szCs w:val="18"/>
              </w:rPr>
              <w:t>长期实现有效效益</w:t>
            </w:r>
          </w:p>
        </w:tc>
      </w:tr>
      <w:tr>
        <w:tblPrEx>
          <w:tblCellMar>
            <w:top w:w="0" w:type="dxa"/>
            <w:left w:w="108" w:type="dxa"/>
            <w:bottom w:w="0" w:type="dxa"/>
            <w:right w:w="108" w:type="dxa"/>
          </w:tblCellMar>
        </w:tblPrEx>
        <w:trPr>
          <w:trHeight w:val="559" w:hRule="atLeast"/>
          <w:jc w:val="center"/>
        </w:trPr>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3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满意度指标</w:t>
            </w:r>
          </w:p>
        </w:tc>
        <w:tc>
          <w:tcPr>
            <w:tcW w:w="14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服务对象满意度指标</w:t>
            </w:r>
          </w:p>
        </w:tc>
        <w:tc>
          <w:tcPr>
            <w:tcW w:w="31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人民群众满意度</w:t>
            </w:r>
          </w:p>
        </w:tc>
        <w:tc>
          <w:tcPr>
            <w:tcW w:w="30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大于90%</w:t>
            </w:r>
          </w:p>
        </w:tc>
      </w:tr>
    </w:tbl>
    <w:p>
      <w:pPr>
        <w:adjustRightInd w:val="0"/>
        <w:snapToGrid w:val="0"/>
        <w:spacing w:line="600" w:lineRule="exact"/>
        <w:ind w:firstLine="640" w:firstLineChars="200"/>
        <w:rPr>
          <w:rFonts w:eastAsia="仿宋_GB2312"/>
          <w:sz w:val="32"/>
          <w:szCs w:val="32"/>
          <w:lang w:val="zh-CN"/>
        </w:rPr>
      </w:pPr>
      <w:r>
        <w:rPr>
          <w:rFonts w:eastAsia="仿宋_GB2312"/>
          <w:sz w:val="32"/>
          <w:szCs w:val="32"/>
          <w:lang w:val="zh-CN"/>
        </w:rPr>
        <w:t xml:space="preserve">3. </w:t>
      </w:r>
      <w:r>
        <w:rPr>
          <w:rFonts w:hint="eastAsia" w:eastAsia="仿宋_GB2312"/>
          <w:sz w:val="32"/>
          <w:szCs w:val="32"/>
          <w:lang w:val="zh-CN"/>
        </w:rPr>
        <w:t>项目</w:t>
      </w:r>
      <w:r>
        <w:rPr>
          <w:rFonts w:eastAsia="仿宋_GB2312"/>
          <w:sz w:val="32"/>
          <w:szCs w:val="32"/>
          <w:lang w:val="zh-CN"/>
        </w:rPr>
        <w:t>申报内容是与实际相符，申报目标合理可行。</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项目绩效自评工作由交警支队警保部门与项目实施业务部门共同开展，通过对项目年初设定的</w:t>
      </w:r>
      <w:r>
        <w:rPr>
          <w:rFonts w:hint="eastAsia" w:eastAsia="仿宋_GB2312"/>
          <w:sz w:val="32"/>
          <w:szCs w:val="32"/>
          <w:lang w:val="zh-CN"/>
        </w:rPr>
        <w:t>产出</w:t>
      </w:r>
      <w:r>
        <w:rPr>
          <w:rFonts w:eastAsia="仿宋_GB2312"/>
          <w:sz w:val="32"/>
          <w:szCs w:val="32"/>
          <w:lang w:val="zh-CN"/>
        </w:rPr>
        <w:t>指标、效益指标、满意度指标完成情况逐项开展自评。</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交警支队申报重要交通点段交通组织“微改造”项目经费1</w:t>
      </w:r>
      <w:r>
        <w:rPr>
          <w:rFonts w:eastAsia="仿宋_GB2312"/>
          <w:kern w:val="0"/>
          <w:sz w:val="32"/>
          <w:szCs w:val="32"/>
        </w:rPr>
        <w:t>80万元，市财政下达预算资金指标</w:t>
      </w:r>
      <w:r>
        <w:rPr>
          <w:rFonts w:hint="eastAsia" w:eastAsia="仿宋_GB2312"/>
          <w:kern w:val="0"/>
          <w:sz w:val="32"/>
          <w:szCs w:val="32"/>
        </w:rPr>
        <w:t>1</w:t>
      </w:r>
      <w:r>
        <w:rPr>
          <w:rFonts w:eastAsia="仿宋_GB2312"/>
          <w:kern w:val="0"/>
          <w:sz w:val="32"/>
          <w:szCs w:val="32"/>
        </w:rPr>
        <w:t>80万元，实际中标金额</w:t>
      </w:r>
      <w:r>
        <w:rPr>
          <w:rFonts w:hint="eastAsia" w:eastAsia="仿宋_GB2312"/>
          <w:kern w:val="0"/>
          <w:sz w:val="32"/>
          <w:szCs w:val="32"/>
        </w:rPr>
        <w:t>1</w:t>
      </w:r>
      <w:r>
        <w:rPr>
          <w:rFonts w:eastAsia="仿宋_GB2312"/>
          <w:kern w:val="0"/>
          <w:sz w:val="32"/>
          <w:szCs w:val="32"/>
        </w:rPr>
        <w:t>71.98万元</w:t>
      </w:r>
      <w:r>
        <w:rPr>
          <w:rFonts w:hint="eastAsia" w:eastAsia="仿宋_GB2312"/>
          <w:kern w:val="0"/>
          <w:sz w:val="32"/>
          <w:szCs w:val="32"/>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（二）资金计划、到位及使用情况</w:t>
      </w:r>
      <w:r>
        <w:rPr>
          <w:rFonts w:hint="eastAsia" w:eastAsia="楷体_GB2312"/>
          <w:b/>
          <w:sz w:val="32"/>
          <w:szCs w:val="32"/>
          <w:lang w:val="zh-CN"/>
        </w:rPr>
        <w:t>。</w:t>
      </w:r>
    </w:p>
    <w:p>
      <w:pPr>
        <w:adjustRightInd w:val="0"/>
        <w:snapToGrid w:val="0"/>
        <w:spacing w:line="600" w:lineRule="exact"/>
        <w:ind w:firstLine="720"/>
        <w:rPr>
          <w:rFonts w:eastAsia="仿宋_GB2312"/>
          <w:sz w:val="32"/>
          <w:szCs w:val="32"/>
          <w:lang w:val="zh-CN"/>
        </w:rPr>
      </w:pPr>
      <w:r>
        <w:rPr>
          <w:rFonts w:eastAsia="楷体_GB2312"/>
          <w:sz w:val="32"/>
          <w:szCs w:val="32"/>
          <w:lang w:val="zh-CN"/>
        </w:rPr>
        <w:t>1．资金计划。</w:t>
      </w:r>
      <w:r>
        <w:rPr>
          <w:rFonts w:hint="eastAsia" w:eastAsia="仿宋_GB2312"/>
          <w:sz w:val="32"/>
          <w:szCs w:val="32"/>
          <w:lang w:val="zh-CN"/>
        </w:rPr>
        <w:t>项目</w:t>
      </w:r>
      <w:r>
        <w:rPr>
          <w:rFonts w:eastAsia="仿宋_GB2312"/>
          <w:sz w:val="32"/>
          <w:szCs w:val="32"/>
          <w:lang w:val="zh-CN"/>
        </w:rPr>
        <w:t>资金指标下达数</w:t>
      </w:r>
      <w:r>
        <w:rPr>
          <w:rFonts w:hint="eastAsia" w:eastAsia="仿宋_GB2312"/>
          <w:sz w:val="32"/>
          <w:szCs w:val="32"/>
          <w:lang w:val="zh-CN"/>
        </w:rPr>
        <w:t>1</w:t>
      </w:r>
      <w:r>
        <w:rPr>
          <w:rFonts w:eastAsia="仿宋_GB2312"/>
          <w:sz w:val="32"/>
          <w:szCs w:val="32"/>
          <w:lang w:val="zh-CN"/>
        </w:rPr>
        <w:t>80万元。</w:t>
      </w:r>
    </w:p>
    <w:p>
      <w:pPr>
        <w:adjustRightInd w:val="0"/>
        <w:snapToGrid w:val="0"/>
        <w:spacing w:line="600" w:lineRule="exact"/>
        <w:ind w:firstLine="720"/>
        <w:rPr>
          <w:rFonts w:eastAsia="仿宋_GB2312"/>
          <w:sz w:val="32"/>
          <w:szCs w:val="32"/>
          <w:lang w:val="zh-CN"/>
        </w:rPr>
      </w:pPr>
      <w:r>
        <w:rPr>
          <w:rFonts w:eastAsia="楷体_GB2312"/>
          <w:sz w:val="32"/>
          <w:szCs w:val="32"/>
          <w:lang w:val="zh-CN"/>
        </w:rPr>
        <w:t>2．资金到位。</w:t>
      </w:r>
      <w:r>
        <w:rPr>
          <w:rFonts w:hint="eastAsia" w:eastAsia="仿宋_GB2312"/>
          <w:sz w:val="32"/>
          <w:szCs w:val="32"/>
          <w:lang w:val="zh-CN"/>
        </w:rPr>
        <w:t>资金</w:t>
      </w:r>
      <w:r>
        <w:rPr>
          <w:rFonts w:eastAsia="仿宋_GB2312"/>
          <w:sz w:val="32"/>
          <w:szCs w:val="32"/>
          <w:lang w:val="zh-CN"/>
        </w:rPr>
        <w:t>实际到位数</w:t>
      </w:r>
      <w:r>
        <w:rPr>
          <w:rFonts w:hint="eastAsia" w:eastAsia="仿宋_GB2312"/>
          <w:sz w:val="32"/>
          <w:szCs w:val="32"/>
          <w:lang w:val="zh-CN"/>
        </w:rPr>
        <w:t>1</w:t>
      </w:r>
      <w:r>
        <w:rPr>
          <w:rFonts w:eastAsia="仿宋_GB2312"/>
          <w:sz w:val="32"/>
          <w:szCs w:val="32"/>
          <w:lang w:val="zh-CN"/>
        </w:rPr>
        <w:t>80万元。</w:t>
      </w:r>
    </w:p>
    <w:p>
      <w:pPr>
        <w:adjustRightInd w:val="0"/>
        <w:snapToGrid w:val="0"/>
        <w:spacing w:line="600" w:lineRule="exact"/>
        <w:ind w:firstLine="720"/>
        <w:rPr>
          <w:rFonts w:eastAsia="仿宋_GB2312"/>
          <w:sz w:val="32"/>
          <w:szCs w:val="32"/>
          <w:lang w:val="zh-CN"/>
        </w:rPr>
      </w:pPr>
      <w:r>
        <w:rPr>
          <w:rFonts w:eastAsia="楷体_GB2312"/>
          <w:sz w:val="32"/>
          <w:szCs w:val="32"/>
          <w:lang w:val="zh-CN"/>
        </w:rPr>
        <w:t>3．资金使用。</w:t>
      </w:r>
      <w:r>
        <w:rPr>
          <w:rFonts w:hint="eastAsia" w:eastAsia="仿宋_GB2312"/>
          <w:sz w:val="32"/>
          <w:szCs w:val="32"/>
          <w:lang w:val="zh-CN"/>
        </w:rPr>
        <w:t>项目中标金额1</w:t>
      </w:r>
      <w:r>
        <w:rPr>
          <w:rFonts w:eastAsia="仿宋_GB2312"/>
          <w:sz w:val="32"/>
          <w:szCs w:val="32"/>
          <w:lang w:val="zh-CN"/>
        </w:rPr>
        <w:t>71.98万元，</w:t>
      </w:r>
      <w:r>
        <w:rPr>
          <w:rFonts w:hint="eastAsia" w:eastAsia="仿宋_GB2312"/>
          <w:sz w:val="32"/>
          <w:szCs w:val="32"/>
          <w:lang w:val="zh-CN"/>
        </w:rPr>
        <w:t>2</w:t>
      </w:r>
      <w:r>
        <w:rPr>
          <w:rFonts w:eastAsia="仿宋_GB2312"/>
          <w:sz w:val="32"/>
          <w:szCs w:val="32"/>
          <w:lang w:val="zh-CN"/>
        </w:rPr>
        <w:t>024年项目实施完毕并通过验收，支付工程款</w:t>
      </w:r>
      <w:r>
        <w:rPr>
          <w:rFonts w:hint="eastAsia" w:eastAsia="仿宋_GB2312"/>
          <w:sz w:val="32"/>
          <w:szCs w:val="32"/>
          <w:lang w:val="zh-CN"/>
        </w:rPr>
        <w:t>7</w:t>
      </w:r>
      <w:r>
        <w:rPr>
          <w:rFonts w:eastAsia="仿宋_GB2312"/>
          <w:sz w:val="32"/>
          <w:szCs w:val="32"/>
          <w:lang w:val="zh-CN"/>
        </w:rPr>
        <w:t>1.98万元，</w:t>
      </w:r>
      <w:r>
        <w:rPr>
          <w:rFonts w:hint="eastAsia" w:eastAsia="仿宋_GB2312"/>
          <w:sz w:val="32"/>
          <w:szCs w:val="32"/>
          <w:lang w:val="zh-CN"/>
        </w:rPr>
        <w:t>2</w:t>
      </w:r>
      <w:r>
        <w:rPr>
          <w:rFonts w:eastAsia="仿宋_GB2312"/>
          <w:sz w:val="32"/>
          <w:szCs w:val="32"/>
          <w:lang w:val="zh-CN"/>
        </w:rPr>
        <w:t>025年支付</w:t>
      </w:r>
      <w:r>
        <w:rPr>
          <w:rFonts w:hint="eastAsia" w:eastAsia="仿宋_GB2312"/>
          <w:sz w:val="32"/>
          <w:szCs w:val="32"/>
          <w:lang w:val="zh-CN"/>
        </w:rPr>
        <w:t>5</w:t>
      </w:r>
      <w:r>
        <w:rPr>
          <w:rFonts w:eastAsia="仿宋_GB2312"/>
          <w:sz w:val="32"/>
          <w:szCs w:val="32"/>
          <w:lang w:val="zh-CN"/>
        </w:rPr>
        <w:t>0万元，余50万元结转至</w:t>
      </w:r>
      <w:r>
        <w:rPr>
          <w:rFonts w:hint="eastAsia" w:eastAsia="仿宋_GB2312"/>
          <w:sz w:val="32"/>
          <w:szCs w:val="32"/>
          <w:lang w:val="zh-CN"/>
        </w:rPr>
        <w:t>2</w:t>
      </w:r>
      <w:r>
        <w:rPr>
          <w:rFonts w:eastAsia="仿宋_GB2312"/>
          <w:sz w:val="32"/>
          <w:szCs w:val="32"/>
          <w:lang w:val="zh-CN"/>
        </w:rPr>
        <w:t>026年支付。</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项目实施单位财务管理制度健全，严格执行财务管理制度，账务处理及时，会计核算规范。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pPr>
        <w:adjustRightInd w:val="0"/>
        <w:snapToGrid w:val="0"/>
        <w:spacing w:line="600" w:lineRule="exact"/>
        <w:ind w:firstLine="720"/>
        <w:rPr>
          <w:rFonts w:ascii="仿宋_GB2312" w:eastAsia="仿宋_GB2312"/>
          <w:sz w:val="32"/>
          <w:szCs w:val="32"/>
          <w:lang w:val="zh-CN"/>
        </w:rPr>
      </w:pPr>
      <w:r>
        <w:rPr>
          <w:rFonts w:hint="eastAsia" w:ascii="仿宋_GB2312" w:eastAsia="仿宋_GB2312"/>
          <w:sz w:val="32"/>
          <w:szCs w:val="32"/>
          <w:lang w:val="zh-CN"/>
        </w:rPr>
        <w:t>项目严格按照专项资金申报流程及政府采购程序实施，资金批复，政府采购预算批复流程完整。</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（二）项目管理情况。</w:t>
      </w:r>
    </w:p>
    <w:p>
      <w:pPr>
        <w:adjustRightInd w:val="0"/>
        <w:snapToGrid w:val="0"/>
        <w:spacing w:line="600" w:lineRule="exact"/>
        <w:ind w:firstLine="720"/>
        <w:rPr>
          <w:rFonts w:eastAsia="仿宋_GB2312"/>
          <w:sz w:val="32"/>
          <w:szCs w:val="32"/>
          <w:lang w:val="zh-CN"/>
        </w:rPr>
      </w:pPr>
      <w:r>
        <w:rPr>
          <w:rFonts w:eastAsia="仿宋_GB2312"/>
          <w:sz w:val="32"/>
          <w:szCs w:val="32"/>
          <w:lang w:val="zh-CN"/>
        </w:rPr>
        <w:t>交警支队警保部门与项目实施业务部门共同对项目的全过程实施进行管理。</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为加强项目管理，交警支队纪检监察部门全程监督项目实施及开展情况，参与项目验收。</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项目的实施完成了炳草岗片区7个重点点位交通组织的“微改造”，建设1</w:t>
      </w:r>
      <w:r>
        <w:rPr>
          <w:rFonts w:eastAsia="仿宋_GB2312"/>
          <w:sz w:val="32"/>
          <w:szCs w:val="32"/>
          <w:lang w:val="zh-CN"/>
        </w:rPr>
        <w:t>1套红绿灯、电子警察、违停抓拍设施，新增</w:t>
      </w:r>
      <w:r>
        <w:rPr>
          <w:rFonts w:hint="eastAsia" w:eastAsia="仿宋_GB2312"/>
          <w:sz w:val="32"/>
          <w:szCs w:val="32"/>
          <w:lang w:val="zh-CN"/>
        </w:rPr>
        <w:t>L</w:t>
      </w:r>
      <w:r>
        <w:rPr>
          <w:rFonts w:eastAsia="仿宋_GB2312"/>
          <w:sz w:val="32"/>
          <w:szCs w:val="32"/>
          <w:lang w:val="zh-CN"/>
        </w:rPr>
        <w:t>ED电子屏及提示屏</w:t>
      </w:r>
      <w:r>
        <w:rPr>
          <w:rFonts w:hint="eastAsia" w:eastAsia="仿宋_GB2312"/>
          <w:sz w:val="32"/>
          <w:szCs w:val="32"/>
          <w:lang w:val="zh-CN"/>
        </w:rPr>
        <w:t>2套。建设安装工程质量符合国家及行业标准。</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djustRightInd w:val="0"/>
        <w:snapToGrid w:val="0"/>
        <w:spacing w:line="600" w:lineRule="exact"/>
        <w:ind w:firstLine="720"/>
        <w:rPr>
          <w:rFonts w:eastAsia="楷体_GB2312"/>
          <w:b/>
          <w:sz w:val="32"/>
          <w:szCs w:val="32"/>
          <w:lang w:val="zh-CN"/>
        </w:rPr>
      </w:pPr>
      <w:r>
        <w:rPr>
          <w:rFonts w:hint="eastAsia" w:eastAsia="仿宋_GB2312"/>
          <w:sz w:val="32"/>
          <w:szCs w:val="32"/>
          <w:lang w:val="zh-CN"/>
        </w:rPr>
        <w:t>项目的实施进一步缓解了主城区交通拥堵、切实提升城市道路通行效率，极大了提升了交通参与者满意度。</w:t>
      </w:r>
    </w:p>
    <w:p>
      <w:pPr>
        <w:adjustRightInd w:val="0"/>
        <w:snapToGrid w:val="0"/>
        <w:spacing w:line="600" w:lineRule="exact"/>
        <w:ind w:firstLine="720"/>
        <w:rPr>
          <w:rFonts w:eastAsia="黑体"/>
          <w:sz w:val="32"/>
          <w:szCs w:val="32"/>
        </w:rPr>
      </w:pPr>
      <w:r>
        <w:rPr>
          <w:rFonts w:eastAsia="黑体"/>
          <w:sz w:val="32"/>
          <w:szCs w:val="32"/>
        </w:rPr>
        <w:t>五、评价结论及建议</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项目的实施进一步缓解主城区交通拥堵，切实提升城市道路通行效率，推进城市品质化建设，深化城市道路交通精细化管理。</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建议</w:t>
      </w:r>
      <w:r>
        <w:rPr>
          <w:rFonts w:eastAsia="仿宋_GB2312"/>
          <w:sz w:val="32"/>
          <w:szCs w:val="32"/>
          <w:lang w:val="zh-CN"/>
        </w:rPr>
        <w:t>此项目</w:t>
      </w:r>
      <w:r>
        <w:rPr>
          <w:rFonts w:hint="eastAsia" w:eastAsia="仿宋_GB2312"/>
          <w:sz w:val="32"/>
          <w:szCs w:val="32"/>
          <w:lang w:val="zh-CN"/>
        </w:rPr>
        <w:t>经费</w:t>
      </w:r>
      <w:r>
        <w:rPr>
          <w:rFonts w:eastAsia="仿宋_GB2312"/>
          <w:sz w:val="32"/>
          <w:szCs w:val="32"/>
          <w:lang w:val="zh-CN"/>
        </w:rPr>
        <w:t>不占用支付调度额度。</w:t>
      </w:r>
    </w:p>
    <w:p>
      <w:pPr>
        <w:tabs>
          <w:tab w:val="left" w:pos="1980"/>
        </w:tabs>
        <w:snapToGrid w:val="0"/>
        <w:spacing w:line="560" w:lineRule="exact"/>
        <w:ind w:firstLine="640" w:firstLineChars="200"/>
        <w:rPr>
          <w:rFonts w:ascii="仿宋_GB2312" w:hAnsi="华文仿宋" w:eastAsia="仿宋_GB2312" w:cs="宋体-18030"/>
          <w:sz w:val="32"/>
          <w:szCs w:val="32"/>
        </w:rPr>
      </w:pPr>
    </w:p>
    <w:p>
      <w:pPr>
        <w:adjustRightInd w:val="0"/>
        <w:snapToGrid w:val="0"/>
        <w:spacing w:line="600" w:lineRule="exact"/>
        <w:ind w:firstLine="640" w:firstLineChars="200"/>
        <w:rPr>
          <w:rFonts w:eastAsia="仿宋_GB2312"/>
          <w:sz w:val="32"/>
          <w:szCs w:val="32"/>
          <w:lang w:val="zh-CN"/>
        </w:rPr>
      </w:pPr>
    </w:p>
    <w:p>
      <w:pPr>
        <w:adjustRightInd w:val="0"/>
        <w:snapToGrid w:val="0"/>
        <w:spacing w:line="600" w:lineRule="exact"/>
        <w:ind w:firstLine="640" w:firstLineChars="200"/>
        <w:rPr>
          <w:rFonts w:eastAsia="仿宋_GB2312"/>
          <w:sz w:val="32"/>
          <w:szCs w:val="32"/>
          <w:lang w:val="zh-CN"/>
        </w:rPr>
      </w:pPr>
    </w:p>
    <w:p>
      <w:pPr>
        <w:adjustRightInd w:val="0"/>
        <w:snapToGrid w:val="0"/>
        <w:spacing w:line="600" w:lineRule="exact"/>
        <w:ind w:firstLine="640" w:firstLineChars="200"/>
        <w:rPr>
          <w:rFonts w:eastAsia="仿宋_GB2312"/>
          <w:sz w:val="32"/>
          <w:szCs w:val="32"/>
          <w:lang w:val="zh-CN"/>
        </w:rPr>
      </w:pPr>
    </w:p>
    <w:p>
      <w:pPr>
        <w:adjustRightInd w:val="0"/>
        <w:snapToGrid w:val="0"/>
        <w:spacing w:line="600" w:lineRule="exact"/>
        <w:ind w:firstLine="640" w:firstLineChars="200"/>
        <w:rPr>
          <w:rFonts w:eastAsia="仿宋_GB2312"/>
          <w:sz w:val="32"/>
          <w:szCs w:val="32"/>
          <w:lang w:val="zh-CN"/>
        </w:rPr>
      </w:pPr>
    </w:p>
    <w:p>
      <w:pPr>
        <w:spacing w:line="600" w:lineRule="exact"/>
        <w:jc w:val="center"/>
        <w:rPr>
          <w:rFonts w:eastAsia="方正小标宋简体"/>
          <w:sz w:val="44"/>
          <w:szCs w:val="44"/>
          <w:lang w:val="zh-CN"/>
        </w:rPr>
      </w:pPr>
      <w:r>
        <w:rPr>
          <w:rFonts w:hint="eastAsia" w:eastAsia="方正小标宋简体"/>
          <w:sz w:val="44"/>
          <w:szCs w:val="44"/>
          <w:lang w:val="zh-CN"/>
        </w:rPr>
        <w:t>攀枝花市</w:t>
      </w:r>
      <w:r>
        <w:rPr>
          <w:rFonts w:eastAsia="方正小标宋简体"/>
          <w:sz w:val="44"/>
          <w:szCs w:val="44"/>
          <w:lang w:val="zh-CN"/>
        </w:rPr>
        <w:t>公安局交通警察支队</w:t>
      </w:r>
    </w:p>
    <w:p>
      <w:pPr>
        <w:spacing w:line="600" w:lineRule="exact"/>
        <w:jc w:val="center"/>
        <w:rPr>
          <w:rFonts w:eastAsia="方正小标宋简体"/>
          <w:sz w:val="44"/>
          <w:szCs w:val="44"/>
          <w:lang w:val="zh-CN"/>
        </w:rPr>
      </w:pPr>
      <w:r>
        <w:rPr>
          <w:rFonts w:eastAsia="方正小标宋简体"/>
          <w:sz w:val="44"/>
          <w:szCs w:val="44"/>
          <w:lang w:val="zh-CN"/>
        </w:rPr>
        <w:t>专项预算项目支出绩效自评报告</w:t>
      </w:r>
    </w:p>
    <w:p>
      <w:pPr>
        <w:spacing w:line="600" w:lineRule="exact"/>
        <w:jc w:val="center"/>
        <w:rPr>
          <w:rFonts w:eastAsia="仿宋_GB2312"/>
          <w:sz w:val="32"/>
          <w:szCs w:val="32"/>
          <w:lang w:val="zh-CN"/>
        </w:rPr>
      </w:pPr>
      <w:r>
        <w:rPr>
          <w:rFonts w:eastAsia="仿宋_GB2312"/>
          <w:sz w:val="32"/>
          <w:szCs w:val="32"/>
          <w:lang w:val="zh-CN"/>
        </w:rPr>
        <w:t>（</w:t>
      </w:r>
      <w:r>
        <w:rPr>
          <w:rFonts w:hint="eastAsia" w:eastAsia="仿宋_GB2312"/>
          <w:sz w:val="32"/>
          <w:szCs w:val="32"/>
          <w:lang w:val="zh-CN"/>
        </w:rPr>
        <w:t>公安交通管理指挥中心弱电网络建设项目</w:t>
      </w:r>
      <w:r>
        <w:rPr>
          <w:rFonts w:eastAsia="仿宋_GB2312"/>
          <w:sz w:val="32"/>
          <w:szCs w:val="32"/>
          <w:lang w:val="zh-CN"/>
        </w:rPr>
        <w:t>）</w:t>
      </w:r>
    </w:p>
    <w:p>
      <w:pPr>
        <w:spacing w:line="560" w:lineRule="exact"/>
        <w:ind w:firstLine="640"/>
        <w:jc w:val="center"/>
        <w:rPr>
          <w:rFonts w:ascii="宋体" w:hAnsi="宋体"/>
          <w:sz w:val="32"/>
          <w:szCs w:val="32"/>
        </w:rPr>
      </w:pPr>
    </w:p>
    <w:p>
      <w:pPr>
        <w:adjustRightInd w:val="0"/>
        <w:snapToGrid w:val="0"/>
        <w:spacing w:line="56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pPr>
        <w:ind w:firstLine="643" w:firstLineChars="200"/>
        <w:jc w:val="left"/>
        <w:rPr>
          <w:rFonts w:ascii="仿宋_GB2312" w:eastAsia="仿宋_GB2312"/>
          <w:sz w:val="32"/>
          <w:szCs w:val="32"/>
        </w:rPr>
      </w:pPr>
      <w:r>
        <w:rPr>
          <w:rFonts w:hint="eastAsia" w:ascii="楷体_GB2312" w:hAnsi="宋体" w:eastAsia="楷体_GB2312"/>
          <w:b/>
          <w:sz w:val="32"/>
          <w:szCs w:val="32"/>
          <w:lang w:val="zh-CN"/>
        </w:rPr>
        <w:t>（一）项目资金申报及批复情况。</w:t>
      </w:r>
      <w:r>
        <w:rPr>
          <w:rFonts w:hint="eastAsia" w:ascii="仿宋_GB2312" w:eastAsia="仿宋_GB2312"/>
          <w:sz w:val="32"/>
          <w:szCs w:val="32"/>
        </w:rPr>
        <w:t>按照市政府关于《攀枝花市公安局关于进行业务技术用房建设项目（公安交通管理指挥中心）弱电网络建设的请示》（攀公</w:t>
      </w:r>
      <w:r>
        <w:rPr>
          <w:rFonts w:hint="eastAsia" w:ascii="微软雅黑" w:hAnsi="微软雅黑" w:eastAsia="微软雅黑" w:cs="微软雅黑"/>
          <w:sz w:val="32"/>
          <w:szCs w:val="32"/>
        </w:rPr>
        <w:t>﹝</w:t>
      </w:r>
      <w:r>
        <w:rPr>
          <w:rFonts w:hint="eastAsia" w:ascii="仿宋_GB2312" w:eastAsia="仿宋_GB2312"/>
          <w:sz w:val="32"/>
          <w:szCs w:val="32"/>
        </w:rPr>
        <w:t>2018</w:t>
      </w:r>
      <w:r>
        <w:rPr>
          <w:rFonts w:hint="eastAsia" w:ascii="微软雅黑" w:hAnsi="微软雅黑" w:eastAsia="微软雅黑" w:cs="微软雅黑"/>
          <w:sz w:val="32"/>
          <w:szCs w:val="32"/>
        </w:rPr>
        <w:t>﹞</w:t>
      </w:r>
      <w:r>
        <w:rPr>
          <w:rFonts w:hint="eastAsia" w:ascii="仿宋_GB2312" w:hAnsi="宋体" w:eastAsia="仿宋_GB2312" w:cs="宋体"/>
          <w:sz w:val="32"/>
          <w:szCs w:val="32"/>
        </w:rPr>
        <w:t>31</w:t>
      </w:r>
      <w:r>
        <w:rPr>
          <w:rFonts w:hint="eastAsia" w:ascii="仿宋_GB2312" w:eastAsia="仿宋_GB2312"/>
          <w:sz w:val="32"/>
          <w:szCs w:val="32"/>
        </w:rPr>
        <w:t>号）文件批示要求，及市财政局《关于市公安局业务技术用房建设项目（公安交通管理指挥中心）弱电网络建设的审核意见》，同意按程序纳入政府采购预算。</w:t>
      </w:r>
    </w:p>
    <w:p>
      <w:pPr>
        <w:spacing w:line="640" w:lineRule="exact"/>
        <w:ind w:firstLine="643" w:firstLineChars="200"/>
        <w:jc w:val="left"/>
        <w:rPr>
          <w:rFonts w:ascii="仿宋_GB2312" w:eastAsia="仿宋_GB2312"/>
          <w:sz w:val="32"/>
          <w:szCs w:val="32"/>
        </w:rPr>
      </w:pPr>
      <w:r>
        <w:rPr>
          <w:rFonts w:hint="eastAsia" w:ascii="楷体_GB2312" w:hAnsi="宋体" w:eastAsia="楷体_GB2312"/>
          <w:b/>
          <w:sz w:val="32"/>
          <w:szCs w:val="32"/>
          <w:lang w:val="zh-CN"/>
        </w:rPr>
        <w:t>（二）项目绩效目标。</w:t>
      </w:r>
      <w:r>
        <w:rPr>
          <w:rFonts w:hint="eastAsia" w:ascii="仿宋_GB2312" w:eastAsia="仿宋_GB2312"/>
          <w:sz w:val="32"/>
          <w:szCs w:val="32"/>
        </w:rPr>
        <w:t>项目实施后，完善攀枝花市公安局业务技术用房建设项目（公安交通管理指挥中心）功能满足需求，极大促进我市道路交通管理工作的发展，提升工作质效，从而达到提升群众满意度的效果。</w:t>
      </w:r>
    </w:p>
    <w:p>
      <w:pPr>
        <w:adjustRightInd w:val="0"/>
        <w:snapToGrid w:val="0"/>
        <w:spacing w:line="56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（三）项目资金申报相符性。</w:t>
      </w:r>
      <w:r>
        <w:rPr>
          <w:rFonts w:hint="eastAsia" w:ascii="仿宋_GB2312" w:hAnsi="宋体" w:eastAsia="仿宋_GB2312"/>
          <w:sz w:val="32"/>
          <w:szCs w:val="32"/>
          <w:lang w:val="zh-CN"/>
        </w:rPr>
        <w:t>项目申报内容与具体实施内容相符、申报目标合理可行。</w:t>
      </w:r>
    </w:p>
    <w:p>
      <w:pPr>
        <w:adjustRightInd w:val="0"/>
        <w:snapToGrid w:val="0"/>
        <w:spacing w:line="560" w:lineRule="exact"/>
        <w:ind w:firstLine="720"/>
        <w:rPr>
          <w:rFonts w:ascii="黑体" w:hAnsi="宋体" w:eastAsia="黑体"/>
          <w:sz w:val="32"/>
          <w:szCs w:val="32"/>
        </w:rPr>
      </w:pPr>
      <w:r>
        <w:rPr>
          <w:rFonts w:hint="eastAsia" w:ascii="黑体" w:hAnsi="宋体" w:eastAsia="黑体"/>
          <w:sz w:val="32"/>
          <w:szCs w:val="32"/>
        </w:rPr>
        <w:t>二、项目实施及管理情况</w:t>
      </w:r>
    </w:p>
    <w:p>
      <w:pPr>
        <w:adjustRightInd w:val="0"/>
        <w:snapToGrid w:val="0"/>
        <w:spacing w:line="560" w:lineRule="exact"/>
        <w:ind w:firstLine="720"/>
        <w:rPr>
          <w:rFonts w:ascii="楷体_GB2312" w:hAnsi="宋体" w:eastAsia="楷体_GB2312"/>
          <w:b/>
          <w:sz w:val="32"/>
          <w:szCs w:val="32"/>
          <w:lang w:val="zh-CN"/>
        </w:rPr>
      </w:pPr>
      <w:r>
        <w:rPr>
          <w:rFonts w:hint="eastAsia" w:ascii="仿宋_GB2312" w:hAnsi="宋体" w:eastAsia="仿宋_GB2312"/>
          <w:sz w:val="32"/>
          <w:szCs w:val="32"/>
          <w:lang w:val="zh-CN"/>
        </w:rPr>
        <w:tab/>
      </w:r>
      <w:r>
        <w:rPr>
          <w:rFonts w:hint="eastAsia" w:ascii="楷体_GB2312" w:hAnsi="宋体" w:eastAsia="楷体_GB2312"/>
          <w:b/>
          <w:sz w:val="32"/>
          <w:szCs w:val="32"/>
          <w:lang w:val="zh-CN"/>
        </w:rPr>
        <w:t>（一）资金计划、到位及使用情况。</w:t>
      </w:r>
    </w:p>
    <w:p>
      <w:pPr>
        <w:spacing w:line="640" w:lineRule="exact"/>
        <w:ind w:firstLine="640" w:firstLineChars="200"/>
        <w:jc w:val="left"/>
        <w:rPr>
          <w:rFonts w:ascii="仿宋_GB2312" w:eastAsia="仿宋_GB2312"/>
          <w:sz w:val="32"/>
          <w:szCs w:val="32"/>
        </w:rPr>
      </w:pPr>
      <w:r>
        <w:rPr>
          <w:rFonts w:hint="eastAsia" w:ascii="楷体_GB2312" w:hAnsi="宋体" w:eastAsia="楷体_GB2312"/>
          <w:sz w:val="32"/>
          <w:szCs w:val="32"/>
          <w:lang w:val="zh-CN"/>
        </w:rPr>
        <w:t>1．资金计划及到位。</w:t>
      </w:r>
      <w:r>
        <w:rPr>
          <w:rFonts w:hint="eastAsia" w:ascii="仿宋_GB2312" w:eastAsia="仿宋_GB2312"/>
          <w:sz w:val="32"/>
          <w:szCs w:val="32"/>
        </w:rPr>
        <w:t>按照市政府关于《攀枝花市公安局关于进行业务技术用房建设项目（公安交通管理指挥中心）弱电网络建设的请示》（攀公</w:t>
      </w:r>
      <w:r>
        <w:rPr>
          <w:rFonts w:hint="eastAsia" w:ascii="微软雅黑" w:hAnsi="微软雅黑" w:eastAsia="微软雅黑" w:cs="微软雅黑"/>
          <w:sz w:val="32"/>
          <w:szCs w:val="32"/>
        </w:rPr>
        <w:t>﹝</w:t>
      </w:r>
      <w:r>
        <w:rPr>
          <w:rFonts w:hint="eastAsia" w:ascii="仿宋_GB2312" w:eastAsia="仿宋_GB2312"/>
          <w:sz w:val="32"/>
          <w:szCs w:val="32"/>
        </w:rPr>
        <w:t>2018</w:t>
      </w:r>
      <w:r>
        <w:rPr>
          <w:rFonts w:hint="eastAsia" w:ascii="微软雅黑" w:hAnsi="微软雅黑" w:eastAsia="微软雅黑" w:cs="微软雅黑"/>
          <w:sz w:val="32"/>
          <w:szCs w:val="32"/>
        </w:rPr>
        <w:t>﹞</w:t>
      </w:r>
      <w:r>
        <w:rPr>
          <w:rFonts w:hint="eastAsia" w:ascii="仿宋_GB2312" w:hAnsi="宋体" w:eastAsia="仿宋_GB2312" w:cs="宋体"/>
          <w:sz w:val="32"/>
          <w:szCs w:val="32"/>
        </w:rPr>
        <w:t>31</w:t>
      </w:r>
      <w:r>
        <w:rPr>
          <w:rFonts w:hint="eastAsia" w:ascii="仿宋_GB2312" w:eastAsia="仿宋_GB2312"/>
          <w:sz w:val="32"/>
          <w:szCs w:val="32"/>
        </w:rPr>
        <w:t>号）文件批示要求，该项目于2019年5月进行了公开招标，同年8月开始进场施工，于2</w:t>
      </w:r>
      <w:r>
        <w:rPr>
          <w:rFonts w:ascii="仿宋_GB2312" w:eastAsia="仿宋_GB2312"/>
          <w:sz w:val="32"/>
          <w:szCs w:val="32"/>
        </w:rPr>
        <w:t>022年完成施工</w:t>
      </w:r>
      <w:r>
        <w:rPr>
          <w:rFonts w:hint="eastAsia" w:ascii="仿宋_GB2312" w:eastAsia="仿宋_GB2312"/>
          <w:sz w:val="32"/>
          <w:szCs w:val="32"/>
        </w:rPr>
        <w:t>，项目财务决算竣工金额8</w:t>
      </w:r>
      <w:r>
        <w:rPr>
          <w:rFonts w:ascii="仿宋_GB2312" w:eastAsia="仿宋_GB2312"/>
          <w:sz w:val="32"/>
          <w:szCs w:val="32"/>
        </w:rPr>
        <w:t>88.92万元，2025年以前支付580.94万元，</w:t>
      </w:r>
      <w:r>
        <w:rPr>
          <w:rFonts w:hint="eastAsia" w:ascii="仿宋_GB2312" w:eastAsia="仿宋_GB2312"/>
          <w:sz w:val="32"/>
          <w:szCs w:val="32"/>
        </w:rPr>
        <w:t>2</w:t>
      </w:r>
      <w:r>
        <w:rPr>
          <w:rFonts w:ascii="仿宋_GB2312" w:eastAsia="仿宋_GB2312"/>
          <w:sz w:val="32"/>
          <w:szCs w:val="32"/>
        </w:rPr>
        <w:t>025年支付项目款70万元，目前该项目欠款237.98万元。</w:t>
      </w:r>
    </w:p>
    <w:p>
      <w:pPr>
        <w:spacing w:line="640" w:lineRule="exact"/>
        <w:ind w:firstLine="640" w:firstLineChars="200"/>
        <w:jc w:val="left"/>
        <w:rPr>
          <w:rFonts w:ascii="仿宋_GB2312" w:eastAsia="仿宋_GB2312"/>
          <w:sz w:val="32"/>
          <w:szCs w:val="32"/>
        </w:rPr>
      </w:pPr>
      <w:r>
        <w:rPr>
          <w:rFonts w:hint="eastAsia" w:ascii="楷体_GB2312" w:hAnsi="宋体" w:eastAsia="楷体_GB2312"/>
          <w:sz w:val="32"/>
          <w:szCs w:val="32"/>
          <w:lang w:val="zh-CN"/>
        </w:rPr>
        <w:t>2．资金使用。</w:t>
      </w:r>
      <w:r>
        <w:rPr>
          <w:rFonts w:ascii="仿宋_GB2312" w:eastAsia="仿宋_GB2312"/>
          <w:sz w:val="32"/>
          <w:szCs w:val="32"/>
        </w:rPr>
        <w:t>2025年以前支付580.94万元，</w:t>
      </w:r>
      <w:r>
        <w:rPr>
          <w:rFonts w:hint="eastAsia" w:ascii="仿宋_GB2312" w:eastAsia="仿宋_GB2312"/>
          <w:sz w:val="32"/>
          <w:szCs w:val="32"/>
        </w:rPr>
        <w:t>2</w:t>
      </w:r>
      <w:r>
        <w:rPr>
          <w:rFonts w:ascii="仿宋_GB2312" w:eastAsia="仿宋_GB2312"/>
          <w:sz w:val="32"/>
          <w:szCs w:val="32"/>
        </w:rPr>
        <w:t>025年支付项目款70万元，截止</w:t>
      </w:r>
      <w:r>
        <w:rPr>
          <w:rFonts w:hint="eastAsia" w:ascii="仿宋_GB2312" w:eastAsia="仿宋_GB2312"/>
          <w:sz w:val="32"/>
          <w:szCs w:val="32"/>
        </w:rPr>
        <w:t>2</w:t>
      </w:r>
      <w:r>
        <w:rPr>
          <w:rFonts w:ascii="仿宋_GB2312" w:eastAsia="仿宋_GB2312"/>
          <w:sz w:val="32"/>
          <w:szCs w:val="32"/>
        </w:rPr>
        <w:t>025年底该项目欠款237.98万元，</w:t>
      </w:r>
      <w:r>
        <w:rPr>
          <w:rFonts w:hint="eastAsia" w:ascii="仿宋_GB2312" w:hAnsi="宋体" w:eastAsia="仿宋_GB2312"/>
          <w:sz w:val="32"/>
          <w:szCs w:val="32"/>
          <w:lang w:val="zh-CN"/>
        </w:rPr>
        <w:t>支付依据合规合法，资金支付与预算相符。</w:t>
      </w:r>
    </w:p>
    <w:p>
      <w:pPr>
        <w:adjustRightInd w:val="0"/>
        <w:snapToGrid w:val="0"/>
        <w:spacing w:line="56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（二）项目财务管理情况。</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项目财务管理制度建设、机构设置、会计核算及账务处理等严格执行财务管理制度、财务处理及时、会计核算规范。</w:t>
      </w:r>
    </w:p>
    <w:p>
      <w:pPr>
        <w:adjustRightInd w:val="0"/>
        <w:snapToGrid w:val="0"/>
        <w:spacing w:line="56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（三）项目组织实施情况。</w:t>
      </w:r>
    </w:p>
    <w:p>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项目由支队警务保障室组织管理架构及具体实施，主要包括实施政府采购，监督工程质量及进度，申请项目经费等。</w:t>
      </w:r>
    </w:p>
    <w:p>
      <w:pPr>
        <w:adjustRightInd w:val="0"/>
        <w:snapToGrid w:val="0"/>
        <w:spacing w:line="560" w:lineRule="exact"/>
        <w:ind w:firstLine="720"/>
        <w:rPr>
          <w:rFonts w:ascii="仿宋_GB2312" w:hAnsi="宋体" w:eastAsia="仿宋_GB2312"/>
          <w:sz w:val="32"/>
          <w:szCs w:val="32"/>
          <w:lang w:val="zh-CN"/>
        </w:rPr>
      </w:pPr>
      <w:r>
        <w:rPr>
          <w:rFonts w:hint="eastAsia" w:ascii="黑体" w:hAnsi="宋体" w:eastAsia="黑体"/>
          <w:sz w:val="32"/>
          <w:szCs w:val="32"/>
        </w:rPr>
        <w:t>三、项目绩效情况</w:t>
      </w:r>
      <w:r>
        <w:rPr>
          <w:rFonts w:hint="eastAsia" w:ascii="仿宋_GB2312" w:hAnsi="宋体" w:eastAsia="仿宋_GB2312"/>
          <w:sz w:val="32"/>
          <w:szCs w:val="32"/>
          <w:lang w:val="zh-CN"/>
        </w:rPr>
        <w:tab/>
      </w:r>
    </w:p>
    <w:p>
      <w:pPr>
        <w:adjustRightInd w:val="0"/>
        <w:snapToGrid w:val="0"/>
        <w:spacing w:line="56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pPr>
        <w:adjustRightInd w:val="0"/>
        <w:snapToGrid w:val="0"/>
        <w:spacing w:line="560" w:lineRule="exact"/>
        <w:ind w:firstLine="720"/>
        <w:rPr>
          <w:rFonts w:ascii="宋体" w:hAnsi="宋体" w:eastAsia="仿宋_GB2312"/>
          <w:sz w:val="32"/>
          <w:szCs w:val="21"/>
        </w:rPr>
      </w:pPr>
      <w:r>
        <w:rPr>
          <w:rFonts w:hint="eastAsia" w:ascii="仿宋_GB2312" w:eastAsia="仿宋_GB2312"/>
          <w:sz w:val="32"/>
          <w:szCs w:val="32"/>
        </w:rPr>
        <w:t>该项目于2019年5月进行了公开招标，同年8月开始进场施工，于2</w:t>
      </w:r>
      <w:r>
        <w:rPr>
          <w:rFonts w:ascii="仿宋_GB2312" w:eastAsia="仿宋_GB2312"/>
          <w:sz w:val="32"/>
          <w:szCs w:val="32"/>
        </w:rPr>
        <w:t>022年完成施工</w:t>
      </w:r>
      <w:r>
        <w:rPr>
          <w:rFonts w:hint="eastAsia" w:ascii="仿宋_GB2312" w:eastAsia="仿宋_GB2312"/>
          <w:sz w:val="32"/>
          <w:szCs w:val="32"/>
        </w:rPr>
        <w:t>，项目财务决算竣工金额8</w:t>
      </w:r>
      <w:r>
        <w:rPr>
          <w:rFonts w:ascii="仿宋_GB2312" w:eastAsia="仿宋_GB2312"/>
          <w:sz w:val="32"/>
          <w:szCs w:val="32"/>
        </w:rPr>
        <w:t>88.92万元，项目</w:t>
      </w:r>
      <w:r>
        <w:rPr>
          <w:rFonts w:hint="eastAsia" w:ascii="宋体" w:hAnsi="宋体" w:eastAsia="仿宋_GB2312"/>
          <w:sz w:val="32"/>
          <w:szCs w:val="21"/>
        </w:rPr>
        <w:t>工程材料及施工质量符合国家及行业标准，符合交通管理工作需求，通过验收。</w:t>
      </w:r>
    </w:p>
    <w:p>
      <w:pPr>
        <w:spacing w:line="640" w:lineRule="exact"/>
        <w:ind w:firstLine="643" w:firstLineChars="200"/>
        <w:jc w:val="left"/>
        <w:rPr>
          <w:rFonts w:ascii="仿宋_GB2312" w:eastAsia="仿宋_GB2312"/>
          <w:sz w:val="32"/>
          <w:szCs w:val="32"/>
        </w:rPr>
      </w:pPr>
      <w:r>
        <w:rPr>
          <w:rFonts w:hint="eastAsia" w:ascii="楷体_GB2312" w:hAnsi="宋体" w:eastAsia="楷体_GB2312"/>
          <w:b/>
          <w:sz w:val="32"/>
          <w:szCs w:val="32"/>
          <w:lang w:val="zh-CN"/>
        </w:rPr>
        <w:t>（二）项目效益情况。</w:t>
      </w:r>
      <w:r>
        <w:rPr>
          <w:rFonts w:hint="eastAsia" w:ascii="仿宋_GB2312" w:eastAsia="仿宋_GB2312"/>
          <w:sz w:val="32"/>
          <w:szCs w:val="32"/>
        </w:rPr>
        <w:t>项目实施后，完善攀枝花市公安局业务技术用房建设项目（公安交通管理指挥中心）功能满足需求，极大促进我市道路交通管理工作的发展，提升工作质效，从而达到提升群众满意度的效果。</w:t>
      </w:r>
    </w:p>
    <w:p>
      <w:pPr>
        <w:adjustRightInd w:val="0"/>
        <w:snapToGrid w:val="0"/>
        <w:spacing w:line="560" w:lineRule="exact"/>
        <w:ind w:firstLine="720"/>
        <w:rPr>
          <w:rFonts w:ascii="黑体" w:hAnsi="宋体" w:eastAsia="黑体"/>
          <w:sz w:val="32"/>
          <w:szCs w:val="32"/>
        </w:rPr>
      </w:pPr>
      <w:r>
        <w:rPr>
          <w:rFonts w:hint="eastAsia" w:ascii="黑体" w:hAnsi="宋体" w:eastAsia="黑体"/>
          <w:sz w:val="32"/>
          <w:szCs w:val="32"/>
        </w:rPr>
        <w:t>四、问题及建议</w:t>
      </w:r>
    </w:p>
    <w:p>
      <w:pPr>
        <w:adjustRightInd w:val="0"/>
        <w:snapToGrid w:val="0"/>
        <w:spacing w:line="56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（一）存在的问题。</w:t>
      </w:r>
      <w:r>
        <w:rPr>
          <w:rFonts w:ascii="仿宋_GB2312" w:eastAsia="仿宋_GB2312"/>
          <w:sz w:val="32"/>
          <w:szCs w:val="32"/>
        </w:rPr>
        <w:t>2025年以前支付580.94万元，</w:t>
      </w:r>
      <w:r>
        <w:rPr>
          <w:rFonts w:hint="eastAsia" w:ascii="仿宋_GB2312" w:eastAsia="仿宋_GB2312"/>
          <w:sz w:val="32"/>
          <w:szCs w:val="32"/>
        </w:rPr>
        <w:t>2</w:t>
      </w:r>
      <w:r>
        <w:rPr>
          <w:rFonts w:ascii="仿宋_GB2312" w:eastAsia="仿宋_GB2312"/>
          <w:sz w:val="32"/>
          <w:szCs w:val="32"/>
        </w:rPr>
        <w:t>025年支付项目款70万元，</w:t>
      </w:r>
      <w:r>
        <w:rPr>
          <w:rFonts w:hint="eastAsia" w:ascii="仿宋_GB2312" w:eastAsia="仿宋_GB2312"/>
          <w:sz w:val="32"/>
          <w:szCs w:val="32"/>
        </w:rPr>
        <w:t>截至2</w:t>
      </w:r>
      <w:r>
        <w:rPr>
          <w:rFonts w:ascii="仿宋_GB2312" w:eastAsia="仿宋_GB2312"/>
          <w:sz w:val="32"/>
          <w:szCs w:val="32"/>
        </w:rPr>
        <w:t>025年底项目仍存在欠款237.98万元</w:t>
      </w:r>
    </w:p>
    <w:p>
      <w:pPr>
        <w:adjustRightInd w:val="0"/>
        <w:snapToGrid w:val="0"/>
        <w:spacing w:line="56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（二）相关建议。</w:t>
      </w:r>
      <w:r>
        <w:rPr>
          <w:rFonts w:hint="eastAsia" w:ascii="仿宋_GB2312" w:hAnsi="宋体" w:eastAsia="仿宋_GB2312"/>
          <w:sz w:val="32"/>
          <w:szCs w:val="32"/>
          <w:lang w:val="zh-CN"/>
        </w:rPr>
        <w:t>建议市财政在202</w:t>
      </w:r>
      <w:r>
        <w:rPr>
          <w:rFonts w:ascii="仿宋_GB2312" w:hAnsi="宋体" w:eastAsia="仿宋_GB2312"/>
          <w:sz w:val="32"/>
          <w:szCs w:val="32"/>
          <w:lang w:val="zh-CN"/>
        </w:rPr>
        <w:t>6</w:t>
      </w:r>
      <w:r>
        <w:rPr>
          <w:rFonts w:hint="eastAsia" w:ascii="仿宋_GB2312" w:hAnsi="宋体" w:eastAsia="仿宋_GB2312"/>
          <w:sz w:val="32"/>
          <w:szCs w:val="32"/>
          <w:lang w:val="zh-CN"/>
        </w:rPr>
        <w:t>年保障剩余经费，确保欠款支付。</w:t>
      </w:r>
    </w:p>
    <w:p>
      <w:pPr>
        <w:adjustRightInd w:val="0"/>
        <w:snapToGrid w:val="0"/>
        <w:spacing w:line="600" w:lineRule="exact"/>
        <w:rPr>
          <w:rFonts w:eastAsia="仿宋_GB2312"/>
          <w:sz w:val="32"/>
          <w:szCs w:val="32"/>
          <w:lang w:val="zh-CN"/>
        </w:rPr>
      </w:pPr>
    </w:p>
    <w:p>
      <w:pPr>
        <w:tabs>
          <w:tab w:val="left" w:pos="1980"/>
        </w:tabs>
        <w:snapToGrid w:val="0"/>
        <w:spacing w:line="560" w:lineRule="exact"/>
        <w:ind w:left="3790" w:leftChars="1500" w:hanging="640" w:hangingChars="200"/>
        <w:rPr>
          <w:rFonts w:ascii="仿宋_GB2312" w:hAnsi="华文仿宋" w:eastAsia="仿宋_GB2312" w:cs="宋体-18030"/>
          <w:sz w:val="32"/>
          <w:szCs w:val="32"/>
        </w:rPr>
      </w:pPr>
      <w:r>
        <w:rPr>
          <w:rFonts w:hint="eastAsia" w:eastAsia="仿宋_GB2312"/>
          <w:sz w:val="32"/>
          <w:szCs w:val="32"/>
          <w:lang w:val="zh-CN"/>
        </w:rPr>
        <w:t xml:space="preserve"> </w:t>
      </w:r>
      <w:r>
        <w:rPr>
          <w:rFonts w:eastAsia="仿宋_GB2312"/>
          <w:sz w:val="32"/>
          <w:szCs w:val="32"/>
          <w:lang w:val="zh-CN"/>
        </w:rPr>
        <w:t xml:space="preserve">                                  </w:t>
      </w:r>
    </w:p>
    <w:p>
      <w:pPr>
        <w:adjustRightInd w:val="0"/>
        <w:snapToGrid w:val="0"/>
        <w:spacing w:line="600" w:lineRule="exact"/>
        <w:ind w:firstLine="640" w:firstLineChars="200"/>
        <w:rPr>
          <w:rFonts w:eastAsia="仿宋_GB2312"/>
          <w:sz w:val="32"/>
          <w:szCs w:val="32"/>
          <w:lang w:val="zh-CN"/>
        </w:rPr>
      </w:pPr>
    </w:p>
    <w:p>
      <w:pPr>
        <w:adjustRightInd w:val="0"/>
        <w:snapToGrid w:val="0"/>
        <w:spacing w:line="600" w:lineRule="exact"/>
        <w:ind w:firstLine="640" w:firstLineChars="200"/>
        <w:rPr>
          <w:rFonts w:eastAsia="仿宋_GB2312"/>
          <w:sz w:val="32"/>
          <w:szCs w:val="32"/>
          <w:lang w:val="zh-CN"/>
        </w:rPr>
      </w:pPr>
    </w:p>
    <w:p>
      <w:pPr>
        <w:rPr>
          <w:rFonts w:eastAsia="仿宋_GB2312"/>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49" w:name="_Toc15396618"/>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9"/>
          <w:rFonts w:hint="eastAsia" w:eastAsia="黑体"/>
          <w:b w:val="0"/>
        </w:rPr>
        <w:t>五部分 附表</w:t>
      </w:r>
      <w:bookmarkEnd w:id="48"/>
      <w:bookmarkEnd w:id="49"/>
      <w:bookmarkStart w:id="50"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0"/>
    </w:p>
    <w:p>
      <w:pPr>
        <w:pStyle w:val="14"/>
        <w:adjustRightInd w:val="0"/>
        <w:snapToGrid w:val="0"/>
        <w:spacing w:line="560" w:lineRule="exact"/>
        <w:jc w:val="left"/>
        <w:rPr>
          <w:rFonts w:eastAsia="仿宋_GB2312" w:cs="仿宋_GB2312"/>
          <w:sz w:val="32"/>
          <w:szCs w:val="32"/>
        </w:rPr>
      </w:pPr>
      <w:bookmarkStart w:id="51" w:name="_Toc15396620"/>
      <w:r>
        <w:rPr>
          <w:rFonts w:hint="eastAsia" w:eastAsia="仿宋_GB2312" w:cs="仿宋_GB2312"/>
          <w:sz w:val="32"/>
          <w:szCs w:val="32"/>
        </w:rPr>
        <w:t>二、收入决算表</w:t>
      </w:r>
      <w:bookmarkEnd w:id="51"/>
    </w:p>
    <w:p>
      <w:pPr>
        <w:pStyle w:val="14"/>
        <w:adjustRightInd w:val="0"/>
        <w:snapToGrid w:val="0"/>
        <w:spacing w:line="560" w:lineRule="exact"/>
        <w:jc w:val="left"/>
        <w:rPr>
          <w:rFonts w:eastAsia="仿宋_GB2312" w:cs="仿宋_GB2312"/>
          <w:sz w:val="32"/>
          <w:szCs w:val="32"/>
        </w:rPr>
      </w:pPr>
      <w:bookmarkStart w:id="52" w:name="_Toc15396621"/>
      <w:r>
        <w:rPr>
          <w:rFonts w:hint="eastAsia" w:eastAsia="仿宋_GB2312" w:cs="仿宋_GB2312"/>
          <w:sz w:val="32"/>
          <w:szCs w:val="32"/>
        </w:rPr>
        <w:t>三、支出决算表</w:t>
      </w:r>
      <w:bookmarkEnd w:id="52"/>
    </w:p>
    <w:p>
      <w:pPr>
        <w:pStyle w:val="14"/>
        <w:adjustRightInd w:val="0"/>
        <w:snapToGrid w:val="0"/>
        <w:spacing w:line="560" w:lineRule="exact"/>
        <w:jc w:val="left"/>
        <w:rPr>
          <w:rFonts w:eastAsia="仿宋_GB2312" w:cs="仿宋_GB2312"/>
          <w:sz w:val="32"/>
          <w:szCs w:val="32"/>
        </w:rPr>
      </w:pPr>
      <w:bookmarkStart w:id="53" w:name="_Toc15396622"/>
      <w:r>
        <w:rPr>
          <w:rFonts w:hint="eastAsia" w:eastAsia="仿宋_GB2312" w:cs="仿宋_GB2312"/>
          <w:sz w:val="32"/>
          <w:szCs w:val="32"/>
        </w:rPr>
        <w:t>四、财政拨款收入支出决算总表</w:t>
      </w:r>
      <w:bookmarkEnd w:id="53"/>
    </w:p>
    <w:p>
      <w:pPr>
        <w:pStyle w:val="14"/>
        <w:adjustRightInd w:val="0"/>
        <w:snapToGrid w:val="0"/>
        <w:spacing w:line="560" w:lineRule="exact"/>
        <w:jc w:val="left"/>
        <w:rPr>
          <w:rFonts w:eastAsia="仿宋_GB2312" w:cs="仿宋_GB2312"/>
          <w:sz w:val="32"/>
          <w:szCs w:val="32"/>
        </w:rPr>
      </w:pPr>
      <w:bookmarkStart w:id="54" w:name="_Toc15396623"/>
      <w:r>
        <w:rPr>
          <w:rFonts w:hint="eastAsia" w:eastAsia="仿宋_GB2312" w:cs="仿宋_GB2312"/>
          <w:sz w:val="32"/>
          <w:szCs w:val="32"/>
        </w:rPr>
        <w:t>五、财政拨款支出决算明细表</w:t>
      </w:r>
      <w:bookmarkEnd w:id="54"/>
      <w:bookmarkStart w:id="55"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5"/>
    </w:p>
    <w:p>
      <w:pPr>
        <w:pStyle w:val="14"/>
        <w:adjustRightInd w:val="0"/>
        <w:snapToGrid w:val="0"/>
        <w:spacing w:line="560" w:lineRule="exact"/>
        <w:jc w:val="left"/>
        <w:rPr>
          <w:rFonts w:eastAsia="仿宋_GB2312" w:cs="仿宋_GB2312"/>
          <w:sz w:val="32"/>
          <w:szCs w:val="32"/>
        </w:rPr>
      </w:pPr>
      <w:bookmarkStart w:id="56" w:name="_Toc15396625"/>
      <w:r>
        <w:rPr>
          <w:rFonts w:hint="eastAsia" w:eastAsia="仿宋_GB2312" w:cs="仿宋_GB2312"/>
          <w:sz w:val="32"/>
          <w:szCs w:val="32"/>
        </w:rPr>
        <w:t>七、一般公共预算财政拨款支出决算明细表</w:t>
      </w:r>
      <w:bookmarkEnd w:id="56"/>
    </w:p>
    <w:p>
      <w:pPr>
        <w:pStyle w:val="14"/>
        <w:adjustRightInd w:val="0"/>
        <w:snapToGrid w:val="0"/>
        <w:spacing w:line="560" w:lineRule="exact"/>
        <w:jc w:val="left"/>
        <w:rPr>
          <w:rFonts w:eastAsia="仿宋_GB2312" w:cs="仿宋_GB2312"/>
          <w:sz w:val="32"/>
          <w:szCs w:val="32"/>
        </w:rPr>
      </w:pPr>
      <w:bookmarkStart w:id="57" w:name="_Toc15396626"/>
      <w:r>
        <w:rPr>
          <w:rFonts w:hint="eastAsia" w:eastAsia="仿宋_GB2312" w:cs="仿宋_GB2312"/>
          <w:sz w:val="32"/>
          <w:szCs w:val="32"/>
        </w:rPr>
        <w:t>八、一般公共预算财政拨款基本支出决算表</w:t>
      </w:r>
      <w:bookmarkEnd w:id="57"/>
    </w:p>
    <w:p>
      <w:pPr>
        <w:pStyle w:val="14"/>
        <w:adjustRightInd w:val="0"/>
        <w:snapToGrid w:val="0"/>
        <w:spacing w:line="560" w:lineRule="exact"/>
        <w:jc w:val="left"/>
        <w:rPr>
          <w:rFonts w:eastAsia="仿宋_GB2312" w:cs="仿宋_GB2312"/>
          <w:sz w:val="32"/>
          <w:szCs w:val="32"/>
        </w:rPr>
      </w:pPr>
      <w:bookmarkStart w:id="58" w:name="_Toc15396627"/>
      <w:r>
        <w:rPr>
          <w:rFonts w:hint="eastAsia" w:eastAsia="仿宋_GB2312" w:cs="仿宋_GB2312"/>
          <w:sz w:val="32"/>
          <w:szCs w:val="32"/>
        </w:rPr>
        <w:t>九、一般公共预算财政拨款项目支出决算表</w:t>
      </w:r>
      <w:bookmarkEnd w:id="58"/>
    </w:p>
    <w:p>
      <w:pPr>
        <w:pStyle w:val="14"/>
        <w:adjustRightInd w:val="0"/>
        <w:snapToGrid w:val="0"/>
        <w:spacing w:line="560" w:lineRule="exact"/>
        <w:jc w:val="left"/>
        <w:rPr>
          <w:rFonts w:eastAsia="仿宋_GB2312" w:cs="仿宋_GB2312"/>
          <w:sz w:val="32"/>
          <w:szCs w:val="32"/>
        </w:rPr>
      </w:pPr>
      <w:bookmarkStart w:id="59" w:name="_Toc15396628"/>
      <w:r>
        <w:rPr>
          <w:rFonts w:hint="eastAsia" w:eastAsia="仿宋_GB2312" w:cs="仿宋_GB2312"/>
          <w:sz w:val="32"/>
          <w:szCs w:val="32"/>
        </w:rPr>
        <w:t>十、</w:t>
      </w:r>
      <w:bookmarkEnd w:id="59"/>
      <w:r>
        <w:rPr>
          <w:rFonts w:hint="eastAsia" w:eastAsia="仿宋_GB2312" w:cs="仿宋_GB2312"/>
          <w:sz w:val="32"/>
          <w:szCs w:val="32"/>
        </w:rPr>
        <w:t>政府性基金预算财政拨款收入支出决算表（此表无数据）</w:t>
      </w:r>
    </w:p>
    <w:p>
      <w:pPr>
        <w:pStyle w:val="14"/>
        <w:adjustRightInd w:val="0"/>
        <w:snapToGrid w:val="0"/>
        <w:spacing w:line="560" w:lineRule="exact"/>
        <w:jc w:val="left"/>
        <w:rPr>
          <w:rFonts w:eastAsia="仿宋_GB2312" w:cs="仿宋_GB2312"/>
          <w:sz w:val="32"/>
          <w:szCs w:val="32"/>
        </w:rPr>
      </w:pPr>
      <w:bookmarkStart w:id="60" w:name="_Toc15396629"/>
      <w:r>
        <w:rPr>
          <w:rFonts w:hint="eastAsia" w:eastAsia="仿宋_GB2312" w:cs="仿宋_GB2312"/>
          <w:sz w:val="32"/>
          <w:szCs w:val="32"/>
        </w:rPr>
        <w:t>十一、</w:t>
      </w:r>
      <w:bookmarkEnd w:id="60"/>
      <w:r>
        <w:rPr>
          <w:rFonts w:hint="eastAsia" w:eastAsia="仿宋_GB2312" w:cs="仿宋_GB2312"/>
          <w:sz w:val="32"/>
          <w:szCs w:val="32"/>
        </w:rPr>
        <w:t>国有资本经营预算财政拨款收入支出决算表（此表无数据）</w:t>
      </w:r>
    </w:p>
    <w:p>
      <w:pPr>
        <w:pStyle w:val="14"/>
        <w:adjustRightInd w:val="0"/>
        <w:snapToGrid w:val="0"/>
        <w:spacing w:line="560" w:lineRule="exact"/>
        <w:jc w:val="left"/>
        <w:rPr>
          <w:rFonts w:eastAsia="仿宋_GB2312" w:cs="仿宋_GB2312"/>
          <w:sz w:val="32"/>
          <w:szCs w:val="32"/>
        </w:rPr>
      </w:pPr>
      <w:bookmarkStart w:id="61" w:name="_Toc15396630"/>
      <w:r>
        <w:rPr>
          <w:rFonts w:hint="eastAsia" w:eastAsia="仿宋_GB2312" w:cs="仿宋_GB2312"/>
          <w:sz w:val="32"/>
          <w:szCs w:val="32"/>
        </w:rPr>
        <w:t>十二、</w:t>
      </w:r>
      <w:bookmarkEnd w:id="61"/>
      <w:r>
        <w:rPr>
          <w:rFonts w:hint="eastAsia" w:eastAsia="仿宋_GB2312" w:cs="仿宋_GB2312"/>
          <w:sz w:val="32"/>
          <w:szCs w:val="32"/>
        </w:rPr>
        <w:t>国有资本经营预算财政拨款支出决算表（此表无数据）</w:t>
      </w:r>
    </w:p>
    <w:p>
      <w:pPr>
        <w:pStyle w:val="14"/>
        <w:adjustRightInd w:val="0"/>
        <w:snapToGrid w:val="0"/>
        <w:spacing w:line="560" w:lineRule="exact"/>
        <w:jc w:val="left"/>
        <w:rPr>
          <w:rFonts w:eastAsia="仿宋_GB2312" w:cs="仿宋_GB2312"/>
          <w:sz w:val="32"/>
          <w:szCs w:val="32"/>
        </w:rPr>
      </w:pPr>
      <w:bookmarkStart w:id="62" w:name="_Toc15396631"/>
      <w:r>
        <w:rPr>
          <w:rFonts w:hint="eastAsia" w:eastAsia="仿宋_GB2312" w:cs="仿宋_GB2312"/>
          <w:sz w:val="32"/>
          <w:szCs w:val="32"/>
        </w:rPr>
        <w:t>十三、</w:t>
      </w:r>
      <w:bookmarkEnd w:id="62"/>
      <w:r>
        <w:rPr>
          <w:rFonts w:hint="eastAsia" w:eastAsia="仿宋_GB2312" w:cs="仿宋_GB2312"/>
          <w:sz w:val="32"/>
          <w:szCs w:val="32"/>
        </w:rPr>
        <w:t>财政拨款“三公”经费支出决算表</w:t>
      </w:r>
    </w:p>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宋体-18030">
    <w:altName w:val="宋体"/>
    <w:panose1 w:val="00000000000000000000"/>
    <w:charset w:val="86"/>
    <w:family w:val="modern"/>
    <w:pitch w:val="default"/>
    <w:sig w:usb0="00000000" w:usb1="00000000" w:usb2="000A005E"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8760167"/>
      <w:docPartObj>
        <w:docPartGallery w:val="AutoText"/>
      </w:docPartObj>
    </w:sdtPr>
    <w:sdtContent>
      <w:p>
        <w:pPr>
          <w:pStyle w:val="10"/>
          <w:jc w:val="center"/>
        </w:pPr>
        <w:r>
          <w:fldChar w:fldCharType="begin"/>
        </w:r>
        <w:r>
          <w:instrText xml:space="preserve">PAGE   \* MERGEFORMAT</w:instrText>
        </w:r>
        <w:r>
          <w:fldChar w:fldCharType="separate"/>
        </w:r>
        <w:r>
          <w:rPr>
            <w:lang w:val="zh-CN"/>
          </w:rPr>
          <w:t>1</w:t>
        </w:r>
        <w: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AD13AD"/>
    <w:multiLevelType w:val="singleLevel"/>
    <w:tmpl w:val="C3AD13A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NjgzMTBkZDIzMzliMjk3ZmVjNTExMmFlZjQ1OTkifQ=="/>
  </w:docVars>
  <w:rsids>
    <w:rsidRoot w:val="00F1361C"/>
    <w:rsid w:val="00003D0D"/>
    <w:rsid w:val="00005CE5"/>
    <w:rsid w:val="000222C6"/>
    <w:rsid w:val="0002549F"/>
    <w:rsid w:val="000468DB"/>
    <w:rsid w:val="00055DB0"/>
    <w:rsid w:val="0006487A"/>
    <w:rsid w:val="00065F8F"/>
    <w:rsid w:val="00067A80"/>
    <w:rsid w:val="00070A43"/>
    <w:rsid w:val="000768F2"/>
    <w:rsid w:val="0008339B"/>
    <w:rsid w:val="0009184B"/>
    <w:rsid w:val="00094236"/>
    <w:rsid w:val="0009593C"/>
    <w:rsid w:val="00097322"/>
    <w:rsid w:val="000A6A92"/>
    <w:rsid w:val="000B047F"/>
    <w:rsid w:val="000B5923"/>
    <w:rsid w:val="000B5A48"/>
    <w:rsid w:val="000B6FF3"/>
    <w:rsid w:val="000C3467"/>
    <w:rsid w:val="000C3CA6"/>
    <w:rsid w:val="000D1267"/>
    <w:rsid w:val="000D1BB0"/>
    <w:rsid w:val="000D1D50"/>
    <w:rsid w:val="000D5782"/>
    <w:rsid w:val="000D71A4"/>
    <w:rsid w:val="000E6613"/>
    <w:rsid w:val="000E7119"/>
    <w:rsid w:val="00114E9B"/>
    <w:rsid w:val="00120490"/>
    <w:rsid w:val="00120FC1"/>
    <w:rsid w:val="00126D69"/>
    <w:rsid w:val="00142216"/>
    <w:rsid w:val="00144D6A"/>
    <w:rsid w:val="0014729F"/>
    <w:rsid w:val="00157BAB"/>
    <w:rsid w:val="00161ADD"/>
    <w:rsid w:val="00163351"/>
    <w:rsid w:val="001654D1"/>
    <w:rsid w:val="001707DB"/>
    <w:rsid w:val="00174518"/>
    <w:rsid w:val="0018106D"/>
    <w:rsid w:val="001877A7"/>
    <w:rsid w:val="00191536"/>
    <w:rsid w:val="001936B8"/>
    <w:rsid w:val="001938B6"/>
    <w:rsid w:val="00195CB1"/>
    <w:rsid w:val="00196687"/>
    <w:rsid w:val="001B4195"/>
    <w:rsid w:val="001C0962"/>
    <w:rsid w:val="001C5ED7"/>
    <w:rsid w:val="001D055E"/>
    <w:rsid w:val="001D7531"/>
    <w:rsid w:val="001E1FDA"/>
    <w:rsid w:val="001E737D"/>
    <w:rsid w:val="001F0592"/>
    <w:rsid w:val="001F7506"/>
    <w:rsid w:val="002006CD"/>
    <w:rsid w:val="00202B36"/>
    <w:rsid w:val="00204B7A"/>
    <w:rsid w:val="00204CDE"/>
    <w:rsid w:val="0021101A"/>
    <w:rsid w:val="00220536"/>
    <w:rsid w:val="00235629"/>
    <w:rsid w:val="002422E1"/>
    <w:rsid w:val="0024359C"/>
    <w:rsid w:val="00253734"/>
    <w:rsid w:val="00260C38"/>
    <w:rsid w:val="002616C0"/>
    <w:rsid w:val="00265372"/>
    <w:rsid w:val="002662AA"/>
    <w:rsid w:val="00280496"/>
    <w:rsid w:val="00294DC9"/>
    <w:rsid w:val="00295495"/>
    <w:rsid w:val="002A25D4"/>
    <w:rsid w:val="002A31DE"/>
    <w:rsid w:val="002A3B33"/>
    <w:rsid w:val="002A4F2D"/>
    <w:rsid w:val="002A7A26"/>
    <w:rsid w:val="002B2613"/>
    <w:rsid w:val="002B2C5A"/>
    <w:rsid w:val="002B5D70"/>
    <w:rsid w:val="002C06F9"/>
    <w:rsid w:val="002D6D05"/>
    <w:rsid w:val="002E5A62"/>
    <w:rsid w:val="002E6BDE"/>
    <w:rsid w:val="002E7F84"/>
    <w:rsid w:val="002F1818"/>
    <w:rsid w:val="002F567B"/>
    <w:rsid w:val="003216A9"/>
    <w:rsid w:val="00323FAA"/>
    <w:rsid w:val="00335A74"/>
    <w:rsid w:val="00356655"/>
    <w:rsid w:val="0035678D"/>
    <w:rsid w:val="0036561B"/>
    <w:rsid w:val="00366425"/>
    <w:rsid w:val="0037013F"/>
    <w:rsid w:val="00372D01"/>
    <w:rsid w:val="00375DB1"/>
    <w:rsid w:val="00380C92"/>
    <w:rsid w:val="003A167B"/>
    <w:rsid w:val="003A3E9C"/>
    <w:rsid w:val="003A484F"/>
    <w:rsid w:val="003A4883"/>
    <w:rsid w:val="003B0BE0"/>
    <w:rsid w:val="003B0C1B"/>
    <w:rsid w:val="003B688C"/>
    <w:rsid w:val="003C0291"/>
    <w:rsid w:val="003C39AE"/>
    <w:rsid w:val="003C7B60"/>
    <w:rsid w:val="003D0C0F"/>
    <w:rsid w:val="003D1FB2"/>
    <w:rsid w:val="003D4937"/>
    <w:rsid w:val="003D66DA"/>
    <w:rsid w:val="003E1310"/>
    <w:rsid w:val="003E6F55"/>
    <w:rsid w:val="003F3F51"/>
    <w:rsid w:val="00404C73"/>
    <w:rsid w:val="00406254"/>
    <w:rsid w:val="004141F3"/>
    <w:rsid w:val="004223DE"/>
    <w:rsid w:val="00434489"/>
    <w:rsid w:val="00437085"/>
    <w:rsid w:val="00443880"/>
    <w:rsid w:val="004464F4"/>
    <w:rsid w:val="0045336C"/>
    <w:rsid w:val="00467D5A"/>
    <w:rsid w:val="00471401"/>
    <w:rsid w:val="00473F31"/>
    <w:rsid w:val="0048263A"/>
    <w:rsid w:val="00482A0E"/>
    <w:rsid w:val="00483F79"/>
    <w:rsid w:val="00484E37"/>
    <w:rsid w:val="00487E5D"/>
    <w:rsid w:val="00491693"/>
    <w:rsid w:val="004A711F"/>
    <w:rsid w:val="004B199D"/>
    <w:rsid w:val="004B4690"/>
    <w:rsid w:val="004D0B32"/>
    <w:rsid w:val="004D298C"/>
    <w:rsid w:val="004D5C68"/>
    <w:rsid w:val="004E0A2D"/>
    <w:rsid w:val="004E206B"/>
    <w:rsid w:val="004E5A77"/>
    <w:rsid w:val="004E6DF7"/>
    <w:rsid w:val="004E7A32"/>
    <w:rsid w:val="004F0FBD"/>
    <w:rsid w:val="004F4A8A"/>
    <w:rsid w:val="004F4C65"/>
    <w:rsid w:val="004F5885"/>
    <w:rsid w:val="00501586"/>
    <w:rsid w:val="00505A47"/>
    <w:rsid w:val="00512FDA"/>
    <w:rsid w:val="00516D2C"/>
    <w:rsid w:val="00520DA0"/>
    <w:rsid w:val="00527733"/>
    <w:rsid w:val="00553B59"/>
    <w:rsid w:val="005664BB"/>
    <w:rsid w:val="00566FFA"/>
    <w:rsid w:val="0057481D"/>
    <w:rsid w:val="00575C6A"/>
    <w:rsid w:val="0058486E"/>
    <w:rsid w:val="00585B33"/>
    <w:rsid w:val="0059014D"/>
    <w:rsid w:val="005A3043"/>
    <w:rsid w:val="005B5C64"/>
    <w:rsid w:val="005C5337"/>
    <w:rsid w:val="005C6BD0"/>
    <w:rsid w:val="005D1C8B"/>
    <w:rsid w:val="005D468D"/>
    <w:rsid w:val="005D5CED"/>
    <w:rsid w:val="005D6B96"/>
    <w:rsid w:val="005F1A4C"/>
    <w:rsid w:val="005F44BB"/>
    <w:rsid w:val="005F7341"/>
    <w:rsid w:val="00605688"/>
    <w:rsid w:val="006070AF"/>
    <w:rsid w:val="00607E6C"/>
    <w:rsid w:val="006101B1"/>
    <w:rsid w:val="0061139F"/>
    <w:rsid w:val="00614E44"/>
    <w:rsid w:val="0062270A"/>
    <w:rsid w:val="00622830"/>
    <w:rsid w:val="00623DA0"/>
    <w:rsid w:val="00626FBD"/>
    <w:rsid w:val="00630AEF"/>
    <w:rsid w:val="006325F8"/>
    <w:rsid w:val="00633463"/>
    <w:rsid w:val="00634C9A"/>
    <w:rsid w:val="0063741F"/>
    <w:rsid w:val="006440E4"/>
    <w:rsid w:val="00645207"/>
    <w:rsid w:val="0066343B"/>
    <w:rsid w:val="00664777"/>
    <w:rsid w:val="00664CBF"/>
    <w:rsid w:val="006719BA"/>
    <w:rsid w:val="006748A4"/>
    <w:rsid w:val="00681A31"/>
    <w:rsid w:val="00683E73"/>
    <w:rsid w:val="006A3141"/>
    <w:rsid w:val="006A5E34"/>
    <w:rsid w:val="006B2422"/>
    <w:rsid w:val="006B2B9A"/>
    <w:rsid w:val="006B5806"/>
    <w:rsid w:val="006C1937"/>
    <w:rsid w:val="006C5694"/>
    <w:rsid w:val="006C7F31"/>
    <w:rsid w:val="006F020C"/>
    <w:rsid w:val="007011AF"/>
    <w:rsid w:val="0070131C"/>
    <w:rsid w:val="00712764"/>
    <w:rsid w:val="007127B7"/>
    <w:rsid w:val="0071798E"/>
    <w:rsid w:val="007416B6"/>
    <w:rsid w:val="00746F48"/>
    <w:rsid w:val="007529CC"/>
    <w:rsid w:val="0075404D"/>
    <w:rsid w:val="0076182A"/>
    <w:rsid w:val="00767B7E"/>
    <w:rsid w:val="007770C3"/>
    <w:rsid w:val="00784D24"/>
    <w:rsid w:val="00785582"/>
    <w:rsid w:val="00785FBA"/>
    <w:rsid w:val="00786E4A"/>
    <w:rsid w:val="007875EB"/>
    <w:rsid w:val="0079426B"/>
    <w:rsid w:val="007C31EF"/>
    <w:rsid w:val="007D1682"/>
    <w:rsid w:val="007D312A"/>
    <w:rsid w:val="007D3F19"/>
    <w:rsid w:val="007D4D84"/>
    <w:rsid w:val="007D5DBF"/>
    <w:rsid w:val="007E23B0"/>
    <w:rsid w:val="007E23E5"/>
    <w:rsid w:val="007F1991"/>
    <w:rsid w:val="007F2C2F"/>
    <w:rsid w:val="007F55FC"/>
    <w:rsid w:val="007F5665"/>
    <w:rsid w:val="00800112"/>
    <w:rsid w:val="00813348"/>
    <w:rsid w:val="00815E44"/>
    <w:rsid w:val="008210E0"/>
    <w:rsid w:val="008231FC"/>
    <w:rsid w:val="0082357E"/>
    <w:rsid w:val="008253BB"/>
    <w:rsid w:val="00833A06"/>
    <w:rsid w:val="0083706E"/>
    <w:rsid w:val="008408F6"/>
    <w:rsid w:val="00841D2E"/>
    <w:rsid w:val="008423A5"/>
    <w:rsid w:val="00843A35"/>
    <w:rsid w:val="00850625"/>
    <w:rsid w:val="0085283F"/>
    <w:rsid w:val="00853718"/>
    <w:rsid w:val="00855221"/>
    <w:rsid w:val="00860645"/>
    <w:rsid w:val="00871F71"/>
    <w:rsid w:val="00872FD8"/>
    <w:rsid w:val="008807DA"/>
    <w:rsid w:val="00883EB6"/>
    <w:rsid w:val="00885AF4"/>
    <w:rsid w:val="008939CD"/>
    <w:rsid w:val="008B768C"/>
    <w:rsid w:val="008C14A5"/>
    <w:rsid w:val="008C4DB1"/>
    <w:rsid w:val="008C4EAF"/>
    <w:rsid w:val="008C5176"/>
    <w:rsid w:val="008C7FD0"/>
    <w:rsid w:val="008E1DE7"/>
    <w:rsid w:val="008E707C"/>
    <w:rsid w:val="00900B08"/>
    <w:rsid w:val="00902155"/>
    <w:rsid w:val="00902FA3"/>
    <w:rsid w:val="00906FA4"/>
    <w:rsid w:val="0090786F"/>
    <w:rsid w:val="00922FA0"/>
    <w:rsid w:val="00923564"/>
    <w:rsid w:val="0092392E"/>
    <w:rsid w:val="00923E94"/>
    <w:rsid w:val="009315F9"/>
    <w:rsid w:val="00933499"/>
    <w:rsid w:val="00935C98"/>
    <w:rsid w:val="00946945"/>
    <w:rsid w:val="00951248"/>
    <w:rsid w:val="0095152F"/>
    <w:rsid w:val="00954C49"/>
    <w:rsid w:val="00955E37"/>
    <w:rsid w:val="0097099F"/>
    <w:rsid w:val="00971997"/>
    <w:rsid w:val="00971FFC"/>
    <w:rsid w:val="0098660A"/>
    <w:rsid w:val="00987D95"/>
    <w:rsid w:val="00991C43"/>
    <w:rsid w:val="009931C3"/>
    <w:rsid w:val="009937DE"/>
    <w:rsid w:val="009A1776"/>
    <w:rsid w:val="009A4F33"/>
    <w:rsid w:val="009B2C43"/>
    <w:rsid w:val="009B4EAE"/>
    <w:rsid w:val="009B61AE"/>
    <w:rsid w:val="009B7573"/>
    <w:rsid w:val="009C22F4"/>
    <w:rsid w:val="009C2A4B"/>
    <w:rsid w:val="009C2E98"/>
    <w:rsid w:val="009D0C1E"/>
    <w:rsid w:val="009D3447"/>
    <w:rsid w:val="009D4711"/>
    <w:rsid w:val="009E02F9"/>
    <w:rsid w:val="009F1185"/>
    <w:rsid w:val="009F18CD"/>
    <w:rsid w:val="009F2A13"/>
    <w:rsid w:val="009F7527"/>
    <w:rsid w:val="00A04EB0"/>
    <w:rsid w:val="00A1159F"/>
    <w:rsid w:val="00A13CC1"/>
    <w:rsid w:val="00A16847"/>
    <w:rsid w:val="00A20A9F"/>
    <w:rsid w:val="00A211B3"/>
    <w:rsid w:val="00A237D8"/>
    <w:rsid w:val="00A268C4"/>
    <w:rsid w:val="00A307CD"/>
    <w:rsid w:val="00A331C8"/>
    <w:rsid w:val="00A40A00"/>
    <w:rsid w:val="00A4142F"/>
    <w:rsid w:val="00A422EB"/>
    <w:rsid w:val="00A45BB7"/>
    <w:rsid w:val="00A56DF2"/>
    <w:rsid w:val="00A56E6E"/>
    <w:rsid w:val="00A56F8E"/>
    <w:rsid w:val="00A67AB5"/>
    <w:rsid w:val="00A733B2"/>
    <w:rsid w:val="00A741C2"/>
    <w:rsid w:val="00A91760"/>
    <w:rsid w:val="00A93B00"/>
    <w:rsid w:val="00A93C21"/>
    <w:rsid w:val="00AA2C74"/>
    <w:rsid w:val="00AA611E"/>
    <w:rsid w:val="00AA642C"/>
    <w:rsid w:val="00AA69AE"/>
    <w:rsid w:val="00AB22DD"/>
    <w:rsid w:val="00AB64C9"/>
    <w:rsid w:val="00AC1175"/>
    <w:rsid w:val="00AC3C6A"/>
    <w:rsid w:val="00AC5E99"/>
    <w:rsid w:val="00AC5F45"/>
    <w:rsid w:val="00AD437C"/>
    <w:rsid w:val="00AD5620"/>
    <w:rsid w:val="00AD656B"/>
    <w:rsid w:val="00AD7C1B"/>
    <w:rsid w:val="00AE16BA"/>
    <w:rsid w:val="00AE1EBE"/>
    <w:rsid w:val="00AF4E6E"/>
    <w:rsid w:val="00B03C9D"/>
    <w:rsid w:val="00B04550"/>
    <w:rsid w:val="00B05EA2"/>
    <w:rsid w:val="00B060AE"/>
    <w:rsid w:val="00B10517"/>
    <w:rsid w:val="00B14E76"/>
    <w:rsid w:val="00B1526E"/>
    <w:rsid w:val="00B161B8"/>
    <w:rsid w:val="00B2048C"/>
    <w:rsid w:val="00B310B9"/>
    <w:rsid w:val="00B35F3F"/>
    <w:rsid w:val="00B36CBB"/>
    <w:rsid w:val="00B425E0"/>
    <w:rsid w:val="00B440AA"/>
    <w:rsid w:val="00B44B70"/>
    <w:rsid w:val="00B53C56"/>
    <w:rsid w:val="00B57DAF"/>
    <w:rsid w:val="00B6171F"/>
    <w:rsid w:val="00B77EA6"/>
    <w:rsid w:val="00B81598"/>
    <w:rsid w:val="00B83A0C"/>
    <w:rsid w:val="00B841F1"/>
    <w:rsid w:val="00B92A39"/>
    <w:rsid w:val="00B944D6"/>
    <w:rsid w:val="00BB4BC1"/>
    <w:rsid w:val="00BB4DF0"/>
    <w:rsid w:val="00BC289F"/>
    <w:rsid w:val="00BC2D50"/>
    <w:rsid w:val="00BC5361"/>
    <w:rsid w:val="00BC5460"/>
    <w:rsid w:val="00BC6B50"/>
    <w:rsid w:val="00BD0E25"/>
    <w:rsid w:val="00BD2B89"/>
    <w:rsid w:val="00BD529C"/>
    <w:rsid w:val="00BE0FDB"/>
    <w:rsid w:val="00BE11E7"/>
    <w:rsid w:val="00BF212A"/>
    <w:rsid w:val="00BF34FD"/>
    <w:rsid w:val="00BF5BD6"/>
    <w:rsid w:val="00C03E31"/>
    <w:rsid w:val="00C203E0"/>
    <w:rsid w:val="00C32B0D"/>
    <w:rsid w:val="00C33E72"/>
    <w:rsid w:val="00C354B2"/>
    <w:rsid w:val="00C35554"/>
    <w:rsid w:val="00C37EEB"/>
    <w:rsid w:val="00C42709"/>
    <w:rsid w:val="00C533CC"/>
    <w:rsid w:val="00C5751C"/>
    <w:rsid w:val="00C61BFC"/>
    <w:rsid w:val="00C62B85"/>
    <w:rsid w:val="00C65438"/>
    <w:rsid w:val="00C663DA"/>
    <w:rsid w:val="00C87FD8"/>
    <w:rsid w:val="00C91381"/>
    <w:rsid w:val="00C91CBB"/>
    <w:rsid w:val="00C954D4"/>
    <w:rsid w:val="00CB0BD2"/>
    <w:rsid w:val="00CB1B5A"/>
    <w:rsid w:val="00CB3653"/>
    <w:rsid w:val="00CB4E70"/>
    <w:rsid w:val="00CC09B6"/>
    <w:rsid w:val="00CC1745"/>
    <w:rsid w:val="00CC666F"/>
    <w:rsid w:val="00CC699F"/>
    <w:rsid w:val="00CD1E3F"/>
    <w:rsid w:val="00CE0283"/>
    <w:rsid w:val="00CE2952"/>
    <w:rsid w:val="00CE44F6"/>
    <w:rsid w:val="00CE49DA"/>
    <w:rsid w:val="00CE7B61"/>
    <w:rsid w:val="00D00095"/>
    <w:rsid w:val="00D02191"/>
    <w:rsid w:val="00D114F0"/>
    <w:rsid w:val="00D1241B"/>
    <w:rsid w:val="00D20620"/>
    <w:rsid w:val="00D21996"/>
    <w:rsid w:val="00D21E8A"/>
    <w:rsid w:val="00D2257E"/>
    <w:rsid w:val="00D227A6"/>
    <w:rsid w:val="00D24342"/>
    <w:rsid w:val="00D254F7"/>
    <w:rsid w:val="00D25E1E"/>
    <w:rsid w:val="00D26091"/>
    <w:rsid w:val="00D2685C"/>
    <w:rsid w:val="00D346AF"/>
    <w:rsid w:val="00D34E7C"/>
    <w:rsid w:val="00D35489"/>
    <w:rsid w:val="00D36AFE"/>
    <w:rsid w:val="00D40D79"/>
    <w:rsid w:val="00D4274E"/>
    <w:rsid w:val="00D43BF5"/>
    <w:rsid w:val="00D46FA1"/>
    <w:rsid w:val="00D51247"/>
    <w:rsid w:val="00D51276"/>
    <w:rsid w:val="00D7035F"/>
    <w:rsid w:val="00D734C9"/>
    <w:rsid w:val="00D84AD7"/>
    <w:rsid w:val="00D96736"/>
    <w:rsid w:val="00DA634F"/>
    <w:rsid w:val="00DA65AC"/>
    <w:rsid w:val="00DB0EEF"/>
    <w:rsid w:val="00DB1913"/>
    <w:rsid w:val="00DB3E0D"/>
    <w:rsid w:val="00DC410D"/>
    <w:rsid w:val="00DC4E7E"/>
    <w:rsid w:val="00DC5A81"/>
    <w:rsid w:val="00DC5E88"/>
    <w:rsid w:val="00DC68CA"/>
    <w:rsid w:val="00DC7CBA"/>
    <w:rsid w:val="00DD556A"/>
    <w:rsid w:val="00DD73B7"/>
    <w:rsid w:val="00DF28BC"/>
    <w:rsid w:val="00DF34B9"/>
    <w:rsid w:val="00DF3A1E"/>
    <w:rsid w:val="00DF4DF0"/>
    <w:rsid w:val="00DF4F85"/>
    <w:rsid w:val="00E01053"/>
    <w:rsid w:val="00E07ACF"/>
    <w:rsid w:val="00E114F4"/>
    <w:rsid w:val="00E331A1"/>
    <w:rsid w:val="00E33202"/>
    <w:rsid w:val="00E336A9"/>
    <w:rsid w:val="00E33D20"/>
    <w:rsid w:val="00E472B1"/>
    <w:rsid w:val="00E50624"/>
    <w:rsid w:val="00E54633"/>
    <w:rsid w:val="00E568DF"/>
    <w:rsid w:val="00E64269"/>
    <w:rsid w:val="00E66641"/>
    <w:rsid w:val="00E7053A"/>
    <w:rsid w:val="00E815BF"/>
    <w:rsid w:val="00E82267"/>
    <w:rsid w:val="00E84E72"/>
    <w:rsid w:val="00E853CE"/>
    <w:rsid w:val="00E867B6"/>
    <w:rsid w:val="00E9756F"/>
    <w:rsid w:val="00EA010F"/>
    <w:rsid w:val="00EA62AB"/>
    <w:rsid w:val="00ED1B63"/>
    <w:rsid w:val="00ED3C1F"/>
    <w:rsid w:val="00ED4085"/>
    <w:rsid w:val="00ED420E"/>
    <w:rsid w:val="00ED6FBE"/>
    <w:rsid w:val="00ED731C"/>
    <w:rsid w:val="00EE2D00"/>
    <w:rsid w:val="00EE2F57"/>
    <w:rsid w:val="00EE35AA"/>
    <w:rsid w:val="00EE5A6F"/>
    <w:rsid w:val="00EF0051"/>
    <w:rsid w:val="00EF4C34"/>
    <w:rsid w:val="00EF77C6"/>
    <w:rsid w:val="00F05438"/>
    <w:rsid w:val="00F1361C"/>
    <w:rsid w:val="00F156F0"/>
    <w:rsid w:val="00F160C7"/>
    <w:rsid w:val="00F20D69"/>
    <w:rsid w:val="00F2289D"/>
    <w:rsid w:val="00F2408F"/>
    <w:rsid w:val="00F240E9"/>
    <w:rsid w:val="00F27B48"/>
    <w:rsid w:val="00F36D8F"/>
    <w:rsid w:val="00F417B1"/>
    <w:rsid w:val="00F45853"/>
    <w:rsid w:val="00F54069"/>
    <w:rsid w:val="00F57D17"/>
    <w:rsid w:val="00F602DF"/>
    <w:rsid w:val="00F754A1"/>
    <w:rsid w:val="00F75CE8"/>
    <w:rsid w:val="00F77F63"/>
    <w:rsid w:val="00F81FD9"/>
    <w:rsid w:val="00F841AA"/>
    <w:rsid w:val="00F84A94"/>
    <w:rsid w:val="00F87E96"/>
    <w:rsid w:val="00F87FE5"/>
    <w:rsid w:val="00FA23E8"/>
    <w:rsid w:val="00FB16B1"/>
    <w:rsid w:val="00FB7069"/>
    <w:rsid w:val="00FC4CE8"/>
    <w:rsid w:val="00FD3CC1"/>
    <w:rsid w:val="00FE0A40"/>
    <w:rsid w:val="00FF1E02"/>
    <w:rsid w:val="00FF30B4"/>
    <w:rsid w:val="00FF6ECC"/>
    <w:rsid w:val="015975B8"/>
    <w:rsid w:val="02317B1B"/>
    <w:rsid w:val="02FEBE30"/>
    <w:rsid w:val="03870230"/>
    <w:rsid w:val="040E58BE"/>
    <w:rsid w:val="056A52BC"/>
    <w:rsid w:val="061E35DE"/>
    <w:rsid w:val="066E0107"/>
    <w:rsid w:val="07996F6E"/>
    <w:rsid w:val="07B9161F"/>
    <w:rsid w:val="07DFD8BA"/>
    <w:rsid w:val="08DB07E4"/>
    <w:rsid w:val="09704AF2"/>
    <w:rsid w:val="09867E8F"/>
    <w:rsid w:val="0A2032A3"/>
    <w:rsid w:val="0A886720"/>
    <w:rsid w:val="0C6C4794"/>
    <w:rsid w:val="0CA8290A"/>
    <w:rsid w:val="0CAE24B4"/>
    <w:rsid w:val="0D35B1ED"/>
    <w:rsid w:val="0DE07E2B"/>
    <w:rsid w:val="0F215C00"/>
    <w:rsid w:val="0F98263C"/>
    <w:rsid w:val="101860EC"/>
    <w:rsid w:val="10C055FF"/>
    <w:rsid w:val="10DE7DAC"/>
    <w:rsid w:val="11446629"/>
    <w:rsid w:val="11772AA4"/>
    <w:rsid w:val="118107EC"/>
    <w:rsid w:val="13D50BC4"/>
    <w:rsid w:val="14022904"/>
    <w:rsid w:val="14CD7B51"/>
    <w:rsid w:val="14E659BE"/>
    <w:rsid w:val="152F2A07"/>
    <w:rsid w:val="15B34F99"/>
    <w:rsid w:val="165E0673"/>
    <w:rsid w:val="16BB723D"/>
    <w:rsid w:val="186504BB"/>
    <w:rsid w:val="18EF1D3C"/>
    <w:rsid w:val="1938089F"/>
    <w:rsid w:val="19A445FC"/>
    <w:rsid w:val="1A125406"/>
    <w:rsid w:val="1B7D550C"/>
    <w:rsid w:val="1BE8440E"/>
    <w:rsid w:val="1C5B3C94"/>
    <w:rsid w:val="1D090408"/>
    <w:rsid w:val="1D155CEE"/>
    <w:rsid w:val="1E740ACF"/>
    <w:rsid w:val="1F090DD7"/>
    <w:rsid w:val="1F1F0308"/>
    <w:rsid w:val="1FF35744"/>
    <w:rsid w:val="1FF6BC77"/>
    <w:rsid w:val="20511636"/>
    <w:rsid w:val="21962A9E"/>
    <w:rsid w:val="21AE7C77"/>
    <w:rsid w:val="21ED35E0"/>
    <w:rsid w:val="22284619"/>
    <w:rsid w:val="22364F87"/>
    <w:rsid w:val="22BC3C41"/>
    <w:rsid w:val="23062B64"/>
    <w:rsid w:val="23827D58"/>
    <w:rsid w:val="23860B96"/>
    <w:rsid w:val="240371BF"/>
    <w:rsid w:val="260F557C"/>
    <w:rsid w:val="26D7687A"/>
    <w:rsid w:val="281408E2"/>
    <w:rsid w:val="290C6F35"/>
    <w:rsid w:val="29FD04D3"/>
    <w:rsid w:val="2A2871C5"/>
    <w:rsid w:val="2AF02E62"/>
    <w:rsid w:val="2BFF7BC6"/>
    <w:rsid w:val="2C8A61B5"/>
    <w:rsid w:val="2D2E01CF"/>
    <w:rsid w:val="2D9E6581"/>
    <w:rsid w:val="2DF04E50"/>
    <w:rsid w:val="2E55065C"/>
    <w:rsid w:val="2E9545B0"/>
    <w:rsid w:val="2F040D46"/>
    <w:rsid w:val="2FAE5751"/>
    <w:rsid w:val="2FB1A395"/>
    <w:rsid w:val="2FC33BD3"/>
    <w:rsid w:val="2FD9A7D8"/>
    <w:rsid w:val="319F7F4E"/>
    <w:rsid w:val="321B2544"/>
    <w:rsid w:val="3304709D"/>
    <w:rsid w:val="34281836"/>
    <w:rsid w:val="349142D6"/>
    <w:rsid w:val="349D6851"/>
    <w:rsid w:val="354B4FE0"/>
    <w:rsid w:val="35BA6CAF"/>
    <w:rsid w:val="364D14C1"/>
    <w:rsid w:val="36AA5135"/>
    <w:rsid w:val="36BE0DA7"/>
    <w:rsid w:val="376B6AA6"/>
    <w:rsid w:val="376D39B2"/>
    <w:rsid w:val="37727331"/>
    <w:rsid w:val="37E16F03"/>
    <w:rsid w:val="37F53A3B"/>
    <w:rsid w:val="38467795"/>
    <w:rsid w:val="389B6C89"/>
    <w:rsid w:val="38BF07AE"/>
    <w:rsid w:val="38D469F0"/>
    <w:rsid w:val="39627CCD"/>
    <w:rsid w:val="397BAF1F"/>
    <w:rsid w:val="3AB79AF3"/>
    <w:rsid w:val="3B7EF35A"/>
    <w:rsid w:val="3B9FDB6C"/>
    <w:rsid w:val="3BF5BC2F"/>
    <w:rsid w:val="3CEBA265"/>
    <w:rsid w:val="3D98207C"/>
    <w:rsid w:val="3D9B0D99"/>
    <w:rsid w:val="3DE149BA"/>
    <w:rsid w:val="3DEE7CF3"/>
    <w:rsid w:val="3DF02244"/>
    <w:rsid w:val="3E0722E9"/>
    <w:rsid w:val="3E78745D"/>
    <w:rsid w:val="3F2F7F48"/>
    <w:rsid w:val="3FF4CAE0"/>
    <w:rsid w:val="3FF7B227"/>
    <w:rsid w:val="40265583"/>
    <w:rsid w:val="40E54C45"/>
    <w:rsid w:val="42E87780"/>
    <w:rsid w:val="43A407DF"/>
    <w:rsid w:val="43B6787E"/>
    <w:rsid w:val="44515BEA"/>
    <w:rsid w:val="44E268DA"/>
    <w:rsid w:val="453F7E5B"/>
    <w:rsid w:val="46435D97"/>
    <w:rsid w:val="46E23AEC"/>
    <w:rsid w:val="480E5773"/>
    <w:rsid w:val="486A6C7A"/>
    <w:rsid w:val="49176D9B"/>
    <w:rsid w:val="49D3484A"/>
    <w:rsid w:val="4A383B2E"/>
    <w:rsid w:val="4A627F82"/>
    <w:rsid w:val="4A7D10F6"/>
    <w:rsid w:val="4B0E749A"/>
    <w:rsid w:val="4B4F25DA"/>
    <w:rsid w:val="4B543554"/>
    <w:rsid w:val="4BDA0CFB"/>
    <w:rsid w:val="4BE068DB"/>
    <w:rsid w:val="4D3C0CCC"/>
    <w:rsid w:val="4D4278D2"/>
    <w:rsid w:val="4D577224"/>
    <w:rsid w:val="4D683769"/>
    <w:rsid w:val="4DBF1CEB"/>
    <w:rsid w:val="4EAB630A"/>
    <w:rsid w:val="4ECE2238"/>
    <w:rsid w:val="4F833267"/>
    <w:rsid w:val="4FE9BD67"/>
    <w:rsid w:val="4FFB052F"/>
    <w:rsid w:val="522A2DDA"/>
    <w:rsid w:val="526512C1"/>
    <w:rsid w:val="53083A92"/>
    <w:rsid w:val="537E6D0A"/>
    <w:rsid w:val="53AF27A2"/>
    <w:rsid w:val="53BE7F16"/>
    <w:rsid w:val="53F74C96"/>
    <w:rsid w:val="54900F32"/>
    <w:rsid w:val="56A8690E"/>
    <w:rsid w:val="56E47B74"/>
    <w:rsid w:val="572E5284"/>
    <w:rsid w:val="57BD3DD4"/>
    <w:rsid w:val="585C536F"/>
    <w:rsid w:val="599A79E6"/>
    <w:rsid w:val="5A2450EA"/>
    <w:rsid w:val="5AF92295"/>
    <w:rsid w:val="5BA74225"/>
    <w:rsid w:val="5BDD79E6"/>
    <w:rsid w:val="5BF561CA"/>
    <w:rsid w:val="5BFF5DFC"/>
    <w:rsid w:val="5CD71FC4"/>
    <w:rsid w:val="5D1F11B5"/>
    <w:rsid w:val="5D962984"/>
    <w:rsid w:val="5DAE1B18"/>
    <w:rsid w:val="5DBD165F"/>
    <w:rsid w:val="5DE7D9E5"/>
    <w:rsid w:val="5E160396"/>
    <w:rsid w:val="5ECEC941"/>
    <w:rsid w:val="5F493CB7"/>
    <w:rsid w:val="5F91104A"/>
    <w:rsid w:val="5FBF9FF3"/>
    <w:rsid w:val="5FCD4E2C"/>
    <w:rsid w:val="5FD15F49"/>
    <w:rsid w:val="5FEF394A"/>
    <w:rsid w:val="5FF67715"/>
    <w:rsid w:val="60E9574C"/>
    <w:rsid w:val="62BF3928"/>
    <w:rsid w:val="636252AE"/>
    <w:rsid w:val="647F5392"/>
    <w:rsid w:val="664B1D71"/>
    <w:rsid w:val="67AA3209"/>
    <w:rsid w:val="67FC1750"/>
    <w:rsid w:val="681C4F0D"/>
    <w:rsid w:val="688539F5"/>
    <w:rsid w:val="69046D0F"/>
    <w:rsid w:val="698D0931"/>
    <w:rsid w:val="6A993CED"/>
    <w:rsid w:val="6B053271"/>
    <w:rsid w:val="6BCE6674"/>
    <w:rsid w:val="6C4A05C8"/>
    <w:rsid w:val="6C8742B8"/>
    <w:rsid w:val="6C8A170F"/>
    <w:rsid w:val="6CB54609"/>
    <w:rsid w:val="6D480C98"/>
    <w:rsid w:val="6DBF5E93"/>
    <w:rsid w:val="6DFF077E"/>
    <w:rsid w:val="6E7E3605"/>
    <w:rsid w:val="6E7FDCC7"/>
    <w:rsid w:val="6ED6A62E"/>
    <w:rsid w:val="6EE00B15"/>
    <w:rsid w:val="6F0C70B5"/>
    <w:rsid w:val="6F544B20"/>
    <w:rsid w:val="6F6FB3EB"/>
    <w:rsid w:val="6F784160"/>
    <w:rsid w:val="6F8731EA"/>
    <w:rsid w:val="6FCE6052"/>
    <w:rsid w:val="6FD57C00"/>
    <w:rsid w:val="6FEFFFD8"/>
    <w:rsid w:val="6FF3138F"/>
    <w:rsid w:val="6FF5CC65"/>
    <w:rsid w:val="6FFB47EC"/>
    <w:rsid w:val="6FFF034A"/>
    <w:rsid w:val="70496804"/>
    <w:rsid w:val="712A28F1"/>
    <w:rsid w:val="715C0E4B"/>
    <w:rsid w:val="72233669"/>
    <w:rsid w:val="72734D90"/>
    <w:rsid w:val="7332FE48"/>
    <w:rsid w:val="737E34AD"/>
    <w:rsid w:val="73AB61DA"/>
    <w:rsid w:val="73AD73D5"/>
    <w:rsid w:val="73B6EB34"/>
    <w:rsid w:val="73FA497D"/>
    <w:rsid w:val="744731E5"/>
    <w:rsid w:val="74527205"/>
    <w:rsid w:val="745D73E8"/>
    <w:rsid w:val="74BBD01D"/>
    <w:rsid w:val="74ED5379"/>
    <w:rsid w:val="74FC2395"/>
    <w:rsid w:val="75DEEEC2"/>
    <w:rsid w:val="76E3355F"/>
    <w:rsid w:val="76FF5125"/>
    <w:rsid w:val="773B4A93"/>
    <w:rsid w:val="77402C4B"/>
    <w:rsid w:val="776F6FFA"/>
    <w:rsid w:val="778769C8"/>
    <w:rsid w:val="77B84FA6"/>
    <w:rsid w:val="77C620FD"/>
    <w:rsid w:val="77DC22F5"/>
    <w:rsid w:val="79086DAD"/>
    <w:rsid w:val="79974F09"/>
    <w:rsid w:val="79D7FD79"/>
    <w:rsid w:val="79EE5BA4"/>
    <w:rsid w:val="7A894339"/>
    <w:rsid w:val="7AFF7572"/>
    <w:rsid w:val="7B6C7DFB"/>
    <w:rsid w:val="7BBFBED0"/>
    <w:rsid w:val="7BC3E394"/>
    <w:rsid w:val="7C1F3737"/>
    <w:rsid w:val="7CBFC87B"/>
    <w:rsid w:val="7CFE0F48"/>
    <w:rsid w:val="7D4940F1"/>
    <w:rsid w:val="7D7EC23E"/>
    <w:rsid w:val="7D916348"/>
    <w:rsid w:val="7E8ADEBF"/>
    <w:rsid w:val="7E9933D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99"/>
    <w:pPr>
      <w:widowControl/>
      <w:spacing w:before="100" w:beforeAutospacing="1" w:after="100" w:afterAutospacing="1"/>
      <w:jc w:val="left"/>
    </w:pPr>
    <w:rPr>
      <w:rFonts w:ascii="宋体" w:hAnsi="宋体"/>
      <w:color w:val="000000"/>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HP\Desktop\&#26032;&#24314;%20XLS%20&#24037;&#20316;&#34920;%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00" b="0" i="0" u="none" strike="noStrike" kern="1200" spc="0" baseline="0">
                <a:solidFill>
                  <a:schemeClr val="tx1">
                    <a:lumMod val="65000"/>
                    <a:lumOff val="35000"/>
                  </a:schemeClr>
                </a:solidFill>
                <a:latin typeface="+mn-lt"/>
                <a:ea typeface="+mn-ea"/>
                <a:cs typeface="+mn-cs"/>
              </a:defRPr>
            </a:pPr>
            <a:r>
              <a:rPr lang="zh-CN" altLang="en-US" sz="1100" b="1"/>
              <a:t>支出总计数结构图</a:t>
            </a:r>
            <a:endParaRPr lang="zh-CN" altLang="en-US" sz="1100" b="1"/>
          </a:p>
        </c:rich>
      </c:tx>
      <c:layout>
        <c:manualLayout>
          <c:xMode val="edge"/>
          <c:yMode val="edge"/>
          <c:x val="0.296453854345332"/>
          <c:y val="0.0543092049577475"/>
        </c:manualLayout>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78.26</a:t>
                    </a:r>
                    <a:r>
                      <a:rPr lang="en-US" altLang="en-US"/>
                      <a:t>%</a:t>
                    </a: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21.74</a:t>
                    </a:r>
                    <a:r>
                      <a:rPr lang="en-US" altLang="en-US"/>
                      <a:t>%</a:t>
                    </a: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'[新建 XLS 工作表 (2).xls]Sheet1'!$A$1:$A$2</c:f>
              <c:strCache>
                <c:ptCount val="2"/>
                <c:pt idx="0">
                  <c:v>基本支出</c:v>
                </c:pt>
                <c:pt idx="1">
                  <c:v>项目支出</c:v>
                </c:pt>
              </c:strCache>
            </c:strRef>
          </c:cat>
          <c:val>
            <c:numRef>
              <c:f>'[新建 XLS 工作表 (2).xls]Sheet1'!$B$1:$B$2</c:f>
              <c:numCache>
                <c:formatCode>0.00%</c:formatCode>
                <c:ptCount val="2"/>
                <c:pt idx="0">
                  <c:v>0.6824</c:v>
                </c:pt>
                <c:pt idx="1">
                  <c:v>0.3176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45</Pages>
  <Words>2882</Words>
  <Characters>16433</Characters>
  <Lines>136</Lines>
  <Paragraphs>38</Paragraphs>
  <TotalTime>325</TotalTime>
  <ScaleCrop>false</ScaleCrop>
  <LinksUpToDate>false</LinksUpToDate>
  <CharactersWithSpaces>19277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2026-09-02T02:28:00Z</cp:lastPrinted>
  <dcterms:modified xsi:type="dcterms:W3CDTF">2026-09-15T07:44:51Z</dcterms:modified>
  <dc:title>四川省***</dc:title>
  <cp:revision>239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3BF536824C220DA3E40E8B68BA118B1C_42</vt:lpwstr>
  </property>
</Properties>
</file>