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93"/>
        <w:rPr>
          <w:rFonts w:ascii="Times New Roman" w:eastAsia="方正小标宋简体"/>
          <w:kern w:val="2"/>
          <w:sz w:val="72"/>
          <w:szCs w:val="72"/>
        </w:rPr>
      </w:pPr>
      <w:bookmarkStart w:id="0" w:name="_Toc15378441"/>
      <w:bookmarkStart w:id="1" w:name="_Toc15377193"/>
      <w:bookmarkStart w:id="2" w:name="_Toc15377425"/>
      <w:bookmarkStart w:id="3" w:name="_Toc15306267"/>
      <w:bookmarkStart w:id="4" w:name="_Toc15396597"/>
      <w:bookmarkStart w:id="5" w:name="_Toc15396475"/>
    </w:p>
    <w:p>
      <w:pPr>
        <w:pStyle w:val="5"/>
        <w:spacing w:before="93"/>
        <w:rPr>
          <w:rFonts w:ascii="Times New Roman" w:eastAsia="方正小标宋简体"/>
          <w:kern w:val="2"/>
          <w:sz w:val="72"/>
          <w:szCs w:val="72"/>
        </w:rPr>
      </w:pPr>
    </w:p>
    <w:p>
      <w:pPr>
        <w:pStyle w:val="5"/>
        <w:spacing w:before="93"/>
        <w:rPr>
          <w:rFonts w:ascii="Times New Roman" w:eastAsia="方正小标宋简体"/>
          <w:kern w:val="2"/>
          <w:sz w:val="72"/>
          <w:szCs w:val="72"/>
        </w:rPr>
      </w:pP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2025年度四川省</w:t>
      </w: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攀枝花市公安局交通警察支队</w:t>
      </w:r>
    </w:p>
    <w:p>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单位决算公开编制说明</w:t>
      </w: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pPr>
        <w:widowControl/>
        <w:jc w:val="center"/>
        <w:rPr>
          <w:rFonts w:eastAsia="黑体"/>
          <w:sz w:val="48"/>
          <w:szCs w:val="48"/>
        </w:rPr>
      </w:pPr>
    </w:p>
    <w:p>
      <w:pPr>
        <w:widowControl/>
        <w:jc w:val="center"/>
        <w:rPr>
          <w:rFonts w:eastAsia="黑体"/>
          <w:sz w:val="48"/>
          <w:szCs w:val="48"/>
        </w:rPr>
      </w:pPr>
      <w:r>
        <w:rPr>
          <w:rFonts w:hint="eastAsia" w:eastAsia="黑体"/>
          <w:sz w:val="48"/>
          <w:szCs w:val="48"/>
        </w:rPr>
        <w:t>目录</w:t>
      </w:r>
      <w:bookmarkStart w:id="63" w:name="_GoBack"/>
      <w:bookmarkEnd w:id="63"/>
    </w:p>
    <w:p>
      <w:pPr>
        <w:widowControl/>
        <w:jc w:val="center"/>
        <w:rPr>
          <w:rFonts w:eastAsia="黑体" w:cstheme="minorBidi"/>
          <w:sz w:val="28"/>
          <w:szCs w:val="28"/>
        </w:rPr>
      </w:pPr>
    </w:p>
    <w:p>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ascii="Times New Roman" w:hAnsi="Times New Roman" w:eastAsia="仿宋_GB2312" w:cs="仿宋_GB2312"/>
          <w:sz w:val="32"/>
          <w:szCs w:val="32"/>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单位概况</w:t>
      </w:r>
      <w:r>
        <w:rPr>
          <w:rFonts w:ascii="Times New Roman" w:hAnsi="Times New Roman" w:eastAsia="黑体" w:cs="黑体"/>
          <w:sz w:val="32"/>
          <w:szCs w:val="32"/>
        </w:rPr>
        <w:tab/>
      </w:r>
      <w:r>
        <w:rPr>
          <w:rFonts w:ascii="Times New Roman" w:hAnsi="Times New Roman" w:eastAsia="黑体" w:cs="黑体"/>
          <w:sz w:val="32"/>
          <w:szCs w:val="32"/>
        </w:rPr>
        <w:t>3</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一、单位职责</w:t>
      </w:r>
      <w:r>
        <w:rPr>
          <w:rFonts w:eastAsia="仿宋_GB2312" w:cs="仿宋_GB2312"/>
          <w:sz w:val="32"/>
          <w:szCs w:val="32"/>
        </w:rPr>
        <w:tab/>
      </w:r>
      <w:r>
        <w:rPr>
          <w:rFonts w:ascii="仿宋" w:hAnsi="仿宋" w:eastAsia="仿宋" w:cs="仿宋_GB2312"/>
          <w:sz w:val="32"/>
          <w:szCs w:val="32"/>
        </w:rPr>
        <w:t>3</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eastAsia="仿宋_GB2312" w:cs="仿宋_GB2312"/>
          <w:sz w:val="32"/>
          <w:szCs w:val="32"/>
        </w:rPr>
        <w:tab/>
      </w:r>
      <w:r>
        <w:rPr>
          <w:rFonts w:ascii="仿宋" w:hAnsi="仿宋" w:eastAsia="仿宋" w:cs="仿宋_GB2312"/>
          <w:sz w:val="32"/>
          <w:szCs w:val="32"/>
        </w:rPr>
        <w:t>3</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2025年度单位决算情况说明</w:t>
      </w:r>
      <w:r>
        <w:rPr>
          <w:rFonts w:ascii="Times New Roman" w:hAnsi="Times New Roman" w:eastAsia="黑体" w:cs="黑体"/>
          <w:sz w:val="32"/>
          <w:szCs w:val="32"/>
        </w:rPr>
        <w:tab/>
      </w:r>
      <w:r>
        <w:rPr>
          <w:rFonts w:ascii="Times New Roman" w:hAnsi="Times New Roman" w:eastAsia="黑体" w:cs="黑体"/>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eastAsia="仿宋_GB2312" w:cs="仿宋_GB2312"/>
          <w:sz w:val="32"/>
          <w:szCs w:val="32"/>
        </w:rPr>
        <w:tab/>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eastAsia="仿宋_GB2312" w:cs="仿宋_GB2312"/>
          <w:sz w:val="32"/>
          <w:szCs w:val="32"/>
        </w:rPr>
        <w:tab/>
      </w:r>
      <w:r>
        <w:rPr>
          <w:rFonts w:ascii="仿宋" w:hAnsi="仿宋" w:eastAsia="仿宋" w:cs="仿宋_GB2312"/>
          <w:sz w:val="32"/>
          <w:szCs w:val="32"/>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eastAsia="仿宋_GB2312" w:cs="仿宋_GB2312"/>
          <w:sz w:val="32"/>
          <w:szCs w:val="32"/>
        </w:rPr>
        <w:tab/>
      </w:r>
      <w:r>
        <w:rPr>
          <w:rFonts w:ascii="仿宋" w:hAnsi="仿宋" w:eastAsia="仿宋" w:cs="仿宋_GB2312"/>
          <w:sz w:val="32"/>
          <w:szCs w:val="32"/>
        </w:rPr>
        <w:t>5</w:t>
      </w:r>
    </w:p>
    <w:p>
      <w:pPr>
        <w:pStyle w:val="14"/>
        <w:tabs>
          <w:tab w:val="right" w:leader="dot" w:pos="7980"/>
        </w:tabs>
        <w:adjustRightInd w:val="0"/>
        <w:snapToGrid w:val="0"/>
        <w:spacing w:line="560" w:lineRule="exact"/>
        <w:ind w:left="0" w:leftChars="0" w:firstLine="640" w:firstLineChars="200"/>
        <w:jc w:val="left"/>
        <w:rPr>
          <w:rFonts w:ascii="仿宋" w:hAnsi="仿宋" w:eastAsia="仿宋" w:cs="仿宋_GB2312"/>
          <w:sz w:val="32"/>
          <w:szCs w:val="32"/>
        </w:rPr>
      </w:pPr>
      <w:r>
        <w:rPr>
          <w:rFonts w:hint="eastAsia" w:eastAsia="仿宋_GB2312" w:cs="仿宋_GB2312"/>
          <w:sz w:val="32"/>
          <w:szCs w:val="32"/>
        </w:rPr>
        <w:t>四、财政拨款收入支出决算总体情况说明</w:t>
      </w:r>
      <w:r>
        <w:rPr>
          <w:rFonts w:eastAsia="仿宋_GB2312" w:cs="仿宋_GB2312"/>
          <w:sz w:val="32"/>
          <w:szCs w:val="32"/>
        </w:rPr>
        <w:tab/>
      </w:r>
      <w:r>
        <w:rPr>
          <w:rFonts w:ascii="仿宋" w:hAnsi="仿宋" w:eastAsia="仿宋" w:cs="仿宋_GB2312"/>
          <w:sz w:val="32"/>
          <w:szCs w:val="32"/>
        </w:rPr>
        <w:t>5</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eastAsia="仿宋_GB2312" w:cs="仿宋_GB2312"/>
          <w:sz w:val="32"/>
          <w:szCs w:val="32"/>
        </w:rPr>
        <w:tab/>
      </w:r>
      <w:r>
        <w:rPr>
          <w:rFonts w:ascii="仿宋" w:hAnsi="仿宋" w:eastAsia="仿宋" w:cs="仿宋_GB2312"/>
          <w:sz w:val="32"/>
          <w:szCs w:val="32"/>
        </w:rPr>
        <w:t>5</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eastAsia="仿宋_GB2312" w:cs="仿宋_GB2312"/>
          <w:sz w:val="32"/>
          <w:szCs w:val="32"/>
        </w:rPr>
        <w:tab/>
      </w:r>
      <w:r>
        <w:rPr>
          <w:rFonts w:ascii="仿宋" w:hAnsi="仿宋" w:eastAsia="仿宋" w:cs="仿宋_GB2312"/>
          <w:sz w:val="32"/>
          <w:szCs w:val="32"/>
        </w:rPr>
        <w:t>8</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eastAsia="仿宋_GB2312" w:cs="仿宋_GB2312"/>
          <w:sz w:val="32"/>
          <w:szCs w:val="32"/>
        </w:rPr>
        <w:tab/>
      </w:r>
      <w:r>
        <w:rPr>
          <w:rFonts w:ascii="仿宋" w:hAnsi="仿宋" w:eastAsia="仿宋" w:cs="仿宋_GB2312"/>
          <w:sz w:val="32"/>
          <w:szCs w:val="32"/>
        </w:rPr>
        <w:t>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r>
        <w:rPr>
          <w:rFonts w:eastAsia="仿宋_GB2312" w:cs="仿宋_GB2312"/>
          <w:sz w:val="32"/>
          <w:szCs w:val="32"/>
        </w:rPr>
        <w:tab/>
      </w:r>
      <w:r>
        <w:rPr>
          <w:rFonts w:hint="eastAsia" w:ascii="仿宋" w:hAnsi="仿宋" w:eastAsia="仿宋" w:cs="仿宋_GB2312"/>
          <w:sz w:val="32"/>
          <w:szCs w:val="32"/>
        </w:rPr>
        <w:t>1</w:t>
      </w:r>
      <w:r>
        <w:rPr>
          <w:rFonts w:ascii="仿宋" w:hAnsi="仿宋" w:eastAsia="仿宋" w:cs="仿宋_GB2312"/>
          <w:sz w:val="32"/>
          <w:szCs w:val="32"/>
        </w:rPr>
        <w:t>0</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rPr>
          <w:rFonts w:eastAsia="仿宋_GB2312" w:cs="仿宋_GB2312"/>
          <w:sz w:val="32"/>
          <w:szCs w:val="32"/>
        </w:rPr>
        <w:tab/>
      </w:r>
      <w:r>
        <w:rPr>
          <w:rFonts w:hint="eastAsia" w:ascii="仿宋" w:hAnsi="仿宋" w:eastAsia="仿宋" w:cs="仿宋_GB2312"/>
          <w:sz w:val="32"/>
          <w:szCs w:val="32"/>
        </w:rPr>
        <w:t>1</w:t>
      </w:r>
      <w:r>
        <w:rPr>
          <w:rFonts w:ascii="仿宋" w:hAnsi="仿宋" w:eastAsia="仿宋" w:cs="仿宋_GB2312"/>
          <w:sz w:val="32"/>
          <w:szCs w:val="32"/>
        </w:rPr>
        <w:t>1</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eastAsia="仿宋_GB2312" w:cs="仿宋_GB2312"/>
          <w:sz w:val="32"/>
          <w:szCs w:val="32"/>
        </w:rPr>
        <w:tab/>
      </w:r>
      <w:r>
        <w:rPr>
          <w:rFonts w:hint="eastAsia" w:ascii="仿宋" w:hAnsi="仿宋" w:eastAsia="仿宋" w:cs="仿宋_GB2312"/>
          <w:sz w:val="32"/>
          <w:szCs w:val="32"/>
        </w:rPr>
        <w:t>1</w:t>
      </w:r>
      <w:r>
        <w:rPr>
          <w:rFonts w:ascii="仿宋" w:hAnsi="仿宋" w:eastAsia="仿宋" w:cs="仿宋_GB2312"/>
          <w:sz w:val="32"/>
          <w:szCs w:val="32"/>
        </w:rPr>
        <w:t>1</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r>
        <w:rPr>
          <w:rFonts w:ascii="Times New Roman" w:hAnsi="Times New Roman" w:eastAsia="黑体" w:cs="黑体"/>
          <w:sz w:val="32"/>
          <w:szCs w:val="32"/>
        </w:rPr>
        <w:tab/>
      </w:r>
      <w:r>
        <w:rPr>
          <w:rFonts w:hint="eastAsia" w:ascii="Times New Roman" w:hAnsi="Times New Roman" w:eastAsia="黑体" w:cs="黑体"/>
          <w:sz w:val="32"/>
          <w:szCs w:val="32"/>
        </w:rPr>
        <w:t>1</w:t>
      </w:r>
      <w:r>
        <w:rPr>
          <w:rFonts w:ascii="Times New Roman" w:hAnsi="Times New Roman" w:eastAsia="黑体" w:cs="黑体"/>
          <w:sz w:val="32"/>
          <w:szCs w:val="32"/>
        </w:rPr>
        <w:t>4</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r>
        <w:rPr>
          <w:rFonts w:ascii="Times New Roman" w:hAnsi="Times New Roman" w:eastAsia="黑体" w:cs="黑体"/>
          <w:sz w:val="32"/>
          <w:szCs w:val="32"/>
        </w:rPr>
        <w:tab/>
      </w:r>
      <w:r>
        <w:rPr>
          <w:rFonts w:hint="eastAsia" w:ascii="Times New Roman" w:hAnsi="Times New Roman" w:eastAsia="黑体" w:cs="黑体"/>
          <w:sz w:val="32"/>
          <w:szCs w:val="32"/>
        </w:rPr>
        <w:t>1</w:t>
      </w:r>
      <w:r>
        <w:rPr>
          <w:rFonts w:ascii="Times New Roman" w:hAnsi="Times New Roman" w:eastAsia="黑体" w:cs="黑体"/>
          <w:sz w:val="32"/>
          <w:szCs w:val="32"/>
        </w:rPr>
        <w:t>8</w:t>
      </w:r>
    </w:p>
    <w:p>
      <w:pPr>
        <w:pStyle w:val="12"/>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ab/>
      </w:r>
      <w:r>
        <w:rPr>
          <w:rFonts w:ascii="Times New Roman" w:hAnsi="Times New Roman" w:eastAsia="黑体" w:cs="黑体"/>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ascii="仿宋" w:hAnsi="仿宋" w:eastAsia="仿宋" w:cs="仿宋_GB2312"/>
          <w:sz w:val="32"/>
          <w:szCs w:val="32"/>
        </w:rPr>
      </w:pPr>
      <w:r>
        <w:rPr>
          <w:rFonts w:hint="eastAsia" w:eastAsia="仿宋_GB2312" w:cs="仿宋_GB2312"/>
          <w:sz w:val="32"/>
          <w:szCs w:val="32"/>
        </w:rPr>
        <w:t>八、一般公共预算财政拨款基本支出决算明细表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十、政府性基金预算财政拨款收入支出决算表（此表无数据）</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十一、国有资本经营预算财政拨款收入支出决算表（此表无数据）</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十二、国有资本经营预算财政拨款支出决算表（此表无数据）</w:t>
      </w:r>
      <w:r>
        <w:rPr>
          <w:rFonts w:eastAsia="仿宋_GB2312" w:cs="仿宋_GB2312"/>
          <w:sz w:val="32"/>
          <w:szCs w:val="32"/>
        </w:rPr>
        <w:tab/>
      </w:r>
      <w:r>
        <w:rPr>
          <w:rFonts w:ascii="仿宋" w:hAnsi="仿宋" w:eastAsia="仿宋"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eastAsia="仿宋_GB2312" w:cs="仿宋_GB2312"/>
          <w:sz w:val="32"/>
          <w:szCs w:val="32"/>
        </w:rPr>
        <w:tab/>
      </w:r>
      <w:r>
        <w:rPr>
          <w:rFonts w:ascii="仿宋" w:hAnsi="仿宋" w:eastAsia="仿宋" w:cs="仿宋_GB2312"/>
          <w:sz w:val="32"/>
          <w:szCs w:val="32"/>
        </w:rPr>
        <w:t>19</w:t>
      </w:r>
    </w:p>
    <w:p>
      <w:pPr>
        <w:pStyle w:val="14"/>
        <w:adjustRightInd w:val="0"/>
        <w:snapToGrid w:val="0"/>
        <w:spacing w:line="560" w:lineRule="exact"/>
        <w:ind w:left="0" w:leftChars="0" w:firstLine="643" w:firstLineChars="200"/>
        <w:jc w:val="left"/>
        <w:rPr>
          <w:rFonts w:eastAsia="仿宋_GB2312" w:cs="仿宋_GB2312"/>
          <w:b/>
          <w:bCs/>
          <w:sz w:val="32"/>
          <w:szCs w:val="32"/>
        </w:rPr>
      </w:pPr>
    </w:p>
    <w:p>
      <w:pPr>
        <w:widowControl/>
        <w:spacing w:line="560" w:lineRule="exact"/>
        <w:jc w:val="left"/>
        <w:rPr>
          <w:rFonts w:eastAsia="仿宋_GB2312" w:cs="仿宋_GB2312"/>
          <w:bCs/>
          <w:kern w:val="44"/>
          <w:sz w:val="32"/>
          <w:szCs w:val="32"/>
        </w:rPr>
      </w:pPr>
      <w:bookmarkStart w:id="6" w:name="_Toc15396599"/>
      <w:bookmarkStart w:id="7" w:name="_Toc15377196"/>
      <w:r>
        <w:rPr>
          <w:rFonts w:hint="eastAsia" w:eastAsia="仿宋_GB2312" w:cs="仿宋_GB2312"/>
          <w:b/>
          <w:sz w:val="32"/>
          <w:szCs w:val="32"/>
        </w:rPr>
        <w:br w:type="page"/>
      </w:r>
    </w:p>
    <w:p>
      <w:pPr>
        <w:pStyle w:val="2"/>
        <w:jc w:val="center"/>
        <w:rPr>
          <w:rStyle w:val="29"/>
          <w:rFonts w:eastAsia="方正小标宋简体" w:cs="方正小标宋简体"/>
          <w:b/>
          <w:bCs w:val="0"/>
        </w:rPr>
      </w:pPr>
      <w:r>
        <w:rPr>
          <w:rFonts w:hint="eastAsia" w:eastAsia="方正小标宋简体" w:cs="方正小标宋简体"/>
          <w:b w:val="0"/>
        </w:rPr>
        <w:t xml:space="preserve">第一部分  </w:t>
      </w:r>
      <w:r>
        <w:rPr>
          <w:rStyle w:val="29"/>
          <w:rFonts w:hint="eastAsia" w:eastAsia="方正小标宋简体" w:cs="方正小标宋简体"/>
          <w:b w:val="0"/>
          <w:bCs w:val="0"/>
        </w:rPr>
        <w:t>单位概况</w:t>
      </w:r>
      <w:bookmarkEnd w:id="6"/>
      <w:bookmarkEnd w:id="7"/>
    </w:p>
    <w:p>
      <w:pPr>
        <w:widowControl/>
        <w:jc w:val="left"/>
        <w:rPr>
          <w:rFonts w:eastAsia="黑体"/>
          <w:sz w:val="32"/>
          <w:szCs w:val="32"/>
        </w:rPr>
      </w:pPr>
    </w:p>
    <w:p>
      <w:pPr>
        <w:pStyle w:val="3"/>
        <w:ind w:firstLine="640" w:firstLineChars="200"/>
        <w:rPr>
          <w:rFonts w:ascii="Times New Roman" w:hAnsi="Times New Roman" w:eastAsia="黑体"/>
          <w:b w:val="0"/>
        </w:rPr>
      </w:pPr>
      <w:bookmarkStart w:id="8" w:name="_Toc15377197"/>
      <w:bookmarkStart w:id="9" w:name="_Toc15396600"/>
      <w:r>
        <w:rPr>
          <w:rFonts w:hint="eastAsia" w:ascii="Times New Roman" w:hAnsi="Times New Roman" w:eastAsia="黑体"/>
          <w:b w:val="0"/>
        </w:rPr>
        <w:t>一、</w:t>
      </w:r>
      <w:bookmarkEnd w:id="8"/>
      <w:bookmarkEnd w:id="9"/>
      <w:r>
        <w:rPr>
          <w:rFonts w:hint="eastAsia" w:ascii="Times New Roman" w:hAnsi="Times New Roman" w:eastAsia="黑体"/>
          <w:b w:val="0"/>
        </w:rPr>
        <w:t>单位职责</w:t>
      </w:r>
    </w:p>
    <w:p>
      <w:pPr>
        <w:ind w:firstLine="640" w:firstLineChars="200"/>
      </w:pPr>
      <w:r>
        <w:rPr>
          <w:rFonts w:hint="eastAsia" w:ascii="仿宋_GB2312" w:eastAsia="仿宋_GB2312"/>
          <w:sz w:val="32"/>
          <w:szCs w:val="32"/>
        </w:rPr>
        <w:t>攀枝花市公安局交通警察支队组建于1987年，掌握全市道路交通安全情况，组织、指导、监督全市公安机关依法查处道路交通违法行为、处理交通事故、维护道路交通安全秩序；组织、指导、监督机动车（不含拖拉机）登记、安全检验和驾驶人员考试发证工作；组织、指导道路交通安全宣传教育工作；负责民用爆炸物品、剧毒化学品、易制毒化学品的道路运输审批；组织、指导道路交通管理科技工作；指导全市公安机关参与城市建设、道路交通和安全设施的规划。</w:t>
      </w:r>
    </w:p>
    <w:p>
      <w:pPr>
        <w:pStyle w:val="3"/>
        <w:ind w:firstLine="640" w:firstLineChars="200"/>
        <w:rPr>
          <w:rStyle w:val="30"/>
          <w:rFonts w:ascii="Times New Roman" w:hAnsi="Times New Roman"/>
          <w:b w:val="0"/>
          <w:bCs w:val="0"/>
        </w:rPr>
      </w:pPr>
      <w:bookmarkStart w:id="10" w:name="_Toc15396601"/>
      <w:bookmarkStart w:id="11" w:name="_Toc15377200"/>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0"/>
      <w:bookmarkEnd w:id="11"/>
    </w:p>
    <w:p>
      <w:pPr>
        <w:ind w:firstLine="640" w:firstLineChars="200"/>
        <w:rPr>
          <w:rFonts w:ascii="仿宋_GB2312" w:eastAsia="仿宋_GB2312"/>
          <w:sz w:val="32"/>
          <w:szCs w:val="32"/>
        </w:rPr>
      </w:pPr>
      <w:bookmarkStart w:id="12" w:name="_Toc15377204"/>
      <w:bookmarkStart w:id="13" w:name="_Toc15396602"/>
      <w:r>
        <w:rPr>
          <w:rFonts w:hint="eastAsia" w:ascii="仿宋_GB2312" w:eastAsia="仿宋_GB2312"/>
          <w:sz w:val="32"/>
          <w:szCs w:val="32"/>
        </w:rPr>
        <w:t>攀枝花市公安局交通警察支队为一级预算单位，无下属二级单位，下设大队、科室、所、办14个。</w: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pStyle w:val="2"/>
        <w:jc w:val="center"/>
        <w:rPr>
          <w:rFonts w:eastAsia="方正小标宋简体" w:cs="方正小标宋简体"/>
          <w:b w:val="0"/>
        </w:rPr>
      </w:pPr>
      <w:r>
        <w:rPr>
          <w:rFonts w:hint="eastAsia" w:eastAsia="方正小标宋简体" w:cs="方正小标宋简体"/>
          <w:b w:val="0"/>
        </w:rPr>
        <w:t>第二部分  2025年度单位决算情况说明</w:t>
      </w:r>
      <w:bookmarkEnd w:id="12"/>
      <w:bookmarkEnd w:id="13"/>
    </w:p>
    <w:p>
      <w:pPr>
        <w:pStyle w:val="28"/>
        <w:spacing w:line="600" w:lineRule="exact"/>
        <w:ind w:firstLine="640"/>
        <w:outlineLvl w:val="1"/>
        <w:rPr>
          <w:rStyle w:val="30"/>
          <w:rFonts w:ascii="Times New Roman" w:hAnsi="Times New Roman" w:eastAsia="黑体"/>
          <w:b w:val="0"/>
        </w:rPr>
      </w:pPr>
      <w:bookmarkStart w:id="14" w:name="_Toc15377205"/>
      <w:bookmarkStart w:id="15"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14"/>
      <w:bookmarkEnd w:id="15"/>
    </w:p>
    <w:p>
      <w:pPr>
        <w:pStyle w:val="28"/>
        <w:spacing w:line="600" w:lineRule="exact"/>
        <w:ind w:firstLine="640"/>
        <w:outlineLvl w:val="1"/>
        <w:rPr>
          <w:rFonts w:eastAsia="仿宋_GB2312" w:cs="仿宋_GB2312"/>
          <w:sz w:val="32"/>
          <w:szCs w:val="32"/>
        </w:rPr>
      </w:pPr>
      <w:r>
        <w:rPr>
          <w:rFonts w:eastAsia="仿宋_GB2312" w:cs="仿宋_GB2312"/>
          <w:sz w:val="32"/>
          <w:szCs w:val="32"/>
        </w:rPr>
        <w:drawing>
          <wp:anchor distT="0" distB="0" distL="114300" distR="114300" simplePos="0" relativeHeight="251659264" behindDoc="0" locked="0" layoutInCell="1" allowOverlap="1">
            <wp:simplePos x="0" y="0"/>
            <wp:positionH relativeFrom="column">
              <wp:posOffset>1242060</wp:posOffset>
            </wp:positionH>
            <wp:positionV relativeFrom="paragraph">
              <wp:posOffset>1436370</wp:posOffset>
            </wp:positionV>
            <wp:extent cx="2719070" cy="1634490"/>
            <wp:effectExtent l="0" t="0" r="5715" b="444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718978" cy="1634399"/>
                    </a:xfrm>
                    <a:prstGeom prst="rect">
                      <a:avLst/>
                    </a:prstGeom>
                    <a:noFill/>
                  </pic:spPr>
                </pic:pic>
              </a:graphicData>
            </a:graphic>
          </wp:anchor>
        </w:drawing>
      </w:r>
      <w:r>
        <w:rPr>
          <w:rFonts w:hint="eastAsia" w:eastAsia="仿宋_GB2312" w:cs="仿宋_GB2312"/>
          <w:sz w:val="32"/>
          <w:szCs w:val="32"/>
        </w:rPr>
        <w:t>2025年度收入、支出总计均为8773.44万元。与上年度相比，收入、支出总计各减少852.8万元，下降8.86%。主要变动原因是2025年项目经费收入、支出较2024年大幅减少。</w:t>
      </w: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spacing w:line="600" w:lineRule="exact"/>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w:t>
      </w:r>
    </w:p>
    <w:p>
      <w:pPr>
        <w:pStyle w:val="28"/>
        <w:spacing w:line="600" w:lineRule="exact"/>
        <w:ind w:firstLine="640"/>
        <w:outlineLvl w:val="1"/>
        <w:rPr>
          <w:rFonts w:eastAsia="黑体"/>
          <w:sz w:val="32"/>
          <w:szCs w:val="32"/>
        </w:rPr>
      </w:pPr>
      <w:bookmarkStart w:id="16" w:name="_Toc15396604"/>
      <w:bookmarkStart w:id="17" w:name="_Toc15377206"/>
      <w:r>
        <w:rPr>
          <w:rFonts w:hint="eastAsia" w:eastAsia="黑体"/>
          <w:sz w:val="32"/>
          <w:szCs w:val="32"/>
        </w:rPr>
        <w:t>二、收入决算情况说明</w:t>
      </w:r>
      <w:bookmarkEnd w:id="16"/>
      <w:bookmarkEnd w:id="17"/>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2025年度本年收入合计8683.4</w:t>
      </w:r>
      <w:r>
        <w:rPr>
          <w:rFonts w:eastAsia="仿宋_GB2312" w:cs="仿宋_GB2312"/>
          <w:sz w:val="32"/>
          <w:szCs w:val="32"/>
        </w:rPr>
        <w:t>4</w:t>
      </w:r>
      <w:r>
        <w:rPr>
          <w:rFonts w:hint="eastAsia" w:eastAsia="仿宋_GB2312" w:cs="仿宋_GB2312"/>
          <w:sz w:val="32"/>
          <w:szCs w:val="32"/>
        </w:rPr>
        <w:t>万元，其中：一般公共预算财政拨款收入8683.08万元，占99.99%；其他收入0.36万元，占0.01%。</w:t>
      </w:r>
    </w:p>
    <w:p>
      <w:pPr>
        <w:pStyle w:val="28"/>
        <w:spacing w:line="600" w:lineRule="exact"/>
        <w:ind w:firstLine="640"/>
        <w:outlineLvl w:val="1"/>
        <w:rPr>
          <w:rFonts w:eastAsia="仿宋_GB2312" w:cs="仿宋_GB2312"/>
          <w:sz w:val="32"/>
          <w:szCs w:val="32"/>
        </w:rPr>
      </w:pPr>
      <w:r>
        <w:rPr>
          <w:rFonts w:eastAsia="仿宋_GB2312" w:cs="仿宋_GB2312"/>
          <w:sz w:val="32"/>
          <w:szCs w:val="32"/>
        </w:rPr>
        <w:drawing>
          <wp:anchor distT="0" distB="0" distL="114300" distR="114300" simplePos="0" relativeHeight="251660288" behindDoc="0" locked="0" layoutInCell="1" allowOverlap="1">
            <wp:simplePos x="0" y="0"/>
            <wp:positionH relativeFrom="column">
              <wp:posOffset>1254760</wp:posOffset>
            </wp:positionH>
            <wp:positionV relativeFrom="paragraph">
              <wp:posOffset>44450</wp:posOffset>
            </wp:positionV>
            <wp:extent cx="2434590" cy="1589405"/>
            <wp:effectExtent l="0" t="0" r="4445"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453353" cy="1601584"/>
                    </a:xfrm>
                    <a:prstGeom prst="rect">
                      <a:avLst/>
                    </a:prstGeom>
                    <a:noFill/>
                  </pic:spPr>
                </pic:pic>
              </a:graphicData>
            </a:graphic>
          </wp:anchor>
        </w:drawing>
      </w: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spacing w:line="600" w:lineRule="exact"/>
        <w:outlineLvl w:val="1"/>
        <w:rPr>
          <w:rFonts w:eastAsia="仿宋_GB2312" w:cs="仿宋_GB2312"/>
          <w:sz w:val="32"/>
          <w:szCs w:val="32"/>
        </w:rPr>
      </w:pPr>
    </w:p>
    <w:p>
      <w:pPr>
        <w:spacing w:line="600" w:lineRule="exact"/>
        <w:outlineLvl w:val="1"/>
        <w:rPr>
          <w:rFonts w:eastAsia="仿宋_GB2312" w:cs="仿宋_GB2312"/>
          <w:sz w:val="32"/>
          <w:szCs w:val="32"/>
        </w:rPr>
      </w:pPr>
    </w:p>
    <w:p>
      <w:pPr>
        <w:pStyle w:val="28"/>
        <w:spacing w:line="600" w:lineRule="exact"/>
        <w:ind w:firstLine="2240" w:firstLineChars="700"/>
        <w:jc w:val="left"/>
        <w:outlineLvl w:val="1"/>
        <w:rPr>
          <w:rFonts w:eastAsia="仿宋_GB2312" w:cs="仿宋_GB2312"/>
          <w:sz w:val="32"/>
          <w:szCs w:val="32"/>
        </w:rPr>
      </w:pPr>
      <w:r>
        <w:rPr>
          <w:rFonts w:hint="eastAsia" w:eastAsia="仿宋_GB2312" w:cs="仿宋_GB2312"/>
          <w:sz w:val="32"/>
          <w:szCs w:val="32"/>
        </w:rPr>
        <w:t>（图2：收入决算结构图）</w:t>
      </w:r>
    </w:p>
    <w:p>
      <w:pPr>
        <w:pStyle w:val="28"/>
        <w:spacing w:line="600" w:lineRule="exact"/>
        <w:ind w:firstLine="2240" w:firstLineChars="700"/>
        <w:jc w:val="left"/>
        <w:outlineLvl w:val="1"/>
        <w:rPr>
          <w:rFonts w:eastAsia="仿宋_GB2312" w:cs="仿宋_GB2312"/>
          <w:sz w:val="32"/>
          <w:szCs w:val="32"/>
        </w:rPr>
      </w:pPr>
    </w:p>
    <w:p>
      <w:pPr>
        <w:pStyle w:val="28"/>
        <w:spacing w:line="600" w:lineRule="exact"/>
        <w:ind w:firstLine="640"/>
        <w:outlineLvl w:val="1"/>
        <w:rPr>
          <w:rStyle w:val="30"/>
          <w:rFonts w:ascii="Times New Roman" w:hAnsi="Times New Roman" w:eastAsia="黑体"/>
          <w:b w:val="0"/>
        </w:rPr>
      </w:pPr>
      <w:bookmarkStart w:id="18" w:name="_Toc15377207"/>
      <w:bookmarkStart w:id="19" w:name="_Toc15396605"/>
      <w:r>
        <w:rPr>
          <w:rFonts w:hint="eastAsia" w:eastAsia="黑体"/>
          <w:sz w:val="32"/>
          <w:szCs w:val="32"/>
        </w:rPr>
        <w:t>三、支</w:t>
      </w:r>
      <w:r>
        <w:rPr>
          <w:rStyle w:val="30"/>
          <w:rFonts w:hint="eastAsia" w:ascii="Times New Roman" w:hAnsi="Times New Roman" w:eastAsia="黑体"/>
          <w:b w:val="0"/>
        </w:rPr>
        <w:t>出决算情况说明</w:t>
      </w:r>
      <w:bookmarkEnd w:id="18"/>
      <w:bookmarkEnd w:id="19"/>
    </w:p>
    <w:p>
      <w:pPr>
        <w:pStyle w:val="28"/>
        <w:spacing w:line="600" w:lineRule="exact"/>
        <w:ind w:firstLine="640"/>
        <w:outlineLvl w:val="1"/>
        <w:rPr>
          <w:rFonts w:cs="仿宋_GB2312"/>
          <w:sz w:val="32"/>
          <w:szCs w:val="32"/>
        </w:rPr>
      </w:pPr>
      <w:r>
        <w:rPr>
          <w:rFonts w:hint="eastAsia" w:eastAsia="仿宋_GB2312" w:cs="仿宋_GB2312"/>
          <w:sz w:val="32"/>
          <w:szCs w:val="32"/>
        </w:rPr>
        <w:t>2025年度本年支出合计8770.86万元，其中：基本支出6863.66万元，占78.26%；项目支出1907.2万元，占21.74%</w:t>
      </w:r>
      <w:r>
        <w:rPr>
          <w:rFonts w:hint="eastAsia"/>
        </w:rPr>
        <w:t>。</w:t>
      </w:r>
    </w:p>
    <w:p>
      <w:pPr>
        <w:pStyle w:val="28"/>
        <w:spacing w:line="600" w:lineRule="exact"/>
        <w:outlineLvl w:val="1"/>
        <w:rPr>
          <w:rFonts w:eastAsia="仿宋_GB2312" w:cs="仿宋_GB2312"/>
          <w:sz w:val="32"/>
          <w:szCs w:val="32"/>
        </w:rPr>
      </w:pPr>
      <w:r>
        <w:drawing>
          <wp:anchor distT="0" distB="0" distL="114300" distR="114300" simplePos="0" relativeHeight="251661312" behindDoc="0" locked="0" layoutInCell="1" allowOverlap="1">
            <wp:simplePos x="0" y="0"/>
            <wp:positionH relativeFrom="column">
              <wp:posOffset>1278890</wp:posOffset>
            </wp:positionH>
            <wp:positionV relativeFrom="paragraph">
              <wp:posOffset>218440</wp:posOffset>
            </wp:positionV>
            <wp:extent cx="2755265" cy="1925955"/>
            <wp:effectExtent l="0" t="0" r="6985" b="1778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640"/>
        <w:outlineLvl w:val="1"/>
        <w:rPr>
          <w:rFonts w:eastAsia="仿宋_GB2312" w:cs="仿宋_GB2312"/>
          <w:sz w:val="32"/>
          <w:szCs w:val="32"/>
        </w:rPr>
      </w:pPr>
    </w:p>
    <w:p>
      <w:pPr>
        <w:pStyle w:val="28"/>
        <w:spacing w:line="600" w:lineRule="exact"/>
        <w:ind w:firstLine="0" w:firstLineChars="0"/>
        <w:outlineLvl w:val="1"/>
        <w:rPr>
          <w:rFonts w:eastAsia="仿宋_GB2312" w:cs="仿宋_GB2312"/>
          <w:sz w:val="32"/>
          <w:szCs w:val="32"/>
        </w:rPr>
      </w:pPr>
    </w:p>
    <w:p>
      <w:pPr>
        <w:pStyle w:val="28"/>
        <w:spacing w:line="600" w:lineRule="exact"/>
        <w:ind w:firstLine="0" w:firstLineChars="0"/>
        <w:outlineLvl w:val="1"/>
        <w:rPr>
          <w:rFonts w:eastAsia="仿宋_GB2312" w:cs="仿宋_GB2312"/>
          <w:sz w:val="32"/>
          <w:szCs w:val="32"/>
        </w:rPr>
      </w:pPr>
    </w:p>
    <w:p>
      <w:pPr>
        <w:pStyle w:val="28"/>
        <w:spacing w:line="600" w:lineRule="exact"/>
        <w:ind w:firstLine="0" w:firstLineChars="0"/>
        <w:jc w:val="center"/>
        <w:outlineLvl w:val="1"/>
        <w:rPr>
          <w:rFonts w:eastAsia="黑体"/>
          <w:sz w:val="32"/>
          <w:szCs w:val="32"/>
        </w:rPr>
      </w:pPr>
      <w:r>
        <w:rPr>
          <w:rFonts w:hint="eastAsia" w:eastAsia="仿宋_GB2312" w:cs="仿宋_GB2312"/>
          <w:sz w:val="32"/>
          <w:szCs w:val="32"/>
        </w:rPr>
        <w:t>（图3：支出决算结构图）</w:t>
      </w:r>
      <w:bookmarkStart w:id="20" w:name="_Toc15377208"/>
      <w:bookmarkStart w:id="21" w:name="_Toc15396606"/>
    </w:p>
    <w:p>
      <w:pPr>
        <w:spacing w:line="600" w:lineRule="exact"/>
        <w:ind w:firstLine="640" w:firstLineChars="200"/>
        <w:outlineLvl w:val="1"/>
        <w:rPr>
          <w:rStyle w:val="30"/>
          <w:rFonts w:ascii="Times New Roman" w:hAnsi="Times New Roman" w:eastAsia="黑体"/>
          <w:b w:val="0"/>
        </w:rPr>
      </w:pPr>
      <w:r>
        <w:rPr>
          <w:rFonts w:hint="eastAsia" w:eastAsia="黑体"/>
          <w:sz w:val="32"/>
          <w:szCs w:val="32"/>
        </w:rPr>
        <w:t>四、财</w:t>
      </w:r>
      <w:r>
        <w:rPr>
          <w:rStyle w:val="30"/>
          <w:rFonts w:hint="eastAsia" w:ascii="Times New Roman" w:hAnsi="Times New Roman" w:eastAsia="黑体"/>
          <w:b w:val="0"/>
        </w:rPr>
        <w:t>政拨款收入支出决算总体情况说明</w:t>
      </w:r>
      <w:bookmarkEnd w:id="20"/>
      <w:bookmarkEnd w:id="21"/>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2025年度财政拨款收入、支出总计均为8683.08万元。与上年度相比，财政拨款收入、支出总计各减少852.86万元，下降8.94%。主要变动原因是2025年财政拨款项目经费收入、支出较2024年大幅减少。</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3360" behindDoc="0" locked="0" layoutInCell="1" allowOverlap="1">
            <wp:simplePos x="0" y="0"/>
            <wp:positionH relativeFrom="column">
              <wp:posOffset>1206500</wp:posOffset>
            </wp:positionH>
            <wp:positionV relativeFrom="paragraph">
              <wp:posOffset>164465</wp:posOffset>
            </wp:positionV>
            <wp:extent cx="2773680" cy="1666875"/>
            <wp:effectExtent l="0" t="0" r="8255" b="952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780173" cy="1671184"/>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rPr>
          <w:rFonts w:eastAsia="仿宋_GB2312" w:cs="仿宋_GB2312"/>
          <w:sz w:val="32"/>
          <w:szCs w:val="32"/>
        </w:rPr>
      </w:pPr>
    </w:p>
    <w:p>
      <w:pPr>
        <w:spacing w:line="600" w:lineRule="exact"/>
        <w:ind w:firstLine="1280" w:firstLineChars="400"/>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firstLineChars="200"/>
        <w:outlineLvl w:val="1"/>
        <w:rPr>
          <w:rStyle w:val="30"/>
          <w:rFonts w:ascii="Times New Roman" w:hAnsi="Times New Roman" w:eastAsia="黑体"/>
          <w:b w:val="0"/>
        </w:rPr>
      </w:pPr>
      <w:bookmarkStart w:id="22" w:name="_Toc15396607"/>
      <w:bookmarkStart w:id="23"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22"/>
      <w:bookmarkEnd w:id="23"/>
    </w:p>
    <w:p>
      <w:pPr>
        <w:spacing w:line="600" w:lineRule="exact"/>
        <w:ind w:firstLine="643" w:firstLineChars="200"/>
        <w:outlineLvl w:val="2"/>
        <w:rPr>
          <w:rFonts w:eastAsia="楷体_GB2312" w:cs="楷体_GB2312"/>
          <w:b/>
          <w:sz w:val="32"/>
          <w:szCs w:val="32"/>
        </w:rPr>
      </w:pPr>
      <w:bookmarkStart w:id="24" w:name="_Toc15377210"/>
      <w:r>
        <w:rPr>
          <w:rFonts w:hint="eastAsia" w:eastAsia="楷体_GB2312" w:cs="楷体_GB2312"/>
          <w:b/>
          <w:sz w:val="32"/>
          <w:szCs w:val="32"/>
        </w:rPr>
        <w:t>（一）一般公共预算财政拨款支出决算总体情况</w:t>
      </w:r>
      <w:bookmarkEnd w:id="24"/>
    </w:p>
    <w:p>
      <w:pPr>
        <w:pStyle w:val="28"/>
        <w:spacing w:line="600" w:lineRule="exact"/>
        <w:ind w:firstLine="640"/>
        <w:outlineLvl w:val="1"/>
        <w:rPr>
          <w:rFonts w:eastAsia="仿宋_GB2312" w:cs="仿宋_GB2312"/>
          <w:sz w:val="32"/>
          <w:szCs w:val="32"/>
        </w:rPr>
      </w:pPr>
      <w:r>
        <w:rPr>
          <w:rFonts w:hint="eastAsia" w:eastAsia="仿宋_GB2312" w:cs="仿宋_GB2312"/>
          <w:sz w:val="32"/>
          <w:szCs w:val="32"/>
        </w:rPr>
        <w:t>2025年度一般公共预算财政拨款支出8683.08万元，占本年支出合计的99%。与上年度相比，一般公共预算财政拨款支出减少756.56万元，下降8.01%。主要变动原因是2025年财政拨款项目经费收入、支出较2024年大幅减少。</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4384" behindDoc="0" locked="0" layoutInCell="1" allowOverlap="1">
            <wp:simplePos x="0" y="0"/>
            <wp:positionH relativeFrom="column">
              <wp:posOffset>1012190</wp:posOffset>
            </wp:positionH>
            <wp:positionV relativeFrom="paragraph">
              <wp:posOffset>61595</wp:posOffset>
            </wp:positionV>
            <wp:extent cx="3036570" cy="1825625"/>
            <wp:effectExtent l="0" t="0" r="0" b="381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046143" cy="1831061"/>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3" w:firstLineChars="200"/>
        <w:outlineLvl w:val="2"/>
        <w:rPr>
          <w:rFonts w:eastAsia="楷体_GB2312" w:cs="楷体_GB2312"/>
          <w:b/>
          <w:sz w:val="32"/>
          <w:szCs w:val="32"/>
        </w:rPr>
      </w:pPr>
      <w:bookmarkStart w:id="25" w:name="_Toc15377211"/>
      <w:r>
        <w:rPr>
          <w:rFonts w:hint="eastAsia" w:eastAsia="楷体_GB2312" w:cs="楷体_GB2312"/>
          <w:b/>
          <w:sz w:val="32"/>
          <w:szCs w:val="32"/>
        </w:rPr>
        <w:t>（二）一般公共预算财政拨款支出决算结构情况</w:t>
      </w:r>
      <w:bookmarkEnd w:id="25"/>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2025年度一般公共预算财政拨款支出8683.08万元，主要用于以下方面：一般公共服务支出217.63万元，占2.51%；公共安全支出6834.1</w:t>
      </w:r>
      <w:r>
        <w:rPr>
          <w:rFonts w:eastAsia="仿宋_GB2312" w:cs="仿宋_GB2312"/>
          <w:sz w:val="32"/>
          <w:szCs w:val="32"/>
        </w:rPr>
        <w:t>7</w:t>
      </w:r>
      <w:r>
        <w:rPr>
          <w:rFonts w:hint="eastAsia" w:eastAsia="仿宋_GB2312" w:cs="仿宋_GB2312"/>
          <w:sz w:val="32"/>
          <w:szCs w:val="32"/>
        </w:rPr>
        <w:t>万元，占78.71%；社会保障和就业支出929.18万元，占10.7%；卫生健康支出265.88万元，占3.06%；城乡社区支出70万元，占0.8%；住房保障支出366.22万元，占4.22%。</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5408" behindDoc="0" locked="0" layoutInCell="1" allowOverlap="1">
            <wp:simplePos x="0" y="0"/>
            <wp:positionH relativeFrom="column">
              <wp:posOffset>1206500</wp:posOffset>
            </wp:positionH>
            <wp:positionV relativeFrom="paragraph">
              <wp:posOffset>50165</wp:posOffset>
            </wp:positionV>
            <wp:extent cx="2761615" cy="1846580"/>
            <wp:effectExtent l="0" t="0" r="1270" b="127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765440" cy="1849361"/>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b/>
          <w:bCs/>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3" w:firstLineChars="200"/>
        <w:outlineLvl w:val="2"/>
        <w:rPr>
          <w:rFonts w:eastAsia="楷体_GB2312" w:cs="楷体_GB2312"/>
          <w:b/>
          <w:sz w:val="32"/>
          <w:szCs w:val="32"/>
        </w:rPr>
      </w:pPr>
      <w:bookmarkStart w:id="26" w:name="_Toc15377212"/>
      <w:r>
        <w:rPr>
          <w:rFonts w:hint="eastAsia" w:eastAsia="楷体_GB2312" w:cs="楷体_GB2312"/>
          <w:b/>
          <w:sz w:val="32"/>
          <w:szCs w:val="32"/>
        </w:rPr>
        <w:t>（三）一般公共预算财政拨款支出决算具体情况</w:t>
      </w:r>
      <w:bookmarkEnd w:id="26"/>
    </w:p>
    <w:p>
      <w:pPr>
        <w:spacing w:line="600" w:lineRule="exact"/>
        <w:ind w:firstLine="640"/>
        <w:rPr>
          <w:rFonts w:eastAsia="仿宋_GB2312" w:cs="仿宋_GB2312"/>
          <w:sz w:val="32"/>
          <w:szCs w:val="32"/>
        </w:rPr>
      </w:pPr>
      <w:bookmarkStart w:id="27" w:name="_Toc15377213"/>
      <w:bookmarkStart w:id="28" w:name="_Toc15378460"/>
      <w:bookmarkStart w:id="29" w:name="_Toc15377444"/>
      <w:r>
        <w:rPr>
          <w:rFonts w:hint="eastAsia" w:eastAsia="仿宋_GB2312" w:cs="仿宋_GB2312"/>
          <w:sz w:val="32"/>
          <w:szCs w:val="32"/>
        </w:rPr>
        <w:t>2025年度一般公共预算支出决算数为8683.08万元，完成预算100%。其中：</w:t>
      </w:r>
      <w:bookmarkEnd w:id="27"/>
      <w:bookmarkEnd w:id="28"/>
      <w:bookmarkEnd w:id="29"/>
    </w:p>
    <w:p>
      <w:pPr>
        <w:numPr>
          <w:ilvl w:val="0"/>
          <w:numId w:val="1"/>
        </w:numPr>
        <w:spacing w:line="600" w:lineRule="exact"/>
        <w:ind w:firstLine="640"/>
        <w:rPr>
          <w:rFonts w:eastAsia="仿宋_GB2312" w:cs="仿宋_GB2312"/>
          <w:sz w:val="32"/>
          <w:szCs w:val="32"/>
        </w:rPr>
      </w:pPr>
      <w:r>
        <w:rPr>
          <w:rFonts w:hint="eastAsia" w:eastAsia="仿宋_GB2312" w:cs="仿宋_GB2312"/>
          <w:sz w:val="32"/>
          <w:szCs w:val="32"/>
        </w:rPr>
        <w:t>一般公共服务（类）人大事务（款）行政运行（项）：支出决算为205.52万元，完成预算100%。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2.一般公共服务（类）政协事务（款）行政运行（项）：支出决算为12.11万元，完成预算100%。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3.公共安全支出（类）公安（款）行政运行（项）：支出决算为5084.75万元，完成预算100%。</w:t>
      </w:r>
    </w:p>
    <w:p>
      <w:pPr>
        <w:spacing w:line="600" w:lineRule="exact"/>
        <w:ind w:firstLine="640"/>
        <w:rPr>
          <w:rFonts w:eastAsia="仿宋_GB2312" w:cs="仿宋_GB2312"/>
          <w:sz w:val="32"/>
          <w:szCs w:val="32"/>
        </w:rPr>
      </w:pPr>
      <w:r>
        <w:rPr>
          <w:rFonts w:hint="eastAsia" w:eastAsia="仿宋_GB2312" w:cs="仿宋_GB2312"/>
          <w:sz w:val="32"/>
          <w:szCs w:val="32"/>
        </w:rPr>
        <w:t>4.公共安全支出（类）公安（款）一般行政管理事务（项）：支出决算为177.31万元，完成预算100%。</w:t>
      </w:r>
    </w:p>
    <w:p>
      <w:pPr>
        <w:spacing w:line="600" w:lineRule="exact"/>
        <w:ind w:firstLine="640"/>
        <w:rPr>
          <w:rFonts w:eastAsia="仿宋_GB2312" w:cs="仿宋_GB2312"/>
          <w:sz w:val="32"/>
          <w:szCs w:val="32"/>
        </w:rPr>
      </w:pPr>
      <w:r>
        <w:rPr>
          <w:rFonts w:hint="eastAsia" w:eastAsia="仿宋_GB2312" w:cs="仿宋_GB2312"/>
          <w:sz w:val="32"/>
          <w:szCs w:val="32"/>
        </w:rPr>
        <w:t>5.公共安全支出（类）公安（款）信息化建设（项）：支出决算为97.57万元，完成预算100%。</w:t>
      </w:r>
    </w:p>
    <w:p>
      <w:pPr>
        <w:spacing w:line="600" w:lineRule="exact"/>
        <w:ind w:firstLine="640"/>
        <w:rPr>
          <w:rFonts w:eastAsia="仿宋_GB2312" w:cs="仿宋_GB2312"/>
          <w:sz w:val="32"/>
          <w:szCs w:val="32"/>
        </w:rPr>
      </w:pPr>
      <w:r>
        <w:rPr>
          <w:rFonts w:hint="eastAsia" w:eastAsia="仿宋_GB2312" w:cs="仿宋_GB2312"/>
          <w:sz w:val="32"/>
          <w:szCs w:val="32"/>
        </w:rPr>
        <w:t>6.公共安全支出（类）公安（款）执法办案（项）：支出决算为307.4万元，完成预算100%。</w:t>
      </w:r>
    </w:p>
    <w:p>
      <w:pPr>
        <w:spacing w:line="600" w:lineRule="exact"/>
        <w:ind w:firstLine="640"/>
        <w:rPr>
          <w:rFonts w:eastAsia="仿宋_GB2312" w:cs="仿宋_GB2312"/>
          <w:sz w:val="32"/>
          <w:szCs w:val="32"/>
        </w:rPr>
      </w:pPr>
      <w:r>
        <w:rPr>
          <w:rFonts w:hint="eastAsia" w:eastAsia="仿宋_GB2312" w:cs="仿宋_GB2312"/>
          <w:sz w:val="32"/>
          <w:szCs w:val="32"/>
        </w:rPr>
        <w:t>7.公共安全支出（类）公安（款）其他公安支出（项）：支出决算为1167.1</w:t>
      </w:r>
      <w:r>
        <w:rPr>
          <w:rFonts w:eastAsia="仿宋_GB2312" w:cs="仿宋_GB2312"/>
          <w:sz w:val="32"/>
          <w:szCs w:val="32"/>
        </w:rPr>
        <w:t>4</w:t>
      </w:r>
      <w:r>
        <w:rPr>
          <w:rFonts w:hint="eastAsia" w:eastAsia="仿宋_GB2312" w:cs="仿宋_GB2312"/>
          <w:sz w:val="32"/>
          <w:szCs w:val="32"/>
        </w:rPr>
        <w:t>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8.社会保障和就业（类）行政事业单位养老支出（款）行政单位离退休（项）：支出决算为335.26万元，完成预算100%。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9.社会保障和就业（类）行政事业单位养老支出（款）机关事业单位基本养老保险缴费支出（项）：支出决算为446.28万元，完成预算100%。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10.社会保障和就业（类）行政事业单位养老支出（款）机关事业单位职业年金缴费支出（项）：支出决算为78.01万元，完成预算100%。</w:t>
      </w:r>
    </w:p>
    <w:p>
      <w:pPr>
        <w:spacing w:line="600" w:lineRule="exact"/>
        <w:ind w:firstLine="640" w:firstLineChars="200"/>
        <w:rPr>
          <w:rFonts w:eastAsia="仿宋_GB2312" w:cs="仿宋_GB2312"/>
          <w:sz w:val="32"/>
          <w:szCs w:val="32"/>
        </w:rPr>
      </w:pPr>
      <w:r>
        <w:rPr>
          <w:rFonts w:hint="eastAsia" w:eastAsia="仿宋_GB2312" w:cs="仿宋_GB2312"/>
          <w:sz w:val="32"/>
          <w:szCs w:val="32"/>
        </w:rPr>
        <w:t>11.社会保障和就业（类）抚恤（款）死亡抚恤（项）：支出决算为69.63万元，完成预算100%。</w:t>
      </w:r>
    </w:p>
    <w:p>
      <w:pPr>
        <w:spacing w:line="600" w:lineRule="exact"/>
        <w:ind w:firstLine="640"/>
        <w:rPr>
          <w:rFonts w:eastAsia="仿宋_GB2312" w:cs="仿宋_GB2312"/>
          <w:sz w:val="32"/>
          <w:szCs w:val="32"/>
        </w:rPr>
      </w:pPr>
      <w:r>
        <w:rPr>
          <w:rFonts w:hint="eastAsia" w:eastAsia="仿宋_GB2312" w:cs="仿宋_GB2312"/>
          <w:sz w:val="32"/>
          <w:szCs w:val="32"/>
        </w:rPr>
        <w:t>12.卫生健康（类）行政事业单位医疗（款）行政单位医疗（项）：支出决算为242.71万元，完成预算100%。</w:t>
      </w:r>
    </w:p>
    <w:p>
      <w:pPr>
        <w:spacing w:line="600" w:lineRule="exact"/>
        <w:ind w:firstLine="640"/>
        <w:rPr>
          <w:rFonts w:eastAsia="仿宋_GB2312" w:cs="仿宋_GB2312"/>
          <w:sz w:val="32"/>
          <w:szCs w:val="32"/>
        </w:rPr>
      </w:pPr>
      <w:r>
        <w:rPr>
          <w:rFonts w:hint="eastAsia" w:eastAsia="仿宋_GB2312" w:cs="仿宋_GB2312"/>
          <w:sz w:val="32"/>
          <w:szCs w:val="32"/>
        </w:rPr>
        <w:t>13.卫生健康（类）行政事业单位医疗（款）公务员医疗补助（项）：支出决算为23.17万元，完成预算100%。</w:t>
      </w:r>
    </w:p>
    <w:p>
      <w:pPr>
        <w:spacing w:line="600" w:lineRule="exact"/>
        <w:ind w:firstLine="640"/>
        <w:rPr>
          <w:rFonts w:eastAsia="仿宋_GB2312" w:cs="仿宋_GB2312"/>
          <w:sz w:val="32"/>
          <w:szCs w:val="32"/>
        </w:rPr>
      </w:pPr>
      <w:r>
        <w:rPr>
          <w:rFonts w:hint="eastAsia" w:eastAsia="仿宋_GB2312" w:cs="仿宋_GB2312"/>
          <w:sz w:val="32"/>
          <w:szCs w:val="32"/>
        </w:rPr>
        <w:t>14.城乡社区支出（类）城乡社区公共设施（款）其他城乡社区公共设施（项）：支出决算为70万元，完成预算100%。</w:t>
      </w:r>
    </w:p>
    <w:p>
      <w:pPr>
        <w:spacing w:line="600" w:lineRule="exact"/>
        <w:ind w:firstLine="640"/>
        <w:rPr>
          <w:rFonts w:eastAsia="仿宋_GB2312" w:cs="仿宋_GB2312"/>
          <w:sz w:val="32"/>
          <w:szCs w:val="32"/>
        </w:rPr>
      </w:pPr>
      <w:r>
        <w:rPr>
          <w:rFonts w:hint="eastAsia" w:eastAsia="仿宋_GB2312" w:cs="仿宋_GB2312"/>
          <w:sz w:val="32"/>
          <w:szCs w:val="32"/>
        </w:rPr>
        <w:t>15.住房保障支出（类）住房改革支出（款）住房公积金（项）：支出决算为366.22万元，完成预算100%。</w:t>
      </w:r>
    </w:p>
    <w:p>
      <w:pPr>
        <w:tabs>
          <w:tab w:val="right" w:pos="8306"/>
        </w:tabs>
        <w:spacing w:line="600" w:lineRule="exact"/>
        <w:ind w:firstLine="640"/>
        <w:outlineLvl w:val="1"/>
        <w:rPr>
          <w:rStyle w:val="30"/>
          <w:rFonts w:ascii="Times New Roman" w:hAnsi="Times New Roman"/>
        </w:rPr>
      </w:pPr>
      <w:bookmarkStart w:id="30" w:name="_Toc15396608"/>
      <w:bookmarkStart w:id="31" w:name="_Toc15377214"/>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30"/>
      <w:bookmarkEnd w:id="31"/>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2025年度一般公共预算财政拨款基本支出6863.66万元，其中：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6299.87万元，主要包括：基本工资、津贴补贴、奖金、机关事业单位基本养老保险缴费、职业年金缴费、职工基本医疗保险缴费、公务员医疗补助缴费、住房公积金、其他工资福利支出、抚恤金、生活补助、医疗费补助、奖励金等。</w:t>
      </w:r>
      <w:r>
        <w:rPr>
          <w:rFonts w:hint="eastAsia" w:eastAsia="仿宋_GB2312" w:cs="仿宋_GB2312"/>
          <w:sz w:val="32"/>
          <w:szCs w:val="32"/>
        </w:rPr>
        <w:br w:type="textWrapping"/>
      </w:r>
      <w:r>
        <w:rPr>
          <w:rFonts w:hint="eastAsia" w:eastAsia="仿宋_GB2312" w:cs="仿宋_GB2312"/>
          <w:sz w:val="32"/>
          <w:szCs w:val="32"/>
        </w:rPr>
        <w:t>　　公用经费563.79万元，主要包括：办公费、水费、电费、差旅费、维修（护）费、培训费、公务接待费、工会经费、福利费、公务用车运行维护费、其他交通费、其他商品和服务支出等。</w:t>
      </w:r>
    </w:p>
    <w:p>
      <w:pPr>
        <w:spacing w:line="600" w:lineRule="exact"/>
        <w:ind w:firstLine="640"/>
        <w:outlineLvl w:val="1"/>
        <w:rPr>
          <w:rStyle w:val="30"/>
          <w:rFonts w:ascii="Times New Roman" w:hAnsi="Times New Roman" w:eastAsia="黑体"/>
          <w:b w:val="0"/>
        </w:rPr>
      </w:pPr>
      <w:bookmarkStart w:id="32" w:name="_Toc15396609"/>
      <w:bookmarkStart w:id="33" w:name="_Toc1537721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32"/>
      <w:bookmarkEnd w:id="33"/>
    </w:p>
    <w:p>
      <w:pPr>
        <w:spacing w:line="600" w:lineRule="exact"/>
        <w:ind w:firstLine="643" w:firstLineChars="200"/>
        <w:outlineLvl w:val="2"/>
        <w:rPr>
          <w:rFonts w:eastAsia="楷体_GB2312" w:cs="楷体_GB2312"/>
          <w:b/>
          <w:sz w:val="32"/>
          <w:szCs w:val="32"/>
        </w:rPr>
      </w:pPr>
      <w:bookmarkStart w:id="34" w:name="_Toc15377216"/>
      <w:r>
        <w:rPr>
          <w:rFonts w:hint="eastAsia" w:eastAsia="楷体_GB2312" w:cs="楷体_GB2312"/>
          <w:b/>
          <w:sz w:val="32"/>
          <w:szCs w:val="32"/>
        </w:rPr>
        <w:t>（一）财政拨款“三公”经费支出决算总体情况说明</w:t>
      </w:r>
      <w:bookmarkEnd w:id="34"/>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2025年度财政拨款“三公”经费支出决算为113.62万元，完成预算100%，较上年度减少0.1万元，下降0.09%。决算数与预算数持平。</w:t>
      </w:r>
    </w:p>
    <w:p>
      <w:pPr>
        <w:spacing w:line="600" w:lineRule="exact"/>
        <w:ind w:firstLine="643" w:firstLineChars="200"/>
        <w:outlineLvl w:val="2"/>
        <w:rPr>
          <w:rFonts w:eastAsia="楷体_GB2312" w:cs="楷体_GB2312"/>
          <w:b/>
          <w:sz w:val="32"/>
          <w:szCs w:val="32"/>
        </w:rPr>
      </w:pPr>
      <w:bookmarkStart w:id="35" w:name="_Toc15377217"/>
      <w:r>
        <w:rPr>
          <w:rFonts w:hint="eastAsia" w:eastAsia="楷体_GB2312" w:cs="楷体_GB2312"/>
          <w:b/>
          <w:sz w:val="32"/>
          <w:szCs w:val="32"/>
        </w:rPr>
        <w:t>（二）财政拨款“三公”经费支出决算具体情况说明</w:t>
      </w:r>
      <w:bookmarkEnd w:id="35"/>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2025年度财政拨款“三公”经费支出决算中，因公出国（境）费支出决算0万元，占0%；公务用车购置及运行维护费支出决算113.51万元，占99.9%；公务接待费支出决算0.11万元，占0.1%。具体情况如下：</w:t>
      </w:r>
    </w:p>
    <w:p>
      <w:pPr>
        <w:spacing w:line="600" w:lineRule="exact"/>
        <w:ind w:firstLine="640"/>
        <w:rPr>
          <w:rFonts w:eastAsia="仿宋_GB2312" w:cs="仿宋_GB2312"/>
          <w:sz w:val="32"/>
          <w:szCs w:val="32"/>
        </w:rPr>
      </w:pPr>
      <w:r>
        <w:rPr>
          <w:rFonts w:eastAsia="仿宋_GB2312" w:cs="仿宋_GB2312"/>
          <w:sz w:val="32"/>
          <w:szCs w:val="32"/>
        </w:rPr>
        <w:drawing>
          <wp:anchor distT="0" distB="0" distL="114300" distR="114300" simplePos="0" relativeHeight="251666432" behindDoc="0" locked="0" layoutInCell="1" allowOverlap="1">
            <wp:simplePos x="0" y="0"/>
            <wp:positionH relativeFrom="column">
              <wp:posOffset>1059815</wp:posOffset>
            </wp:positionH>
            <wp:positionV relativeFrom="paragraph">
              <wp:posOffset>41275</wp:posOffset>
            </wp:positionV>
            <wp:extent cx="3136900" cy="1885315"/>
            <wp:effectExtent l="0" t="0" r="6985" b="63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136816" cy="1885565"/>
                    </a:xfrm>
                    <a:prstGeom prst="rect">
                      <a:avLst/>
                    </a:prstGeom>
                    <a:noFill/>
                  </pic:spPr>
                </pic:pic>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1280" w:firstLineChars="400"/>
        <w:rPr>
          <w:rFonts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1.因公出国（境）经费支出0万元，完成预算</w:t>
      </w:r>
      <w:r>
        <w:rPr>
          <w:rFonts w:eastAsia="仿宋_GB2312" w:cs="仿宋_GB2312"/>
          <w:b/>
          <w:bCs/>
          <w:sz w:val="32"/>
          <w:szCs w:val="32"/>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eastAsia="仿宋_GB2312" w:cs="仿宋_GB2312"/>
          <w:sz w:val="32"/>
          <w:szCs w:val="32"/>
        </w:rPr>
        <w:t>0</w:t>
      </w:r>
      <w:r>
        <w:rPr>
          <w:rFonts w:hint="eastAsia" w:eastAsia="仿宋_GB2312" w:cs="仿宋_GB2312"/>
          <w:sz w:val="32"/>
          <w:szCs w:val="32"/>
        </w:rPr>
        <w:t>次，出国（境）0人。因公出国（境）支出决算与上年持平，均未开支。</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2.公务用车购置及运行维护费支出113.51万元，完成预算100%。</w:t>
      </w:r>
      <w:r>
        <w:rPr>
          <w:rFonts w:hint="eastAsia" w:eastAsia="仿宋_GB2312" w:cs="仿宋_GB2312"/>
          <w:sz w:val="32"/>
          <w:szCs w:val="32"/>
        </w:rPr>
        <w:t>公务用车购置及运行维护费支出决算比上年度减少0.08万元，下降0.07%。主要原因是支队加强公务车辆管理，进一步减少公务用车运行维护费支出。</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其中：公务用车购置支出0万元。全年按规定更新购置公务用车0辆，其中：轿车0辆、金额0万元，越野车0辆、金额0万元，载客汽车0辆、金额0万元。截至2025年12月31日，单位共有公务用车</w:t>
      </w:r>
      <w:r>
        <w:rPr>
          <w:rFonts w:eastAsia="仿宋_GB2312" w:cs="仿宋_GB2312"/>
          <w:sz w:val="32"/>
          <w:szCs w:val="32"/>
        </w:rPr>
        <w:t>63</w:t>
      </w:r>
      <w:r>
        <w:rPr>
          <w:rFonts w:hint="eastAsia" w:eastAsia="仿宋_GB2312" w:cs="仿宋_GB2312"/>
          <w:sz w:val="32"/>
          <w:szCs w:val="32"/>
        </w:rPr>
        <w:t>辆，其中：轿车</w:t>
      </w:r>
      <w:r>
        <w:rPr>
          <w:rFonts w:eastAsia="仿宋_GB2312" w:cs="仿宋_GB2312"/>
          <w:sz w:val="32"/>
          <w:szCs w:val="32"/>
        </w:rPr>
        <w:t>58</w:t>
      </w:r>
      <w:r>
        <w:rPr>
          <w:rFonts w:hint="eastAsia" w:eastAsia="仿宋_GB2312" w:cs="仿宋_GB2312"/>
          <w:sz w:val="32"/>
          <w:szCs w:val="32"/>
        </w:rPr>
        <w:t>辆、越野车</w:t>
      </w:r>
      <w:r>
        <w:rPr>
          <w:rFonts w:eastAsia="仿宋_GB2312" w:cs="仿宋_GB2312"/>
          <w:sz w:val="32"/>
          <w:szCs w:val="32"/>
        </w:rPr>
        <w:t>3</w:t>
      </w:r>
      <w:r>
        <w:rPr>
          <w:rFonts w:hint="eastAsia" w:eastAsia="仿宋_GB2312" w:cs="仿宋_GB2312"/>
          <w:sz w:val="32"/>
          <w:szCs w:val="32"/>
        </w:rPr>
        <w:t>辆、载客汽车</w:t>
      </w:r>
      <w:r>
        <w:rPr>
          <w:rFonts w:eastAsia="仿宋_GB2312" w:cs="仿宋_GB2312"/>
          <w:sz w:val="32"/>
          <w:szCs w:val="32"/>
        </w:rPr>
        <w:t>2</w:t>
      </w:r>
      <w:r>
        <w:rPr>
          <w:rFonts w:hint="eastAsia" w:eastAsia="仿宋_GB2312" w:cs="仿宋_GB2312"/>
          <w:sz w:val="32"/>
          <w:szCs w:val="32"/>
        </w:rPr>
        <w:t>辆。</w:t>
      </w:r>
    </w:p>
    <w:p>
      <w:pPr>
        <w:spacing w:line="600" w:lineRule="exact"/>
        <w:ind w:firstLine="640"/>
        <w:rPr>
          <w:rFonts w:ascii="仿宋_GB2312" w:eastAsia="仿宋_GB2312"/>
          <w:color w:val="000000"/>
          <w:sz w:val="32"/>
          <w:szCs w:val="32"/>
        </w:rPr>
      </w:pPr>
      <w:r>
        <w:rPr>
          <w:rFonts w:hint="eastAsia" w:eastAsia="仿宋_GB2312" w:cs="仿宋_GB2312"/>
          <w:sz w:val="32"/>
          <w:szCs w:val="32"/>
        </w:rPr>
        <w:t>公务用车运行维护费支出113.51万元</w:t>
      </w:r>
      <w:r>
        <w:rPr>
          <w:rFonts w:hint="eastAsia" w:ascii="仿宋_GB2312" w:eastAsia="仿宋_GB2312"/>
          <w:color w:val="000000"/>
          <w:sz w:val="32"/>
          <w:szCs w:val="32"/>
        </w:rPr>
        <w:t>主要用于公安交通管理执勤执法车辆路面巡逻、秩序管理、交通事故处理、警保卫、交通安全宣传等日常公务用车活动所需的公务用车燃料费、维修费、过路过桥费、保险费等支出。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3.公务接待费支出0.11万元，完成预算100%。</w:t>
      </w:r>
      <w:r>
        <w:rPr>
          <w:rFonts w:hint="eastAsia" w:eastAsia="仿宋_GB2312" w:cs="仿宋_GB2312"/>
          <w:sz w:val="32"/>
          <w:szCs w:val="32"/>
        </w:rPr>
        <w:t>公务接待费支出决算比上年度减少0.02万元，下降15.38%。主要原因是本年来攀交流人数较上年减少。其中：</w:t>
      </w:r>
    </w:p>
    <w:p>
      <w:pPr>
        <w:spacing w:line="600" w:lineRule="exact"/>
        <w:ind w:firstLine="640"/>
        <w:rPr>
          <w:rFonts w:eastAsia="仿宋_GB2312" w:cs="仿宋_GB2312"/>
          <w:sz w:val="32"/>
          <w:szCs w:val="32"/>
          <w:highlight w:val="yellow"/>
        </w:rPr>
      </w:pPr>
      <w:r>
        <w:rPr>
          <w:rFonts w:hint="eastAsia" w:eastAsia="仿宋_GB2312" w:cs="仿宋_GB2312"/>
          <w:sz w:val="32"/>
          <w:szCs w:val="32"/>
        </w:rPr>
        <w:t>国内公务接待支出</w:t>
      </w:r>
      <w:r>
        <w:rPr>
          <w:rFonts w:eastAsia="仿宋_GB2312" w:cs="仿宋_GB2312"/>
          <w:sz w:val="32"/>
          <w:szCs w:val="32"/>
        </w:rPr>
        <w:t>0.11</w:t>
      </w:r>
      <w:r>
        <w:rPr>
          <w:rFonts w:hint="eastAsia" w:eastAsia="仿宋_GB2312" w:cs="仿宋_GB2312"/>
          <w:sz w:val="32"/>
          <w:szCs w:val="32"/>
        </w:rPr>
        <w:t>万元，</w:t>
      </w:r>
      <w:r>
        <w:rPr>
          <w:rFonts w:hint="eastAsia" w:ascii="仿宋_GB2312" w:eastAsia="仿宋_GB2312"/>
          <w:sz w:val="32"/>
          <w:szCs w:val="32"/>
        </w:rPr>
        <w:t>主要用于执行公务、开展公务接待业务活动用餐费等</w:t>
      </w:r>
      <w:r>
        <w:rPr>
          <w:rFonts w:hint="eastAsia" w:eastAsia="仿宋_GB2312" w:cs="仿宋_GB2312"/>
          <w:sz w:val="32"/>
          <w:szCs w:val="32"/>
        </w:rPr>
        <w:t>。国内公务接待</w:t>
      </w:r>
      <w:r>
        <w:rPr>
          <w:rFonts w:eastAsia="仿宋_GB2312" w:cs="仿宋_GB2312"/>
          <w:sz w:val="32"/>
          <w:szCs w:val="32"/>
        </w:rPr>
        <w:t>1</w:t>
      </w:r>
      <w:r>
        <w:rPr>
          <w:rFonts w:hint="eastAsia" w:eastAsia="仿宋_GB2312" w:cs="仿宋_GB2312"/>
          <w:sz w:val="32"/>
          <w:szCs w:val="32"/>
        </w:rPr>
        <w:t>批次，</w:t>
      </w:r>
      <w:r>
        <w:rPr>
          <w:rFonts w:eastAsia="仿宋_GB2312" w:cs="仿宋_GB2312"/>
          <w:sz w:val="32"/>
          <w:szCs w:val="32"/>
        </w:rPr>
        <w:t>5</w:t>
      </w:r>
      <w:r>
        <w:rPr>
          <w:rFonts w:hint="eastAsia" w:eastAsia="仿宋_GB2312" w:cs="仿宋_GB2312"/>
          <w:sz w:val="32"/>
          <w:szCs w:val="32"/>
        </w:rPr>
        <w:t>人次（不包括陪同人员），共计支出</w:t>
      </w:r>
      <w:r>
        <w:rPr>
          <w:rFonts w:eastAsia="仿宋_GB2312" w:cs="仿宋_GB2312"/>
          <w:sz w:val="32"/>
          <w:szCs w:val="32"/>
        </w:rPr>
        <w:t>0.11</w:t>
      </w:r>
      <w:r>
        <w:rPr>
          <w:rFonts w:hint="eastAsia" w:eastAsia="仿宋_GB2312" w:cs="仿宋_GB2312"/>
          <w:sz w:val="32"/>
          <w:szCs w:val="32"/>
        </w:rPr>
        <w:t>万元，具体内容包括：接待元谋公安局到攀考察交流支出0</w:t>
      </w:r>
      <w:r>
        <w:rPr>
          <w:rFonts w:eastAsia="仿宋_GB2312" w:cs="仿宋_GB2312"/>
          <w:sz w:val="32"/>
          <w:szCs w:val="32"/>
        </w:rPr>
        <w:t>.11万元</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外事接待支出0万元，外事接待0批次，0人次（不包括陪同人员），共计支出0万元。</w:t>
      </w:r>
    </w:p>
    <w:p>
      <w:pPr>
        <w:spacing w:line="600" w:lineRule="exact"/>
        <w:ind w:firstLine="640"/>
        <w:outlineLvl w:val="1"/>
        <w:rPr>
          <w:rStyle w:val="30"/>
          <w:rFonts w:ascii="Times New Roman" w:hAnsi="Times New Roman" w:eastAsia="黑体"/>
        </w:rPr>
      </w:pPr>
      <w:bookmarkStart w:id="36" w:name="_Toc15396610"/>
      <w:bookmarkStart w:id="37" w:name="_Toc15377218"/>
      <w:r>
        <w:rPr>
          <w:rFonts w:hint="eastAsia" w:eastAsia="黑体"/>
          <w:sz w:val="32"/>
          <w:szCs w:val="32"/>
        </w:rPr>
        <w:t>八、</w:t>
      </w:r>
      <w:r>
        <w:rPr>
          <w:rStyle w:val="30"/>
          <w:rFonts w:hint="eastAsia" w:ascii="Times New Roman" w:hAnsi="Times New Roman" w:eastAsia="黑体"/>
          <w:b w:val="0"/>
        </w:rPr>
        <w:t>政府性基金预算支出决算情况说明</w:t>
      </w:r>
      <w:bookmarkEnd w:id="36"/>
      <w:bookmarkEnd w:id="37"/>
    </w:p>
    <w:p>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2025年度政府性基金预算财政拨款支出0万元，占本年支出合计的0%。与上年度相比，政府性基金预算财政拨款支出减少96.3万元，下降</w:t>
      </w:r>
      <w:r>
        <w:rPr>
          <w:rFonts w:eastAsia="仿宋_GB2312" w:cs="仿宋_GB2312"/>
          <w:sz w:val="32"/>
          <w:szCs w:val="32"/>
        </w:rPr>
        <w:t>100</w:t>
      </w:r>
      <w:r>
        <w:rPr>
          <w:rFonts w:hint="eastAsia" w:eastAsia="仿宋_GB2312" w:cs="仿宋_GB2312"/>
          <w:sz w:val="32"/>
          <w:szCs w:val="32"/>
        </w:rPr>
        <w:t>%。主要变动原因是上年安排了96.3万元的政府性基金预算，本年未安排。</w:t>
      </w:r>
    </w:p>
    <w:p>
      <w:pPr>
        <w:spacing w:line="600" w:lineRule="exact"/>
        <w:ind w:left="630"/>
        <w:outlineLvl w:val="1"/>
        <w:rPr>
          <w:rStyle w:val="30"/>
          <w:rFonts w:ascii="Times New Roman" w:hAnsi="Times New Roman" w:eastAsia="黑体"/>
          <w:b w:val="0"/>
        </w:rPr>
      </w:pPr>
      <w:bookmarkStart w:id="38" w:name="_Toc15377219"/>
      <w:bookmarkStart w:id="39" w:name="_Toc15396611"/>
      <w:r>
        <w:rPr>
          <w:rStyle w:val="30"/>
          <w:rFonts w:hint="eastAsia" w:ascii="Times New Roman" w:hAnsi="Times New Roman" w:eastAsia="黑体"/>
          <w:b w:val="0"/>
        </w:rPr>
        <w:t>九、国有资本经营预算支出决算情况说明</w:t>
      </w:r>
      <w:bookmarkEnd w:id="38"/>
      <w:bookmarkEnd w:id="39"/>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2025年度国有资本经营预算财政拨款支出0万元，占本年支出合计的0%。与上年度相比，国有资本经营预算财政拨款支出与上年持平，均未安排。</w:t>
      </w:r>
    </w:p>
    <w:p>
      <w:pPr>
        <w:spacing w:line="600" w:lineRule="exact"/>
        <w:ind w:left="630"/>
        <w:outlineLvl w:val="1"/>
        <w:rPr>
          <w:rStyle w:val="30"/>
          <w:rFonts w:ascii="Times New Roman" w:hAnsi="Times New Roman" w:eastAsia="黑体"/>
          <w:b w:val="0"/>
        </w:rPr>
      </w:pPr>
      <w:bookmarkStart w:id="40" w:name="_Toc15396612"/>
      <w:bookmarkStart w:id="41" w:name="_Toc15377221"/>
      <w:r>
        <w:rPr>
          <w:rStyle w:val="30"/>
          <w:rFonts w:hint="eastAsia" w:ascii="Times New Roman" w:hAnsi="Times New Roman" w:eastAsia="黑体"/>
          <w:b w:val="0"/>
        </w:rPr>
        <w:t>十、其他重要事项的情况说明</w:t>
      </w:r>
      <w:bookmarkEnd w:id="40"/>
      <w:bookmarkEnd w:id="41"/>
    </w:p>
    <w:p>
      <w:pPr>
        <w:spacing w:line="600" w:lineRule="exact"/>
        <w:ind w:firstLine="643" w:firstLineChars="200"/>
        <w:outlineLvl w:val="2"/>
        <w:rPr>
          <w:rFonts w:eastAsia="楷体_GB2312" w:cs="楷体_GB2312"/>
          <w:b/>
          <w:sz w:val="32"/>
          <w:szCs w:val="32"/>
        </w:rPr>
      </w:pPr>
      <w:bookmarkStart w:id="42" w:name="_Toc15377222"/>
      <w:r>
        <w:rPr>
          <w:rFonts w:hint="eastAsia" w:eastAsia="楷体_GB2312" w:cs="楷体_GB2312"/>
          <w:b/>
          <w:sz w:val="32"/>
          <w:szCs w:val="32"/>
        </w:rPr>
        <w:t>（一）机关运行经费支出情况</w:t>
      </w:r>
      <w:bookmarkEnd w:id="42"/>
    </w:p>
    <w:p>
      <w:pPr>
        <w:spacing w:line="600" w:lineRule="exact"/>
        <w:ind w:firstLine="640"/>
        <w:rPr>
          <w:rFonts w:eastAsia="仿宋_GB2312" w:cs="仿宋_GB2312"/>
          <w:sz w:val="32"/>
          <w:szCs w:val="32"/>
        </w:rPr>
      </w:pPr>
      <w:r>
        <w:rPr>
          <w:rFonts w:hint="eastAsia" w:eastAsia="仿宋_GB2312" w:cs="仿宋_GB2312"/>
          <w:sz w:val="32"/>
          <w:szCs w:val="32"/>
        </w:rPr>
        <w:t>2025年度，攀枝花市公安局交通警察支队机关运行经费支出563.79万元，比上年度减少19.91万元，下降</w:t>
      </w:r>
      <w:r>
        <w:rPr>
          <w:rFonts w:eastAsia="仿宋_GB2312" w:cs="仿宋_GB2312"/>
          <w:sz w:val="32"/>
          <w:szCs w:val="32"/>
        </w:rPr>
        <w:t>3.41</w:t>
      </w:r>
      <w:r>
        <w:rPr>
          <w:rFonts w:hint="eastAsia" w:eastAsia="仿宋_GB2312" w:cs="仿宋_GB2312"/>
          <w:sz w:val="32"/>
          <w:szCs w:val="32"/>
        </w:rPr>
        <w:t>%。主要原因是本年继续加强经费管理，严控一般性支出，机关运行经费较上年减少。</w:t>
      </w:r>
    </w:p>
    <w:p>
      <w:pPr>
        <w:spacing w:line="600" w:lineRule="exact"/>
        <w:ind w:firstLine="643" w:firstLineChars="200"/>
        <w:outlineLvl w:val="2"/>
        <w:rPr>
          <w:rFonts w:eastAsia="楷体_GB2312" w:cs="楷体_GB2312"/>
          <w:b/>
          <w:sz w:val="32"/>
          <w:szCs w:val="32"/>
        </w:rPr>
      </w:pPr>
      <w:bookmarkStart w:id="43" w:name="_Toc15377223"/>
      <w:r>
        <w:rPr>
          <w:rFonts w:hint="eastAsia" w:eastAsia="楷体_GB2312" w:cs="楷体_GB2312"/>
          <w:b/>
          <w:sz w:val="32"/>
          <w:szCs w:val="32"/>
        </w:rPr>
        <w:t>（二）政府采购支出情况</w:t>
      </w:r>
      <w:bookmarkEnd w:id="43"/>
    </w:p>
    <w:p>
      <w:pPr>
        <w:spacing w:line="600" w:lineRule="exact"/>
        <w:ind w:firstLine="640"/>
        <w:rPr>
          <w:rFonts w:eastAsia="仿宋_GB2312" w:cs="仿宋_GB2312"/>
          <w:sz w:val="32"/>
          <w:szCs w:val="32"/>
        </w:rPr>
      </w:pPr>
      <w:r>
        <w:rPr>
          <w:rFonts w:hint="eastAsia" w:eastAsia="仿宋_GB2312" w:cs="仿宋_GB2312"/>
          <w:sz w:val="32"/>
          <w:szCs w:val="32"/>
        </w:rPr>
        <w:t>2025年度，攀枝花市公安局交通管理支队政府采购支出总额605.53万元，其中：政府采购货物支出112.38万元、政府采购工程支出0万元、政府采购服务支出493.15万元。主要用于</w:t>
      </w:r>
      <w:r>
        <w:rPr>
          <w:rFonts w:hint="eastAsia" w:ascii="仿宋_GB2312" w:eastAsia="仿宋_GB2312"/>
          <w:sz w:val="32"/>
          <w:szCs w:val="32"/>
        </w:rPr>
        <w:t>公安交通管理信息化系统维护，车管所号牌制作、物业服务、食堂开支、标志标线施划与维护费等</w:t>
      </w:r>
      <w:r>
        <w:rPr>
          <w:rFonts w:hint="eastAsia" w:eastAsia="仿宋_GB2312" w:cs="仿宋_GB2312"/>
          <w:sz w:val="32"/>
          <w:szCs w:val="32"/>
        </w:rPr>
        <w:t>。授予中小企业合同金额453.93万元，占政府采购支出总额的74.96%，其中：授予小微企业合同金额385.32万元，占政府采购支出总额的63.63%。</w:t>
      </w:r>
    </w:p>
    <w:p>
      <w:pPr>
        <w:spacing w:line="600" w:lineRule="exact"/>
        <w:ind w:firstLine="643" w:firstLineChars="200"/>
        <w:outlineLvl w:val="2"/>
        <w:rPr>
          <w:rFonts w:eastAsia="楷体_GB2312" w:cs="楷体_GB2312"/>
          <w:b/>
          <w:sz w:val="32"/>
          <w:szCs w:val="32"/>
        </w:rPr>
      </w:pPr>
      <w:bookmarkStart w:id="44" w:name="_Toc15377224"/>
      <w:r>
        <w:rPr>
          <w:rFonts w:hint="eastAsia" w:eastAsia="楷体_GB2312" w:cs="楷体_GB2312"/>
          <w:b/>
          <w:sz w:val="32"/>
          <w:szCs w:val="32"/>
        </w:rPr>
        <w:t>（三）国有资产占有使用情况</w:t>
      </w:r>
      <w:bookmarkEnd w:id="44"/>
    </w:p>
    <w:p>
      <w:pPr>
        <w:spacing w:line="600" w:lineRule="exact"/>
        <w:ind w:firstLine="640"/>
        <w:rPr>
          <w:rFonts w:eastAsia="仿宋_GB2312" w:cs="仿宋_GB2312"/>
          <w:sz w:val="32"/>
          <w:szCs w:val="32"/>
        </w:rPr>
      </w:pPr>
      <w:r>
        <w:rPr>
          <w:rFonts w:hint="eastAsia" w:eastAsia="仿宋_GB2312" w:cs="仿宋_GB2312"/>
          <w:sz w:val="32"/>
          <w:szCs w:val="32"/>
        </w:rPr>
        <w:t>截至2025年12月31日，交警支队共有车辆</w:t>
      </w:r>
      <w:r>
        <w:rPr>
          <w:rFonts w:eastAsia="仿宋_GB2312" w:cs="仿宋_GB2312"/>
          <w:sz w:val="32"/>
          <w:szCs w:val="32"/>
        </w:rPr>
        <w:t>63</w:t>
      </w:r>
      <w:r>
        <w:rPr>
          <w:rFonts w:hint="eastAsia" w:eastAsia="仿宋_GB2312" w:cs="仿宋_GB2312"/>
          <w:sz w:val="32"/>
          <w:szCs w:val="32"/>
        </w:rPr>
        <w:t>辆，其中：副部（省）级及以上领导用车</w:t>
      </w:r>
      <w:r>
        <w:rPr>
          <w:rFonts w:eastAsia="仿宋_GB2312" w:cs="仿宋_GB2312"/>
          <w:sz w:val="32"/>
          <w:szCs w:val="32"/>
        </w:rPr>
        <w:t>0</w:t>
      </w:r>
      <w:r>
        <w:rPr>
          <w:rFonts w:hint="eastAsia" w:eastAsia="仿宋_GB2312" w:cs="仿宋_GB2312"/>
          <w:sz w:val="32"/>
          <w:szCs w:val="32"/>
        </w:rPr>
        <w:t>辆、主要负责人用车</w:t>
      </w:r>
      <w:r>
        <w:rPr>
          <w:rFonts w:eastAsia="仿宋_GB2312" w:cs="仿宋_GB2312"/>
          <w:sz w:val="32"/>
          <w:szCs w:val="32"/>
        </w:rPr>
        <w:t>0</w:t>
      </w:r>
      <w:r>
        <w:rPr>
          <w:rFonts w:hint="eastAsia" w:eastAsia="仿宋_GB2312" w:cs="仿宋_GB2312"/>
          <w:sz w:val="32"/>
          <w:szCs w:val="32"/>
        </w:rPr>
        <w:t>辆、机要通信用车</w:t>
      </w:r>
      <w:r>
        <w:rPr>
          <w:rFonts w:eastAsia="仿宋_GB2312" w:cs="仿宋_GB2312"/>
          <w:sz w:val="32"/>
          <w:szCs w:val="32"/>
        </w:rPr>
        <w:t>0</w:t>
      </w:r>
      <w:r>
        <w:rPr>
          <w:rFonts w:hint="eastAsia" w:eastAsia="仿宋_GB2312" w:cs="仿宋_GB2312"/>
          <w:sz w:val="32"/>
          <w:szCs w:val="32"/>
        </w:rPr>
        <w:t>辆、应急保障用车</w:t>
      </w:r>
      <w:r>
        <w:rPr>
          <w:rFonts w:eastAsia="仿宋_GB2312" w:cs="仿宋_GB2312"/>
          <w:sz w:val="32"/>
          <w:szCs w:val="32"/>
        </w:rPr>
        <w:t>0</w:t>
      </w:r>
      <w:r>
        <w:rPr>
          <w:rFonts w:hint="eastAsia" w:eastAsia="仿宋_GB2312" w:cs="仿宋_GB2312"/>
          <w:sz w:val="32"/>
          <w:szCs w:val="32"/>
        </w:rPr>
        <w:t>辆、执法执勤用车</w:t>
      </w:r>
      <w:r>
        <w:rPr>
          <w:rFonts w:eastAsia="仿宋_GB2312" w:cs="仿宋_GB2312"/>
          <w:sz w:val="32"/>
          <w:szCs w:val="32"/>
        </w:rPr>
        <w:t>62</w:t>
      </w:r>
      <w:r>
        <w:rPr>
          <w:rFonts w:hint="eastAsia" w:eastAsia="仿宋_GB2312" w:cs="仿宋_GB2312"/>
          <w:sz w:val="32"/>
          <w:szCs w:val="32"/>
        </w:rPr>
        <w:t>辆、特种专业技术用车</w:t>
      </w:r>
      <w:r>
        <w:rPr>
          <w:rFonts w:eastAsia="仿宋_GB2312" w:cs="仿宋_GB2312"/>
          <w:sz w:val="32"/>
          <w:szCs w:val="32"/>
        </w:rPr>
        <w:t>0</w:t>
      </w:r>
      <w:r>
        <w:rPr>
          <w:rFonts w:hint="eastAsia" w:eastAsia="仿宋_GB2312" w:cs="仿宋_GB2312"/>
          <w:sz w:val="32"/>
          <w:szCs w:val="32"/>
        </w:rPr>
        <w:t>辆、离退休干部服务用车</w:t>
      </w:r>
      <w:r>
        <w:rPr>
          <w:rFonts w:eastAsia="仿宋_GB2312" w:cs="仿宋_GB2312"/>
          <w:sz w:val="32"/>
          <w:szCs w:val="32"/>
        </w:rPr>
        <w:t>0</w:t>
      </w:r>
      <w:r>
        <w:rPr>
          <w:rFonts w:hint="eastAsia" w:eastAsia="仿宋_GB2312" w:cs="仿宋_GB2312"/>
          <w:sz w:val="32"/>
          <w:szCs w:val="32"/>
        </w:rPr>
        <w:t>辆、其他用车</w:t>
      </w:r>
      <w:r>
        <w:rPr>
          <w:rFonts w:eastAsia="仿宋_GB2312" w:cs="仿宋_GB2312"/>
          <w:sz w:val="32"/>
          <w:szCs w:val="32"/>
        </w:rPr>
        <w:t>1</w:t>
      </w:r>
      <w:r>
        <w:rPr>
          <w:rFonts w:hint="eastAsia" w:eastAsia="仿宋_GB2312" w:cs="仿宋_GB2312"/>
          <w:sz w:val="32"/>
          <w:szCs w:val="32"/>
        </w:rPr>
        <w:t>辆，其他用车主要是用于车管所巡逻用车。单价100万元（含）以上设备（不含车辆）</w:t>
      </w:r>
      <w:r>
        <w:rPr>
          <w:rFonts w:eastAsia="仿宋_GB2312" w:cs="仿宋_GB2312"/>
          <w:sz w:val="32"/>
          <w:szCs w:val="32"/>
        </w:rPr>
        <w:t>0</w:t>
      </w:r>
      <w:r>
        <w:rPr>
          <w:rFonts w:hint="eastAsia" w:eastAsia="仿宋_GB2312" w:cs="仿宋_GB2312"/>
          <w:sz w:val="32"/>
          <w:szCs w:val="32"/>
        </w:rPr>
        <w:t>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根据预算绩效管理要求，攀枝花市公安局交通警察支队在2025年度，组织对交通管理信息化系统建设维护费、重要交通组织“微改造”等</w:t>
      </w:r>
      <w:r>
        <w:rPr>
          <w:rFonts w:eastAsia="仿宋_GB2312" w:cs="仿宋_GB2312"/>
          <w:sz w:val="32"/>
          <w:szCs w:val="32"/>
        </w:rPr>
        <w:t>9</w:t>
      </w:r>
      <w:r>
        <w:rPr>
          <w:rFonts w:hint="eastAsia" w:eastAsia="仿宋_GB2312" w:cs="仿宋_GB2312"/>
          <w:sz w:val="32"/>
          <w:szCs w:val="32"/>
        </w:rPr>
        <w:t>个项目涉及金额</w:t>
      </w:r>
      <w:r>
        <w:rPr>
          <w:rFonts w:eastAsia="仿宋_GB2312" w:cs="仿宋_GB2312"/>
          <w:sz w:val="32"/>
          <w:szCs w:val="32"/>
        </w:rPr>
        <w:t>1819.42</w:t>
      </w:r>
      <w:r>
        <w:rPr>
          <w:rFonts w:hint="eastAsia" w:eastAsia="仿宋_GB2312" w:cs="仿宋_GB2312"/>
          <w:sz w:val="32"/>
          <w:szCs w:val="32"/>
        </w:rPr>
        <w:t>万元开展了事前绩效评估，对</w:t>
      </w:r>
      <w:r>
        <w:rPr>
          <w:rFonts w:eastAsia="仿宋_GB2312" w:cs="仿宋_GB2312"/>
          <w:sz w:val="32"/>
          <w:szCs w:val="32"/>
        </w:rPr>
        <w:t>9</w:t>
      </w:r>
      <w:r>
        <w:rPr>
          <w:rFonts w:hint="eastAsia" w:eastAsia="仿宋_GB2312" w:cs="仿宋_GB2312"/>
          <w:sz w:val="32"/>
          <w:szCs w:val="32"/>
        </w:rPr>
        <w:t>个项目编制了绩效目标，预算执行过程中，对所有项目开展绩效监控。</w:t>
      </w:r>
    </w:p>
    <w:p>
      <w:pPr>
        <w:snapToGrid w:val="0"/>
        <w:spacing w:line="540" w:lineRule="exact"/>
        <w:ind w:firstLine="660"/>
        <w:rPr>
          <w:rFonts w:eastAsia="仿宋_GB2312"/>
          <w:color w:val="000000" w:themeColor="text1"/>
          <w:sz w:val="32"/>
          <w:szCs w:val="32"/>
          <w14:textFill>
            <w14:solidFill>
              <w14:schemeClr w14:val="tx1"/>
            </w14:solidFill>
          </w14:textFill>
        </w:rPr>
      </w:pPr>
      <w:r>
        <w:rPr>
          <w:rFonts w:hint="eastAsia" w:eastAsia="仿宋_GB2312" w:cs="仿宋_GB2312"/>
          <w:sz w:val="32"/>
          <w:szCs w:val="32"/>
        </w:rPr>
        <w:t>组织对2025年度一般公共预算、政府性基金预算等全面开展绩效自评，形成攀枝花市公安局交通警察支队部门预算绩效自评报告、交通组织“微改造”、公安交通管理指挥中心弱电网络建设项目等专项预算项目绩效自评报告，其中，攀枝花市公安局交通警察支队部门预算绩效自评得分为</w:t>
      </w:r>
      <w:r>
        <w:rPr>
          <w:rFonts w:eastAsia="仿宋_GB2312" w:cs="仿宋_GB2312"/>
          <w:sz w:val="32"/>
          <w:szCs w:val="32"/>
        </w:rPr>
        <w:t>98</w:t>
      </w:r>
      <w:r>
        <w:rPr>
          <w:rFonts w:hint="eastAsia" w:eastAsia="仿宋_GB2312" w:cs="仿宋_GB2312"/>
          <w:sz w:val="32"/>
          <w:szCs w:val="32"/>
        </w:rPr>
        <w:t>分，绩效自评综述</w:t>
      </w:r>
      <w:r>
        <w:rPr>
          <w:rFonts w:hint="eastAsia" w:eastAsia="仿宋_GB2312"/>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025年</w:t>
      </w:r>
      <w:r>
        <w:rPr>
          <w:rFonts w:hint="eastAsia" w:eastAsia="仿宋_GB2312"/>
          <w:color w:val="000000" w:themeColor="text1"/>
          <w:sz w:val="32"/>
          <w:szCs w:val="32"/>
          <w14:textFill>
            <w14:solidFill>
              <w14:schemeClr w14:val="tx1"/>
            </w14:solidFill>
          </w14:textFill>
        </w:rPr>
        <w:t>，交警支队锚定事故预防“减量控大”核心目标，以各类专项行动为抓手，扎实推进队伍管理、事故预防、违法打击、宣传教育、隐患排查、源头管理等重点工作，全市道路交通安全形势持续平稳向好，未发生较大以上道路交通事故。截至12月31日，全市一般程序道路交通事故起数、死亡人数、受伤人数，同比分别下降4.6%、7.8%、1.0%，万车死亡率1.44，同比下降11.7%。</w:t>
      </w:r>
    </w:p>
    <w:p>
      <w:pPr>
        <w:snapToGrid w:val="0"/>
        <w:spacing w:line="560" w:lineRule="exact"/>
        <w:ind w:firstLine="640" w:firstLineChars="200"/>
        <w:jc w:val="left"/>
        <w:rPr>
          <w:rFonts w:ascii="仿宋_GB2312" w:eastAsia="仿宋_GB2312"/>
          <w:sz w:val="32"/>
          <w:szCs w:val="32"/>
        </w:rPr>
      </w:pPr>
      <w:r>
        <w:rPr>
          <w:rFonts w:hint="eastAsia" w:ascii="仿宋_GB2312" w:eastAsia="仿宋_GB2312"/>
          <w:color w:val="000000"/>
          <w:sz w:val="32"/>
          <w:szCs w:val="32"/>
        </w:rPr>
        <w:t>特别业务费</w:t>
      </w:r>
      <w:r>
        <w:rPr>
          <w:rFonts w:hint="eastAsia" w:ascii="仿宋_GB2312" w:hAnsi="仿宋_GB2312" w:eastAsia="仿宋_GB2312" w:cs="仿宋_GB2312"/>
          <w:sz w:val="32"/>
          <w:szCs w:val="32"/>
        </w:rPr>
        <w:t>专项预算项目绩效自评得分为90分，绩效自评综述：交警支队特别业务费专项经费</w:t>
      </w:r>
      <w:r>
        <w:rPr>
          <w:rFonts w:hint="eastAsia" w:ascii="仿宋_GB2312" w:eastAsia="仿宋_GB2312"/>
          <w:sz w:val="32"/>
          <w:szCs w:val="32"/>
        </w:rPr>
        <w:t>用于支付支队办公区域电费、零星维修费、一线执勤执法人员部分食堂开支等，在一定程度上弥补了交警支队日常公用经费不足的情况，保障了交通管理基本业务的正常运转，但存在着年度未执行指标被收回未结转的问题。</w:t>
      </w:r>
    </w:p>
    <w:p>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重要交通点段交通组织优化“微改造”项目绩效自评得分1</w:t>
      </w:r>
      <w:r>
        <w:rPr>
          <w:rFonts w:ascii="仿宋_GB2312" w:eastAsia="仿宋_GB2312"/>
          <w:kern w:val="0"/>
          <w:sz w:val="32"/>
          <w:szCs w:val="32"/>
        </w:rPr>
        <w:t>00分，绩效自评综述：</w:t>
      </w:r>
      <w:r>
        <w:rPr>
          <w:rFonts w:hint="eastAsia" w:ascii="仿宋_GB2312" w:eastAsia="仿宋_GB2312"/>
          <w:kern w:val="0"/>
          <w:sz w:val="32"/>
          <w:szCs w:val="32"/>
        </w:rPr>
        <w:t>项目的实施进一步缓解主城区交通拥堵，切实提升城市道路通行效率。</w:t>
      </w:r>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公安交通管理业务费项目绩效自评得分9</w:t>
      </w:r>
      <w:r>
        <w:rPr>
          <w:rFonts w:ascii="仿宋_GB2312" w:eastAsia="仿宋_GB2312"/>
          <w:sz w:val="32"/>
          <w:szCs w:val="32"/>
        </w:rPr>
        <w:t>5分，绩效自评综述：</w:t>
      </w:r>
      <w:r>
        <w:rPr>
          <w:rFonts w:hint="eastAsia" w:ascii="仿宋_GB2312" w:eastAsia="仿宋_GB2312"/>
          <w:sz w:val="32"/>
          <w:szCs w:val="32"/>
        </w:rPr>
        <w:t>本项目的主要内容</w:t>
      </w:r>
      <w:r>
        <w:rPr>
          <w:rFonts w:hint="eastAsia" w:ascii="仿宋_GB2312" w:eastAsia="仿宋_GB2312"/>
          <w:b/>
          <w:sz w:val="32"/>
          <w:szCs w:val="32"/>
        </w:rPr>
        <w:t>一是</w:t>
      </w:r>
      <w:r>
        <w:rPr>
          <w:rFonts w:hint="eastAsia" w:ascii="仿宋_GB2312" w:eastAsia="仿宋_GB2312"/>
          <w:sz w:val="32"/>
          <w:szCs w:val="32"/>
        </w:rPr>
        <w:t>保障了执法办案业务经费，通过加大对交通违法行为的打击力度，强力震慑了交通违法行为，为全市人民营造和谐、畅通、安全的道路交通通行环境；</w:t>
      </w:r>
      <w:r>
        <w:rPr>
          <w:rFonts w:hint="eastAsia" w:ascii="仿宋_GB2312" w:eastAsia="仿宋_GB2312"/>
          <w:b/>
          <w:sz w:val="32"/>
          <w:szCs w:val="32"/>
        </w:rPr>
        <w:t>二是</w:t>
      </w:r>
      <w:r>
        <w:rPr>
          <w:rFonts w:hint="eastAsia" w:ascii="仿宋_GB2312" w:eastAsia="仿宋_GB2312"/>
          <w:sz w:val="32"/>
          <w:szCs w:val="32"/>
        </w:rPr>
        <w:t>保障了全市车辆管理和驾驶员管理业务的正常开展，落实了公安交通管理“放管服”新举措，提升了管理和服务水平；</w:t>
      </w:r>
      <w:r>
        <w:rPr>
          <w:rFonts w:hint="eastAsia" w:ascii="仿宋_GB2312" w:eastAsia="仿宋_GB2312"/>
          <w:b/>
          <w:sz w:val="32"/>
          <w:szCs w:val="32"/>
        </w:rPr>
        <w:t>三是</w:t>
      </w:r>
      <w:r>
        <w:rPr>
          <w:rFonts w:hint="eastAsia" w:ascii="仿宋_GB2312" w:eastAsia="仿宋_GB2312"/>
          <w:sz w:val="32"/>
          <w:szCs w:val="32"/>
        </w:rPr>
        <w:t>保障公安交通管理信息化系统（车辆违法超速抓拍系统、一二期红绿灯系统维护、集成指挥平台及智能交通建设项目维护）的正常维护与运转；</w:t>
      </w:r>
      <w:r>
        <w:rPr>
          <w:rFonts w:hint="eastAsia" w:ascii="仿宋_GB2312" w:eastAsia="仿宋_GB2312"/>
          <w:b/>
          <w:sz w:val="32"/>
          <w:szCs w:val="32"/>
        </w:rPr>
        <w:t>四是</w:t>
      </w:r>
      <w:r>
        <w:rPr>
          <w:rFonts w:hint="eastAsia" w:ascii="仿宋_GB2312" w:eastAsia="仿宋_GB2312"/>
          <w:sz w:val="32"/>
          <w:szCs w:val="32"/>
        </w:rPr>
        <w:t>保障了道路交通标志标线的施化与维护；</w:t>
      </w:r>
      <w:r>
        <w:rPr>
          <w:rFonts w:hint="eastAsia" w:ascii="仿宋_GB2312" w:eastAsia="仿宋_GB2312"/>
          <w:b/>
          <w:sz w:val="32"/>
          <w:szCs w:val="32"/>
        </w:rPr>
        <w:t>五是</w:t>
      </w:r>
      <w:r>
        <w:rPr>
          <w:rFonts w:hint="eastAsia" w:ascii="仿宋_GB2312" w:eastAsia="仿宋_GB2312"/>
          <w:sz w:val="32"/>
          <w:szCs w:val="32"/>
        </w:rPr>
        <w:t>保障交通安全宣传和执法办案开支。</w:t>
      </w:r>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公安交通管理指挥中心弱电网络建设项目绩效自评得分1</w:t>
      </w:r>
      <w:r>
        <w:rPr>
          <w:rFonts w:ascii="仿宋_GB2312" w:eastAsia="仿宋_GB2312"/>
          <w:sz w:val="32"/>
          <w:szCs w:val="32"/>
        </w:rPr>
        <w:t>00分</w:t>
      </w:r>
      <w:r>
        <w:rPr>
          <w:rFonts w:hint="eastAsia" w:ascii="仿宋_GB2312" w:eastAsia="仿宋_GB2312"/>
          <w:sz w:val="32"/>
          <w:szCs w:val="32"/>
        </w:rPr>
        <w:t>，绩效自评综述：完善攀枝花市公安局业务技术用房建设项目（公安交通管理指挥中心）功能满足需求，极大促进我市道路交通管理工作的发展，提升工作质效，从而达到提升群众满意度的效果。</w:t>
      </w:r>
    </w:p>
    <w:p>
      <w:pPr>
        <w:spacing w:line="600" w:lineRule="exact"/>
        <w:rPr>
          <w:rFonts w:eastAsia="仿宋_GB2312" w:cs="仿宋_GB2312"/>
          <w:sz w:val="32"/>
          <w:szCs w:val="32"/>
        </w:rPr>
      </w:pPr>
    </w:p>
    <w:p>
      <w:pPr>
        <w:spacing w:line="600" w:lineRule="exact"/>
        <w:jc w:val="center"/>
        <w:outlineLvl w:val="0"/>
        <w:rPr>
          <w:rFonts w:eastAsia="黑体"/>
          <w:sz w:val="44"/>
          <w:szCs w:val="44"/>
        </w:rPr>
      </w:pPr>
      <w:bookmarkStart w:id="45" w:name="_Toc15377225"/>
      <w:bookmarkStart w:id="46" w:name="_Toc15396613"/>
      <w:r>
        <w:rPr>
          <w:rFonts w:hint="eastAsia" w:eastAsia="黑体"/>
          <w:sz w:val="44"/>
          <w:szCs w:val="44"/>
        </w:rPr>
        <w:t>第三部分  名词解释</w:t>
      </w:r>
      <w:bookmarkEnd w:id="45"/>
      <w:bookmarkEnd w:id="46"/>
    </w:p>
    <w:p>
      <w:pPr>
        <w:spacing w:line="600" w:lineRule="exact"/>
        <w:jc w:val="left"/>
        <w:rPr>
          <w:b/>
          <w:sz w:val="44"/>
          <w:szCs w:val="44"/>
        </w:rPr>
      </w:pPr>
    </w:p>
    <w:p>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eastAsia="仿宋_GB2312" w:cs="仿宋_GB2312"/>
          <w:sz w:val="32"/>
          <w:szCs w:val="32"/>
        </w:rPr>
        <w:t>2</w:t>
      </w:r>
      <w:r>
        <w:rPr>
          <w:rFonts w:hint="eastAsia" w:eastAsia="仿宋_GB2312" w:cs="仿宋_GB2312"/>
          <w:sz w:val="32"/>
          <w:szCs w:val="32"/>
        </w:rPr>
        <w:t>.其他收入：</w:t>
      </w:r>
      <w:r>
        <w:rPr>
          <w:rFonts w:hint="eastAsia" w:eastAsia="仿宋_GB2312"/>
          <w:sz w:val="32"/>
          <w:szCs w:val="32"/>
        </w:rPr>
        <w:t>指单位取得的除财政拨款收入、事业收入、经营收入以外的各项收入</w:t>
      </w:r>
      <w:r>
        <w:rPr>
          <w:rFonts w:hint="eastAsia" w:eastAsia="仿宋_GB2312" w:cs="仿宋_GB2312"/>
          <w:sz w:val="32"/>
          <w:szCs w:val="32"/>
        </w:rPr>
        <w:t xml:space="preserve">。 </w:t>
      </w:r>
    </w:p>
    <w:p>
      <w:pPr>
        <w:spacing w:line="600" w:lineRule="exact"/>
        <w:ind w:firstLine="640"/>
        <w:rPr>
          <w:rFonts w:eastAsia="仿宋_GB2312" w:cs="仿宋_GB2312"/>
          <w:sz w:val="32"/>
          <w:szCs w:val="32"/>
        </w:rPr>
      </w:pPr>
      <w:r>
        <w:rPr>
          <w:rFonts w:eastAsia="仿宋_GB2312" w:cs="仿宋_GB2312"/>
          <w:sz w:val="32"/>
          <w:szCs w:val="32"/>
        </w:rPr>
        <w:t>3</w:t>
      </w:r>
      <w:r>
        <w:rPr>
          <w:rFonts w:hint="eastAsia" w:eastAsia="仿宋_GB2312" w:cs="仿宋_GB2312"/>
          <w:sz w:val="32"/>
          <w:szCs w:val="32"/>
        </w:rPr>
        <w:t xml:space="preserve">.年初结转和结余：指以前年度尚未完成、结转到本年按有关规定继续使用的资金。 </w:t>
      </w:r>
    </w:p>
    <w:p>
      <w:pPr>
        <w:spacing w:line="600" w:lineRule="exact"/>
        <w:ind w:firstLine="640"/>
        <w:rPr>
          <w:rFonts w:eastAsia="仿宋_GB2312" w:cs="仿宋_GB2312"/>
          <w:sz w:val="32"/>
          <w:szCs w:val="32"/>
        </w:rPr>
      </w:pPr>
      <w:r>
        <w:rPr>
          <w:rFonts w:eastAsia="仿宋_GB2312" w:cs="仿宋_GB2312"/>
          <w:sz w:val="32"/>
          <w:szCs w:val="32"/>
        </w:rPr>
        <w:t>4</w:t>
      </w:r>
      <w:r>
        <w:rPr>
          <w:rFonts w:hint="eastAsia" w:eastAsia="仿宋_GB2312" w:cs="仿宋_GB2312"/>
          <w:sz w:val="32"/>
          <w:szCs w:val="32"/>
        </w:rPr>
        <w:t>.年末结转和结余：指单位按有关规定结转到下年或以后年度继续使用的资金。</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公共安全支出（类）公安（款）行政运行（项）：反映政府维护社会公共安全方面公安事务及管理的基本支出。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公共安全支出（类）公安（款）一般行政管理实务（项）：反映政府维护社会公共安全方面公安事务及管理的未单独设置项级科目的其他项目支出。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公共安全支出（类）公安（款）信息化建设（项）：反映各级公安机关用于非涉密的信息网络建设和运行维护相关支出。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公共安全支出（类）公安（款）执法办案（项）：反映公安机关从事行政执法、刑事司法及侦查办案等相关活动的支出。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公共安全支出（类）公安（款）其他公安支出（项）：指反映除上述项目以外其他用于公安方面的支出。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社会保障和就业支出（类）行政事业单位养老支出（款）行政单位离退休（项）：指反映行政单位（包括实行公务员管理的事业单位）开支的离退休经费。</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社会保障和就业支出（类）行政事业单位离退休（款）机关事业单位基本养老保险缴费支出（项）：指反映机关事业单位实施养老保险制度由单位缴纳的基本养老保险支出。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社会保障和就业支出（类）行政事业单位离退休（款）机关事业单位职业年金缴费支出（项）：指反映机关事业单位实施养老保险制度由单位实际缴纳的职业年金支出。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社会保障和就业支出（类）抚恤（款）死亡抚恤（项）：指反映按规定用于烈士和牺牲、病故人员家属的一次性和定期抚恤金以及丧葬补助费。</w:t>
      </w:r>
    </w:p>
    <w:p>
      <w:pPr>
        <w:pStyle w:val="13"/>
        <w:snapToGrid/>
        <w:spacing w:before="93"/>
        <w:ind w:firstLine="360" w:firstLineChars="200"/>
        <w:contextualSpacing/>
        <w:rPr>
          <w:rFonts w:ascii="仿宋_GB2312" w:hAnsi="仿宋_GB2312" w:eastAsia="仿宋_GB2312" w:cs="仿宋_GB2312"/>
          <w:color w:val="000000"/>
          <w:sz w:val="32"/>
          <w:szCs w:val="32"/>
        </w:rPr>
      </w:pPr>
      <w:r>
        <w:rPr>
          <w:rFonts w:hint="eastAsia"/>
        </w:rPr>
        <w:t xml:space="preserve"> </w:t>
      </w:r>
      <w:r>
        <w:t xml:space="preserve">   </w:t>
      </w:r>
      <w:r>
        <w:rPr>
          <w:rFonts w:hint="eastAsia" w:ascii="仿宋_GB2312" w:eastAsia="仿宋_GB2312"/>
          <w:sz w:val="32"/>
          <w:szCs w:val="32"/>
        </w:rPr>
        <w:t>1</w:t>
      </w:r>
      <w:r>
        <w:rPr>
          <w:rFonts w:ascii="仿宋_GB2312" w:eastAsia="仿宋_GB2312"/>
          <w:sz w:val="32"/>
          <w:szCs w:val="32"/>
        </w:rPr>
        <w:t>4</w:t>
      </w:r>
      <w:r>
        <w:rPr>
          <w:rFonts w:hint="eastAsia" w:ascii="仿宋_GB2312" w:eastAsia="仿宋_GB2312"/>
          <w:sz w:val="32"/>
          <w:szCs w:val="32"/>
        </w:rPr>
        <w:t>.</w:t>
      </w:r>
      <w:r>
        <w:rPr>
          <w:rFonts w:hint="eastAsia" w:ascii="仿宋_GB2312" w:hAnsi="仿宋_GB2312" w:eastAsia="仿宋_GB2312" w:cs="仿宋_GB2312"/>
          <w:color w:val="000000"/>
          <w:sz w:val="32"/>
          <w:szCs w:val="32"/>
        </w:rPr>
        <w:t>卫生健康支出（类）行政事业单位医疗（款）行政单位医疗（项）:</w:t>
      </w:r>
      <w:r>
        <w:rPr>
          <w:rFonts w:ascii="仿宋_GB2312" w:hAnsi="仿宋_GB2312" w:eastAsia="仿宋_GB2312" w:cs="仿宋_GB2312"/>
          <w:color w:val="000000"/>
          <w:sz w:val="32"/>
          <w:szCs w:val="32"/>
        </w:rPr>
        <w:t>反映财政部门安排的行政单位（包括实行公务员管理的事业单位，下同）基本医疗保险缴费经费，未参加医疗保险的行政单位工费医疗经费，按国家规定享受离休人员、红军老战士待遇人员的医疗经费。</w:t>
      </w:r>
    </w:p>
    <w:p>
      <w:pPr>
        <w:pStyle w:val="13"/>
        <w:snapToGrid/>
        <w:spacing w:before="93"/>
        <w:ind w:firstLine="640" w:firstLineChars="200"/>
        <w:contextualSpacing/>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1</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.卫生健康支出（类）行政事业单位医疗（款）公务员医疗补助（项）:反映</w:t>
      </w:r>
      <w:r>
        <w:rPr>
          <w:rFonts w:ascii="仿宋_GB2312" w:hAnsi="仿宋_GB2312" w:eastAsia="仿宋_GB2312" w:cs="仿宋_GB2312"/>
          <w:color w:val="000000"/>
          <w:sz w:val="32"/>
          <w:szCs w:val="32"/>
        </w:rPr>
        <w:t>财政部门安排的公务员医疗补助经费。</w:t>
      </w:r>
    </w:p>
    <w:p>
      <w:pPr>
        <w:pStyle w:val="13"/>
        <w:snapToGrid/>
        <w:spacing w:before="93"/>
        <w:ind w:firstLine="640" w:firstLineChars="200"/>
        <w:contextualSpacing/>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.卫生健康支出（类）行政事业单位医疗（款）其他行政事业单位医疗支出（项）:反映除上述项目以外的其他用于行政事业单位医疗方面的支出。</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17</w:t>
      </w:r>
      <w:r>
        <w:rPr>
          <w:rFonts w:hint="eastAsia" w:ascii="仿宋_GB2312" w:hAnsi="仿宋_GB2312" w:eastAsia="仿宋_GB2312" w:cs="仿宋_GB2312"/>
          <w:color w:val="000000"/>
          <w:sz w:val="32"/>
          <w:szCs w:val="32"/>
        </w:rPr>
        <w:t>.住房保障支出（类）住房改革支出（款）住房公积金（项）：指反映行政事业单位按照人力资源和社会保障部、财政部规定的基本工资和津贴补贴以及规定比例为职工缴纳的住房公积金。</w:t>
      </w:r>
    </w:p>
    <w:p>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ascii="仿宋_GB2312" w:hAnsi="仿宋_GB2312" w:eastAsia="仿宋_GB2312" w:cs="仿宋_GB2312"/>
          <w:color w:val="000000"/>
          <w:sz w:val="32"/>
          <w:szCs w:val="32"/>
        </w:rPr>
        <w:t>8.城乡社区支出（类）城乡社区公共设施（款）其他城乡社区公共设施支出（项）：反映</w:t>
      </w:r>
      <w:r>
        <w:rPr>
          <w:rFonts w:hint="eastAsia" w:ascii="仿宋_GB2312" w:hAnsi="仿宋_GB2312" w:eastAsia="仿宋_GB2312" w:cs="仿宋_GB2312"/>
          <w:color w:val="000000"/>
          <w:sz w:val="32"/>
          <w:szCs w:val="32"/>
        </w:rPr>
        <w:t>其他</w:t>
      </w:r>
      <w:r>
        <w:rPr>
          <w:rFonts w:ascii="仿宋_GB2312" w:hAnsi="仿宋_GB2312" w:eastAsia="仿宋_GB2312" w:cs="仿宋_GB2312"/>
          <w:color w:val="000000"/>
          <w:sz w:val="32"/>
          <w:szCs w:val="32"/>
        </w:rPr>
        <w:t>用于政府城乡社区</w:t>
      </w:r>
      <w:r>
        <w:rPr>
          <w:rFonts w:hint="eastAsia" w:ascii="仿宋_GB2312" w:hAnsi="仿宋_GB2312" w:eastAsia="仿宋_GB2312" w:cs="仿宋_GB2312"/>
          <w:color w:val="000000"/>
          <w:sz w:val="32"/>
          <w:szCs w:val="32"/>
        </w:rPr>
        <w:t>公共</w:t>
      </w:r>
      <w:r>
        <w:rPr>
          <w:rFonts w:ascii="仿宋_GB2312" w:hAnsi="仿宋_GB2312" w:eastAsia="仿宋_GB2312" w:cs="仿宋_GB2312"/>
          <w:color w:val="000000"/>
          <w:sz w:val="32"/>
          <w:szCs w:val="32"/>
        </w:rPr>
        <w:t>设施方面的支出。</w:t>
      </w:r>
    </w:p>
    <w:p>
      <w:pPr>
        <w:spacing w:line="600" w:lineRule="exact"/>
        <w:ind w:firstLine="640"/>
        <w:rPr>
          <w:rFonts w:eastAsia="仿宋_GB2312" w:cs="仿宋_GB2312"/>
          <w:sz w:val="32"/>
          <w:szCs w:val="32"/>
        </w:rPr>
      </w:pPr>
      <w:r>
        <w:rPr>
          <w:rFonts w:eastAsia="仿宋_GB2312" w:cs="仿宋_GB2312"/>
          <w:sz w:val="32"/>
          <w:szCs w:val="32"/>
        </w:rPr>
        <w:t>19</w:t>
      </w:r>
      <w:r>
        <w:rPr>
          <w:rFonts w:hint="eastAsia" w:eastAsia="仿宋_GB2312" w:cs="仿宋_GB2312"/>
          <w:sz w:val="32"/>
          <w:szCs w:val="32"/>
        </w:rPr>
        <w:t>.基本支出：指为保障机构正常运转、完成日常工作任务而发生的人员支出和公用支出。</w:t>
      </w:r>
    </w:p>
    <w:p>
      <w:pPr>
        <w:spacing w:line="600" w:lineRule="exact"/>
        <w:ind w:firstLine="640"/>
        <w:rPr>
          <w:rFonts w:eastAsia="仿宋_GB2312" w:cs="仿宋_GB2312"/>
          <w:sz w:val="32"/>
          <w:szCs w:val="32"/>
        </w:rPr>
      </w:pPr>
      <w:r>
        <w:rPr>
          <w:rFonts w:eastAsia="仿宋_GB2312" w:cs="仿宋_GB2312"/>
          <w:sz w:val="32"/>
          <w:szCs w:val="32"/>
        </w:rPr>
        <w:t>20</w:t>
      </w:r>
      <w:r>
        <w:rPr>
          <w:rFonts w:hint="eastAsia" w:eastAsia="仿宋_GB2312" w:cs="仿宋_GB2312"/>
          <w:sz w:val="32"/>
          <w:szCs w:val="32"/>
        </w:rPr>
        <w:t xml:space="preserve">.项目支出：指在基本支出之外为完成特定行政任务和事业发展目标所发生的支出。 </w:t>
      </w:r>
    </w:p>
    <w:p>
      <w:pPr>
        <w:spacing w:line="600" w:lineRule="exact"/>
        <w:ind w:firstLine="640"/>
        <w:rPr>
          <w:rFonts w:eastAsia="仿宋_GB2312" w:cs="仿宋_GB2312"/>
          <w:sz w:val="32"/>
          <w:szCs w:val="32"/>
        </w:rPr>
      </w:pPr>
      <w:r>
        <w:rPr>
          <w:rFonts w:eastAsia="仿宋_GB2312" w:cs="仿宋_GB2312"/>
          <w:sz w:val="32"/>
          <w:szCs w:val="32"/>
        </w:rPr>
        <w:t>21</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cs="仿宋_GB2312"/>
          <w:sz w:val="32"/>
          <w:szCs w:val="32"/>
        </w:rPr>
        <w:t>22</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rPr>
          <w:rFonts w:eastAsia="仿宋_GB2312" w:cs="仿宋_GB2312"/>
          <w:b/>
          <w:bCs/>
          <w:sz w:val="32"/>
          <w:szCs w:val="32"/>
        </w:rPr>
      </w:pPr>
      <w:bookmarkStart w:id="47" w:name="_Toc15396614"/>
      <w:bookmarkStart w:id="48" w:name="_Toc15377226"/>
    </w:p>
    <w:p>
      <w:pPr>
        <w:spacing w:line="600" w:lineRule="exact"/>
        <w:jc w:val="center"/>
        <w:rPr>
          <w:rStyle w:val="29"/>
          <w:rFonts w:eastAsia="黑体"/>
          <w:b w:val="0"/>
        </w:rPr>
      </w:pPr>
      <w:r>
        <w:rPr>
          <w:rFonts w:hint="eastAsia" w:eastAsia="黑体"/>
          <w:sz w:val="44"/>
          <w:szCs w:val="44"/>
        </w:rPr>
        <w:t>第四部分  附件</w:t>
      </w:r>
      <w:bookmarkEnd w:id="47"/>
    </w:p>
    <w:p>
      <w:pPr>
        <w:spacing w:line="600" w:lineRule="exact"/>
        <w:jc w:val="center"/>
        <w:outlineLvl w:val="0"/>
        <w:rPr>
          <w:rFonts w:ascii="黑体" w:hAnsi="黑体" w:eastAsia="黑体"/>
          <w:color w:val="FF0000"/>
          <w:sz w:val="44"/>
          <w:szCs w:val="44"/>
        </w:rPr>
      </w:pPr>
      <w:r>
        <w:rPr>
          <w:rFonts w:hint="eastAsia"/>
          <w:sz w:val="32"/>
          <w:szCs w:val="32"/>
        </w:rPr>
        <w:t>部门预算项目支出绩效自评表（202</w:t>
      </w:r>
      <w:r>
        <w:rPr>
          <w:sz w:val="32"/>
          <w:szCs w:val="32"/>
        </w:rPr>
        <w:t>5</w:t>
      </w:r>
      <w:r>
        <w:rPr>
          <w:rFonts w:hint="eastAsia"/>
          <w:sz w:val="32"/>
          <w:szCs w:val="32"/>
        </w:rPr>
        <w:t>年度）详见附件</w:t>
      </w:r>
    </w:p>
    <w:p>
      <w:pPr>
        <w:adjustRightInd w:val="0"/>
        <w:snapToGrid w:val="0"/>
        <w:spacing w:line="600" w:lineRule="exact"/>
        <w:rPr>
          <w:rFonts w:eastAsia="仿宋_GB2312"/>
          <w:sz w:val="32"/>
          <w:szCs w:val="32"/>
        </w:rPr>
      </w:pPr>
    </w:p>
    <w:p>
      <w:pPr>
        <w:tabs>
          <w:tab w:val="left" w:pos="1980"/>
        </w:tabs>
        <w:snapToGrid w:val="0"/>
        <w:spacing w:line="560" w:lineRule="exact"/>
        <w:ind w:left="3790" w:leftChars="1500" w:hanging="640" w:hangingChars="200"/>
        <w:rPr>
          <w:rFonts w:ascii="仿宋_GB2312" w:hAnsi="华文仿宋" w:eastAsia="仿宋_GB2312" w:cs="宋体-18030"/>
          <w:sz w:val="32"/>
          <w:szCs w:val="32"/>
        </w:rPr>
      </w:pPr>
      <w:r>
        <w:rPr>
          <w:rFonts w:hint="eastAsia" w:eastAsia="仿宋_GB2312"/>
          <w:sz w:val="32"/>
          <w:szCs w:val="32"/>
          <w:lang w:val="zh-CN"/>
        </w:rPr>
        <w:t xml:space="preserve"> </w:t>
      </w:r>
      <w:r>
        <w:rPr>
          <w:rFonts w:eastAsia="仿宋_GB2312"/>
          <w:sz w:val="32"/>
          <w:szCs w:val="32"/>
          <w:lang w:val="zh-CN"/>
        </w:rPr>
        <w:t xml:space="preserve">                                  </w:t>
      </w:r>
    </w:p>
    <w:p>
      <w:pPr>
        <w:adjustRightInd w:val="0"/>
        <w:snapToGrid w:val="0"/>
        <w:spacing w:line="600" w:lineRule="exact"/>
        <w:ind w:firstLine="640" w:firstLineChars="200"/>
        <w:rPr>
          <w:rFonts w:eastAsia="仿宋_GB2312"/>
          <w:sz w:val="32"/>
          <w:szCs w:val="32"/>
          <w:lang w:val="zh-CN"/>
        </w:rPr>
      </w:pPr>
    </w:p>
    <w:p>
      <w:pPr>
        <w:adjustRightInd w:val="0"/>
        <w:snapToGrid w:val="0"/>
        <w:spacing w:line="600" w:lineRule="exact"/>
        <w:ind w:firstLine="640" w:firstLineChars="200"/>
        <w:rPr>
          <w:rFonts w:eastAsia="仿宋_GB2312"/>
          <w:sz w:val="32"/>
          <w:szCs w:val="32"/>
          <w:lang w:val="zh-CN"/>
        </w:rPr>
      </w:pPr>
    </w:p>
    <w:p>
      <w:pPr>
        <w:rPr>
          <w:rFonts w:eastAsia="仿宋_GB2312"/>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bookmarkStart w:id="49" w:name="_Toc15396618"/>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9"/>
          <w:rFonts w:hint="eastAsia" w:eastAsia="黑体"/>
          <w:b w:val="0"/>
        </w:rPr>
        <w:t>五部分 附表</w:t>
      </w:r>
      <w:bookmarkEnd w:id="48"/>
      <w:bookmarkEnd w:id="49"/>
      <w:bookmarkStart w:id="50"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0"/>
    </w:p>
    <w:p>
      <w:pPr>
        <w:pStyle w:val="14"/>
        <w:adjustRightInd w:val="0"/>
        <w:snapToGrid w:val="0"/>
        <w:spacing w:line="560" w:lineRule="exact"/>
        <w:jc w:val="left"/>
        <w:rPr>
          <w:rFonts w:eastAsia="仿宋_GB2312" w:cs="仿宋_GB2312"/>
          <w:sz w:val="32"/>
          <w:szCs w:val="32"/>
        </w:rPr>
      </w:pPr>
      <w:bookmarkStart w:id="51" w:name="_Toc15396620"/>
      <w:r>
        <w:rPr>
          <w:rFonts w:hint="eastAsia" w:eastAsia="仿宋_GB2312" w:cs="仿宋_GB2312"/>
          <w:sz w:val="32"/>
          <w:szCs w:val="32"/>
        </w:rPr>
        <w:t>二、收入决算表</w:t>
      </w:r>
      <w:bookmarkEnd w:id="51"/>
    </w:p>
    <w:p>
      <w:pPr>
        <w:pStyle w:val="14"/>
        <w:adjustRightInd w:val="0"/>
        <w:snapToGrid w:val="0"/>
        <w:spacing w:line="560" w:lineRule="exact"/>
        <w:jc w:val="left"/>
        <w:rPr>
          <w:rFonts w:eastAsia="仿宋_GB2312" w:cs="仿宋_GB2312"/>
          <w:sz w:val="32"/>
          <w:szCs w:val="32"/>
        </w:rPr>
      </w:pPr>
      <w:bookmarkStart w:id="52" w:name="_Toc15396621"/>
      <w:r>
        <w:rPr>
          <w:rFonts w:hint="eastAsia" w:eastAsia="仿宋_GB2312" w:cs="仿宋_GB2312"/>
          <w:sz w:val="32"/>
          <w:szCs w:val="32"/>
        </w:rPr>
        <w:t>三、支出决算表</w:t>
      </w:r>
      <w:bookmarkEnd w:id="52"/>
    </w:p>
    <w:p>
      <w:pPr>
        <w:pStyle w:val="14"/>
        <w:adjustRightInd w:val="0"/>
        <w:snapToGrid w:val="0"/>
        <w:spacing w:line="560" w:lineRule="exact"/>
        <w:jc w:val="left"/>
        <w:rPr>
          <w:rFonts w:eastAsia="仿宋_GB2312" w:cs="仿宋_GB2312"/>
          <w:sz w:val="32"/>
          <w:szCs w:val="32"/>
        </w:rPr>
      </w:pPr>
      <w:bookmarkStart w:id="53" w:name="_Toc15396622"/>
      <w:r>
        <w:rPr>
          <w:rFonts w:hint="eastAsia" w:eastAsia="仿宋_GB2312" w:cs="仿宋_GB2312"/>
          <w:sz w:val="32"/>
          <w:szCs w:val="32"/>
        </w:rPr>
        <w:t>四、财政拨款收入支出决算总表</w:t>
      </w:r>
      <w:bookmarkEnd w:id="53"/>
    </w:p>
    <w:p>
      <w:pPr>
        <w:pStyle w:val="14"/>
        <w:adjustRightInd w:val="0"/>
        <w:snapToGrid w:val="0"/>
        <w:spacing w:line="560" w:lineRule="exact"/>
        <w:jc w:val="left"/>
        <w:rPr>
          <w:rFonts w:eastAsia="仿宋_GB2312" w:cs="仿宋_GB2312"/>
          <w:sz w:val="32"/>
          <w:szCs w:val="32"/>
        </w:rPr>
      </w:pPr>
      <w:bookmarkStart w:id="54" w:name="_Toc15396623"/>
      <w:r>
        <w:rPr>
          <w:rFonts w:hint="eastAsia" w:eastAsia="仿宋_GB2312" w:cs="仿宋_GB2312"/>
          <w:sz w:val="32"/>
          <w:szCs w:val="32"/>
        </w:rPr>
        <w:t>五、财政拨款支出决算明细表</w:t>
      </w:r>
      <w:bookmarkEnd w:id="54"/>
      <w:bookmarkStart w:id="55"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5"/>
    </w:p>
    <w:p>
      <w:pPr>
        <w:pStyle w:val="14"/>
        <w:adjustRightInd w:val="0"/>
        <w:snapToGrid w:val="0"/>
        <w:spacing w:line="560" w:lineRule="exact"/>
        <w:jc w:val="left"/>
        <w:rPr>
          <w:rFonts w:eastAsia="仿宋_GB2312" w:cs="仿宋_GB2312"/>
          <w:sz w:val="32"/>
          <w:szCs w:val="32"/>
        </w:rPr>
      </w:pPr>
      <w:bookmarkStart w:id="56" w:name="_Toc15396625"/>
      <w:r>
        <w:rPr>
          <w:rFonts w:hint="eastAsia" w:eastAsia="仿宋_GB2312" w:cs="仿宋_GB2312"/>
          <w:sz w:val="32"/>
          <w:szCs w:val="32"/>
        </w:rPr>
        <w:t>七、一般公共预算财政拨款支出决算明细表</w:t>
      </w:r>
      <w:bookmarkEnd w:id="56"/>
    </w:p>
    <w:p>
      <w:pPr>
        <w:pStyle w:val="14"/>
        <w:adjustRightInd w:val="0"/>
        <w:snapToGrid w:val="0"/>
        <w:spacing w:line="560" w:lineRule="exact"/>
        <w:jc w:val="left"/>
        <w:rPr>
          <w:rFonts w:eastAsia="仿宋_GB2312" w:cs="仿宋_GB2312"/>
          <w:sz w:val="32"/>
          <w:szCs w:val="32"/>
        </w:rPr>
      </w:pPr>
      <w:bookmarkStart w:id="57" w:name="_Toc15396626"/>
      <w:r>
        <w:rPr>
          <w:rFonts w:hint="eastAsia" w:eastAsia="仿宋_GB2312" w:cs="仿宋_GB2312"/>
          <w:sz w:val="32"/>
          <w:szCs w:val="32"/>
        </w:rPr>
        <w:t>八、一般公共预算财政拨款基本支出决算表</w:t>
      </w:r>
      <w:bookmarkEnd w:id="57"/>
    </w:p>
    <w:p>
      <w:pPr>
        <w:pStyle w:val="14"/>
        <w:adjustRightInd w:val="0"/>
        <w:snapToGrid w:val="0"/>
        <w:spacing w:line="560" w:lineRule="exact"/>
        <w:jc w:val="left"/>
        <w:rPr>
          <w:rFonts w:eastAsia="仿宋_GB2312" w:cs="仿宋_GB2312"/>
          <w:sz w:val="32"/>
          <w:szCs w:val="32"/>
        </w:rPr>
      </w:pPr>
      <w:bookmarkStart w:id="58" w:name="_Toc15396627"/>
      <w:r>
        <w:rPr>
          <w:rFonts w:hint="eastAsia" w:eastAsia="仿宋_GB2312" w:cs="仿宋_GB2312"/>
          <w:sz w:val="32"/>
          <w:szCs w:val="32"/>
        </w:rPr>
        <w:t>九、一般公共预算财政拨款项目支出决算表</w:t>
      </w:r>
      <w:bookmarkEnd w:id="58"/>
    </w:p>
    <w:p>
      <w:pPr>
        <w:pStyle w:val="14"/>
        <w:adjustRightInd w:val="0"/>
        <w:snapToGrid w:val="0"/>
        <w:spacing w:line="560" w:lineRule="exact"/>
        <w:jc w:val="left"/>
        <w:rPr>
          <w:rFonts w:eastAsia="仿宋_GB2312" w:cs="仿宋_GB2312"/>
          <w:sz w:val="32"/>
          <w:szCs w:val="32"/>
        </w:rPr>
      </w:pPr>
      <w:bookmarkStart w:id="59" w:name="_Toc15396628"/>
      <w:r>
        <w:rPr>
          <w:rFonts w:hint="eastAsia" w:eastAsia="仿宋_GB2312" w:cs="仿宋_GB2312"/>
          <w:sz w:val="32"/>
          <w:szCs w:val="32"/>
        </w:rPr>
        <w:t>十、</w:t>
      </w:r>
      <w:bookmarkEnd w:id="59"/>
      <w:r>
        <w:rPr>
          <w:rFonts w:hint="eastAsia" w:eastAsia="仿宋_GB2312" w:cs="仿宋_GB2312"/>
          <w:sz w:val="32"/>
          <w:szCs w:val="32"/>
        </w:rPr>
        <w:t>政府性基金预算财政拨款收入支出决算表（此表无数据）</w:t>
      </w:r>
    </w:p>
    <w:p>
      <w:pPr>
        <w:pStyle w:val="14"/>
        <w:adjustRightInd w:val="0"/>
        <w:snapToGrid w:val="0"/>
        <w:spacing w:line="560" w:lineRule="exact"/>
        <w:jc w:val="left"/>
        <w:rPr>
          <w:rFonts w:eastAsia="仿宋_GB2312" w:cs="仿宋_GB2312"/>
          <w:sz w:val="32"/>
          <w:szCs w:val="32"/>
        </w:rPr>
      </w:pPr>
      <w:bookmarkStart w:id="60" w:name="_Toc15396629"/>
      <w:r>
        <w:rPr>
          <w:rFonts w:hint="eastAsia" w:eastAsia="仿宋_GB2312" w:cs="仿宋_GB2312"/>
          <w:sz w:val="32"/>
          <w:szCs w:val="32"/>
        </w:rPr>
        <w:t>十一、</w:t>
      </w:r>
      <w:bookmarkEnd w:id="60"/>
      <w:r>
        <w:rPr>
          <w:rFonts w:hint="eastAsia" w:eastAsia="仿宋_GB2312" w:cs="仿宋_GB2312"/>
          <w:sz w:val="32"/>
          <w:szCs w:val="32"/>
        </w:rPr>
        <w:t>国有资本经营预算财政拨款收入支出决算表（此表无数据）</w:t>
      </w:r>
    </w:p>
    <w:p>
      <w:pPr>
        <w:pStyle w:val="14"/>
        <w:adjustRightInd w:val="0"/>
        <w:snapToGrid w:val="0"/>
        <w:spacing w:line="560" w:lineRule="exact"/>
        <w:jc w:val="left"/>
        <w:rPr>
          <w:rFonts w:eastAsia="仿宋_GB2312" w:cs="仿宋_GB2312"/>
          <w:sz w:val="32"/>
          <w:szCs w:val="32"/>
        </w:rPr>
      </w:pPr>
      <w:bookmarkStart w:id="61" w:name="_Toc15396630"/>
      <w:r>
        <w:rPr>
          <w:rFonts w:hint="eastAsia" w:eastAsia="仿宋_GB2312" w:cs="仿宋_GB2312"/>
          <w:sz w:val="32"/>
          <w:szCs w:val="32"/>
        </w:rPr>
        <w:t>十二、</w:t>
      </w:r>
      <w:bookmarkEnd w:id="61"/>
      <w:r>
        <w:rPr>
          <w:rFonts w:hint="eastAsia" w:eastAsia="仿宋_GB2312" w:cs="仿宋_GB2312"/>
          <w:sz w:val="32"/>
          <w:szCs w:val="32"/>
        </w:rPr>
        <w:t>国有资本经营预算财政拨款支出决算表（此表无数据）</w:t>
      </w:r>
    </w:p>
    <w:p>
      <w:pPr>
        <w:pStyle w:val="14"/>
        <w:adjustRightInd w:val="0"/>
        <w:snapToGrid w:val="0"/>
        <w:spacing w:line="560" w:lineRule="exact"/>
        <w:jc w:val="left"/>
        <w:rPr>
          <w:rFonts w:eastAsia="仿宋_GB2312" w:cs="仿宋_GB2312"/>
          <w:sz w:val="32"/>
          <w:szCs w:val="32"/>
        </w:rPr>
      </w:pPr>
      <w:bookmarkStart w:id="62" w:name="_Toc15396631"/>
      <w:r>
        <w:rPr>
          <w:rFonts w:hint="eastAsia" w:eastAsia="仿宋_GB2312" w:cs="仿宋_GB2312"/>
          <w:sz w:val="32"/>
          <w:szCs w:val="32"/>
        </w:rPr>
        <w:t>十三、</w:t>
      </w:r>
      <w:bookmarkEnd w:id="62"/>
      <w:r>
        <w:rPr>
          <w:rFonts w:hint="eastAsia" w:eastAsia="仿宋_GB2312" w:cs="仿宋_GB2312"/>
          <w:sz w:val="32"/>
          <w:szCs w:val="32"/>
        </w:rPr>
        <w:t>财政拨款“三公”经费支出决算表</w:t>
      </w:r>
    </w:p>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宋体-18030">
    <w:altName w:val="宋体"/>
    <w:panose1 w:val="00000000000000000000"/>
    <w:charset w:val="86"/>
    <w:family w:val="modern"/>
    <w:pitch w:val="default"/>
    <w:sig w:usb0="00000000" w:usb1="00000000" w:usb2="000A005E"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8760167"/>
      <w:docPartObj>
        <w:docPartGallery w:val="AutoText"/>
      </w:docPartObj>
    </w:sdtPr>
    <w:sdtContent>
      <w:p>
        <w:pPr>
          <w:pStyle w:val="10"/>
          <w:jc w:val="center"/>
        </w:pPr>
        <w:r>
          <w:fldChar w:fldCharType="begin"/>
        </w:r>
        <w:r>
          <w:instrText xml:space="preserve">PAGE   \* MERGEFORMAT</w:instrText>
        </w:r>
        <w:r>
          <w:fldChar w:fldCharType="separate"/>
        </w:r>
        <w:r>
          <w:rPr>
            <w:lang w:val="zh-CN"/>
          </w:rPr>
          <w:t>1</w:t>
        </w:r>
        <w: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AD13AD"/>
    <w:multiLevelType w:val="singleLevel"/>
    <w:tmpl w:val="C3AD13A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NjgzMTBkZDIzMzliMjk3ZmVjNTExMmFlZjQ1OTkifQ=="/>
  </w:docVars>
  <w:rsids>
    <w:rsidRoot w:val="00F1361C"/>
    <w:rsid w:val="00003D0D"/>
    <w:rsid w:val="00005CE5"/>
    <w:rsid w:val="000222C6"/>
    <w:rsid w:val="0002549F"/>
    <w:rsid w:val="000468DB"/>
    <w:rsid w:val="00055DB0"/>
    <w:rsid w:val="0006487A"/>
    <w:rsid w:val="00065F8F"/>
    <w:rsid w:val="00067A80"/>
    <w:rsid w:val="00070A43"/>
    <w:rsid w:val="000768F2"/>
    <w:rsid w:val="0008339B"/>
    <w:rsid w:val="0009184B"/>
    <w:rsid w:val="00094236"/>
    <w:rsid w:val="0009593C"/>
    <w:rsid w:val="00097322"/>
    <w:rsid w:val="000A6A92"/>
    <w:rsid w:val="000B047F"/>
    <w:rsid w:val="000B235D"/>
    <w:rsid w:val="000B5923"/>
    <w:rsid w:val="000B5A48"/>
    <w:rsid w:val="000B6FF3"/>
    <w:rsid w:val="000C3467"/>
    <w:rsid w:val="000C3CA6"/>
    <w:rsid w:val="000D1267"/>
    <w:rsid w:val="000D1D50"/>
    <w:rsid w:val="000D5782"/>
    <w:rsid w:val="000D71A4"/>
    <w:rsid w:val="000E6613"/>
    <w:rsid w:val="000E7119"/>
    <w:rsid w:val="00114E9B"/>
    <w:rsid w:val="00120490"/>
    <w:rsid w:val="00120FC1"/>
    <w:rsid w:val="00126D69"/>
    <w:rsid w:val="00142216"/>
    <w:rsid w:val="00144D6A"/>
    <w:rsid w:val="0014729F"/>
    <w:rsid w:val="00157BAB"/>
    <w:rsid w:val="00161ADD"/>
    <w:rsid w:val="00163351"/>
    <w:rsid w:val="001654D1"/>
    <w:rsid w:val="001707DB"/>
    <w:rsid w:val="00174518"/>
    <w:rsid w:val="0018106D"/>
    <w:rsid w:val="001877A7"/>
    <w:rsid w:val="00191536"/>
    <w:rsid w:val="001936B8"/>
    <w:rsid w:val="001938B6"/>
    <w:rsid w:val="00195CB1"/>
    <w:rsid w:val="00196687"/>
    <w:rsid w:val="001B4195"/>
    <w:rsid w:val="001C0962"/>
    <w:rsid w:val="001D7531"/>
    <w:rsid w:val="001E1FDA"/>
    <w:rsid w:val="001E737D"/>
    <w:rsid w:val="001F0592"/>
    <w:rsid w:val="001F7506"/>
    <w:rsid w:val="002006CD"/>
    <w:rsid w:val="00202B36"/>
    <w:rsid w:val="00204B7A"/>
    <w:rsid w:val="00204CDE"/>
    <w:rsid w:val="0021101A"/>
    <w:rsid w:val="00220536"/>
    <w:rsid w:val="002209AA"/>
    <w:rsid w:val="00235629"/>
    <w:rsid w:val="002422E1"/>
    <w:rsid w:val="00253734"/>
    <w:rsid w:val="00260C38"/>
    <w:rsid w:val="002616C0"/>
    <w:rsid w:val="00265372"/>
    <w:rsid w:val="002662AA"/>
    <w:rsid w:val="00280496"/>
    <w:rsid w:val="00294DC9"/>
    <w:rsid w:val="00295495"/>
    <w:rsid w:val="002A25D4"/>
    <w:rsid w:val="002A31DE"/>
    <w:rsid w:val="002A3B33"/>
    <w:rsid w:val="002A4F2D"/>
    <w:rsid w:val="002A7A26"/>
    <w:rsid w:val="002B2613"/>
    <w:rsid w:val="002B2C5A"/>
    <w:rsid w:val="002B5D70"/>
    <w:rsid w:val="002C06F9"/>
    <w:rsid w:val="002D6D05"/>
    <w:rsid w:val="002E5A62"/>
    <w:rsid w:val="002E6BDE"/>
    <w:rsid w:val="002E7F84"/>
    <w:rsid w:val="002F1818"/>
    <w:rsid w:val="002F567B"/>
    <w:rsid w:val="003216A9"/>
    <w:rsid w:val="00323FAA"/>
    <w:rsid w:val="00335A74"/>
    <w:rsid w:val="00356655"/>
    <w:rsid w:val="0035678D"/>
    <w:rsid w:val="0036561B"/>
    <w:rsid w:val="00366425"/>
    <w:rsid w:val="0037013F"/>
    <w:rsid w:val="00372D01"/>
    <w:rsid w:val="00375DB1"/>
    <w:rsid w:val="00380C92"/>
    <w:rsid w:val="0038588F"/>
    <w:rsid w:val="003A167B"/>
    <w:rsid w:val="003A3E9C"/>
    <w:rsid w:val="003A484F"/>
    <w:rsid w:val="003A4883"/>
    <w:rsid w:val="003B0BE0"/>
    <w:rsid w:val="003B0C1B"/>
    <w:rsid w:val="003B688C"/>
    <w:rsid w:val="003C0291"/>
    <w:rsid w:val="003C39AE"/>
    <w:rsid w:val="003C7B60"/>
    <w:rsid w:val="003D0C0F"/>
    <w:rsid w:val="003D1FB2"/>
    <w:rsid w:val="003D4937"/>
    <w:rsid w:val="003D66DA"/>
    <w:rsid w:val="003E1310"/>
    <w:rsid w:val="003E6F55"/>
    <w:rsid w:val="003F3F51"/>
    <w:rsid w:val="00404C73"/>
    <w:rsid w:val="00406254"/>
    <w:rsid w:val="004223DE"/>
    <w:rsid w:val="00434489"/>
    <w:rsid w:val="00437085"/>
    <w:rsid w:val="00443880"/>
    <w:rsid w:val="004464F4"/>
    <w:rsid w:val="0045336C"/>
    <w:rsid w:val="00467D5A"/>
    <w:rsid w:val="00471401"/>
    <w:rsid w:val="00473F31"/>
    <w:rsid w:val="0048263A"/>
    <w:rsid w:val="00482A0E"/>
    <w:rsid w:val="00483F79"/>
    <w:rsid w:val="00484E37"/>
    <w:rsid w:val="00487E5D"/>
    <w:rsid w:val="00491693"/>
    <w:rsid w:val="004A711F"/>
    <w:rsid w:val="004B199D"/>
    <w:rsid w:val="004B4690"/>
    <w:rsid w:val="004C6CCA"/>
    <w:rsid w:val="004D0B32"/>
    <w:rsid w:val="004D11A7"/>
    <w:rsid w:val="004D5C68"/>
    <w:rsid w:val="004E0A2D"/>
    <w:rsid w:val="004E206B"/>
    <w:rsid w:val="004E5A77"/>
    <w:rsid w:val="004E6DF7"/>
    <w:rsid w:val="004E7A32"/>
    <w:rsid w:val="004F0FBD"/>
    <w:rsid w:val="004F4A8A"/>
    <w:rsid w:val="004F4C65"/>
    <w:rsid w:val="004F5885"/>
    <w:rsid w:val="00501586"/>
    <w:rsid w:val="00505A47"/>
    <w:rsid w:val="0051025D"/>
    <w:rsid w:val="00512FDA"/>
    <w:rsid w:val="00516D2C"/>
    <w:rsid w:val="00520DA0"/>
    <w:rsid w:val="00527733"/>
    <w:rsid w:val="00541305"/>
    <w:rsid w:val="00553B59"/>
    <w:rsid w:val="005664BB"/>
    <w:rsid w:val="00566FFA"/>
    <w:rsid w:val="0057481D"/>
    <w:rsid w:val="00575C6A"/>
    <w:rsid w:val="0058486E"/>
    <w:rsid w:val="00585B33"/>
    <w:rsid w:val="0059014D"/>
    <w:rsid w:val="005A3043"/>
    <w:rsid w:val="005B5C64"/>
    <w:rsid w:val="005C5337"/>
    <w:rsid w:val="005C6BD0"/>
    <w:rsid w:val="005D1C8B"/>
    <w:rsid w:val="005D468D"/>
    <w:rsid w:val="005D5CED"/>
    <w:rsid w:val="005D6B96"/>
    <w:rsid w:val="005F1A4C"/>
    <w:rsid w:val="005F44BB"/>
    <w:rsid w:val="005F7341"/>
    <w:rsid w:val="00605688"/>
    <w:rsid w:val="006070AF"/>
    <w:rsid w:val="00607E6C"/>
    <w:rsid w:val="006101B1"/>
    <w:rsid w:val="0061139F"/>
    <w:rsid w:val="00614E44"/>
    <w:rsid w:val="0062270A"/>
    <w:rsid w:val="00622830"/>
    <w:rsid w:val="00623DA0"/>
    <w:rsid w:val="00626FBD"/>
    <w:rsid w:val="00630AEF"/>
    <w:rsid w:val="006325F8"/>
    <w:rsid w:val="00633463"/>
    <w:rsid w:val="00634C9A"/>
    <w:rsid w:val="0063741F"/>
    <w:rsid w:val="006440E4"/>
    <w:rsid w:val="00645207"/>
    <w:rsid w:val="0066343B"/>
    <w:rsid w:val="00664777"/>
    <w:rsid w:val="006719BA"/>
    <w:rsid w:val="006748A4"/>
    <w:rsid w:val="00681A31"/>
    <w:rsid w:val="00683E73"/>
    <w:rsid w:val="006A3141"/>
    <w:rsid w:val="006A5E34"/>
    <w:rsid w:val="006B2422"/>
    <w:rsid w:val="006B2B9A"/>
    <w:rsid w:val="006B5806"/>
    <w:rsid w:val="006C1937"/>
    <w:rsid w:val="006C5694"/>
    <w:rsid w:val="006F020C"/>
    <w:rsid w:val="007011AF"/>
    <w:rsid w:val="0070131C"/>
    <w:rsid w:val="00712764"/>
    <w:rsid w:val="007127B7"/>
    <w:rsid w:val="00713620"/>
    <w:rsid w:val="0071798E"/>
    <w:rsid w:val="007416B6"/>
    <w:rsid w:val="00746F48"/>
    <w:rsid w:val="0075404D"/>
    <w:rsid w:val="0076182A"/>
    <w:rsid w:val="00767B7E"/>
    <w:rsid w:val="007770C3"/>
    <w:rsid w:val="00784D24"/>
    <w:rsid w:val="00785582"/>
    <w:rsid w:val="00785FBA"/>
    <w:rsid w:val="00786E4A"/>
    <w:rsid w:val="007875EB"/>
    <w:rsid w:val="0079426B"/>
    <w:rsid w:val="007D1682"/>
    <w:rsid w:val="007D312A"/>
    <w:rsid w:val="007D3F19"/>
    <w:rsid w:val="007D4D84"/>
    <w:rsid w:val="007D5DBF"/>
    <w:rsid w:val="007E23B0"/>
    <w:rsid w:val="007E23E5"/>
    <w:rsid w:val="007F1991"/>
    <w:rsid w:val="007F2C2F"/>
    <w:rsid w:val="007F55FC"/>
    <w:rsid w:val="007F5665"/>
    <w:rsid w:val="00800112"/>
    <w:rsid w:val="00813348"/>
    <w:rsid w:val="00815E44"/>
    <w:rsid w:val="008210E0"/>
    <w:rsid w:val="008231FC"/>
    <w:rsid w:val="0082357E"/>
    <w:rsid w:val="008253BB"/>
    <w:rsid w:val="00833A06"/>
    <w:rsid w:val="0083706E"/>
    <w:rsid w:val="008408F6"/>
    <w:rsid w:val="00841D2E"/>
    <w:rsid w:val="008423A5"/>
    <w:rsid w:val="00843A35"/>
    <w:rsid w:val="00850625"/>
    <w:rsid w:val="00853718"/>
    <w:rsid w:val="00855221"/>
    <w:rsid w:val="00860645"/>
    <w:rsid w:val="00871F71"/>
    <w:rsid w:val="00872FD8"/>
    <w:rsid w:val="008807DA"/>
    <w:rsid w:val="00885AF4"/>
    <w:rsid w:val="008939CD"/>
    <w:rsid w:val="008B1605"/>
    <w:rsid w:val="008B768C"/>
    <w:rsid w:val="008C14A5"/>
    <w:rsid w:val="008C4DB1"/>
    <w:rsid w:val="008C4EAF"/>
    <w:rsid w:val="008C5176"/>
    <w:rsid w:val="008C7FD0"/>
    <w:rsid w:val="008E1DE7"/>
    <w:rsid w:val="008E707C"/>
    <w:rsid w:val="00900B08"/>
    <w:rsid w:val="00902155"/>
    <w:rsid w:val="00902478"/>
    <w:rsid w:val="00902FA3"/>
    <w:rsid w:val="00906FA4"/>
    <w:rsid w:val="00922FA0"/>
    <w:rsid w:val="00923564"/>
    <w:rsid w:val="0092392E"/>
    <w:rsid w:val="00923E94"/>
    <w:rsid w:val="009315F9"/>
    <w:rsid w:val="00933499"/>
    <w:rsid w:val="00935C98"/>
    <w:rsid w:val="00946945"/>
    <w:rsid w:val="00951248"/>
    <w:rsid w:val="0095152F"/>
    <w:rsid w:val="00954C49"/>
    <w:rsid w:val="00955E37"/>
    <w:rsid w:val="0097099F"/>
    <w:rsid w:val="00971997"/>
    <w:rsid w:val="00971FFC"/>
    <w:rsid w:val="0098660A"/>
    <w:rsid w:val="00987D95"/>
    <w:rsid w:val="00991C43"/>
    <w:rsid w:val="009931C3"/>
    <w:rsid w:val="009937DE"/>
    <w:rsid w:val="009A1776"/>
    <w:rsid w:val="009A4F33"/>
    <w:rsid w:val="009B2C43"/>
    <w:rsid w:val="009B4EAE"/>
    <w:rsid w:val="009B7573"/>
    <w:rsid w:val="009C22F4"/>
    <w:rsid w:val="009C2A4B"/>
    <w:rsid w:val="009C2E98"/>
    <w:rsid w:val="009C6E85"/>
    <w:rsid w:val="009D0C1E"/>
    <w:rsid w:val="009D3447"/>
    <w:rsid w:val="009D4711"/>
    <w:rsid w:val="009E02F9"/>
    <w:rsid w:val="009F1185"/>
    <w:rsid w:val="009F18CD"/>
    <w:rsid w:val="009F2A13"/>
    <w:rsid w:val="009F7527"/>
    <w:rsid w:val="00A04EB0"/>
    <w:rsid w:val="00A1159F"/>
    <w:rsid w:val="00A13CC1"/>
    <w:rsid w:val="00A16847"/>
    <w:rsid w:val="00A20A9F"/>
    <w:rsid w:val="00A211B3"/>
    <w:rsid w:val="00A237D8"/>
    <w:rsid w:val="00A268C4"/>
    <w:rsid w:val="00A307CD"/>
    <w:rsid w:val="00A331C8"/>
    <w:rsid w:val="00A40A00"/>
    <w:rsid w:val="00A4142F"/>
    <w:rsid w:val="00A422EB"/>
    <w:rsid w:val="00A45BB7"/>
    <w:rsid w:val="00A56DF2"/>
    <w:rsid w:val="00A56E6E"/>
    <w:rsid w:val="00A56F8E"/>
    <w:rsid w:val="00A67AB5"/>
    <w:rsid w:val="00A733B2"/>
    <w:rsid w:val="00A741C2"/>
    <w:rsid w:val="00A91760"/>
    <w:rsid w:val="00A93B00"/>
    <w:rsid w:val="00A93C21"/>
    <w:rsid w:val="00AA2C2A"/>
    <w:rsid w:val="00AA2C74"/>
    <w:rsid w:val="00AA611E"/>
    <w:rsid w:val="00AA642C"/>
    <w:rsid w:val="00AA69AE"/>
    <w:rsid w:val="00AB22DD"/>
    <w:rsid w:val="00AB64C9"/>
    <w:rsid w:val="00AC1175"/>
    <w:rsid w:val="00AC3C6A"/>
    <w:rsid w:val="00AD437C"/>
    <w:rsid w:val="00AD5620"/>
    <w:rsid w:val="00AD656B"/>
    <w:rsid w:val="00AD7C1B"/>
    <w:rsid w:val="00AE16BA"/>
    <w:rsid w:val="00AE1EBE"/>
    <w:rsid w:val="00B03C9D"/>
    <w:rsid w:val="00B04550"/>
    <w:rsid w:val="00B05EA2"/>
    <w:rsid w:val="00B060AE"/>
    <w:rsid w:val="00B10517"/>
    <w:rsid w:val="00B14E76"/>
    <w:rsid w:val="00B1526E"/>
    <w:rsid w:val="00B161B8"/>
    <w:rsid w:val="00B2048C"/>
    <w:rsid w:val="00B310B9"/>
    <w:rsid w:val="00B35F3F"/>
    <w:rsid w:val="00B36CBB"/>
    <w:rsid w:val="00B425E0"/>
    <w:rsid w:val="00B440AA"/>
    <w:rsid w:val="00B44B70"/>
    <w:rsid w:val="00B53C56"/>
    <w:rsid w:val="00B57DAF"/>
    <w:rsid w:val="00B6171F"/>
    <w:rsid w:val="00B77EA6"/>
    <w:rsid w:val="00B81598"/>
    <w:rsid w:val="00B841F1"/>
    <w:rsid w:val="00B92A39"/>
    <w:rsid w:val="00B944D6"/>
    <w:rsid w:val="00BB4BC1"/>
    <w:rsid w:val="00BB4DF0"/>
    <w:rsid w:val="00BC289F"/>
    <w:rsid w:val="00BC2D50"/>
    <w:rsid w:val="00BC5361"/>
    <w:rsid w:val="00BC5460"/>
    <w:rsid w:val="00BC6B50"/>
    <w:rsid w:val="00BD0E25"/>
    <w:rsid w:val="00BD2B89"/>
    <w:rsid w:val="00BD529C"/>
    <w:rsid w:val="00BE0FDB"/>
    <w:rsid w:val="00BE11E7"/>
    <w:rsid w:val="00BF212A"/>
    <w:rsid w:val="00BF34FD"/>
    <w:rsid w:val="00BF5BD6"/>
    <w:rsid w:val="00C03E31"/>
    <w:rsid w:val="00C078CD"/>
    <w:rsid w:val="00C203E0"/>
    <w:rsid w:val="00C32B0D"/>
    <w:rsid w:val="00C33E72"/>
    <w:rsid w:val="00C354B2"/>
    <w:rsid w:val="00C35554"/>
    <w:rsid w:val="00C37EEB"/>
    <w:rsid w:val="00C42709"/>
    <w:rsid w:val="00C533CC"/>
    <w:rsid w:val="00C5751C"/>
    <w:rsid w:val="00C61BFC"/>
    <w:rsid w:val="00C62B85"/>
    <w:rsid w:val="00C65438"/>
    <w:rsid w:val="00C663DA"/>
    <w:rsid w:val="00C87FD8"/>
    <w:rsid w:val="00C91381"/>
    <w:rsid w:val="00C91CBB"/>
    <w:rsid w:val="00C954D4"/>
    <w:rsid w:val="00CB0BD2"/>
    <w:rsid w:val="00CB1B5A"/>
    <w:rsid w:val="00CB4E70"/>
    <w:rsid w:val="00CC09B6"/>
    <w:rsid w:val="00CC1745"/>
    <w:rsid w:val="00CC666F"/>
    <w:rsid w:val="00CC699F"/>
    <w:rsid w:val="00CD1E3F"/>
    <w:rsid w:val="00CE0283"/>
    <w:rsid w:val="00CE2952"/>
    <w:rsid w:val="00CE44F6"/>
    <w:rsid w:val="00CE49DA"/>
    <w:rsid w:val="00CE7B61"/>
    <w:rsid w:val="00D00095"/>
    <w:rsid w:val="00D02191"/>
    <w:rsid w:val="00D023FD"/>
    <w:rsid w:val="00D114F0"/>
    <w:rsid w:val="00D1241B"/>
    <w:rsid w:val="00D20620"/>
    <w:rsid w:val="00D21996"/>
    <w:rsid w:val="00D21E8A"/>
    <w:rsid w:val="00D227A6"/>
    <w:rsid w:val="00D24342"/>
    <w:rsid w:val="00D254F7"/>
    <w:rsid w:val="00D25E1E"/>
    <w:rsid w:val="00D26091"/>
    <w:rsid w:val="00D2685C"/>
    <w:rsid w:val="00D346AF"/>
    <w:rsid w:val="00D34E7C"/>
    <w:rsid w:val="00D35489"/>
    <w:rsid w:val="00D36AFE"/>
    <w:rsid w:val="00D40D79"/>
    <w:rsid w:val="00D4274E"/>
    <w:rsid w:val="00D43BF5"/>
    <w:rsid w:val="00D46FA1"/>
    <w:rsid w:val="00D51247"/>
    <w:rsid w:val="00D51276"/>
    <w:rsid w:val="00D7035F"/>
    <w:rsid w:val="00D734C9"/>
    <w:rsid w:val="00D84AD7"/>
    <w:rsid w:val="00D96736"/>
    <w:rsid w:val="00DA634F"/>
    <w:rsid w:val="00DA65AC"/>
    <w:rsid w:val="00DB0EEF"/>
    <w:rsid w:val="00DB1913"/>
    <w:rsid w:val="00DB3E0D"/>
    <w:rsid w:val="00DC410D"/>
    <w:rsid w:val="00DC4E7E"/>
    <w:rsid w:val="00DC5A81"/>
    <w:rsid w:val="00DC68CA"/>
    <w:rsid w:val="00DC7CBA"/>
    <w:rsid w:val="00DD556A"/>
    <w:rsid w:val="00DD73B7"/>
    <w:rsid w:val="00DF28BC"/>
    <w:rsid w:val="00DF34B9"/>
    <w:rsid w:val="00DF3A1E"/>
    <w:rsid w:val="00DF4DF0"/>
    <w:rsid w:val="00DF4F85"/>
    <w:rsid w:val="00E01053"/>
    <w:rsid w:val="00E07ACF"/>
    <w:rsid w:val="00E114F4"/>
    <w:rsid w:val="00E331A1"/>
    <w:rsid w:val="00E33202"/>
    <w:rsid w:val="00E336A9"/>
    <w:rsid w:val="00E33D20"/>
    <w:rsid w:val="00E472B1"/>
    <w:rsid w:val="00E50624"/>
    <w:rsid w:val="00E54633"/>
    <w:rsid w:val="00E568DF"/>
    <w:rsid w:val="00E64269"/>
    <w:rsid w:val="00E66641"/>
    <w:rsid w:val="00E7053A"/>
    <w:rsid w:val="00E70E6F"/>
    <w:rsid w:val="00E815BF"/>
    <w:rsid w:val="00E82267"/>
    <w:rsid w:val="00E84E72"/>
    <w:rsid w:val="00E853CE"/>
    <w:rsid w:val="00E867B6"/>
    <w:rsid w:val="00E9756F"/>
    <w:rsid w:val="00EA010F"/>
    <w:rsid w:val="00EA62AB"/>
    <w:rsid w:val="00ED1B63"/>
    <w:rsid w:val="00ED3C1F"/>
    <w:rsid w:val="00ED4085"/>
    <w:rsid w:val="00ED420E"/>
    <w:rsid w:val="00ED6FBE"/>
    <w:rsid w:val="00ED731C"/>
    <w:rsid w:val="00EE2D00"/>
    <w:rsid w:val="00EE2F57"/>
    <w:rsid w:val="00EE35AA"/>
    <w:rsid w:val="00EE5A6F"/>
    <w:rsid w:val="00EF4C34"/>
    <w:rsid w:val="00EF77C6"/>
    <w:rsid w:val="00F05438"/>
    <w:rsid w:val="00F1361C"/>
    <w:rsid w:val="00F156F0"/>
    <w:rsid w:val="00F160C7"/>
    <w:rsid w:val="00F2289D"/>
    <w:rsid w:val="00F2408F"/>
    <w:rsid w:val="00F240E9"/>
    <w:rsid w:val="00F27B48"/>
    <w:rsid w:val="00F36D8F"/>
    <w:rsid w:val="00F417B1"/>
    <w:rsid w:val="00F45853"/>
    <w:rsid w:val="00F54069"/>
    <w:rsid w:val="00F602DF"/>
    <w:rsid w:val="00F754A1"/>
    <w:rsid w:val="00F77F63"/>
    <w:rsid w:val="00F81FD9"/>
    <w:rsid w:val="00F841AA"/>
    <w:rsid w:val="00F84A94"/>
    <w:rsid w:val="00F87E96"/>
    <w:rsid w:val="00F87FE5"/>
    <w:rsid w:val="00FA23E8"/>
    <w:rsid w:val="00FB7069"/>
    <w:rsid w:val="00FC4CE8"/>
    <w:rsid w:val="00FD3CC1"/>
    <w:rsid w:val="00FE0A40"/>
    <w:rsid w:val="00FF1E02"/>
    <w:rsid w:val="00FF30B4"/>
    <w:rsid w:val="015975B8"/>
    <w:rsid w:val="02317B1B"/>
    <w:rsid w:val="02FEBE30"/>
    <w:rsid w:val="03870230"/>
    <w:rsid w:val="040E58BE"/>
    <w:rsid w:val="056A52BC"/>
    <w:rsid w:val="061E35DE"/>
    <w:rsid w:val="066E0107"/>
    <w:rsid w:val="07996F6E"/>
    <w:rsid w:val="07B9161F"/>
    <w:rsid w:val="07DFD8BA"/>
    <w:rsid w:val="08DB07E4"/>
    <w:rsid w:val="09704AF2"/>
    <w:rsid w:val="09867E8F"/>
    <w:rsid w:val="0A2032A3"/>
    <w:rsid w:val="0A886720"/>
    <w:rsid w:val="0C6C4794"/>
    <w:rsid w:val="0CA8290A"/>
    <w:rsid w:val="0CAE24B4"/>
    <w:rsid w:val="0D35B1ED"/>
    <w:rsid w:val="0DE07E2B"/>
    <w:rsid w:val="0F215C00"/>
    <w:rsid w:val="0F98263C"/>
    <w:rsid w:val="101860EC"/>
    <w:rsid w:val="10C055FF"/>
    <w:rsid w:val="10DE7DAC"/>
    <w:rsid w:val="11446629"/>
    <w:rsid w:val="11772AA4"/>
    <w:rsid w:val="118107EC"/>
    <w:rsid w:val="13D50BC4"/>
    <w:rsid w:val="14022904"/>
    <w:rsid w:val="14CD7B51"/>
    <w:rsid w:val="14E659BE"/>
    <w:rsid w:val="152F2A07"/>
    <w:rsid w:val="15B34F99"/>
    <w:rsid w:val="165E0673"/>
    <w:rsid w:val="16BB723D"/>
    <w:rsid w:val="186504BB"/>
    <w:rsid w:val="18EF1D3C"/>
    <w:rsid w:val="1938089F"/>
    <w:rsid w:val="19A445FC"/>
    <w:rsid w:val="1A125406"/>
    <w:rsid w:val="1B7D550C"/>
    <w:rsid w:val="1BE8440E"/>
    <w:rsid w:val="1C5B3C94"/>
    <w:rsid w:val="1D090408"/>
    <w:rsid w:val="1D155CEE"/>
    <w:rsid w:val="1E740ACF"/>
    <w:rsid w:val="1F090DD7"/>
    <w:rsid w:val="1F1F0308"/>
    <w:rsid w:val="1FF35744"/>
    <w:rsid w:val="1FF6BC77"/>
    <w:rsid w:val="20511636"/>
    <w:rsid w:val="21962A9E"/>
    <w:rsid w:val="21AE7C77"/>
    <w:rsid w:val="21ED35E0"/>
    <w:rsid w:val="22284619"/>
    <w:rsid w:val="22364F87"/>
    <w:rsid w:val="22BC3C41"/>
    <w:rsid w:val="23062B64"/>
    <w:rsid w:val="23827D58"/>
    <w:rsid w:val="23860B96"/>
    <w:rsid w:val="240371BF"/>
    <w:rsid w:val="260F557C"/>
    <w:rsid w:val="26D7687A"/>
    <w:rsid w:val="281408E2"/>
    <w:rsid w:val="290C6F35"/>
    <w:rsid w:val="29FD04D3"/>
    <w:rsid w:val="2A2871C5"/>
    <w:rsid w:val="2AF02E62"/>
    <w:rsid w:val="2BFF7BC6"/>
    <w:rsid w:val="2C8A61B5"/>
    <w:rsid w:val="2D2E01CF"/>
    <w:rsid w:val="2D9E6581"/>
    <w:rsid w:val="2DF04E50"/>
    <w:rsid w:val="2E55065C"/>
    <w:rsid w:val="2E9545B0"/>
    <w:rsid w:val="2F040D46"/>
    <w:rsid w:val="2FAE5751"/>
    <w:rsid w:val="2FB1A395"/>
    <w:rsid w:val="2FC33BD3"/>
    <w:rsid w:val="2FD9A7D8"/>
    <w:rsid w:val="319F7F4E"/>
    <w:rsid w:val="321B2544"/>
    <w:rsid w:val="3304709D"/>
    <w:rsid w:val="34281836"/>
    <w:rsid w:val="349142D6"/>
    <w:rsid w:val="349D6851"/>
    <w:rsid w:val="354B4FE0"/>
    <w:rsid w:val="35BA6CAF"/>
    <w:rsid w:val="364D14C1"/>
    <w:rsid w:val="36AA5135"/>
    <w:rsid w:val="36BE0DA7"/>
    <w:rsid w:val="376B6AA6"/>
    <w:rsid w:val="376D39B2"/>
    <w:rsid w:val="37727331"/>
    <w:rsid w:val="37E16F03"/>
    <w:rsid w:val="37F53A3B"/>
    <w:rsid w:val="38467795"/>
    <w:rsid w:val="389B6C89"/>
    <w:rsid w:val="38BF07AE"/>
    <w:rsid w:val="38D469F0"/>
    <w:rsid w:val="39627CCD"/>
    <w:rsid w:val="397BAF1F"/>
    <w:rsid w:val="3AB79AF3"/>
    <w:rsid w:val="3B7EF35A"/>
    <w:rsid w:val="3B9FDB6C"/>
    <w:rsid w:val="3BF5BC2F"/>
    <w:rsid w:val="3CEBA265"/>
    <w:rsid w:val="3D98207C"/>
    <w:rsid w:val="3D9B0D99"/>
    <w:rsid w:val="3DE149BA"/>
    <w:rsid w:val="3DEE7CF3"/>
    <w:rsid w:val="3DF02244"/>
    <w:rsid w:val="3E0722E9"/>
    <w:rsid w:val="3E78745D"/>
    <w:rsid w:val="3F2F7F48"/>
    <w:rsid w:val="3FF4CAE0"/>
    <w:rsid w:val="3FF7B227"/>
    <w:rsid w:val="40265583"/>
    <w:rsid w:val="40E54C45"/>
    <w:rsid w:val="42E87780"/>
    <w:rsid w:val="43A407DF"/>
    <w:rsid w:val="43B6787E"/>
    <w:rsid w:val="44515BEA"/>
    <w:rsid w:val="44E268DA"/>
    <w:rsid w:val="453F7E5B"/>
    <w:rsid w:val="46435D97"/>
    <w:rsid w:val="46E23AEC"/>
    <w:rsid w:val="480E5773"/>
    <w:rsid w:val="486A6C7A"/>
    <w:rsid w:val="49176D9B"/>
    <w:rsid w:val="49D3484A"/>
    <w:rsid w:val="4A383B2E"/>
    <w:rsid w:val="4A627F82"/>
    <w:rsid w:val="4A7D10F6"/>
    <w:rsid w:val="4B0E749A"/>
    <w:rsid w:val="4B4F25DA"/>
    <w:rsid w:val="4B543554"/>
    <w:rsid w:val="4BDA0CFB"/>
    <w:rsid w:val="4BE068DB"/>
    <w:rsid w:val="4D3C0CCC"/>
    <w:rsid w:val="4D577224"/>
    <w:rsid w:val="4D683769"/>
    <w:rsid w:val="4DBF1CEB"/>
    <w:rsid w:val="4EAB630A"/>
    <w:rsid w:val="4ECE2238"/>
    <w:rsid w:val="4F833267"/>
    <w:rsid w:val="4FE9BD67"/>
    <w:rsid w:val="4FFB052F"/>
    <w:rsid w:val="522A2DDA"/>
    <w:rsid w:val="526512C1"/>
    <w:rsid w:val="53083A92"/>
    <w:rsid w:val="537E6D0A"/>
    <w:rsid w:val="53AF27A2"/>
    <w:rsid w:val="53BE7F16"/>
    <w:rsid w:val="53F74C96"/>
    <w:rsid w:val="542C2929"/>
    <w:rsid w:val="54900F32"/>
    <w:rsid w:val="56A8690E"/>
    <w:rsid w:val="56E47B74"/>
    <w:rsid w:val="572E5284"/>
    <w:rsid w:val="57BD3DD4"/>
    <w:rsid w:val="585C536F"/>
    <w:rsid w:val="599A79E6"/>
    <w:rsid w:val="5A2450EA"/>
    <w:rsid w:val="5AF92295"/>
    <w:rsid w:val="5BA74225"/>
    <w:rsid w:val="5BDD79E6"/>
    <w:rsid w:val="5BF561CA"/>
    <w:rsid w:val="5BFF5DFC"/>
    <w:rsid w:val="5CD71FC4"/>
    <w:rsid w:val="5D1F11B5"/>
    <w:rsid w:val="5D962984"/>
    <w:rsid w:val="5DAE1B18"/>
    <w:rsid w:val="5DBD165F"/>
    <w:rsid w:val="5DE7D9E5"/>
    <w:rsid w:val="5E160396"/>
    <w:rsid w:val="5ECEC941"/>
    <w:rsid w:val="5F493CB7"/>
    <w:rsid w:val="5F91104A"/>
    <w:rsid w:val="5FBF9FF3"/>
    <w:rsid w:val="5FCD4E2C"/>
    <w:rsid w:val="5FD15F49"/>
    <w:rsid w:val="5FEF394A"/>
    <w:rsid w:val="5FF67715"/>
    <w:rsid w:val="60E9574C"/>
    <w:rsid w:val="62BF3928"/>
    <w:rsid w:val="636252AE"/>
    <w:rsid w:val="647F5392"/>
    <w:rsid w:val="664B1D71"/>
    <w:rsid w:val="67AA3209"/>
    <w:rsid w:val="67FC1750"/>
    <w:rsid w:val="681C4F0D"/>
    <w:rsid w:val="688539F5"/>
    <w:rsid w:val="69046D0F"/>
    <w:rsid w:val="698D0931"/>
    <w:rsid w:val="6A993CED"/>
    <w:rsid w:val="6B053271"/>
    <w:rsid w:val="6BCE6674"/>
    <w:rsid w:val="6C4A05C8"/>
    <w:rsid w:val="6C8742B8"/>
    <w:rsid w:val="6C8A170F"/>
    <w:rsid w:val="6CB54609"/>
    <w:rsid w:val="6D480C98"/>
    <w:rsid w:val="6DBF5E93"/>
    <w:rsid w:val="6DFF077E"/>
    <w:rsid w:val="6E7E3605"/>
    <w:rsid w:val="6E7FDCC7"/>
    <w:rsid w:val="6ED6A62E"/>
    <w:rsid w:val="6EE00B15"/>
    <w:rsid w:val="6F0C70B5"/>
    <w:rsid w:val="6F544B20"/>
    <w:rsid w:val="6F6FB3EB"/>
    <w:rsid w:val="6F784160"/>
    <w:rsid w:val="6F8731EA"/>
    <w:rsid w:val="6FCE6052"/>
    <w:rsid w:val="6FD57C00"/>
    <w:rsid w:val="6FEFFFD8"/>
    <w:rsid w:val="6FF3138F"/>
    <w:rsid w:val="6FF5CC65"/>
    <w:rsid w:val="6FFB47EC"/>
    <w:rsid w:val="6FFF034A"/>
    <w:rsid w:val="70496804"/>
    <w:rsid w:val="712A28F1"/>
    <w:rsid w:val="715C0E4B"/>
    <w:rsid w:val="72233669"/>
    <w:rsid w:val="72734D90"/>
    <w:rsid w:val="7332FE48"/>
    <w:rsid w:val="737E34AD"/>
    <w:rsid w:val="73AB61DA"/>
    <w:rsid w:val="73AD73D5"/>
    <w:rsid w:val="73B6EB34"/>
    <w:rsid w:val="73FA497D"/>
    <w:rsid w:val="744731E5"/>
    <w:rsid w:val="74527205"/>
    <w:rsid w:val="745D73E8"/>
    <w:rsid w:val="74BBD01D"/>
    <w:rsid w:val="74ED5379"/>
    <w:rsid w:val="74FC2395"/>
    <w:rsid w:val="75DEEEC2"/>
    <w:rsid w:val="76E3355F"/>
    <w:rsid w:val="76FF5125"/>
    <w:rsid w:val="773B4A93"/>
    <w:rsid w:val="77402C4B"/>
    <w:rsid w:val="776F6FFA"/>
    <w:rsid w:val="778769C8"/>
    <w:rsid w:val="77B84FA6"/>
    <w:rsid w:val="77C620FD"/>
    <w:rsid w:val="77DC22F5"/>
    <w:rsid w:val="79086DAD"/>
    <w:rsid w:val="79974F09"/>
    <w:rsid w:val="79D7FD79"/>
    <w:rsid w:val="79EE5BA4"/>
    <w:rsid w:val="7A894339"/>
    <w:rsid w:val="7AFF7572"/>
    <w:rsid w:val="7B6C7DFB"/>
    <w:rsid w:val="7BBFBED0"/>
    <w:rsid w:val="7BC3E394"/>
    <w:rsid w:val="7C1F3737"/>
    <w:rsid w:val="7CBFC87B"/>
    <w:rsid w:val="7CFE0F48"/>
    <w:rsid w:val="7D4940F1"/>
    <w:rsid w:val="7D7EC23E"/>
    <w:rsid w:val="7D916348"/>
    <w:rsid w:val="7E8ADEBF"/>
    <w:rsid w:val="7E9933DC"/>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99"/>
    <w:pPr>
      <w:widowControl/>
      <w:spacing w:before="100" w:beforeAutospacing="1" w:after="100" w:afterAutospacing="1"/>
      <w:jc w:val="left"/>
    </w:pPr>
    <w:rPr>
      <w:rFonts w:ascii="宋体" w:hAnsi="宋体"/>
      <w:color w:val="000000"/>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C:\Users\HP\Desktop\&#26032;&#24314;%20XLS%20&#24037;&#20316;&#34920;%2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100" b="0" i="0" u="none" strike="noStrike" kern="1200" spc="0" baseline="0">
                <a:solidFill>
                  <a:schemeClr val="tx1">
                    <a:lumMod val="65000"/>
                    <a:lumOff val="35000"/>
                  </a:schemeClr>
                </a:solidFill>
                <a:latin typeface="+mn-lt"/>
                <a:ea typeface="+mn-ea"/>
                <a:cs typeface="+mn-cs"/>
              </a:defRPr>
            </a:pPr>
            <a:r>
              <a:rPr lang="zh-CN" altLang="en-US" sz="1100" b="1"/>
              <a:t>支出总计数结构图</a:t>
            </a:r>
            <a:endParaRPr lang="zh-CN" altLang="en-US" sz="1100" b="1"/>
          </a:p>
        </c:rich>
      </c:tx>
      <c:layout>
        <c:manualLayout>
          <c:xMode val="edge"/>
          <c:yMode val="edge"/>
          <c:x val="0.296453854345332"/>
          <c:y val="0.0543092049577475"/>
        </c:manualLayout>
      </c:layout>
      <c:overlay val="0"/>
      <c:spPr>
        <a:noFill/>
        <a:ln>
          <a:noFill/>
        </a:ln>
        <a:effectLst/>
      </c:spPr>
    </c:title>
    <c:autoTitleDeleted val="0"/>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78.26</a:t>
                    </a:r>
                    <a:r>
                      <a:rPr lang="en-US" altLang="en-US"/>
                      <a:t>%</a:t>
                    </a: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21.74</a:t>
                    </a:r>
                    <a:r>
                      <a:rPr lang="en-US" altLang="en-US"/>
                      <a:t>%</a:t>
                    </a: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'[新建 XLS 工作表 (2).xls]Sheet1'!$A$1:$A$2</c:f>
              <c:strCache>
                <c:ptCount val="2"/>
                <c:pt idx="0">
                  <c:v>基本支出</c:v>
                </c:pt>
                <c:pt idx="1">
                  <c:v>项目支出</c:v>
                </c:pt>
              </c:strCache>
            </c:strRef>
          </c:cat>
          <c:val>
            <c:numRef>
              <c:f>'[新建 XLS 工作表 (2).xls]Sheet1'!$B$1:$B$2</c:f>
              <c:numCache>
                <c:formatCode>0.00%</c:formatCode>
                <c:ptCount val="2"/>
                <c:pt idx="0">
                  <c:v>0.6824</c:v>
                </c:pt>
                <c:pt idx="1">
                  <c:v>0.3176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20</Pages>
  <Words>1120</Words>
  <Characters>6387</Characters>
  <Lines>53</Lines>
  <Paragraphs>14</Paragraphs>
  <TotalTime>307</TotalTime>
  <ScaleCrop>false</ScaleCrop>
  <LinksUpToDate>false</LinksUpToDate>
  <CharactersWithSpaces>7493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2026-08-31T09:00:00Z</cp:lastPrinted>
  <dcterms:modified xsi:type="dcterms:W3CDTF">2026-09-15T07:44:26Z</dcterms:modified>
  <dc:title>四川省***</dc:title>
  <cp:revision>227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3BF536824C220DA3E40E8B68BA118B1C_42</vt:lpwstr>
  </property>
</Properties>
</file>