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C5589">
      <w:bookmarkStart w:id="0" w:name="_Toc15396597"/>
      <w:bookmarkStart w:id="1" w:name="_Toc15396475"/>
      <w:bookmarkStart w:id="2" w:name="_Toc15377425"/>
      <w:bookmarkStart w:id="3" w:name="_Toc15377193"/>
      <w:bookmarkStart w:id="4" w:name="_Toc15378441"/>
      <w:bookmarkStart w:id="5" w:name="_Toc15306267"/>
      <w:bookmarkStart w:id="101" w:name="_GoBack"/>
      <w:bookmarkEnd w:id="101"/>
    </w:p>
    <w:p w14:paraId="2916C1BA">
      <w:pPr>
        <w:pStyle w:val="8"/>
        <w:spacing w:before="93"/>
        <w:jc w:val="center"/>
        <w:rPr>
          <w:rFonts w:ascii="Times New Roman" w:eastAsia="方正小标宋简体"/>
          <w:kern w:val="2"/>
          <w:sz w:val="44"/>
          <w:szCs w:val="44"/>
        </w:rPr>
      </w:pPr>
    </w:p>
    <w:p w14:paraId="0F4F92DC">
      <w:pPr>
        <w:pStyle w:val="8"/>
        <w:spacing w:before="93"/>
        <w:jc w:val="center"/>
        <w:rPr>
          <w:rFonts w:ascii="Times New Roman" w:eastAsia="方正小标宋简体"/>
          <w:kern w:val="2"/>
          <w:sz w:val="44"/>
          <w:szCs w:val="44"/>
        </w:rPr>
      </w:pPr>
    </w:p>
    <w:p w14:paraId="07F111A0">
      <w:pPr>
        <w:pStyle w:val="8"/>
        <w:spacing w:before="93"/>
        <w:jc w:val="center"/>
        <w:rPr>
          <w:rFonts w:ascii="Times New Roman" w:eastAsia="方正小标宋简体"/>
          <w:kern w:val="2"/>
          <w:sz w:val="44"/>
          <w:szCs w:val="44"/>
        </w:rPr>
      </w:pPr>
    </w:p>
    <w:p w14:paraId="2ED4834B">
      <w:pPr>
        <w:pStyle w:val="8"/>
        <w:spacing w:before="93"/>
        <w:jc w:val="center"/>
        <w:rPr>
          <w:rFonts w:ascii="Times New Roman" w:eastAsia="方正小标宋简体"/>
          <w:kern w:val="2"/>
          <w:sz w:val="44"/>
          <w:szCs w:val="44"/>
        </w:rPr>
      </w:pPr>
    </w:p>
    <w:bookmarkEnd w:id="0"/>
    <w:bookmarkEnd w:id="1"/>
    <w:bookmarkEnd w:id="2"/>
    <w:bookmarkEnd w:id="3"/>
    <w:bookmarkEnd w:id="4"/>
    <w:p w14:paraId="14B5989E">
      <w:pPr>
        <w:pStyle w:val="8"/>
        <w:spacing w:before="93"/>
        <w:jc w:val="center"/>
        <w:rPr>
          <w:rFonts w:hint="eastAsia" w:ascii="Times New Roman" w:eastAsia="方正小标宋简体"/>
          <w:kern w:val="2"/>
          <w:sz w:val="44"/>
          <w:szCs w:val="44"/>
        </w:rPr>
      </w:pPr>
      <w:bookmarkStart w:id="6" w:name="_Toc15377194"/>
      <w:bookmarkStart w:id="7" w:name="_Toc15396598"/>
      <w:bookmarkStart w:id="8" w:name="_Toc15377426"/>
      <w:bookmarkStart w:id="9" w:name="_Toc15378442"/>
      <w:bookmarkStart w:id="10" w:name="_Toc15396476"/>
      <w:r>
        <w:rPr>
          <w:rFonts w:hint="eastAsia" w:ascii="Times New Roman" w:eastAsia="方正小标宋简体"/>
          <w:kern w:val="2"/>
          <w:sz w:val="44"/>
          <w:szCs w:val="44"/>
        </w:rPr>
        <w:t>2025年度</w:t>
      </w:r>
    </w:p>
    <w:p w14:paraId="57C7D3AB">
      <w:pPr>
        <w:pStyle w:val="8"/>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rPr>
        <w:t>攀枝花市</w:t>
      </w:r>
      <w:bookmarkEnd w:id="5"/>
      <w:bookmarkStart w:id="11" w:name="_Toc15306268"/>
      <w:r>
        <w:rPr>
          <w:rFonts w:hint="eastAsia" w:ascii="Times New Roman" w:eastAsia="方正小标宋简体"/>
          <w:kern w:val="2"/>
          <w:sz w:val="44"/>
          <w:szCs w:val="44"/>
          <w:lang w:eastAsia="zh-CN"/>
        </w:rPr>
        <w:t>成都干部服务中心</w:t>
      </w:r>
    </w:p>
    <w:p w14:paraId="1DAB9B0D">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lang w:eastAsia="zh-CN"/>
        </w:rPr>
        <w:t>单位</w:t>
      </w:r>
      <w:r>
        <w:rPr>
          <w:rFonts w:hint="eastAsia" w:ascii="Times New Roman" w:eastAsia="方正小标宋简体"/>
          <w:kern w:val="2"/>
          <w:sz w:val="44"/>
          <w:szCs w:val="44"/>
        </w:rPr>
        <w:t>决算</w:t>
      </w:r>
      <w:bookmarkEnd w:id="6"/>
      <w:bookmarkEnd w:id="7"/>
      <w:bookmarkEnd w:id="8"/>
      <w:bookmarkEnd w:id="9"/>
      <w:bookmarkEnd w:id="10"/>
      <w:bookmarkEnd w:id="11"/>
    </w:p>
    <w:p w14:paraId="01594A70">
      <w:pPr>
        <w:widowControl/>
        <w:jc w:val="center"/>
        <w:rPr>
          <w:rFonts w:eastAsia="黑体"/>
          <w:sz w:val="48"/>
          <w:szCs w:val="48"/>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70C3D465">
      <w:pPr>
        <w:widowControl/>
        <w:jc w:val="center"/>
        <w:rPr>
          <w:rFonts w:eastAsia="黑体"/>
          <w:sz w:val="48"/>
          <w:szCs w:val="48"/>
        </w:rPr>
      </w:pPr>
      <w:r>
        <w:rPr>
          <w:rFonts w:hint="eastAsia" w:eastAsia="黑体"/>
          <w:sz w:val="48"/>
          <w:szCs w:val="48"/>
        </w:rPr>
        <w:t>目录</w:t>
      </w:r>
    </w:p>
    <w:p w14:paraId="5EE17BB3">
      <w:pPr>
        <w:widowControl/>
        <w:jc w:val="center"/>
        <w:rPr>
          <w:rFonts w:eastAsia="黑体" w:cstheme="minorBidi"/>
          <w:sz w:val="28"/>
          <w:szCs w:val="28"/>
        </w:rPr>
      </w:pPr>
    </w:p>
    <w:p w14:paraId="705259FC">
      <w:pPr>
        <w:pStyle w:val="13"/>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日</w:t>
      </w:r>
    </w:p>
    <w:sdt>
      <w:sdtPr>
        <w:rPr>
          <w:rFonts w:ascii="宋体" w:hAnsi="宋体" w:eastAsia="宋体" w:cs="Times New Roman"/>
          <w:kern w:val="2"/>
          <w:sz w:val="21"/>
          <w:szCs w:val="24"/>
          <w:lang w:val="en-US" w:eastAsia="zh-CN" w:bidi="ar-SA"/>
        </w:rPr>
        <w:id w:val="147464413"/>
        <w15:color w:val="DBDBDB"/>
        <w:docPartObj>
          <w:docPartGallery w:val="Table of Contents"/>
          <w:docPartUnique/>
        </w:docPartObj>
      </w:sdtPr>
      <w:sdtEndPr>
        <w:rPr>
          <w:rFonts w:hint="eastAsia" w:ascii="Times New Roman" w:hAnsi="Times New Roman" w:eastAsia="方正小标宋简体" w:cs="方正小标宋简体"/>
          <w:b w:val="0"/>
          <w:bCs/>
          <w:kern w:val="44"/>
          <w:sz w:val="44"/>
          <w:szCs w:val="44"/>
          <w:lang w:val="en-US" w:eastAsia="zh-CN" w:bidi="ar-SA"/>
        </w:rPr>
      </w:sdtEndPr>
      <w:sdtContent>
        <w:p w14:paraId="2122D729">
          <w:pPr>
            <w:spacing w:before="0" w:beforeLines="0" w:after="0" w:afterLines="0" w:line="240" w:lineRule="auto"/>
            <w:ind w:left="0" w:leftChars="0" w:right="0" w:rightChars="0" w:firstLine="0" w:firstLineChars="0"/>
            <w:jc w:val="center"/>
            <w:rPr>
              <w:rFonts w:hint="eastAsia" w:eastAsia="方正小标宋简体" w:cs="方正小标宋简体"/>
              <w:b w:val="0"/>
            </w:rPr>
          </w:pPr>
          <w:bookmarkStart w:id="12" w:name="_Toc28436"/>
          <w:bookmarkStart w:id="13" w:name="_Toc15396599"/>
          <w:bookmarkStart w:id="14" w:name="_Toc15377196"/>
        </w:p>
        <w:p w14:paraId="5C01DA64">
          <w:pPr>
            <w:pStyle w:val="36"/>
            <w:tabs>
              <w:tab w:val="right" w:leader="middleDot" w:pos="8306"/>
            </w:tabs>
            <w:ind w:left="0" w:leftChars="0"/>
            <w:rPr>
              <w:rFonts w:hint="eastAsia" w:eastAsia="方正小标宋简体" w:cs="方正小标宋简体"/>
              <w:b w:val="0"/>
              <w:sz w:val="32"/>
              <w:szCs w:val="32"/>
            </w:rPr>
          </w:pPr>
          <w:r>
            <w:rPr>
              <w:rFonts w:hint="eastAsia" w:ascii="Times New Roman" w:hAnsi="Times New Roman" w:eastAsia="黑体" w:cs="Times New Roman"/>
              <w:color w:val="auto"/>
              <w:kern w:val="2"/>
              <w:sz w:val="32"/>
              <w:szCs w:val="32"/>
              <w:highlight w:val="none"/>
              <w:lang w:val="en-US" w:eastAsia="zh-CN" w:bidi="ar-SA"/>
            </w:rPr>
            <w:t>第一部分  单位概况</w:t>
          </w:r>
          <w:r>
            <w:rPr>
              <w:rFonts w:hint="eastAsia" w:eastAsia="方正小标宋简体" w:cs="方正小标宋简体"/>
              <w:b w:val="0"/>
              <w:sz w:val="32"/>
              <w:szCs w:val="32"/>
            </w:rPr>
            <w:tab/>
          </w:r>
          <w:r>
            <w:rPr>
              <w:rFonts w:hint="eastAsia" w:eastAsia="方正小标宋简体" w:cs="方正小标宋简体"/>
              <w:b w:val="0"/>
              <w:sz w:val="32"/>
              <w:szCs w:val="32"/>
            </w:rPr>
            <w:t>1</w:t>
          </w:r>
        </w:p>
        <w:p w14:paraId="06A21BF7">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rPr>
          </w:pPr>
          <w:r>
            <w:rPr>
              <w:rFonts w:hint="eastAsia" w:ascii="Times New Roman" w:hAnsi="Times New Roman" w:eastAsia="仿宋_GB2312" w:cs="Times New Roman"/>
              <w:color w:val="auto"/>
              <w:kern w:val="2"/>
              <w:sz w:val="32"/>
              <w:szCs w:val="32"/>
              <w:highlight w:val="none"/>
              <w:lang w:val="en-US" w:eastAsia="zh-CN" w:bidi="ar-SA"/>
            </w:rPr>
            <w:t>一、单位职责</w:t>
          </w:r>
          <w:r>
            <w:rPr>
              <w:rFonts w:hint="eastAsia" w:eastAsia="方正小标宋简体" w:cs="方正小标宋简体"/>
              <w:b w:val="0"/>
              <w:sz w:val="32"/>
              <w:szCs w:val="32"/>
            </w:rPr>
            <w:tab/>
          </w:r>
          <w:r>
            <w:rPr>
              <w:rFonts w:hint="eastAsia" w:eastAsia="方正小标宋简体" w:cs="方正小标宋简体"/>
              <w:b w:val="0"/>
              <w:sz w:val="32"/>
              <w:szCs w:val="32"/>
            </w:rPr>
            <w:t>1</w:t>
          </w:r>
        </w:p>
        <w:p w14:paraId="6FF998D7">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二、机构设置</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1</w:t>
          </w:r>
        </w:p>
        <w:p w14:paraId="052C5461">
          <w:pPr>
            <w:pStyle w:val="36"/>
            <w:tabs>
              <w:tab w:val="right" w:leader="middleDot" w:pos="8306"/>
            </w:tabs>
            <w:ind w:left="0" w:leftChars="0"/>
            <w:rPr>
              <w:rFonts w:hint="eastAsia" w:eastAsia="方正小标宋简体" w:cs="方正小标宋简体"/>
              <w:b w:val="0"/>
              <w:sz w:val="32"/>
              <w:szCs w:val="32"/>
              <w:lang w:eastAsia="zh-CN"/>
            </w:rPr>
          </w:pPr>
          <w:r>
            <w:rPr>
              <w:rFonts w:hint="eastAsia" w:ascii="Times New Roman" w:hAnsi="Times New Roman" w:eastAsia="黑体" w:cs="Times New Roman"/>
              <w:color w:val="auto"/>
              <w:kern w:val="2"/>
              <w:sz w:val="32"/>
              <w:szCs w:val="32"/>
              <w:highlight w:val="none"/>
              <w:lang w:val="en-US" w:eastAsia="zh-CN" w:bidi="ar-SA"/>
            </w:rPr>
            <w:t>第二部分  2025年度部门决算情况说明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2</w:t>
          </w:r>
        </w:p>
        <w:p w14:paraId="208EE07B">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一、收入支出决算总体情况说明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2</w:t>
          </w:r>
        </w:p>
        <w:p w14:paraId="7EE45DDD">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二、收入决算情况说明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2</w:t>
          </w:r>
        </w:p>
        <w:p w14:paraId="1A9D4D7F">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三、支出决算情况说明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3</w:t>
          </w:r>
        </w:p>
        <w:p w14:paraId="2633C14E">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四、财政拨款收入支出决算总体情况说明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3</w:t>
          </w:r>
        </w:p>
        <w:p w14:paraId="4F3ECE82">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五、一般公共预算财政拨款支出决算情况说明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4</w:t>
          </w:r>
        </w:p>
        <w:p w14:paraId="31B05A43">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六、一般公共预算财政拨款基本支出决算情况说明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6</w:t>
          </w:r>
        </w:p>
        <w:p w14:paraId="40E304BE">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七、财政拨款“三公”经费支出决算情况说明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7</w:t>
          </w:r>
        </w:p>
        <w:p w14:paraId="4AD60F8C">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八、政府性基金预算支出决算情况说明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8</w:t>
          </w:r>
        </w:p>
        <w:p w14:paraId="3F28D0C7">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九、国有资本经营预算支出决算情况说明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8</w:t>
          </w:r>
        </w:p>
        <w:p w14:paraId="01FB5836">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十、其他重要事项的情况说明</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8</w:t>
          </w:r>
        </w:p>
        <w:p w14:paraId="5BD305D2">
          <w:pPr>
            <w:pStyle w:val="36"/>
            <w:tabs>
              <w:tab w:val="right" w:leader="middleDot" w:pos="8306"/>
            </w:tabs>
            <w:ind w:left="0" w:leftChars="0"/>
            <w:rPr>
              <w:rFonts w:hint="eastAsia" w:eastAsia="方正小标宋简体" w:cs="方正小标宋简体"/>
              <w:b w:val="0"/>
              <w:sz w:val="32"/>
              <w:szCs w:val="32"/>
              <w:lang w:eastAsia="zh-CN"/>
            </w:rPr>
          </w:pPr>
          <w:r>
            <w:rPr>
              <w:rFonts w:hint="eastAsia" w:ascii="Times New Roman" w:hAnsi="Times New Roman" w:eastAsia="黑体" w:cs="Times New Roman"/>
              <w:color w:val="auto"/>
              <w:kern w:val="2"/>
              <w:sz w:val="32"/>
              <w:szCs w:val="32"/>
              <w:highlight w:val="none"/>
              <w:lang w:val="en-US" w:eastAsia="zh-CN" w:bidi="ar-SA"/>
            </w:rPr>
            <w:t>第三部分 名词解释</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0</w:t>
          </w:r>
        </w:p>
        <w:p w14:paraId="2107318A">
          <w:pPr>
            <w:pStyle w:val="36"/>
            <w:tabs>
              <w:tab w:val="right" w:leader="middleDot" w:pos="8306"/>
            </w:tabs>
            <w:ind w:left="0" w:leftChars="0"/>
            <w:rPr>
              <w:rFonts w:hint="eastAsia" w:eastAsia="方正小标宋简体" w:cs="方正小标宋简体"/>
              <w:b w:val="0"/>
              <w:sz w:val="32"/>
              <w:szCs w:val="32"/>
              <w:lang w:eastAsia="zh-CN"/>
            </w:rPr>
          </w:pPr>
          <w:r>
            <w:rPr>
              <w:rFonts w:hint="eastAsia" w:ascii="Times New Roman" w:hAnsi="Times New Roman" w:eastAsia="黑体" w:cs="Times New Roman"/>
              <w:color w:val="auto"/>
              <w:kern w:val="2"/>
              <w:sz w:val="32"/>
              <w:szCs w:val="32"/>
              <w:highlight w:val="none"/>
              <w:lang w:val="en-US" w:eastAsia="zh-CN" w:bidi="ar-SA"/>
            </w:rPr>
            <w:t>第四部分 附件</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2</w:t>
          </w:r>
        </w:p>
        <w:p w14:paraId="71F04131">
          <w:pPr>
            <w:pStyle w:val="36"/>
            <w:tabs>
              <w:tab w:val="right" w:leader="middleDot" w:pos="8306"/>
            </w:tabs>
            <w:ind w:left="0" w:leftChars="0"/>
            <w:rPr>
              <w:rFonts w:hint="eastAsia" w:eastAsia="方正小标宋简体" w:cs="方正小标宋简体"/>
              <w:b w:val="0"/>
              <w:sz w:val="32"/>
              <w:szCs w:val="32"/>
              <w:lang w:eastAsia="zh-CN"/>
            </w:rPr>
          </w:pPr>
          <w:r>
            <w:rPr>
              <w:rFonts w:hint="eastAsia" w:ascii="Times New Roman" w:hAnsi="Times New Roman" w:eastAsia="黑体" w:cs="Times New Roman"/>
              <w:color w:val="auto"/>
              <w:kern w:val="2"/>
              <w:sz w:val="32"/>
              <w:szCs w:val="32"/>
              <w:highlight w:val="none"/>
              <w:lang w:val="en-US" w:eastAsia="zh-CN" w:bidi="ar-SA"/>
            </w:rPr>
            <w:t>第五部分 附表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3</w:t>
          </w:r>
        </w:p>
        <w:p w14:paraId="4B96EBD8">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一、收入支出决算总表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3</w:t>
          </w:r>
        </w:p>
        <w:p w14:paraId="5EA5D7A0">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二、收入决算表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3</w:t>
          </w:r>
        </w:p>
        <w:p w14:paraId="7F875A24">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三、支出决算表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3</w:t>
          </w:r>
        </w:p>
        <w:p w14:paraId="5D8AF746">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四、财政拨款收入支出决算总表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3</w:t>
          </w:r>
        </w:p>
        <w:p w14:paraId="142F1CF6">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五、财政拨款支出决算明细表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3</w:t>
          </w:r>
        </w:p>
        <w:p w14:paraId="4DC9B70D">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六、一般公共预算财政拨款支出决算表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3</w:t>
          </w:r>
        </w:p>
        <w:p w14:paraId="0FF14A02">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eastAsia" w:eastAsia="方正小标宋简体" w:cs="方正小标宋简体"/>
              <w:b w:val="0"/>
              <w:sz w:val="32"/>
              <w:szCs w:val="32"/>
              <w:lang w:eastAsia="zh-CN"/>
            </w:rPr>
          </w:pPr>
          <w:r>
            <w:rPr>
              <w:rFonts w:hint="eastAsia" w:ascii="Times New Roman" w:hAnsi="Times New Roman" w:eastAsia="仿宋_GB2312" w:cs="Times New Roman"/>
              <w:color w:val="auto"/>
              <w:kern w:val="2"/>
              <w:sz w:val="32"/>
              <w:szCs w:val="32"/>
              <w:highlight w:val="none"/>
              <w:lang w:val="en-US" w:eastAsia="zh-CN" w:bidi="ar-SA"/>
            </w:rPr>
            <w:t>七、一般公共预算财政拨款支出决算明细表</w:t>
          </w:r>
          <w:r>
            <w:rPr>
              <w:rFonts w:hint="eastAsia" w:eastAsia="方正小标宋简体" w:cs="方正小标宋简体"/>
              <w:b w:val="0"/>
              <w:sz w:val="32"/>
              <w:szCs w:val="32"/>
            </w:rPr>
            <w:tab/>
          </w:r>
          <w:r>
            <w:rPr>
              <w:rFonts w:hint="eastAsia" w:eastAsia="方正小标宋简体" w:cs="方正小标宋简体"/>
              <w:b w:val="0"/>
              <w:sz w:val="32"/>
              <w:szCs w:val="32"/>
            </w:rPr>
            <w:t>1</w:t>
          </w:r>
          <w:r>
            <w:rPr>
              <w:rFonts w:hint="eastAsia" w:eastAsia="方正小标宋简体" w:cs="方正小标宋简体"/>
              <w:b w:val="0"/>
              <w:sz w:val="32"/>
              <w:szCs w:val="32"/>
              <w:lang w:val="en-US" w:eastAsia="zh-CN"/>
            </w:rPr>
            <w:t>3</w:t>
          </w:r>
        </w:p>
        <w:p w14:paraId="38150CE9">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default" w:eastAsia="方正小标宋简体" w:cs="方正小标宋简体"/>
              <w:b w:val="0"/>
              <w:sz w:val="32"/>
              <w:szCs w:val="32"/>
              <w:lang w:val="en-US" w:eastAsia="zh-CN"/>
            </w:rPr>
          </w:pPr>
          <w:r>
            <w:rPr>
              <w:rFonts w:hint="eastAsia" w:ascii="Times New Roman" w:hAnsi="Times New Roman" w:eastAsia="仿宋_GB2312" w:cs="Times New Roman"/>
              <w:color w:val="auto"/>
              <w:kern w:val="2"/>
              <w:sz w:val="32"/>
              <w:szCs w:val="32"/>
              <w:highlight w:val="none"/>
              <w:lang w:val="en-US" w:eastAsia="zh-CN" w:bidi="ar-SA"/>
            </w:rPr>
            <w:t>八、一般公共预算财政拨款基本支出决算明细表</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13</w:t>
          </w:r>
        </w:p>
        <w:p w14:paraId="6A5D9DBE">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default" w:eastAsia="方正小标宋简体" w:cs="方正小标宋简体"/>
              <w:b w:val="0"/>
              <w:sz w:val="32"/>
              <w:szCs w:val="32"/>
              <w:lang w:val="en-US" w:eastAsia="zh-CN"/>
            </w:rPr>
          </w:pPr>
          <w:r>
            <w:rPr>
              <w:rFonts w:hint="eastAsia" w:ascii="Times New Roman" w:hAnsi="Times New Roman" w:eastAsia="仿宋_GB2312" w:cs="Times New Roman"/>
              <w:color w:val="auto"/>
              <w:kern w:val="2"/>
              <w:sz w:val="32"/>
              <w:szCs w:val="32"/>
              <w:highlight w:val="none"/>
              <w:lang w:val="en-US" w:eastAsia="zh-CN" w:bidi="ar-SA"/>
            </w:rPr>
            <w:t>九、一般公共预算财政拨款项目支出决算表</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13</w:t>
          </w:r>
        </w:p>
        <w:p w14:paraId="6B289C7D">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default" w:eastAsia="方正小标宋简体" w:cs="方正小标宋简体"/>
              <w:b w:val="0"/>
              <w:sz w:val="32"/>
              <w:szCs w:val="32"/>
              <w:lang w:val="en-US" w:eastAsia="zh-CN"/>
            </w:rPr>
          </w:pPr>
          <w:r>
            <w:rPr>
              <w:rFonts w:hint="eastAsia" w:ascii="Times New Roman" w:hAnsi="Times New Roman" w:eastAsia="仿宋_GB2312" w:cs="Times New Roman"/>
              <w:color w:val="auto"/>
              <w:kern w:val="2"/>
              <w:sz w:val="32"/>
              <w:szCs w:val="32"/>
              <w:highlight w:val="none"/>
              <w:lang w:val="en-US" w:eastAsia="zh-CN" w:bidi="ar-SA"/>
            </w:rPr>
            <w:t>十、政府性基金预算财政拨款收入支出决算表</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13</w:t>
          </w:r>
        </w:p>
        <w:p w14:paraId="131AAFF2">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default" w:eastAsia="方正小标宋简体" w:cs="方正小标宋简体"/>
              <w:b w:val="0"/>
              <w:sz w:val="32"/>
              <w:szCs w:val="32"/>
              <w:lang w:val="en-US" w:eastAsia="zh-CN"/>
            </w:rPr>
          </w:pPr>
          <w:r>
            <w:rPr>
              <w:rFonts w:hint="eastAsia" w:ascii="Times New Roman" w:hAnsi="Times New Roman" w:eastAsia="仿宋_GB2312" w:cs="Times New Roman"/>
              <w:color w:val="auto"/>
              <w:kern w:val="2"/>
              <w:sz w:val="32"/>
              <w:szCs w:val="32"/>
              <w:highlight w:val="none"/>
              <w:lang w:val="en-US" w:eastAsia="zh-CN" w:bidi="ar-SA"/>
            </w:rPr>
            <w:t>十一、国有资本经营预算财政拨款收入支出决算表</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13</w:t>
          </w:r>
        </w:p>
        <w:p w14:paraId="2D8051F2">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default" w:eastAsia="方正小标宋简体" w:cs="方正小标宋简体"/>
              <w:b w:val="0"/>
              <w:sz w:val="32"/>
              <w:szCs w:val="32"/>
              <w:lang w:val="en-US" w:eastAsia="zh-CN"/>
            </w:rPr>
          </w:pPr>
          <w:r>
            <w:rPr>
              <w:rFonts w:hint="eastAsia" w:ascii="Times New Roman" w:hAnsi="Times New Roman" w:eastAsia="仿宋_GB2312" w:cs="Times New Roman"/>
              <w:color w:val="auto"/>
              <w:kern w:val="2"/>
              <w:sz w:val="32"/>
              <w:szCs w:val="32"/>
              <w:highlight w:val="none"/>
              <w:lang w:val="en-US" w:eastAsia="zh-CN" w:bidi="ar-SA"/>
            </w:rPr>
            <w:t>十二、国有资本经营预算财政拨款支出决算表</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13</w:t>
          </w:r>
        </w:p>
        <w:p w14:paraId="16A411D9">
          <w:pPr>
            <w:pStyle w:val="36"/>
            <w:keepNext w:val="0"/>
            <w:keepLines w:val="0"/>
            <w:pageBreakBefore w:val="0"/>
            <w:widowControl/>
            <w:tabs>
              <w:tab w:val="right" w:leader="middleDot" w:pos="8306"/>
            </w:tabs>
            <w:kinsoku/>
            <w:wordWrap/>
            <w:overflowPunct/>
            <w:topLinePunct w:val="0"/>
            <w:autoSpaceDE/>
            <w:autoSpaceDN/>
            <w:bidi w:val="0"/>
            <w:adjustRightInd/>
            <w:snapToGrid/>
            <w:ind w:left="0" w:leftChars="0" w:firstLine="640" w:firstLineChars="200"/>
            <w:textAlignment w:val="auto"/>
            <w:rPr>
              <w:rFonts w:hint="default" w:eastAsia="方正小标宋简体" w:cs="方正小标宋简体"/>
              <w:b w:val="0"/>
              <w:sz w:val="32"/>
              <w:szCs w:val="32"/>
              <w:lang w:val="en-US" w:eastAsia="zh-CN"/>
            </w:rPr>
          </w:pPr>
          <w:r>
            <w:rPr>
              <w:rFonts w:hint="eastAsia" w:ascii="Times New Roman" w:hAnsi="Times New Roman" w:eastAsia="仿宋_GB2312" w:cs="Times New Roman"/>
              <w:color w:val="auto"/>
              <w:kern w:val="2"/>
              <w:sz w:val="32"/>
              <w:szCs w:val="32"/>
              <w:highlight w:val="none"/>
              <w:lang w:val="en-US" w:eastAsia="zh-CN" w:bidi="ar-SA"/>
            </w:rPr>
            <w:t>十三、财政拨款“三公”经费支出决算表</w:t>
          </w:r>
          <w:r>
            <w:rPr>
              <w:rFonts w:hint="eastAsia" w:eastAsia="方正小标宋简体" w:cs="方正小标宋简体"/>
              <w:b w:val="0"/>
              <w:sz w:val="32"/>
              <w:szCs w:val="32"/>
            </w:rPr>
            <w:tab/>
          </w:r>
          <w:r>
            <w:rPr>
              <w:rFonts w:hint="eastAsia" w:eastAsia="方正小标宋简体" w:cs="方正小标宋简体"/>
              <w:b w:val="0"/>
              <w:sz w:val="32"/>
              <w:szCs w:val="32"/>
              <w:lang w:val="en-US" w:eastAsia="zh-CN"/>
            </w:rPr>
            <w:t>13</w:t>
          </w:r>
        </w:p>
        <w:p w14:paraId="11C65C00">
          <w:pPr>
            <w:pStyle w:val="36"/>
            <w:tabs>
              <w:tab w:val="right" w:leader="middleDot" w:pos="8306"/>
            </w:tabs>
            <w:ind w:left="0" w:leftChars="0"/>
            <w:rPr>
              <w:rFonts w:hint="eastAsia" w:eastAsia="方正小标宋简体" w:cs="方正小标宋简体"/>
              <w:b w:val="0"/>
            </w:rPr>
          </w:pPr>
        </w:p>
        <w:p w14:paraId="18D853AF">
          <w:pPr>
            <w:pStyle w:val="36"/>
            <w:tabs>
              <w:tab w:val="right" w:leader="middleDot" w:pos="8306"/>
            </w:tabs>
            <w:ind w:left="0" w:leftChars="0"/>
            <w:rPr>
              <w:rFonts w:hint="eastAsia" w:eastAsia="方正小标宋简体" w:cs="方正小标宋简体"/>
              <w:b w:val="0"/>
            </w:rPr>
          </w:pPr>
        </w:p>
      </w:sdtContent>
    </w:sdt>
    <w:p w14:paraId="5868B4B2">
      <w:pPr>
        <w:pStyle w:val="5"/>
        <w:jc w:val="center"/>
        <w:rPr>
          <w:rFonts w:hint="eastAsia" w:eastAsia="方正小标宋简体" w:cs="方正小标宋简体"/>
          <w:b w:val="0"/>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65700214">
      <w:pPr>
        <w:pStyle w:val="5"/>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lang w:eastAsia="zh-CN"/>
        </w:rPr>
        <w:t>单位</w:t>
      </w:r>
      <w:r>
        <w:rPr>
          <w:rStyle w:val="28"/>
          <w:rFonts w:hint="eastAsia" w:eastAsia="方正小标宋简体" w:cs="方正小标宋简体"/>
          <w:b w:val="0"/>
          <w:bCs w:val="0"/>
        </w:rPr>
        <w:t>概况</w:t>
      </w:r>
      <w:bookmarkEnd w:id="12"/>
      <w:bookmarkEnd w:id="13"/>
      <w:bookmarkEnd w:id="14"/>
    </w:p>
    <w:p w14:paraId="121A3BF7">
      <w:pPr>
        <w:widowControl/>
        <w:jc w:val="left"/>
        <w:rPr>
          <w:rFonts w:eastAsia="黑体"/>
          <w:sz w:val="32"/>
          <w:szCs w:val="32"/>
        </w:rPr>
      </w:pPr>
    </w:p>
    <w:p w14:paraId="14307ABA">
      <w:pPr>
        <w:pStyle w:val="6"/>
        <w:numPr>
          <w:ilvl w:val="0"/>
          <w:numId w:val="1"/>
        </w:numPr>
        <w:rPr>
          <w:rFonts w:hint="eastAsia" w:ascii="Times New Roman" w:hAnsi="Times New Roman" w:eastAsia="黑体"/>
          <w:b w:val="0"/>
        </w:rPr>
      </w:pPr>
      <w:bookmarkStart w:id="15" w:name="_Toc4185"/>
      <w:r>
        <w:rPr>
          <w:rFonts w:hint="eastAsia" w:ascii="Times New Roman" w:hAnsi="Times New Roman" w:eastAsia="黑体"/>
          <w:b w:val="0"/>
          <w:lang w:eastAsia="zh-CN"/>
        </w:rPr>
        <w:t>单位</w:t>
      </w:r>
      <w:r>
        <w:rPr>
          <w:rFonts w:hint="eastAsia" w:ascii="Times New Roman" w:hAnsi="Times New Roman" w:eastAsia="黑体"/>
          <w:b w:val="0"/>
        </w:rPr>
        <w:t>职责</w:t>
      </w:r>
      <w:bookmarkEnd w:id="15"/>
      <w:bookmarkStart w:id="16" w:name="_Toc15396601"/>
      <w:bookmarkStart w:id="17" w:name="_Toc15377200"/>
    </w:p>
    <w:p w14:paraId="0EE9B2D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eastAsia="仿宋_GB2312" w:cs="仿宋_GB2312"/>
          <w:sz w:val="32"/>
          <w:szCs w:val="32"/>
        </w:rPr>
      </w:pPr>
      <w:r>
        <w:rPr>
          <w:rFonts w:hint="eastAsia" w:eastAsia="仿宋_GB2312" w:cs="仿宋_GB2312"/>
          <w:sz w:val="32"/>
          <w:szCs w:val="32"/>
          <w:lang w:val="en-US" w:eastAsia="zh-CN"/>
        </w:rPr>
        <w:t>1.</w:t>
      </w:r>
      <w:r>
        <w:rPr>
          <w:rFonts w:hint="eastAsia" w:eastAsia="仿宋_GB2312" w:cs="仿宋_GB2312"/>
          <w:sz w:val="32"/>
          <w:szCs w:val="32"/>
        </w:rPr>
        <w:t>贯彻落实上级关于离退休干部服务工作的方针、政策，承担在蓉攀籍离退休干部的相关管理服务工作。</w:t>
      </w:r>
    </w:p>
    <w:p w14:paraId="4CA02A2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eastAsia="仿宋_GB2312" w:cs="仿宋_GB2312"/>
          <w:sz w:val="32"/>
          <w:szCs w:val="32"/>
        </w:rPr>
      </w:pPr>
      <w:r>
        <w:rPr>
          <w:rFonts w:hint="eastAsia" w:eastAsia="仿宋_GB2312" w:cs="仿宋_GB2312"/>
          <w:sz w:val="32"/>
          <w:szCs w:val="32"/>
          <w:lang w:val="en-US" w:eastAsia="zh-CN"/>
        </w:rPr>
        <w:t>2.</w:t>
      </w:r>
      <w:r>
        <w:rPr>
          <w:rFonts w:hint="eastAsia" w:eastAsia="仿宋_GB2312" w:cs="仿宋_GB2312"/>
          <w:sz w:val="32"/>
          <w:szCs w:val="32"/>
        </w:rPr>
        <w:t>积极做好在蓉攀籍离退休干部的协调服务，协助市委老干部局完成在蓉攀籍离退休干部的慰问、疗养等工作。</w:t>
      </w:r>
    </w:p>
    <w:p w14:paraId="4FEB3EE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eastAsia="仿宋_GB2312" w:cs="仿宋_GB2312"/>
          <w:sz w:val="32"/>
          <w:szCs w:val="32"/>
        </w:rPr>
      </w:pPr>
      <w:r>
        <w:rPr>
          <w:rFonts w:hint="eastAsia" w:eastAsia="仿宋_GB2312" w:cs="仿宋_GB2312"/>
          <w:sz w:val="32"/>
          <w:szCs w:val="32"/>
          <w:lang w:val="en-US" w:eastAsia="zh-CN"/>
        </w:rPr>
        <w:t>3.</w:t>
      </w:r>
      <w:r>
        <w:rPr>
          <w:rFonts w:hint="eastAsia" w:eastAsia="仿宋_GB2312" w:cs="仿宋_GB2312"/>
          <w:sz w:val="32"/>
          <w:szCs w:val="32"/>
        </w:rPr>
        <w:t>充分发挥在蓉攀籍离退休干部的资源优势，积极搭建沟通桥梁，引导离退休干部为全市经济和社会事业发展建言献策，贡献余热。</w:t>
      </w:r>
    </w:p>
    <w:p w14:paraId="225538A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eastAsia="仿宋_GB2312" w:cs="仿宋_GB2312"/>
          <w:sz w:val="32"/>
          <w:szCs w:val="32"/>
        </w:rPr>
      </w:pPr>
      <w:r>
        <w:rPr>
          <w:rFonts w:hint="eastAsia" w:eastAsia="仿宋_GB2312" w:cs="仿宋_GB2312"/>
          <w:sz w:val="32"/>
          <w:szCs w:val="32"/>
          <w:lang w:val="en-US" w:eastAsia="zh-CN"/>
        </w:rPr>
        <w:t>4.</w:t>
      </w:r>
      <w:r>
        <w:rPr>
          <w:rFonts w:hint="eastAsia" w:eastAsia="仿宋_GB2312" w:cs="仿宋_GB2312"/>
          <w:sz w:val="32"/>
          <w:szCs w:val="32"/>
        </w:rPr>
        <w:t>组织在蓉攀籍离退休干部开展党建、康养和文体活动，丰富在蓉攀籍离退休干部的精神文化生活。</w:t>
      </w:r>
    </w:p>
    <w:p w14:paraId="4676B1C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eastAsia="仿宋_GB2312" w:cs="仿宋_GB2312"/>
          <w:sz w:val="32"/>
          <w:szCs w:val="32"/>
          <w:lang w:val="en-US" w:eastAsia="zh-CN"/>
        </w:rPr>
        <w:t>5.</w:t>
      </w:r>
      <w:r>
        <w:rPr>
          <w:rFonts w:hint="eastAsia" w:eastAsia="仿宋_GB2312" w:cs="仿宋_GB2312"/>
          <w:sz w:val="32"/>
          <w:szCs w:val="32"/>
        </w:rPr>
        <w:t>做好管辖范围</w:t>
      </w:r>
      <w:r>
        <w:rPr>
          <w:rFonts w:hint="eastAsia" w:eastAsia="仿宋_GB2312" w:cs="仿宋_GB2312"/>
          <w:sz w:val="32"/>
          <w:szCs w:val="32"/>
          <w:lang w:eastAsia="zh-CN"/>
        </w:rPr>
        <w:t>区域</w:t>
      </w:r>
      <w:r>
        <w:rPr>
          <w:rFonts w:hint="eastAsia" w:eastAsia="仿宋_GB2312" w:cs="仿宋_GB2312"/>
          <w:sz w:val="32"/>
          <w:szCs w:val="32"/>
        </w:rPr>
        <w:t>房屋、公共设施的维护保养工作。会议室、基础设施设备维修维护，每月对各类设施设备进行检修。</w:t>
      </w:r>
    </w:p>
    <w:p w14:paraId="2452BD44">
      <w:pPr>
        <w:pStyle w:val="6"/>
        <w:rPr>
          <w:rStyle w:val="29"/>
          <w:rFonts w:ascii="Times New Roman" w:hAnsi="Times New Roman"/>
          <w:b w:val="0"/>
          <w:bCs w:val="0"/>
        </w:rPr>
      </w:pPr>
      <w:bookmarkStart w:id="18" w:name="_Toc28872"/>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6"/>
      <w:bookmarkEnd w:id="17"/>
      <w:bookmarkEnd w:id="18"/>
    </w:p>
    <w:p w14:paraId="2E307CF3">
      <w:pPr>
        <w:ind w:firstLine="800" w:firstLineChars="250"/>
        <w:rPr>
          <w:rFonts w:hint="eastAsia" w:eastAsia="仿宋_GB2312" w:cs="仿宋_GB2312"/>
          <w:sz w:val="32"/>
          <w:szCs w:val="32"/>
          <w:lang w:eastAsia="zh-CN"/>
        </w:rPr>
      </w:pPr>
      <w:r>
        <w:rPr>
          <w:rFonts w:hint="eastAsia" w:eastAsia="仿宋_GB2312" w:cs="仿宋_GB2312"/>
          <w:sz w:val="32"/>
          <w:szCs w:val="32"/>
        </w:rPr>
        <w:t>攀枝花市成都干部服务中心为攀枝花市人民政府驻成都办事处下属由财政全额拨款的公益一类事业单位，内设机构有办公室、财务室、业务宣传室。</w:t>
      </w:r>
      <w:r>
        <w:rPr>
          <w:rFonts w:hint="eastAsia" w:eastAsia="仿宋_GB2312" w:cs="仿宋_GB2312"/>
          <w:sz w:val="32"/>
          <w:szCs w:val="32"/>
          <w:lang w:eastAsia="zh-CN"/>
        </w:rPr>
        <w:t>无</w:t>
      </w:r>
      <w:r>
        <w:rPr>
          <w:rFonts w:hint="eastAsia" w:eastAsia="仿宋_GB2312" w:cs="仿宋_GB2312"/>
          <w:sz w:val="32"/>
          <w:szCs w:val="32"/>
        </w:rPr>
        <w:t>下属二级预算单位</w:t>
      </w:r>
      <w:r>
        <w:rPr>
          <w:rFonts w:hint="eastAsia" w:eastAsia="仿宋_GB2312" w:cs="仿宋_GB2312"/>
          <w:sz w:val="32"/>
          <w:szCs w:val="32"/>
          <w:lang w:eastAsia="zh-CN"/>
        </w:rPr>
        <w:t>。</w:t>
      </w:r>
    </w:p>
    <w:p w14:paraId="7B50A78A">
      <w:pPr>
        <w:pStyle w:val="5"/>
        <w:jc w:val="center"/>
        <w:rPr>
          <w:rFonts w:eastAsia="方正小标宋简体" w:cs="方正小标宋简体"/>
          <w:b w:val="0"/>
        </w:rPr>
      </w:pPr>
      <w:bookmarkStart w:id="19" w:name="_Toc15396602"/>
      <w:bookmarkStart w:id="20" w:name="_Toc16049"/>
      <w:bookmarkStart w:id="21" w:name="_Toc15377204"/>
      <w:r>
        <w:rPr>
          <w:rFonts w:hint="eastAsia" w:eastAsia="方正小标宋简体" w:cs="方正小标宋简体"/>
          <w:b w:val="0"/>
        </w:rPr>
        <w:t>第二部分  2025年度部门决算情况说明</w:t>
      </w:r>
      <w:bookmarkEnd w:id="19"/>
      <w:bookmarkEnd w:id="20"/>
      <w:bookmarkEnd w:id="21"/>
    </w:p>
    <w:p w14:paraId="51122B38"/>
    <w:p w14:paraId="3ACE9D67">
      <w:pPr>
        <w:pStyle w:val="27"/>
        <w:spacing w:line="600" w:lineRule="exact"/>
        <w:ind w:firstLine="640"/>
        <w:outlineLvl w:val="1"/>
        <w:rPr>
          <w:rStyle w:val="29"/>
          <w:rFonts w:ascii="Times New Roman" w:hAnsi="Times New Roman" w:eastAsia="黑体"/>
          <w:b w:val="0"/>
        </w:rPr>
      </w:pPr>
      <w:bookmarkStart w:id="22" w:name="_Toc15396603"/>
      <w:bookmarkStart w:id="23" w:name="_Toc15377205"/>
      <w:bookmarkStart w:id="24" w:name="_Toc4999"/>
      <w:r>
        <w:rPr>
          <w:rFonts w:hint="eastAsia" w:eastAsia="黑体"/>
          <w:sz w:val="32"/>
          <w:szCs w:val="32"/>
        </w:rPr>
        <w:t>一、收</w:t>
      </w:r>
      <w:r>
        <w:rPr>
          <w:rStyle w:val="29"/>
          <w:rFonts w:hint="eastAsia" w:ascii="Times New Roman" w:hAnsi="Times New Roman" w:eastAsia="黑体"/>
          <w:b w:val="0"/>
        </w:rPr>
        <w:t>入支出决算总体情况说明</w:t>
      </w:r>
      <w:bookmarkEnd w:id="22"/>
      <w:bookmarkEnd w:id="23"/>
      <w:bookmarkEnd w:id="24"/>
    </w:p>
    <w:p w14:paraId="1547BAD2">
      <w:pPr>
        <w:pStyle w:val="27"/>
        <w:spacing w:line="600" w:lineRule="exact"/>
        <w:ind w:firstLine="640"/>
        <w:outlineLvl w:val="1"/>
        <w:rPr>
          <w:rFonts w:hint="eastAsia" w:eastAsia="仿宋_GB2312" w:cs="仿宋_GB2312"/>
          <w:sz w:val="32"/>
          <w:szCs w:val="32"/>
        </w:rPr>
      </w:pPr>
      <w:bookmarkStart w:id="25" w:name="_Toc29893"/>
      <w:r>
        <w:rPr>
          <w:rFonts w:hint="eastAsia" w:eastAsia="仿宋_GB2312" w:cs="仿宋_GB2312"/>
          <w:sz w:val="32"/>
          <w:szCs w:val="32"/>
        </w:rPr>
        <w:t>2025年度收入、支出总</w:t>
      </w:r>
      <w:r>
        <w:rPr>
          <w:rFonts w:hint="default" w:ascii="Times New Roman" w:hAnsi="Times New Roman" w:eastAsia="仿宋_GB2312" w:cs="Times New Roman"/>
          <w:sz w:val="32"/>
          <w:szCs w:val="32"/>
        </w:rPr>
        <w:t>计均为</w:t>
      </w:r>
      <w:r>
        <w:rPr>
          <w:rFonts w:hint="eastAsia" w:eastAsia="仿宋_GB2312" w:cs="Times New Roman"/>
          <w:sz w:val="32"/>
          <w:szCs w:val="32"/>
          <w:highlight w:val="none"/>
          <w:lang w:val="en-US" w:eastAsia="zh-CN"/>
        </w:rPr>
        <w:t>141.02</w:t>
      </w:r>
      <w:r>
        <w:rPr>
          <w:rFonts w:hint="eastAsia" w:eastAsia="仿宋_GB2312" w:cs="仿宋_GB2312"/>
          <w:sz w:val="32"/>
          <w:szCs w:val="32"/>
        </w:rPr>
        <w:t>万元。与上年度相比，收入、支出总计各增加</w:t>
      </w:r>
      <w:r>
        <w:rPr>
          <w:rFonts w:hint="eastAsia" w:eastAsia="仿宋_GB2312" w:cs="仿宋_GB2312"/>
          <w:sz w:val="32"/>
          <w:szCs w:val="32"/>
          <w:lang w:val="en-US" w:eastAsia="zh-CN"/>
        </w:rPr>
        <w:t>17.03</w:t>
      </w:r>
      <w:r>
        <w:rPr>
          <w:rFonts w:hint="eastAsia" w:eastAsia="仿宋_GB2312" w:cs="仿宋_GB2312"/>
          <w:sz w:val="32"/>
          <w:szCs w:val="32"/>
        </w:rPr>
        <w:t>万元，增长</w:t>
      </w:r>
      <w:r>
        <w:rPr>
          <w:rFonts w:hint="eastAsia" w:eastAsia="仿宋_GB2312" w:cs="仿宋_GB2312"/>
          <w:sz w:val="32"/>
          <w:szCs w:val="32"/>
          <w:lang w:val="en-US" w:eastAsia="zh-CN"/>
        </w:rPr>
        <w:t>13.7</w:t>
      </w:r>
      <w:r>
        <w:rPr>
          <w:rFonts w:hint="eastAsia" w:eastAsia="仿宋_GB2312" w:cs="仿宋_GB2312"/>
          <w:sz w:val="32"/>
          <w:szCs w:val="32"/>
        </w:rPr>
        <w:t>%。主要变动原因是</w:t>
      </w:r>
      <w:r>
        <w:rPr>
          <w:rFonts w:hint="eastAsia" w:eastAsia="仿宋_GB2312" w:cs="仿宋_GB2312"/>
          <w:sz w:val="32"/>
          <w:szCs w:val="32"/>
          <w:lang w:val="en-US" w:eastAsia="zh-CN"/>
        </w:rPr>
        <w:t>3月新进人员且</w:t>
      </w:r>
      <w:r>
        <w:rPr>
          <w:rFonts w:hint="eastAsia" w:eastAsia="仿宋_GB2312" w:cs="仿宋_GB2312"/>
          <w:sz w:val="32"/>
          <w:szCs w:val="32"/>
        </w:rPr>
        <w:t>职工正常晋升，工资正常上涨。</w:t>
      </w:r>
      <w:bookmarkEnd w:id="25"/>
    </w:p>
    <w:p w14:paraId="2C1195CE">
      <w:pPr>
        <w:pStyle w:val="27"/>
        <w:spacing w:line="600" w:lineRule="exact"/>
        <w:ind w:left="0" w:leftChars="0" w:firstLine="0" w:firstLineChars="0"/>
        <w:jc w:val="center"/>
        <w:outlineLvl w:val="1"/>
        <w:rPr>
          <w:rFonts w:eastAsia="仿宋_GB2312" w:cs="仿宋_GB2312"/>
          <w:sz w:val="32"/>
          <w:szCs w:val="32"/>
        </w:rPr>
      </w:pPr>
      <w:bookmarkStart w:id="26" w:name="_Toc8059"/>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438785</wp:posOffset>
            </wp:positionH>
            <wp:positionV relativeFrom="paragraph">
              <wp:posOffset>31115</wp:posOffset>
            </wp:positionV>
            <wp:extent cx="4396105" cy="2722880"/>
            <wp:effectExtent l="4445" t="4445" r="19050" b="15875"/>
            <wp:wrapTopAndBottom/>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仿宋_GB2312" w:cs="仿宋_GB2312"/>
          <w:sz w:val="32"/>
          <w:szCs w:val="32"/>
        </w:rPr>
        <w:t>（图1：收入、支出决算总计变动情况图）</w:t>
      </w:r>
      <w:bookmarkEnd w:id="26"/>
    </w:p>
    <w:p w14:paraId="72071D76">
      <w:pPr>
        <w:ind w:firstLine="640" w:firstLineChars="200"/>
        <w:rPr>
          <w:rFonts w:eastAsia="仿宋_GB2312" w:cs="仿宋_GB2312"/>
          <w:sz w:val="32"/>
          <w:szCs w:val="32"/>
        </w:rPr>
      </w:pPr>
    </w:p>
    <w:p w14:paraId="63065EFF">
      <w:pPr>
        <w:pStyle w:val="27"/>
        <w:spacing w:line="600" w:lineRule="exact"/>
        <w:ind w:firstLine="640"/>
        <w:outlineLvl w:val="1"/>
        <w:rPr>
          <w:rFonts w:eastAsia="黑体"/>
          <w:sz w:val="32"/>
          <w:szCs w:val="32"/>
        </w:rPr>
      </w:pPr>
      <w:bookmarkStart w:id="27" w:name="_Toc15396604"/>
      <w:bookmarkStart w:id="28" w:name="_Toc11000"/>
      <w:bookmarkStart w:id="29" w:name="_Toc15377206"/>
      <w:r>
        <w:rPr>
          <w:rFonts w:hint="eastAsia" w:eastAsia="黑体"/>
          <w:sz w:val="32"/>
          <w:szCs w:val="32"/>
        </w:rPr>
        <w:t>二、收入决算情况说明</w:t>
      </w:r>
      <w:bookmarkEnd w:id="27"/>
      <w:bookmarkEnd w:id="28"/>
      <w:bookmarkEnd w:id="29"/>
    </w:p>
    <w:p w14:paraId="553B9AEB">
      <w:pPr>
        <w:pStyle w:val="27"/>
        <w:spacing w:line="600" w:lineRule="exact"/>
        <w:ind w:firstLine="640"/>
        <w:outlineLvl w:val="1"/>
        <w:rPr>
          <w:rFonts w:hint="eastAsia" w:eastAsia="仿宋_GB2312" w:cs="仿宋_GB2312"/>
          <w:sz w:val="32"/>
          <w:szCs w:val="32"/>
        </w:rPr>
      </w:pPr>
      <w:bookmarkStart w:id="30" w:name="_Toc16601"/>
      <w:r>
        <w:rPr>
          <w:rFonts w:hint="eastAsia" w:eastAsia="仿宋_GB2312" w:cs="仿宋_GB2312"/>
          <w:sz w:val="32"/>
          <w:szCs w:val="32"/>
        </w:rPr>
        <w:t>2025年度本年收入合计</w:t>
      </w:r>
      <w:r>
        <w:rPr>
          <w:rFonts w:hint="eastAsia" w:eastAsia="仿宋_GB2312" w:cs="仿宋_GB2312"/>
          <w:sz w:val="32"/>
          <w:szCs w:val="32"/>
          <w:lang w:val="en-US" w:eastAsia="zh-CN"/>
        </w:rPr>
        <w:t>141.02</w:t>
      </w:r>
      <w:r>
        <w:rPr>
          <w:rFonts w:hint="eastAsia" w:eastAsia="仿宋_GB2312" w:cs="仿宋_GB2312"/>
          <w:sz w:val="32"/>
          <w:szCs w:val="32"/>
        </w:rPr>
        <w:t>万元，其中：一般公共预算财政拨款收入141.02万元，占</w:t>
      </w:r>
      <w:r>
        <w:rPr>
          <w:rFonts w:hint="eastAsia" w:eastAsia="仿宋_GB2312" w:cs="仿宋_GB2312"/>
          <w:sz w:val="32"/>
          <w:szCs w:val="32"/>
          <w:lang w:val="en-US" w:eastAsia="zh-CN"/>
        </w:rPr>
        <w:t>100</w:t>
      </w:r>
      <w:r>
        <w:rPr>
          <w:rFonts w:hint="eastAsia" w:eastAsia="仿宋_GB2312" w:cs="仿宋_GB2312"/>
          <w:sz w:val="32"/>
          <w:szCs w:val="32"/>
        </w:rPr>
        <w:t>%。</w:t>
      </w:r>
      <w:bookmarkEnd w:id="30"/>
    </w:p>
    <w:p w14:paraId="20EF4DC6">
      <w:pPr>
        <w:pStyle w:val="27"/>
        <w:spacing w:line="600" w:lineRule="exact"/>
        <w:ind w:firstLine="640"/>
        <w:outlineLvl w:val="9"/>
        <w:rPr>
          <w:rFonts w:hint="eastAsia" w:eastAsia="仿宋_GB2312" w:cs="仿宋_GB2312"/>
          <w:sz w:val="32"/>
          <w:szCs w:val="32"/>
        </w:rPr>
      </w:pPr>
    </w:p>
    <w:p w14:paraId="71F489C2">
      <w:pPr>
        <w:pStyle w:val="27"/>
        <w:spacing w:line="600" w:lineRule="exact"/>
        <w:ind w:left="0" w:leftChars="0" w:firstLine="0" w:firstLineChars="0"/>
        <w:jc w:val="center"/>
        <w:outlineLvl w:val="1"/>
        <w:rPr>
          <w:rFonts w:eastAsia="仿宋_GB2312" w:cs="仿宋_GB2312"/>
          <w:sz w:val="32"/>
          <w:szCs w:val="32"/>
        </w:rPr>
      </w:pPr>
      <w:bookmarkStart w:id="31" w:name="_Toc1178"/>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0288" behindDoc="0" locked="0" layoutInCell="1" allowOverlap="1">
            <wp:simplePos x="0" y="0"/>
            <wp:positionH relativeFrom="column">
              <wp:posOffset>513080</wp:posOffset>
            </wp:positionH>
            <wp:positionV relativeFrom="paragraph">
              <wp:posOffset>109220</wp:posOffset>
            </wp:positionV>
            <wp:extent cx="4247515" cy="2258060"/>
            <wp:effectExtent l="4445" t="4445" r="15240" b="23495"/>
            <wp:wrapTopAndBottom/>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_GB2312" w:cs="仿宋_GB2312"/>
          <w:sz w:val="32"/>
          <w:szCs w:val="32"/>
        </w:rPr>
        <w:t>（图2：收入决算结构图）</w:t>
      </w:r>
      <w:bookmarkEnd w:id="31"/>
    </w:p>
    <w:p w14:paraId="064A313D">
      <w:pPr>
        <w:ind w:firstLine="800" w:firstLineChars="250"/>
        <w:rPr>
          <w:rFonts w:eastAsia="仿宋_GB2312" w:cs="仿宋_GB2312"/>
          <w:sz w:val="32"/>
          <w:szCs w:val="32"/>
        </w:rPr>
      </w:pPr>
    </w:p>
    <w:p w14:paraId="655461C7">
      <w:pPr>
        <w:pStyle w:val="27"/>
        <w:spacing w:line="600" w:lineRule="exact"/>
        <w:ind w:firstLine="640"/>
        <w:outlineLvl w:val="1"/>
        <w:rPr>
          <w:rStyle w:val="29"/>
          <w:rFonts w:ascii="Times New Roman" w:hAnsi="Times New Roman" w:eastAsia="黑体"/>
          <w:b w:val="0"/>
        </w:rPr>
      </w:pPr>
      <w:bookmarkStart w:id="32" w:name="_Toc15377207"/>
      <w:bookmarkStart w:id="33" w:name="_Toc24022"/>
      <w:bookmarkStart w:id="34" w:name="_Toc15396605"/>
      <w:r>
        <w:rPr>
          <w:rFonts w:hint="eastAsia" w:eastAsia="黑体"/>
          <w:sz w:val="32"/>
          <w:szCs w:val="32"/>
        </w:rPr>
        <w:t>三、支</w:t>
      </w:r>
      <w:r>
        <w:rPr>
          <w:rStyle w:val="29"/>
          <w:rFonts w:hint="eastAsia" w:ascii="Times New Roman" w:hAnsi="Times New Roman" w:eastAsia="黑体"/>
          <w:b w:val="0"/>
        </w:rPr>
        <w:t>出决算情况说明</w:t>
      </w:r>
      <w:bookmarkEnd w:id="32"/>
      <w:bookmarkEnd w:id="33"/>
      <w:bookmarkEnd w:id="34"/>
    </w:p>
    <w:p w14:paraId="5FA051A5">
      <w:pPr>
        <w:pStyle w:val="27"/>
        <w:spacing w:line="600" w:lineRule="exact"/>
        <w:ind w:firstLine="640"/>
        <w:outlineLvl w:val="1"/>
        <w:rPr>
          <w:rFonts w:eastAsia="仿宋_GB2312" w:cs="仿宋_GB2312"/>
          <w:b/>
          <w:bCs/>
          <w:sz w:val="32"/>
          <w:szCs w:val="32"/>
        </w:rPr>
      </w:pPr>
      <w:bookmarkStart w:id="35" w:name="_Toc1683"/>
      <w:r>
        <w:rPr>
          <w:rFonts w:hint="eastAsia" w:eastAsia="仿宋_GB2312" w:cs="仿宋_GB2312"/>
          <w:sz w:val="32"/>
          <w:szCs w:val="32"/>
        </w:rPr>
        <w:t>2025年度本年支出合计141.02万元，其中：基本支出</w:t>
      </w:r>
      <w:r>
        <w:rPr>
          <w:rFonts w:hint="eastAsia" w:eastAsia="仿宋_GB2312" w:cs="仿宋_GB2312"/>
          <w:sz w:val="32"/>
          <w:szCs w:val="32"/>
          <w:lang w:val="en-US" w:eastAsia="zh-CN"/>
        </w:rPr>
        <w:t>138.02</w:t>
      </w:r>
      <w:r>
        <w:rPr>
          <w:rFonts w:hint="eastAsia" w:eastAsia="仿宋_GB2312" w:cs="仿宋_GB2312"/>
          <w:sz w:val="32"/>
          <w:szCs w:val="32"/>
        </w:rPr>
        <w:t>万元，占</w:t>
      </w:r>
      <w:r>
        <w:rPr>
          <w:rFonts w:hint="eastAsia" w:eastAsia="仿宋_GB2312" w:cs="仿宋_GB2312"/>
          <w:sz w:val="32"/>
          <w:szCs w:val="32"/>
          <w:lang w:val="en-US" w:eastAsia="zh-CN"/>
        </w:rPr>
        <w:t>97.9</w:t>
      </w:r>
      <w:r>
        <w:rPr>
          <w:rFonts w:hint="eastAsia" w:eastAsia="仿宋_GB2312" w:cs="仿宋_GB2312"/>
          <w:sz w:val="32"/>
          <w:szCs w:val="32"/>
        </w:rPr>
        <w:t>%；项目支出</w:t>
      </w:r>
      <w:r>
        <w:rPr>
          <w:rFonts w:hint="eastAsia" w:eastAsia="仿宋_GB2312" w:cs="仿宋_GB2312"/>
          <w:sz w:val="32"/>
          <w:szCs w:val="32"/>
          <w:lang w:val="en-US" w:eastAsia="zh-CN"/>
        </w:rPr>
        <w:t>3</w:t>
      </w:r>
      <w:r>
        <w:rPr>
          <w:rFonts w:hint="eastAsia" w:eastAsia="仿宋_GB2312" w:cs="仿宋_GB2312"/>
          <w:sz w:val="32"/>
          <w:szCs w:val="32"/>
        </w:rPr>
        <w:t>万元，占</w:t>
      </w:r>
      <w:r>
        <w:rPr>
          <w:rFonts w:hint="eastAsia" w:eastAsia="仿宋_GB2312" w:cs="仿宋_GB2312"/>
          <w:sz w:val="32"/>
          <w:szCs w:val="32"/>
          <w:lang w:val="en-US" w:eastAsia="zh-CN"/>
        </w:rPr>
        <w:t>2.1</w:t>
      </w:r>
      <w:r>
        <w:rPr>
          <w:rFonts w:hint="eastAsia" w:eastAsia="仿宋_GB2312" w:cs="仿宋_GB2312"/>
          <w:sz w:val="32"/>
          <w:szCs w:val="32"/>
        </w:rPr>
        <w:t>%。</w:t>
      </w:r>
      <w:bookmarkEnd w:id="35"/>
    </w:p>
    <w:p w14:paraId="1F6A4B28">
      <w:pPr>
        <w:pStyle w:val="27"/>
        <w:spacing w:line="600" w:lineRule="exact"/>
        <w:ind w:left="0" w:leftChars="0" w:firstLine="0" w:firstLineChars="0"/>
        <w:jc w:val="center"/>
        <w:outlineLvl w:val="1"/>
        <w:rPr>
          <w:rFonts w:eastAsia="仿宋_GB2312" w:cs="仿宋_GB2312"/>
          <w:sz w:val="32"/>
          <w:szCs w:val="32"/>
        </w:rPr>
      </w:pPr>
      <w:bookmarkStart w:id="36" w:name="_Toc18746"/>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posOffset>532765</wp:posOffset>
            </wp:positionH>
            <wp:positionV relativeFrom="paragraph">
              <wp:posOffset>7620</wp:posOffset>
            </wp:positionV>
            <wp:extent cx="4208780" cy="2244725"/>
            <wp:effectExtent l="4445" t="4445" r="15875" b="17780"/>
            <wp:wrapTopAndBottom/>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eastAsia="仿宋_GB2312" w:cs="仿宋_GB2312"/>
          <w:sz w:val="32"/>
          <w:szCs w:val="32"/>
        </w:rPr>
        <w:t>（图3：支出决算结构图）</w:t>
      </w:r>
      <w:bookmarkEnd w:id="36"/>
    </w:p>
    <w:p w14:paraId="4C3EF8ED">
      <w:pPr>
        <w:ind w:firstLine="800" w:firstLineChars="250"/>
        <w:rPr>
          <w:rFonts w:eastAsia="仿宋_GB2312" w:cs="仿宋_GB2312"/>
          <w:sz w:val="32"/>
          <w:szCs w:val="32"/>
        </w:rPr>
      </w:pPr>
    </w:p>
    <w:p w14:paraId="67ED6478">
      <w:pPr>
        <w:spacing w:line="600" w:lineRule="exact"/>
        <w:ind w:firstLine="640" w:firstLineChars="200"/>
        <w:outlineLvl w:val="1"/>
        <w:rPr>
          <w:rStyle w:val="29"/>
          <w:rFonts w:ascii="Times New Roman" w:hAnsi="Times New Roman" w:eastAsia="黑体"/>
          <w:b w:val="0"/>
        </w:rPr>
      </w:pPr>
      <w:bookmarkStart w:id="37" w:name="_Toc31773"/>
      <w:bookmarkStart w:id="38" w:name="_Toc15396606"/>
      <w:bookmarkStart w:id="39"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37"/>
      <w:bookmarkEnd w:id="38"/>
      <w:bookmarkEnd w:id="39"/>
    </w:p>
    <w:p w14:paraId="3DCDAFE1">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2025年度财政拨款收入、支出总计均为141.02万元。与上年度相比，财政拨款收入、支出总计各增加</w:t>
      </w:r>
      <w:r>
        <w:rPr>
          <w:rFonts w:hint="eastAsia" w:eastAsia="仿宋_GB2312" w:cs="仿宋_GB2312"/>
          <w:sz w:val="32"/>
          <w:szCs w:val="32"/>
          <w:lang w:val="en-US" w:eastAsia="zh-CN"/>
        </w:rPr>
        <w:t>17.03</w:t>
      </w:r>
      <w:r>
        <w:rPr>
          <w:rFonts w:hint="eastAsia" w:eastAsia="仿宋_GB2312" w:cs="仿宋_GB2312"/>
          <w:sz w:val="32"/>
          <w:szCs w:val="32"/>
        </w:rPr>
        <w:t>万元，</w:t>
      </w: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462280</wp:posOffset>
            </wp:positionH>
            <wp:positionV relativeFrom="paragraph">
              <wp:posOffset>766445</wp:posOffset>
            </wp:positionV>
            <wp:extent cx="4349115" cy="2207895"/>
            <wp:effectExtent l="4445" t="4445" r="8890" b="16510"/>
            <wp:wrapTopAndBottom/>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仿宋_GB2312" w:cs="仿宋_GB2312"/>
          <w:sz w:val="32"/>
          <w:szCs w:val="32"/>
        </w:rPr>
        <w:t>增长</w:t>
      </w:r>
      <w:r>
        <w:rPr>
          <w:rFonts w:hint="eastAsia" w:eastAsia="仿宋_GB2312" w:cs="仿宋_GB2312"/>
          <w:sz w:val="32"/>
          <w:szCs w:val="32"/>
          <w:lang w:val="en-US" w:eastAsia="zh-CN"/>
        </w:rPr>
        <w:t>13.6</w:t>
      </w:r>
      <w:r>
        <w:rPr>
          <w:rFonts w:hint="eastAsia" w:eastAsia="仿宋_GB2312" w:cs="仿宋_GB2312"/>
          <w:sz w:val="32"/>
          <w:szCs w:val="32"/>
        </w:rPr>
        <w:t>%。主要变动原因是3月新进人员且职工正常晋升，工资正常上涨</w:t>
      </w:r>
      <w:r>
        <w:rPr>
          <w:rFonts w:hint="eastAsia" w:eastAsia="仿宋_GB2312" w:cs="仿宋_GB2312"/>
          <w:sz w:val="32"/>
          <w:szCs w:val="32"/>
          <w:lang w:eastAsia="zh-CN"/>
        </w:rPr>
        <w:t>。</w:t>
      </w:r>
    </w:p>
    <w:p w14:paraId="60364312">
      <w:pPr>
        <w:spacing w:line="600" w:lineRule="exact"/>
        <w:jc w:val="center"/>
        <w:rPr>
          <w:rFonts w:eastAsia="仿宋_GB2312" w:cs="仿宋_GB2312"/>
          <w:sz w:val="32"/>
          <w:szCs w:val="32"/>
        </w:rPr>
      </w:pPr>
      <w:r>
        <w:rPr>
          <w:rFonts w:hint="eastAsia" w:eastAsia="仿宋_GB2312" w:cs="仿宋_GB2312"/>
          <w:sz w:val="32"/>
          <w:szCs w:val="32"/>
        </w:rPr>
        <w:t>（图4：财政拨款收、支决算总计变动情况）</w:t>
      </w:r>
    </w:p>
    <w:p w14:paraId="539055C2">
      <w:pPr>
        <w:spacing w:line="600" w:lineRule="exact"/>
        <w:ind w:firstLine="640"/>
        <w:rPr>
          <w:rFonts w:eastAsia="仿宋_GB2312" w:cs="仿宋_GB2312"/>
          <w:sz w:val="32"/>
          <w:szCs w:val="32"/>
        </w:rPr>
      </w:pPr>
    </w:p>
    <w:p w14:paraId="1CDCC3F6">
      <w:pPr>
        <w:spacing w:line="600" w:lineRule="exact"/>
        <w:ind w:firstLine="640" w:firstLineChars="200"/>
        <w:outlineLvl w:val="1"/>
        <w:rPr>
          <w:rStyle w:val="29"/>
          <w:rFonts w:ascii="Times New Roman" w:hAnsi="Times New Roman" w:eastAsia="黑体"/>
          <w:b w:val="0"/>
        </w:rPr>
      </w:pPr>
      <w:bookmarkStart w:id="40" w:name="_Toc7838"/>
      <w:bookmarkStart w:id="41" w:name="_Toc15377209"/>
      <w:bookmarkStart w:id="42" w:name="_Toc15396607"/>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40"/>
      <w:bookmarkEnd w:id="41"/>
      <w:bookmarkEnd w:id="42"/>
    </w:p>
    <w:p w14:paraId="62A8C9FD">
      <w:pPr>
        <w:spacing w:line="600" w:lineRule="exact"/>
        <w:ind w:firstLine="643" w:firstLineChars="200"/>
        <w:outlineLvl w:val="2"/>
        <w:rPr>
          <w:rFonts w:eastAsia="楷体_GB2312" w:cs="楷体_GB2312"/>
          <w:b/>
          <w:sz w:val="32"/>
          <w:szCs w:val="32"/>
        </w:rPr>
      </w:pPr>
      <w:bookmarkStart w:id="43" w:name="_Toc15377210"/>
      <w:bookmarkStart w:id="44" w:name="_Toc17038"/>
      <w:r>
        <w:rPr>
          <w:rFonts w:hint="eastAsia" w:eastAsia="楷体_GB2312" w:cs="楷体_GB2312"/>
          <w:b/>
          <w:sz w:val="32"/>
          <w:szCs w:val="32"/>
        </w:rPr>
        <w:t>（一）一般公共预算财政拨款支出决算总体情况</w:t>
      </w:r>
      <w:bookmarkEnd w:id="43"/>
      <w:bookmarkEnd w:id="44"/>
    </w:p>
    <w:p w14:paraId="4A4500A5">
      <w:pPr>
        <w:spacing w:line="600" w:lineRule="exact"/>
        <w:ind w:firstLine="640"/>
        <w:rPr>
          <w:rFonts w:eastAsia="仿宋_GB2312" w:cs="仿宋_GB2312"/>
          <w:sz w:val="32"/>
          <w:szCs w:val="32"/>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posOffset>500380</wp:posOffset>
            </wp:positionH>
            <wp:positionV relativeFrom="paragraph">
              <wp:posOffset>1528445</wp:posOffset>
            </wp:positionV>
            <wp:extent cx="4272915" cy="2087245"/>
            <wp:effectExtent l="5080" t="4445" r="8255" b="22860"/>
            <wp:wrapTopAndBottom/>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141.02</w:t>
      </w:r>
      <w:r>
        <w:rPr>
          <w:rFonts w:hint="eastAsia" w:eastAsia="仿宋_GB2312" w:cs="仿宋_GB2312"/>
          <w:sz w:val="32"/>
          <w:szCs w:val="32"/>
        </w:rPr>
        <w:t>万元，占本年支出合计的</w:t>
      </w:r>
      <w:r>
        <w:rPr>
          <w:rFonts w:hint="eastAsia" w:eastAsia="仿宋_GB2312" w:cs="仿宋_GB2312"/>
          <w:sz w:val="32"/>
          <w:szCs w:val="32"/>
          <w:lang w:val="en-US" w:eastAsia="zh-CN"/>
        </w:rPr>
        <w:t>100</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17.03万元</w:t>
      </w:r>
      <w:r>
        <w:rPr>
          <w:rFonts w:hint="eastAsia" w:eastAsia="仿宋_GB2312" w:cs="仿宋_GB2312"/>
          <w:sz w:val="32"/>
          <w:szCs w:val="32"/>
        </w:rPr>
        <w:t>，增长</w:t>
      </w:r>
      <w:r>
        <w:rPr>
          <w:rFonts w:hint="eastAsia" w:eastAsia="仿宋_GB2312" w:cs="仿宋_GB2312"/>
          <w:sz w:val="32"/>
          <w:szCs w:val="32"/>
          <w:lang w:val="en-US" w:eastAsia="zh-CN"/>
        </w:rPr>
        <w:t>13.6</w:t>
      </w:r>
      <w:r>
        <w:rPr>
          <w:rFonts w:hint="eastAsia" w:eastAsia="仿宋_GB2312" w:cs="仿宋_GB2312"/>
          <w:sz w:val="32"/>
          <w:szCs w:val="32"/>
        </w:rPr>
        <w:t>%。主要变动原因是3月新进人员且职工正常晋升，工资正常上涨。</w:t>
      </w:r>
    </w:p>
    <w:p w14:paraId="203C1C7B">
      <w:pPr>
        <w:spacing w:line="600" w:lineRule="exact"/>
        <w:jc w:val="center"/>
        <w:outlineLvl w:val="2"/>
        <w:rPr>
          <w:rFonts w:eastAsia="仿宋_GB2312" w:cs="仿宋_GB2312"/>
          <w:sz w:val="32"/>
          <w:szCs w:val="32"/>
        </w:rPr>
      </w:pPr>
      <w:bookmarkStart w:id="45" w:name="_Toc15772"/>
      <w:r>
        <w:rPr>
          <w:rFonts w:hint="eastAsia" w:eastAsia="仿宋_GB2312" w:cs="仿宋_GB2312"/>
          <w:sz w:val="32"/>
          <w:szCs w:val="32"/>
        </w:rPr>
        <w:t>（图5：一般公共预算财政拨款支出决算变动情况）</w:t>
      </w:r>
      <w:bookmarkEnd w:id="45"/>
    </w:p>
    <w:p w14:paraId="7F46AF3F">
      <w:pPr>
        <w:spacing w:line="600" w:lineRule="exact"/>
        <w:ind w:firstLine="640"/>
        <w:rPr>
          <w:rFonts w:eastAsia="仿宋_GB2312" w:cs="仿宋_GB2312"/>
          <w:sz w:val="32"/>
          <w:szCs w:val="32"/>
        </w:rPr>
      </w:pPr>
    </w:p>
    <w:p w14:paraId="73378230">
      <w:pPr>
        <w:spacing w:line="600" w:lineRule="exact"/>
        <w:ind w:firstLine="643" w:firstLineChars="200"/>
        <w:outlineLvl w:val="2"/>
        <w:rPr>
          <w:rFonts w:eastAsia="楷体_GB2312" w:cs="楷体_GB2312"/>
          <w:b/>
          <w:sz w:val="32"/>
          <w:szCs w:val="32"/>
        </w:rPr>
      </w:pPr>
      <w:bookmarkStart w:id="46" w:name="_Toc15430"/>
      <w:bookmarkStart w:id="47" w:name="_Toc15377211"/>
      <w:r>
        <w:rPr>
          <w:rFonts w:hint="eastAsia" w:eastAsia="楷体_GB2312" w:cs="楷体_GB2312"/>
          <w:b/>
          <w:sz w:val="32"/>
          <w:szCs w:val="32"/>
        </w:rPr>
        <w:t>（二）一般公共预算财政拨款支出决算结构情况</w:t>
      </w:r>
      <w:bookmarkEnd w:id="46"/>
      <w:bookmarkEnd w:id="47"/>
    </w:p>
    <w:p w14:paraId="7DFF0AA7">
      <w:pPr>
        <w:spacing w:line="600" w:lineRule="exact"/>
        <w:ind w:firstLine="640"/>
        <w:rPr>
          <w:rFonts w:hint="eastAsia" w:eastAsia="仿宋_GB2312" w:cs="仿宋_GB2312"/>
          <w:b/>
          <w:bCs/>
          <w:sz w:val="32"/>
          <w:szCs w:val="32"/>
          <w:lang w:val="en-US" w:eastAsia="zh-CN"/>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posOffset>480695</wp:posOffset>
            </wp:positionH>
            <wp:positionV relativeFrom="paragraph">
              <wp:posOffset>1528445</wp:posOffset>
            </wp:positionV>
            <wp:extent cx="4312920" cy="2253615"/>
            <wp:effectExtent l="5080" t="4445" r="6350" b="889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eastAsia="仿宋_GB2312" w:cs="仿宋_GB2312"/>
          <w:sz w:val="32"/>
          <w:szCs w:val="32"/>
        </w:rPr>
        <w:t>2025年度一般公共预算财政拨款支出141.02万元，主要用于以下方面：一般公共服务支出</w:t>
      </w:r>
      <w:r>
        <w:rPr>
          <w:rFonts w:hint="eastAsia" w:eastAsia="仿宋_GB2312" w:cs="仿宋_GB2312"/>
          <w:sz w:val="32"/>
          <w:szCs w:val="32"/>
          <w:lang w:val="en-US" w:eastAsia="zh-CN"/>
        </w:rPr>
        <w:t>97</w:t>
      </w:r>
      <w:r>
        <w:rPr>
          <w:rFonts w:hint="eastAsia" w:eastAsia="仿宋_GB2312" w:cs="仿宋_GB2312"/>
          <w:sz w:val="32"/>
          <w:szCs w:val="32"/>
        </w:rPr>
        <w:t>万元，占</w:t>
      </w:r>
      <w:r>
        <w:rPr>
          <w:rFonts w:hint="eastAsia" w:eastAsia="仿宋_GB2312" w:cs="仿宋_GB2312"/>
          <w:sz w:val="32"/>
          <w:szCs w:val="32"/>
          <w:lang w:val="en-US" w:eastAsia="zh-CN"/>
        </w:rPr>
        <w:t>68.8</w:t>
      </w:r>
      <w:r>
        <w:rPr>
          <w:rFonts w:hint="eastAsia" w:eastAsia="仿宋_GB2312" w:cs="仿宋_GB2312"/>
          <w:sz w:val="32"/>
          <w:szCs w:val="32"/>
        </w:rPr>
        <w:t>%；社会保障和就业支出</w:t>
      </w:r>
      <w:r>
        <w:rPr>
          <w:rFonts w:hint="eastAsia" w:eastAsia="仿宋_GB2312" w:cs="仿宋_GB2312"/>
          <w:sz w:val="32"/>
          <w:szCs w:val="32"/>
          <w:lang w:val="en-US" w:eastAsia="zh-CN"/>
        </w:rPr>
        <w:t>26.93</w:t>
      </w:r>
      <w:r>
        <w:rPr>
          <w:rFonts w:hint="eastAsia" w:eastAsia="仿宋_GB2312" w:cs="仿宋_GB2312"/>
          <w:sz w:val="32"/>
          <w:szCs w:val="32"/>
        </w:rPr>
        <w:t>万元，占</w:t>
      </w:r>
      <w:r>
        <w:rPr>
          <w:rFonts w:hint="eastAsia" w:eastAsia="仿宋_GB2312" w:cs="仿宋_GB2312"/>
          <w:sz w:val="32"/>
          <w:szCs w:val="32"/>
          <w:lang w:val="en-US" w:eastAsia="zh-CN"/>
        </w:rPr>
        <w:t>19.1</w:t>
      </w:r>
      <w:r>
        <w:rPr>
          <w:rFonts w:hint="eastAsia" w:eastAsia="仿宋_GB2312" w:cs="仿宋_GB2312"/>
          <w:sz w:val="32"/>
          <w:szCs w:val="32"/>
        </w:rPr>
        <w:t>%；卫生健康支出</w:t>
      </w:r>
      <w:r>
        <w:rPr>
          <w:rFonts w:hint="eastAsia" w:eastAsia="仿宋_GB2312" w:cs="仿宋_GB2312"/>
          <w:sz w:val="32"/>
          <w:szCs w:val="32"/>
          <w:lang w:val="en-US" w:eastAsia="zh-CN"/>
        </w:rPr>
        <w:t>7.73</w:t>
      </w:r>
      <w:r>
        <w:rPr>
          <w:rFonts w:hint="eastAsia" w:eastAsia="仿宋_GB2312" w:cs="仿宋_GB2312"/>
          <w:sz w:val="32"/>
          <w:szCs w:val="32"/>
        </w:rPr>
        <w:t>万元，占</w:t>
      </w:r>
      <w:r>
        <w:rPr>
          <w:rFonts w:hint="eastAsia" w:eastAsia="仿宋_GB2312" w:cs="仿宋_GB2312"/>
          <w:sz w:val="32"/>
          <w:szCs w:val="32"/>
          <w:lang w:val="en-US" w:eastAsia="zh-CN"/>
        </w:rPr>
        <w:t>5.5</w:t>
      </w:r>
      <w:r>
        <w:rPr>
          <w:rFonts w:hint="eastAsia" w:eastAsia="仿宋_GB2312" w:cs="仿宋_GB2312"/>
          <w:sz w:val="32"/>
          <w:szCs w:val="32"/>
        </w:rPr>
        <w:t>%；住房保障支出</w:t>
      </w:r>
      <w:r>
        <w:rPr>
          <w:rFonts w:hint="eastAsia" w:eastAsia="仿宋_GB2312" w:cs="仿宋_GB2312"/>
          <w:sz w:val="32"/>
          <w:szCs w:val="32"/>
          <w:lang w:val="en-US" w:eastAsia="zh-CN"/>
        </w:rPr>
        <w:t>9.36</w:t>
      </w:r>
      <w:r>
        <w:rPr>
          <w:rFonts w:hint="eastAsia" w:eastAsia="仿宋_GB2312" w:cs="仿宋_GB2312"/>
          <w:sz w:val="32"/>
          <w:szCs w:val="32"/>
        </w:rPr>
        <w:t>万元，占</w:t>
      </w:r>
      <w:r>
        <w:rPr>
          <w:rFonts w:hint="eastAsia" w:eastAsia="仿宋_GB2312" w:cs="仿宋_GB2312"/>
          <w:sz w:val="32"/>
          <w:szCs w:val="32"/>
          <w:lang w:val="en-US" w:eastAsia="zh-CN"/>
        </w:rPr>
        <w:t>6.6</w:t>
      </w:r>
      <w:r>
        <w:rPr>
          <w:rFonts w:hint="eastAsia" w:eastAsia="仿宋_GB2312" w:cs="仿宋_GB2312"/>
          <w:sz w:val="32"/>
          <w:szCs w:val="32"/>
        </w:rPr>
        <w:t>%</w:t>
      </w:r>
      <w:r>
        <w:rPr>
          <w:rFonts w:hint="eastAsia" w:eastAsia="仿宋_GB2312" w:cs="仿宋_GB2312"/>
          <w:sz w:val="32"/>
          <w:szCs w:val="32"/>
          <w:lang w:eastAsia="zh-CN"/>
        </w:rPr>
        <w:t>。</w:t>
      </w:r>
    </w:p>
    <w:p w14:paraId="21ABB45C">
      <w:pPr>
        <w:spacing w:line="600" w:lineRule="exact"/>
        <w:jc w:val="center"/>
        <w:outlineLvl w:val="2"/>
        <w:rPr>
          <w:rFonts w:eastAsia="仿宋_GB2312" w:cs="仿宋_GB2312"/>
          <w:sz w:val="32"/>
          <w:szCs w:val="32"/>
        </w:rPr>
      </w:pPr>
      <w:bookmarkStart w:id="48" w:name="_Toc17273"/>
      <w:r>
        <w:rPr>
          <w:rFonts w:hint="eastAsia" w:eastAsia="仿宋_GB2312" w:cs="仿宋_GB2312"/>
          <w:sz w:val="32"/>
          <w:szCs w:val="32"/>
        </w:rPr>
        <w:t>（图6：一般公共预算财政拨款支出决算结构）</w:t>
      </w:r>
      <w:bookmarkEnd w:id="48"/>
    </w:p>
    <w:p w14:paraId="611B9EA7">
      <w:pPr>
        <w:spacing w:line="600" w:lineRule="exact"/>
        <w:ind w:firstLine="640"/>
        <w:rPr>
          <w:rFonts w:eastAsia="仿宋_GB2312" w:cs="仿宋_GB2312"/>
          <w:sz w:val="32"/>
          <w:szCs w:val="32"/>
        </w:rPr>
      </w:pPr>
    </w:p>
    <w:p w14:paraId="07FB54DB">
      <w:pPr>
        <w:spacing w:line="600" w:lineRule="exact"/>
        <w:ind w:firstLine="643" w:firstLineChars="200"/>
        <w:outlineLvl w:val="2"/>
        <w:rPr>
          <w:rFonts w:eastAsia="楷体_GB2312" w:cs="楷体_GB2312"/>
          <w:b/>
          <w:sz w:val="32"/>
          <w:szCs w:val="32"/>
        </w:rPr>
      </w:pPr>
      <w:bookmarkStart w:id="49" w:name="_Toc27709"/>
      <w:bookmarkStart w:id="50" w:name="_Toc15377212"/>
      <w:r>
        <w:rPr>
          <w:rFonts w:hint="eastAsia" w:eastAsia="楷体_GB2312" w:cs="楷体_GB2312"/>
          <w:b/>
          <w:sz w:val="32"/>
          <w:szCs w:val="32"/>
        </w:rPr>
        <w:t>（三）一般公共预算财政拨款支出决算具体情况</w:t>
      </w:r>
      <w:bookmarkEnd w:id="49"/>
      <w:bookmarkEnd w:id="50"/>
    </w:p>
    <w:p w14:paraId="666FE4E2">
      <w:pPr>
        <w:spacing w:line="600" w:lineRule="exact"/>
        <w:ind w:firstLine="640"/>
        <w:rPr>
          <w:rFonts w:eastAsia="仿宋_GB2312" w:cs="仿宋_GB2312"/>
          <w:sz w:val="32"/>
          <w:szCs w:val="32"/>
        </w:rPr>
      </w:pPr>
      <w:bookmarkStart w:id="51" w:name="_Toc15377444"/>
      <w:bookmarkStart w:id="52" w:name="_Toc15378460"/>
      <w:bookmarkStart w:id="53" w:name="_Toc15377213"/>
      <w:r>
        <w:rPr>
          <w:rFonts w:hint="eastAsia" w:eastAsia="仿宋_GB2312" w:cs="仿宋_GB2312"/>
          <w:sz w:val="32"/>
          <w:szCs w:val="32"/>
        </w:rPr>
        <w:t>2025年度一般公共预算支出决算数为141.02</w:t>
      </w:r>
      <w:r>
        <w:rPr>
          <w:rFonts w:hint="eastAsia" w:eastAsia="仿宋_GB2312" w:cs="仿宋_GB2312"/>
          <w:sz w:val="32"/>
          <w:szCs w:val="32"/>
          <w:lang w:eastAsia="zh-CN"/>
        </w:rPr>
        <w:t>万元</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51"/>
      <w:bookmarkEnd w:id="52"/>
      <w:bookmarkEnd w:id="53"/>
    </w:p>
    <w:p w14:paraId="4D1CFCA1">
      <w:pPr>
        <w:spacing w:line="600" w:lineRule="exact"/>
        <w:ind w:firstLine="640"/>
        <w:rPr>
          <w:rFonts w:hint="eastAsia" w:eastAsia="仿宋_GB2312" w:cs="仿宋_GB2312"/>
          <w:sz w:val="32"/>
          <w:szCs w:val="32"/>
        </w:rPr>
      </w:pPr>
      <w:r>
        <w:rPr>
          <w:rFonts w:hint="eastAsia" w:eastAsia="仿宋_GB2312" w:cs="仿宋_GB2312"/>
          <w:sz w:val="32"/>
          <w:szCs w:val="32"/>
        </w:rPr>
        <w:t>1.一般公共服务（类）政府办公厅（室）及相关机构事务（款）专项业务及机关事务管理（项）：支出决算为3万元，完成预算100%，决算数等于预算数。</w:t>
      </w:r>
    </w:p>
    <w:p w14:paraId="33CED92B">
      <w:pPr>
        <w:spacing w:line="600" w:lineRule="exact"/>
        <w:ind w:firstLine="640"/>
        <w:rPr>
          <w:rFonts w:hint="eastAsia" w:eastAsia="仿宋_GB2312" w:cs="仿宋_GB2312"/>
          <w:sz w:val="32"/>
          <w:szCs w:val="32"/>
        </w:rPr>
      </w:pPr>
      <w:r>
        <w:rPr>
          <w:rFonts w:hint="eastAsia" w:eastAsia="仿宋_GB2312" w:cs="仿宋_GB2312"/>
          <w:sz w:val="32"/>
          <w:szCs w:val="32"/>
        </w:rPr>
        <w:t>2.一般公共服务（类）政府办公厅（室）及相关机构事务（款）事业运行（项）：支出决算为</w:t>
      </w:r>
      <w:r>
        <w:rPr>
          <w:rFonts w:hint="eastAsia" w:eastAsia="仿宋_GB2312" w:cs="仿宋_GB2312"/>
          <w:sz w:val="32"/>
          <w:szCs w:val="32"/>
          <w:lang w:val="en-US" w:eastAsia="zh-CN"/>
        </w:rPr>
        <w:t>94</w:t>
      </w:r>
      <w:r>
        <w:rPr>
          <w:rFonts w:hint="eastAsia" w:eastAsia="仿宋_GB2312" w:cs="仿宋_GB2312"/>
          <w:sz w:val="32"/>
          <w:szCs w:val="32"/>
        </w:rPr>
        <w:t>万元，完成预算100%，决算数等于预算数。</w:t>
      </w:r>
    </w:p>
    <w:p w14:paraId="35380072">
      <w:pPr>
        <w:spacing w:line="600" w:lineRule="exact"/>
        <w:ind w:firstLine="640"/>
        <w:rPr>
          <w:rFonts w:hint="eastAsia" w:eastAsia="仿宋_GB2312" w:cs="仿宋_GB2312"/>
          <w:sz w:val="32"/>
          <w:szCs w:val="32"/>
        </w:rPr>
      </w:pPr>
      <w:r>
        <w:rPr>
          <w:rFonts w:hint="eastAsia" w:eastAsia="仿宋_GB2312" w:cs="仿宋_GB2312"/>
          <w:sz w:val="32"/>
          <w:szCs w:val="32"/>
        </w:rPr>
        <w:t>3.社会保障和就业支出（类）行政事业单位养老支出（款）事业单位离退休（项）：支出决算为</w:t>
      </w:r>
      <w:r>
        <w:rPr>
          <w:rFonts w:hint="eastAsia" w:eastAsia="仿宋_GB2312" w:cs="仿宋_GB2312"/>
          <w:sz w:val="32"/>
          <w:szCs w:val="32"/>
          <w:lang w:val="en-US" w:eastAsia="zh-CN"/>
        </w:rPr>
        <w:t>14.13</w:t>
      </w:r>
      <w:r>
        <w:rPr>
          <w:rFonts w:hint="eastAsia" w:eastAsia="仿宋_GB2312" w:cs="仿宋_GB2312"/>
          <w:sz w:val="32"/>
          <w:szCs w:val="32"/>
        </w:rPr>
        <w:t>万元，完成预算100%，决算数等于预算数。</w:t>
      </w:r>
    </w:p>
    <w:p w14:paraId="3ABC45D3">
      <w:pPr>
        <w:spacing w:line="600" w:lineRule="exact"/>
        <w:ind w:firstLine="640"/>
        <w:rPr>
          <w:rFonts w:hint="eastAsia" w:eastAsia="仿宋_GB2312" w:cs="仿宋_GB2312"/>
          <w:sz w:val="32"/>
          <w:szCs w:val="32"/>
        </w:rPr>
      </w:pPr>
      <w:r>
        <w:rPr>
          <w:rFonts w:hint="eastAsia" w:eastAsia="仿宋_GB2312" w:cs="仿宋_GB2312"/>
          <w:sz w:val="32"/>
          <w:szCs w:val="32"/>
        </w:rPr>
        <w:t>4.社会保障和就业支出（类）行政事业单位养老支出（款）机关事业单位基本养老保险缴费支出（项）</w:t>
      </w:r>
      <w:r>
        <w:rPr>
          <w:rFonts w:hint="eastAsia" w:eastAsia="仿宋_GB2312" w:cs="仿宋_GB2312"/>
          <w:sz w:val="32"/>
          <w:szCs w:val="32"/>
          <w:lang w:eastAsia="zh-CN"/>
        </w:rPr>
        <w:t>：</w:t>
      </w:r>
      <w:r>
        <w:rPr>
          <w:rFonts w:hint="eastAsia" w:eastAsia="仿宋_GB2312" w:cs="仿宋_GB2312"/>
          <w:sz w:val="32"/>
          <w:szCs w:val="32"/>
        </w:rPr>
        <w:t>支出决算为</w:t>
      </w:r>
      <w:r>
        <w:rPr>
          <w:rFonts w:hint="eastAsia" w:eastAsia="仿宋_GB2312" w:cs="仿宋_GB2312"/>
          <w:sz w:val="32"/>
          <w:szCs w:val="32"/>
          <w:lang w:val="en-US" w:eastAsia="zh-CN"/>
        </w:rPr>
        <w:t>12.8</w:t>
      </w:r>
      <w:r>
        <w:rPr>
          <w:rFonts w:hint="eastAsia" w:eastAsia="仿宋_GB2312" w:cs="仿宋_GB2312"/>
          <w:sz w:val="32"/>
          <w:szCs w:val="32"/>
        </w:rPr>
        <w:t>万元，完成预算100%，决算数等于预算数。</w:t>
      </w:r>
    </w:p>
    <w:p w14:paraId="72529398">
      <w:pPr>
        <w:spacing w:line="600" w:lineRule="exact"/>
        <w:ind w:firstLine="640"/>
        <w:rPr>
          <w:rFonts w:hint="eastAsia" w:eastAsia="仿宋_GB2312" w:cs="仿宋_GB2312"/>
          <w:sz w:val="32"/>
          <w:szCs w:val="32"/>
        </w:rPr>
      </w:pPr>
      <w:r>
        <w:rPr>
          <w:rFonts w:hint="eastAsia" w:eastAsia="仿宋_GB2312" w:cs="仿宋_GB2312"/>
          <w:sz w:val="32"/>
          <w:szCs w:val="32"/>
        </w:rPr>
        <w:t>5.卫生健康支出（类）行政事业单位医疗（款）事业单位医疗（项）：支出决算为</w:t>
      </w:r>
      <w:r>
        <w:rPr>
          <w:rFonts w:hint="eastAsia" w:eastAsia="仿宋_GB2312" w:cs="仿宋_GB2312"/>
          <w:sz w:val="32"/>
          <w:szCs w:val="32"/>
          <w:lang w:val="en-US" w:eastAsia="zh-CN"/>
        </w:rPr>
        <w:t>6.2</w:t>
      </w:r>
      <w:r>
        <w:rPr>
          <w:rFonts w:hint="eastAsia" w:eastAsia="仿宋_GB2312" w:cs="仿宋_GB2312"/>
          <w:sz w:val="32"/>
          <w:szCs w:val="32"/>
        </w:rPr>
        <w:t>万元，完成预算100%，决算数等于预算数。</w:t>
      </w:r>
    </w:p>
    <w:p w14:paraId="10C317DD">
      <w:pPr>
        <w:spacing w:line="600" w:lineRule="exact"/>
        <w:ind w:firstLine="640"/>
        <w:rPr>
          <w:rFonts w:hint="eastAsia" w:eastAsia="仿宋_GB2312" w:cs="仿宋_GB2312"/>
          <w:sz w:val="32"/>
          <w:szCs w:val="32"/>
        </w:rPr>
      </w:pPr>
      <w:r>
        <w:rPr>
          <w:rFonts w:hint="eastAsia" w:eastAsia="仿宋_GB2312" w:cs="仿宋_GB2312"/>
          <w:sz w:val="32"/>
          <w:szCs w:val="32"/>
        </w:rPr>
        <w:t>6.卫生健康支出（类）行政事业单位医疗（款）公务员医疗补助（项）：支出决算为0.</w:t>
      </w:r>
      <w:r>
        <w:rPr>
          <w:rFonts w:hint="eastAsia" w:eastAsia="仿宋_GB2312" w:cs="仿宋_GB2312"/>
          <w:sz w:val="32"/>
          <w:szCs w:val="32"/>
          <w:lang w:val="en-US" w:eastAsia="zh-CN"/>
        </w:rPr>
        <w:t>8</w:t>
      </w:r>
      <w:r>
        <w:rPr>
          <w:rFonts w:hint="eastAsia" w:eastAsia="仿宋_GB2312" w:cs="仿宋_GB2312"/>
          <w:sz w:val="32"/>
          <w:szCs w:val="32"/>
        </w:rPr>
        <w:t>2万元，完成预算100%，决算数等于预算数。</w:t>
      </w:r>
    </w:p>
    <w:p w14:paraId="20DB190F">
      <w:pPr>
        <w:spacing w:line="600" w:lineRule="exact"/>
        <w:ind w:firstLine="640"/>
        <w:rPr>
          <w:rFonts w:hint="eastAsia" w:eastAsia="仿宋_GB2312" w:cs="仿宋_GB2312"/>
          <w:sz w:val="32"/>
          <w:szCs w:val="32"/>
        </w:rPr>
      </w:pPr>
      <w:r>
        <w:rPr>
          <w:rFonts w:hint="eastAsia" w:eastAsia="仿宋_GB2312" w:cs="仿宋_GB2312"/>
          <w:sz w:val="32"/>
          <w:szCs w:val="32"/>
        </w:rPr>
        <w:t>7.卫生健康支出（类）行政事业单位医疗（款）其他行政事业单位医疗支出（项）：支出决算为0.7</w:t>
      </w:r>
      <w:r>
        <w:rPr>
          <w:rFonts w:hint="eastAsia" w:eastAsia="仿宋_GB2312" w:cs="仿宋_GB2312"/>
          <w:sz w:val="32"/>
          <w:szCs w:val="32"/>
          <w:lang w:val="en-US" w:eastAsia="zh-CN"/>
        </w:rPr>
        <w:t>1</w:t>
      </w:r>
      <w:r>
        <w:rPr>
          <w:rFonts w:hint="eastAsia" w:eastAsia="仿宋_GB2312" w:cs="仿宋_GB2312"/>
          <w:sz w:val="32"/>
          <w:szCs w:val="32"/>
        </w:rPr>
        <w:t>万元，完成预算100%，决算数等于预算数。</w:t>
      </w:r>
    </w:p>
    <w:p w14:paraId="492B6786">
      <w:pPr>
        <w:spacing w:line="600" w:lineRule="exact"/>
        <w:ind w:firstLine="640"/>
        <w:rPr>
          <w:rFonts w:eastAsia="仿宋_GB2312" w:cs="仿宋_GB2312"/>
          <w:b/>
          <w:bCs/>
          <w:sz w:val="32"/>
          <w:szCs w:val="32"/>
        </w:rPr>
      </w:pPr>
      <w:r>
        <w:rPr>
          <w:rFonts w:hint="eastAsia" w:eastAsia="仿宋_GB2312" w:cs="仿宋_GB2312"/>
          <w:sz w:val="32"/>
          <w:szCs w:val="32"/>
        </w:rPr>
        <w:t>8.住房保障支出（类）住房改革支出（款）住房公积金（项）：支出决算为</w:t>
      </w:r>
      <w:r>
        <w:rPr>
          <w:rFonts w:hint="eastAsia" w:eastAsia="仿宋_GB2312" w:cs="仿宋_GB2312"/>
          <w:sz w:val="32"/>
          <w:szCs w:val="32"/>
          <w:lang w:val="en-US" w:eastAsia="zh-CN"/>
        </w:rPr>
        <w:t>9.36</w:t>
      </w:r>
      <w:r>
        <w:rPr>
          <w:rFonts w:hint="eastAsia" w:eastAsia="仿宋_GB2312" w:cs="仿宋_GB2312"/>
          <w:sz w:val="32"/>
          <w:szCs w:val="32"/>
        </w:rPr>
        <w:t>万元，完成预算100%，决算数等于预算数。</w:t>
      </w:r>
    </w:p>
    <w:p w14:paraId="7E325C9E">
      <w:pPr>
        <w:spacing w:line="600" w:lineRule="exact"/>
        <w:ind w:firstLine="640"/>
        <w:rPr>
          <w:rFonts w:eastAsia="仿宋_GB2312" w:cs="仿宋_GB2312"/>
          <w:sz w:val="32"/>
          <w:szCs w:val="32"/>
        </w:rPr>
      </w:pPr>
    </w:p>
    <w:p w14:paraId="6BADBBA1">
      <w:pPr>
        <w:tabs>
          <w:tab w:val="right" w:pos="8306"/>
        </w:tabs>
        <w:spacing w:line="600" w:lineRule="exact"/>
        <w:ind w:firstLine="640"/>
        <w:outlineLvl w:val="1"/>
        <w:rPr>
          <w:rStyle w:val="29"/>
          <w:rFonts w:ascii="Times New Roman" w:hAnsi="Times New Roman"/>
        </w:rPr>
      </w:pPr>
      <w:bookmarkStart w:id="54" w:name="_Toc15396608"/>
      <w:bookmarkStart w:id="55" w:name="_Toc15377214"/>
      <w:bookmarkStart w:id="56" w:name="_Toc7946"/>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54"/>
      <w:bookmarkEnd w:id="55"/>
      <w:bookmarkEnd w:id="56"/>
      <w:r>
        <w:rPr>
          <w:rStyle w:val="29"/>
          <w:rFonts w:ascii="Times New Roman" w:hAnsi="Times New Roman" w:eastAsia="黑体"/>
          <w:b w:val="0"/>
        </w:rPr>
        <w:tab/>
      </w:r>
    </w:p>
    <w:p w14:paraId="44DD5655">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2025年度一般公共预算财政拨款基本支出1</w:t>
      </w:r>
      <w:r>
        <w:rPr>
          <w:rFonts w:hint="eastAsia" w:eastAsia="仿宋_GB2312" w:cs="仿宋_GB2312"/>
          <w:sz w:val="32"/>
          <w:szCs w:val="32"/>
          <w:lang w:val="en-US" w:eastAsia="zh-CN"/>
        </w:rPr>
        <w:t>38.02</w:t>
      </w:r>
      <w:r>
        <w:rPr>
          <w:rFonts w:hint="eastAsia" w:eastAsia="仿宋_GB2312" w:cs="仿宋_GB2312"/>
          <w:sz w:val="32"/>
          <w:szCs w:val="32"/>
        </w:rPr>
        <w:t>万元，其中：</w:t>
      </w:r>
    </w:p>
    <w:p w14:paraId="246195E1">
      <w:pPr>
        <w:spacing w:line="600" w:lineRule="exact"/>
        <w:ind w:firstLine="640"/>
        <w:rPr>
          <w:rFonts w:eastAsia="仿宋_GB2312" w:cs="仿宋_GB2312"/>
          <w:b/>
          <w:bCs/>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128.67</w:t>
      </w:r>
      <w:r>
        <w:rPr>
          <w:rFonts w:hint="eastAsia" w:eastAsia="仿宋_GB2312" w:cs="仿宋_GB2312"/>
          <w:sz w:val="32"/>
          <w:szCs w:val="32"/>
        </w:rPr>
        <w:t>万元，主要包括：基本工资、津贴补贴、奖金、绩效工资、机关事业单位基本养老保险缴费、职工基本医疗保险缴费、公务员医疗补助缴费、其他社会保障缴费、住房公积金、生活补助、医疗费补助。</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9.35</w:t>
      </w:r>
      <w:r>
        <w:rPr>
          <w:rFonts w:hint="eastAsia" w:eastAsia="仿宋_GB2312" w:cs="仿宋_GB2312"/>
          <w:sz w:val="32"/>
          <w:szCs w:val="32"/>
        </w:rPr>
        <w:t>万元，主要包括：办公费、印刷费、手续费、水费、电费、邮电费、差旅费、维修（护）费、工会经费、福利费、其他商品和服务支出。</w:t>
      </w:r>
    </w:p>
    <w:p w14:paraId="1D2C2BA9">
      <w:pPr>
        <w:spacing w:line="600" w:lineRule="exact"/>
        <w:ind w:firstLine="640"/>
        <w:rPr>
          <w:rFonts w:eastAsia="仿宋_GB2312" w:cs="仿宋_GB2312"/>
          <w:sz w:val="32"/>
          <w:szCs w:val="32"/>
        </w:rPr>
      </w:pPr>
    </w:p>
    <w:p w14:paraId="2264B4DF">
      <w:pPr>
        <w:spacing w:line="600" w:lineRule="exact"/>
        <w:ind w:firstLine="640"/>
        <w:outlineLvl w:val="1"/>
        <w:rPr>
          <w:rStyle w:val="29"/>
          <w:rFonts w:ascii="Times New Roman" w:hAnsi="Times New Roman" w:eastAsia="黑体"/>
          <w:b w:val="0"/>
        </w:rPr>
      </w:pPr>
      <w:bookmarkStart w:id="57" w:name="_Toc15396609"/>
      <w:bookmarkStart w:id="58" w:name="_Toc1732"/>
      <w:bookmarkStart w:id="59"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57"/>
      <w:bookmarkEnd w:id="58"/>
      <w:bookmarkEnd w:id="59"/>
    </w:p>
    <w:p w14:paraId="45E5E5DB">
      <w:pPr>
        <w:spacing w:line="600" w:lineRule="exact"/>
        <w:ind w:firstLine="643" w:firstLineChars="200"/>
        <w:outlineLvl w:val="2"/>
        <w:rPr>
          <w:rFonts w:eastAsia="楷体_GB2312" w:cs="楷体_GB2312"/>
          <w:b/>
          <w:sz w:val="32"/>
          <w:szCs w:val="32"/>
        </w:rPr>
      </w:pPr>
      <w:bookmarkStart w:id="60" w:name="_Toc30954"/>
      <w:bookmarkStart w:id="61" w:name="_Toc15377216"/>
      <w:r>
        <w:rPr>
          <w:rFonts w:hint="eastAsia" w:eastAsia="楷体_GB2312" w:cs="楷体_GB2312"/>
          <w:b/>
          <w:sz w:val="32"/>
          <w:szCs w:val="32"/>
        </w:rPr>
        <w:t>（一）财政拨款“三公”经费支出决算总体情况说明</w:t>
      </w:r>
      <w:bookmarkEnd w:id="60"/>
      <w:bookmarkEnd w:id="61"/>
    </w:p>
    <w:p w14:paraId="63CB6A43">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0</w:t>
      </w:r>
      <w:r>
        <w:rPr>
          <w:rFonts w:hint="eastAsia" w:eastAsia="仿宋_GB2312" w:cs="仿宋_GB2312"/>
          <w:sz w:val="32"/>
          <w:szCs w:val="32"/>
        </w:rPr>
        <w:t>万元，完成预算</w:t>
      </w:r>
      <w:r>
        <w:rPr>
          <w:rFonts w:hint="eastAsia" w:eastAsia="仿宋_GB2312" w:cs="仿宋_GB2312"/>
          <w:sz w:val="32"/>
          <w:szCs w:val="32"/>
          <w:lang w:val="en-US" w:eastAsia="zh-CN"/>
        </w:rPr>
        <w:t>0</w:t>
      </w:r>
      <w:r>
        <w:rPr>
          <w:rFonts w:hint="eastAsia" w:eastAsia="仿宋_GB2312" w:cs="仿宋_GB2312"/>
          <w:sz w:val="32"/>
          <w:szCs w:val="32"/>
        </w:rPr>
        <w:t>%，与上年度持平。</w:t>
      </w:r>
    </w:p>
    <w:p w14:paraId="2D18E76E">
      <w:pPr>
        <w:spacing w:line="600" w:lineRule="exact"/>
        <w:ind w:firstLine="640"/>
        <w:rPr>
          <w:rFonts w:hint="eastAsia" w:eastAsia="仿宋_GB2312" w:cs="仿宋_GB2312"/>
          <w:sz w:val="32"/>
          <w:szCs w:val="32"/>
        </w:rPr>
      </w:pPr>
    </w:p>
    <w:p w14:paraId="027FD7CA">
      <w:pPr>
        <w:spacing w:line="600" w:lineRule="exact"/>
        <w:ind w:firstLine="643" w:firstLineChars="200"/>
        <w:outlineLvl w:val="2"/>
        <w:rPr>
          <w:rFonts w:eastAsia="楷体_GB2312" w:cs="楷体_GB2312"/>
          <w:b/>
          <w:sz w:val="32"/>
          <w:szCs w:val="32"/>
        </w:rPr>
      </w:pPr>
      <w:bookmarkStart w:id="62" w:name="_Toc15377217"/>
      <w:bookmarkStart w:id="63" w:name="_Toc26987"/>
      <w:r>
        <w:rPr>
          <w:rFonts w:hint="eastAsia" w:eastAsia="楷体_GB2312" w:cs="楷体_GB2312"/>
          <w:b/>
          <w:sz w:val="32"/>
          <w:szCs w:val="32"/>
        </w:rPr>
        <w:t>（二）财政拨款“三公”经费支出决算具体情况说明</w:t>
      </w:r>
      <w:bookmarkEnd w:id="62"/>
      <w:bookmarkEnd w:id="63"/>
    </w:p>
    <w:p w14:paraId="43F88F4E">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%；公务接待费支出决算**万元，占</w:t>
      </w:r>
      <w:r>
        <w:rPr>
          <w:rFonts w:hint="eastAsia" w:eastAsia="仿宋_GB2312" w:cs="仿宋_GB2312"/>
          <w:sz w:val="32"/>
          <w:szCs w:val="32"/>
          <w:lang w:val="en-US" w:eastAsia="zh-CN"/>
        </w:rPr>
        <w:t>0</w:t>
      </w:r>
      <w:r>
        <w:rPr>
          <w:rFonts w:hint="eastAsia" w:eastAsia="仿宋_GB2312" w:cs="仿宋_GB2312"/>
          <w:sz w:val="32"/>
          <w:szCs w:val="32"/>
        </w:rPr>
        <w:t>%。具体情况如下：</w:t>
      </w:r>
    </w:p>
    <w:p w14:paraId="3C5415D8">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人。因公出国（境）支出决算与上年度持平。</w:t>
      </w:r>
    </w:p>
    <w:p w14:paraId="5CFB2DF8">
      <w:pPr>
        <w:spacing w:line="600" w:lineRule="exact"/>
        <w:ind w:firstLine="640"/>
        <w:rPr>
          <w:rFonts w:hint="eastAsia" w:eastAsia="仿宋_GB2312" w:cs="仿宋_GB2312"/>
          <w:sz w:val="32"/>
          <w:szCs w:val="32"/>
          <w:lang w:val="en-US" w:eastAsia="zh-CN"/>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公务用车购置及运行维护费支出决算与上年度持平。</w:t>
      </w:r>
      <w:r>
        <w:rPr>
          <w:rFonts w:hint="eastAsia" w:eastAsia="仿宋_GB2312" w:cs="仿宋_GB2312"/>
          <w:sz w:val="32"/>
          <w:szCs w:val="32"/>
          <w:lang w:val="en-US" w:eastAsia="zh-CN"/>
        </w:rPr>
        <w:t xml:space="preserve"> </w:t>
      </w:r>
    </w:p>
    <w:p w14:paraId="0710A2A6">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公务接待费支出决算与上年度持平。</w:t>
      </w:r>
    </w:p>
    <w:p w14:paraId="4FA8A321">
      <w:pPr>
        <w:spacing w:line="600" w:lineRule="exact"/>
        <w:ind w:firstLine="640"/>
        <w:rPr>
          <w:rFonts w:eastAsia="仿宋_GB2312" w:cs="仿宋_GB2312"/>
          <w:sz w:val="32"/>
          <w:szCs w:val="32"/>
        </w:rPr>
      </w:pPr>
      <w:bookmarkStart w:id="64" w:name="_Toc15377218"/>
      <w:bookmarkStart w:id="65" w:name="_Toc15396610"/>
    </w:p>
    <w:p w14:paraId="3E31370B">
      <w:pPr>
        <w:spacing w:line="600" w:lineRule="exact"/>
        <w:ind w:firstLine="640"/>
        <w:outlineLvl w:val="1"/>
        <w:rPr>
          <w:rStyle w:val="29"/>
          <w:rFonts w:ascii="Times New Roman" w:hAnsi="Times New Roman" w:eastAsia="黑体"/>
        </w:rPr>
      </w:pPr>
      <w:bookmarkStart w:id="66" w:name="_Toc14907"/>
      <w:r>
        <w:rPr>
          <w:rFonts w:hint="eastAsia" w:eastAsia="黑体"/>
          <w:sz w:val="32"/>
          <w:szCs w:val="32"/>
        </w:rPr>
        <w:t>八、</w:t>
      </w:r>
      <w:r>
        <w:rPr>
          <w:rStyle w:val="29"/>
          <w:rFonts w:hint="eastAsia" w:ascii="Times New Roman" w:hAnsi="Times New Roman" w:eastAsia="黑体"/>
          <w:b w:val="0"/>
        </w:rPr>
        <w:t>政府性基金预算支出决算情况说明</w:t>
      </w:r>
      <w:bookmarkEnd w:id="64"/>
      <w:bookmarkEnd w:id="65"/>
      <w:bookmarkEnd w:id="66"/>
    </w:p>
    <w:p w14:paraId="3D4B7B96">
      <w:pPr>
        <w:spacing w:line="600" w:lineRule="exact"/>
        <w:ind w:firstLine="640"/>
        <w:rPr>
          <w:rFonts w:eastAsia="仿宋_GB2312" w:cs="仿宋_GB2312"/>
          <w:b/>
          <w:bCs/>
          <w:sz w:val="32"/>
          <w:szCs w:val="32"/>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w:t>
      </w:r>
      <w:r>
        <w:rPr>
          <w:rFonts w:hint="eastAsia" w:eastAsia="仿宋_GB2312" w:cs="仿宋_GB2312"/>
          <w:sz w:val="32"/>
          <w:szCs w:val="32"/>
          <w:lang w:eastAsia="zh-CN"/>
        </w:rPr>
        <w:t>与</w:t>
      </w:r>
      <w:r>
        <w:rPr>
          <w:rFonts w:hint="eastAsia" w:eastAsia="仿宋_GB2312" w:cs="仿宋_GB2312"/>
          <w:sz w:val="32"/>
          <w:szCs w:val="32"/>
        </w:rPr>
        <w:t>上年度持平。</w:t>
      </w:r>
    </w:p>
    <w:p w14:paraId="2BB87F09">
      <w:pPr>
        <w:spacing w:line="600" w:lineRule="exact"/>
        <w:ind w:firstLine="640"/>
        <w:rPr>
          <w:rFonts w:eastAsia="仿宋_GB2312" w:cs="仿宋_GB2312"/>
          <w:sz w:val="32"/>
          <w:szCs w:val="32"/>
        </w:rPr>
      </w:pPr>
    </w:p>
    <w:p w14:paraId="151C4F39">
      <w:pPr>
        <w:spacing w:line="600" w:lineRule="exact"/>
        <w:ind w:left="630"/>
        <w:outlineLvl w:val="1"/>
        <w:rPr>
          <w:rStyle w:val="29"/>
          <w:rFonts w:ascii="Times New Roman" w:hAnsi="Times New Roman" w:eastAsia="黑体"/>
          <w:b w:val="0"/>
        </w:rPr>
      </w:pPr>
      <w:bookmarkStart w:id="67" w:name="_Toc15168"/>
      <w:bookmarkStart w:id="68" w:name="_Toc15396611"/>
      <w:bookmarkStart w:id="69" w:name="_Toc15377219"/>
      <w:r>
        <w:rPr>
          <w:rStyle w:val="29"/>
          <w:rFonts w:hint="eastAsia" w:ascii="Times New Roman" w:hAnsi="Times New Roman" w:eastAsia="黑体"/>
          <w:b w:val="0"/>
        </w:rPr>
        <w:t>九、国有资本经营预算支出决算情况说明</w:t>
      </w:r>
      <w:bookmarkEnd w:id="67"/>
      <w:bookmarkEnd w:id="68"/>
      <w:bookmarkEnd w:id="69"/>
    </w:p>
    <w:p w14:paraId="418FC68E">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%。与上年度持平</w:t>
      </w:r>
      <w:r>
        <w:rPr>
          <w:rFonts w:hint="eastAsia" w:eastAsia="仿宋_GB2312" w:cs="仿宋_GB2312"/>
          <w:sz w:val="32"/>
          <w:szCs w:val="32"/>
          <w:lang w:eastAsia="zh-CN"/>
        </w:rPr>
        <w:t>。</w:t>
      </w:r>
    </w:p>
    <w:p w14:paraId="09825AD3">
      <w:pPr>
        <w:spacing w:line="600" w:lineRule="exact"/>
        <w:ind w:firstLine="640"/>
        <w:rPr>
          <w:rFonts w:eastAsia="仿宋_GB2312" w:cs="仿宋_GB2312"/>
          <w:sz w:val="32"/>
          <w:szCs w:val="32"/>
        </w:rPr>
      </w:pPr>
    </w:p>
    <w:p w14:paraId="0D9E4389">
      <w:pPr>
        <w:spacing w:line="600" w:lineRule="exact"/>
        <w:ind w:left="630"/>
        <w:outlineLvl w:val="1"/>
        <w:rPr>
          <w:rStyle w:val="29"/>
          <w:rFonts w:ascii="Times New Roman" w:hAnsi="Times New Roman" w:eastAsia="黑体"/>
          <w:b w:val="0"/>
        </w:rPr>
      </w:pPr>
      <w:bookmarkStart w:id="70" w:name="_Toc15396612"/>
      <w:bookmarkStart w:id="71" w:name="_Toc3714"/>
      <w:bookmarkStart w:id="72" w:name="_Toc15377221"/>
      <w:r>
        <w:rPr>
          <w:rStyle w:val="29"/>
          <w:rFonts w:hint="eastAsia" w:ascii="Times New Roman" w:hAnsi="Times New Roman" w:eastAsia="黑体"/>
          <w:b w:val="0"/>
        </w:rPr>
        <w:t>十、其他重要事项的情况说明</w:t>
      </w:r>
      <w:bookmarkEnd w:id="70"/>
      <w:bookmarkEnd w:id="71"/>
      <w:bookmarkEnd w:id="72"/>
    </w:p>
    <w:p w14:paraId="22854004">
      <w:pPr>
        <w:spacing w:line="600" w:lineRule="exact"/>
        <w:ind w:firstLine="643" w:firstLineChars="200"/>
        <w:outlineLvl w:val="2"/>
        <w:rPr>
          <w:rFonts w:eastAsia="楷体_GB2312" w:cs="楷体_GB2312"/>
          <w:b/>
          <w:sz w:val="32"/>
          <w:szCs w:val="32"/>
        </w:rPr>
      </w:pPr>
      <w:bookmarkStart w:id="73" w:name="_Toc15377222"/>
      <w:bookmarkStart w:id="74" w:name="_Toc16309"/>
      <w:r>
        <w:rPr>
          <w:rFonts w:hint="eastAsia" w:eastAsia="楷体_GB2312" w:cs="楷体_GB2312"/>
          <w:b/>
          <w:sz w:val="32"/>
          <w:szCs w:val="32"/>
        </w:rPr>
        <w:t>（一）机关运行经费支出情况</w:t>
      </w:r>
      <w:bookmarkEnd w:id="73"/>
      <w:bookmarkEnd w:id="74"/>
    </w:p>
    <w:p w14:paraId="5D2EC122">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2025年度，攀枝花市成都干部服务中心机关运行经费支出</w:t>
      </w:r>
      <w:r>
        <w:rPr>
          <w:rFonts w:hint="eastAsia" w:eastAsia="仿宋_GB2312" w:cs="仿宋_GB2312"/>
          <w:sz w:val="32"/>
          <w:szCs w:val="32"/>
          <w:lang w:val="en-US" w:eastAsia="zh-CN"/>
        </w:rPr>
        <w:t>0</w:t>
      </w:r>
      <w:r>
        <w:rPr>
          <w:rFonts w:hint="eastAsia" w:eastAsia="仿宋_GB2312" w:cs="仿宋_GB2312"/>
          <w:sz w:val="32"/>
          <w:szCs w:val="32"/>
        </w:rPr>
        <w:t>万元</w:t>
      </w:r>
      <w:r>
        <w:rPr>
          <w:rFonts w:hint="eastAsia" w:eastAsia="仿宋_GB2312" w:cs="仿宋_GB2312"/>
          <w:sz w:val="32"/>
          <w:szCs w:val="32"/>
          <w:lang w:eastAsia="zh-CN"/>
        </w:rPr>
        <w:t>，</w:t>
      </w:r>
      <w:r>
        <w:rPr>
          <w:rFonts w:hint="eastAsia" w:eastAsia="仿宋_GB2312" w:cs="仿宋_GB2312"/>
          <w:sz w:val="32"/>
          <w:szCs w:val="32"/>
        </w:rPr>
        <w:t>与上年度持平。</w:t>
      </w:r>
    </w:p>
    <w:p w14:paraId="7F5C0865">
      <w:pPr>
        <w:spacing w:line="600" w:lineRule="exact"/>
        <w:ind w:firstLine="640"/>
        <w:rPr>
          <w:rFonts w:eastAsia="仿宋_GB2312" w:cs="仿宋_GB2312"/>
          <w:sz w:val="32"/>
          <w:szCs w:val="32"/>
        </w:rPr>
      </w:pPr>
    </w:p>
    <w:p w14:paraId="50355CE9">
      <w:pPr>
        <w:spacing w:line="600" w:lineRule="exact"/>
        <w:ind w:firstLine="643" w:firstLineChars="200"/>
        <w:outlineLvl w:val="2"/>
        <w:rPr>
          <w:rFonts w:eastAsia="楷体_GB2312" w:cs="楷体_GB2312"/>
          <w:b/>
          <w:sz w:val="32"/>
          <w:szCs w:val="32"/>
        </w:rPr>
      </w:pPr>
      <w:bookmarkStart w:id="75" w:name="_Toc15377223"/>
      <w:bookmarkStart w:id="76" w:name="_Toc24935"/>
      <w:r>
        <w:rPr>
          <w:rFonts w:hint="eastAsia" w:eastAsia="楷体_GB2312" w:cs="楷体_GB2312"/>
          <w:b/>
          <w:sz w:val="32"/>
          <w:szCs w:val="32"/>
        </w:rPr>
        <w:t>（二）政府采购支出情况</w:t>
      </w:r>
      <w:bookmarkEnd w:id="75"/>
      <w:bookmarkEnd w:id="76"/>
    </w:p>
    <w:p w14:paraId="57759CAD">
      <w:pPr>
        <w:spacing w:line="600" w:lineRule="exact"/>
        <w:ind w:firstLine="640"/>
        <w:rPr>
          <w:rFonts w:eastAsia="仿宋_GB2312" w:cs="仿宋_GB2312"/>
          <w:sz w:val="32"/>
          <w:szCs w:val="32"/>
        </w:rPr>
      </w:pPr>
      <w:r>
        <w:rPr>
          <w:rFonts w:hint="eastAsia" w:eastAsia="仿宋_GB2312" w:cs="仿宋_GB2312"/>
          <w:sz w:val="32"/>
          <w:szCs w:val="32"/>
        </w:rPr>
        <w:t>2025年度，攀枝花市成都干部服务中心政府采购支出总额</w:t>
      </w:r>
      <w:r>
        <w:rPr>
          <w:rFonts w:hint="eastAsia" w:eastAsia="仿宋_GB2312" w:cs="仿宋_GB2312"/>
          <w:sz w:val="32"/>
          <w:szCs w:val="32"/>
          <w:lang w:val="en-US" w:eastAsia="zh-CN"/>
        </w:rPr>
        <w:t>0</w:t>
      </w:r>
      <w:r>
        <w:rPr>
          <w:rFonts w:hint="eastAsia" w:eastAsia="仿宋_GB2312" w:cs="仿宋_GB2312"/>
          <w:sz w:val="32"/>
          <w:szCs w:val="32"/>
        </w:rPr>
        <w:t>万元，其中：政府采购货物支出</w:t>
      </w:r>
      <w:r>
        <w:rPr>
          <w:rFonts w:hint="eastAsia" w:eastAsia="仿宋_GB2312" w:cs="仿宋_GB2312"/>
          <w:sz w:val="32"/>
          <w:szCs w:val="32"/>
          <w:lang w:val="en-US" w:eastAsia="zh-CN"/>
        </w:rPr>
        <w:t>0</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0</w:t>
      </w:r>
      <w:r>
        <w:rPr>
          <w:rFonts w:hint="eastAsia" w:eastAsia="仿宋_GB2312" w:cs="仿宋_GB2312"/>
          <w:sz w:val="32"/>
          <w:szCs w:val="32"/>
        </w:rPr>
        <w:t>万元。授予中小企业合同金额</w:t>
      </w:r>
      <w:r>
        <w:rPr>
          <w:rFonts w:hint="eastAsia" w:eastAsia="仿宋_GB2312" w:cs="仿宋_GB2312"/>
          <w:sz w:val="32"/>
          <w:szCs w:val="32"/>
          <w:lang w:val="en-US" w:eastAsia="zh-CN"/>
        </w:rPr>
        <w:t>0</w:t>
      </w:r>
      <w:r>
        <w:rPr>
          <w:rFonts w:hint="eastAsia" w:eastAsia="仿宋_GB2312" w:cs="仿宋_GB2312"/>
          <w:sz w:val="32"/>
          <w:szCs w:val="32"/>
        </w:rPr>
        <w:t>万元，占政府采购支出总额的</w:t>
      </w:r>
      <w:r>
        <w:rPr>
          <w:rFonts w:hint="eastAsia" w:eastAsia="仿宋_GB2312" w:cs="仿宋_GB2312"/>
          <w:sz w:val="32"/>
          <w:szCs w:val="32"/>
          <w:lang w:val="en-US" w:eastAsia="zh-CN"/>
        </w:rPr>
        <w:t>0</w:t>
      </w:r>
      <w:r>
        <w:rPr>
          <w:rFonts w:hint="eastAsia" w:eastAsia="仿宋_GB2312" w:cs="仿宋_GB2312"/>
          <w:sz w:val="32"/>
          <w:szCs w:val="32"/>
        </w:rPr>
        <w:t>%，其中：授予小微企业合同金额</w:t>
      </w:r>
      <w:r>
        <w:rPr>
          <w:rFonts w:hint="eastAsia" w:eastAsia="仿宋_GB2312" w:cs="仿宋_GB2312"/>
          <w:sz w:val="32"/>
          <w:szCs w:val="32"/>
          <w:lang w:val="en-US" w:eastAsia="zh-CN"/>
        </w:rPr>
        <w:t>0</w:t>
      </w:r>
      <w:r>
        <w:rPr>
          <w:rFonts w:hint="eastAsia" w:eastAsia="仿宋_GB2312" w:cs="仿宋_GB2312"/>
          <w:sz w:val="32"/>
          <w:szCs w:val="32"/>
        </w:rPr>
        <w:t>万元，占政府采购支出总额的</w:t>
      </w:r>
      <w:r>
        <w:rPr>
          <w:rFonts w:hint="eastAsia" w:eastAsia="仿宋_GB2312" w:cs="仿宋_GB2312"/>
          <w:sz w:val="32"/>
          <w:szCs w:val="32"/>
          <w:lang w:val="en-US" w:eastAsia="zh-CN"/>
        </w:rPr>
        <w:t>0</w:t>
      </w:r>
      <w:r>
        <w:rPr>
          <w:rFonts w:hint="eastAsia" w:eastAsia="仿宋_GB2312" w:cs="仿宋_GB2312"/>
          <w:sz w:val="32"/>
          <w:szCs w:val="32"/>
        </w:rPr>
        <w:t>%。</w:t>
      </w:r>
    </w:p>
    <w:p w14:paraId="7E0C3EAD">
      <w:pPr>
        <w:spacing w:line="600" w:lineRule="exact"/>
        <w:ind w:firstLine="640"/>
        <w:rPr>
          <w:rFonts w:eastAsia="仿宋_GB2312" w:cs="仿宋_GB2312"/>
          <w:sz w:val="32"/>
          <w:szCs w:val="32"/>
        </w:rPr>
      </w:pPr>
    </w:p>
    <w:p w14:paraId="42D300B9">
      <w:pPr>
        <w:spacing w:line="600" w:lineRule="exact"/>
        <w:ind w:firstLine="643" w:firstLineChars="200"/>
        <w:outlineLvl w:val="2"/>
        <w:rPr>
          <w:rFonts w:eastAsia="楷体_GB2312" w:cs="楷体_GB2312"/>
          <w:b/>
          <w:sz w:val="32"/>
          <w:szCs w:val="32"/>
        </w:rPr>
      </w:pPr>
      <w:bookmarkStart w:id="77" w:name="_Toc31206"/>
      <w:bookmarkStart w:id="78" w:name="_Toc15377224"/>
      <w:r>
        <w:rPr>
          <w:rFonts w:hint="eastAsia" w:eastAsia="楷体_GB2312" w:cs="楷体_GB2312"/>
          <w:b/>
          <w:sz w:val="32"/>
          <w:szCs w:val="32"/>
        </w:rPr>
        <w:t>（三）国有资产占有使用情况</w:t>
      </w:r>
      <w:bookmarkEnd w:id="77"/>
      <w:bookmarkEnd w:id="78"/>
    </w:p>
    <w:p w14:paraId="2DC63508">
      <w:pPr>
        <w:spacing w:line="600" w:lineRule="exact"/>
        <w:ind w:firstLine="640"/>
        <w:rPr>
          <w:rFonts w:eastAsia="仿宋_GB2312" w:cs="仿宋_GB2312"/>
          <w:sz w:val="32"/>
          <w:szCs w:val="32"/>
        </w:rPr>
      </w:pPr>
      <w:r>
        <w:rPr>
          <w:rFonts w:hint="eastAsia" w:eastAsia="仿宋_GB2312" w:cs="仿宋_GB2312"/>
          <w:sz w:val="32"/>
          <w:szCs w:val="32"/>
        </w:rPr>
        <w:t>截至2025年12月31日，攀枝花市成都干部服务中心共有车辆</w:t>
      </w:r>
      <w:r>
        <w:rPr>
          <w:rFonts w:hint="eastAsia" w:eastAsia="仿宋_GB2312" w:cs="仿宋_GB2312"/>
          <w:sz w:val="32"/>
          <w:szCs w:val="32"/>
          <w:lang w:val="en-US" w:eastAsia="zh-CN"/>
        </w:rPr>
        <w:t>0</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0</w:t>
      </w:r>
      <w:r>
        <w:rPr>
          <w:rFonts w:hint="eastAsia" w:eastAsia="仿宋_GB2312" w:cs="仿宋_GB2312"/>
          <w:sz w:val="32"/>
          <w:szCs w:val="32"/>
        </w:rPr>
        <w:t>辆、特种专业技术用车</w:t>
      </w:r>
      <w:r>
        <w:rPr>
          <w:rFonts w:hint="eastAsia" w:eastAsia="仿宋_GB2312" w:cs="仿宋_GB2312"/>
          <w:sz w:val="32"/>
          <w:szCs w:val="32"/>
          <w:lang w:val="en-US" w:eastAsia="zh-CN"/>
        </w:rPr>
        <w:t>0</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0</w:t>
      </w:r>
      <w:r>
        <w:rPr>
          <w:rFonts w:hint="eastAsia" w:eastAsia="仿宋_GB2312" w:cs="仿宋_GB2312"/>
          <w:sz w:val="32"/>
          <w:szCs w:val="32"/>
        </w:rPr>
        <w:t>辆。单价100万元（含）以上设备（不含车辆）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14:paraId="2DFB1B0D">
      <w:pPr>
        <w:spacing w:line="600" w:lineRule="exact"/>
        <w:ind w:firstLine="640"/>
        <w:rPr>
          <w:rFonts w:eastAsia="仿宋_GB2312" w:cs="仿宋_GB2312"/>
          <w:sz w:val="32"/>
          <w:szCs w:val="32"/>
        </w:rPr>
      </w:pPr>
    </w:p>
    <w:p w14:paraId="38F64CCB">
      <w:pPr>
        <w:spacing w:line="600" w:lineRule="exact"/>
        <w:ind w:firstLine="643" w:firstLineChars="200"/>
        <w:outlineLvl w:val="2"/>
        <w:rPr>
          <w:rFonts w:eastAsia="楷体_GB2312" w:cs="楷体_GB2312"/>
          <w:b/>
          <w:sz w:val="32"/>
          <w:szCs w:val="32"/>
        </w:rPr>
      </w:pPr>
      <w:bookmarkStart w:id="79" w:name="_Toc8021"/>
      <w:r>
        <w:rPr>
          <w:rFonts w:hint="eastAsia" w:eastAsia="楷体_GB2312" w:cs="楷体_GB2312"/>
          <w:b/>
          <w:sz w:val="32"/>
          <w:szCs w:val="32"/>
        </w:rPr>
        <w:t>（四）预算绩效管理情况</w:t>
      </w:r>
      <w:bookmarkEnd w:id="79"/>
    </w:p>
    <w:p w14:paraId="7D65E345">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eastAsia="zh-CN"/>
        </w:rPr>
        <w:t>本单位</w:t>
      </w:r>
      <w:r>
        <w:rPr>
          <w:rFonts w:hint="eastAsia" w:eastAsia="仿宋_GB2312" w:cs="仿宋_GB2312"/>
          <w:sz w:val="32"/>
          <w:szCs w:val="32"/>
        </w:rPr>
        <w:t>在2025年度，组织对</w:t>
      </w:r>
      <w:r>
        <w:rPr>
          <w:rFonts w:hint="eastAsia" w:eastAsia="仿宋_GB2312" w:cs="仿宋_GB2312"/>
          <w:sz w:val="32"/>
          <w:szCs w:val="32"/>
          <w:lang w:eastAsia="zh-CN"/>
        </w:rPr>
        <w:t>维修维护费</w:t>
      </w:r>
      <w:r>
        <w:rPr>
          <w:rFonts w:hint="eastAsia" w:eastAsia="仿宋_GB2312" w:cs="仿宋_GB2312"/>
          <w:sz w:val="32"/>
          <w:szCs w:val="32"/>
        </w:rPr>
        <w:t>项目涉及金额</w:t>
      </w:r>
      <w:r>
        <w:rPr>
          <w:rFonts w:hint="eastAsia" w:eastAsia="仿宋_GB2312" w:cs="仿宋_GB2312"/>
          <w:sz w:val="32"/>
          <w:szCs w:val="32"/>
          <w:lang w:val="en-US" w:eastAsia="zh-CN"/>
        </w:rPr>
        <w:t>3</w:t>
      </w:r>
      <w:r>
        <w:rPr>
          <w:rFonts w:hint="eastAsia" w:eastAsia="仿宋_GB2312" w:cs="仿宋_GB2312"/>
          <w:sz w:val="32"/>
          <w:szCs w:val="32"/>
        </w:rPr>
        <w:t>万元开展了事前绩效评估，对</w:t>
      </w:r>
      <w:r>
        <w:rPr>
          <w:rFonts w:hint="eastAsia" w:eastAsia="仿宋_GB2312" w:cs="仿宋_GB2312"/>
          <w:sz w:val="32"/>
          <w:szCs w:val="32"/>
          <w:lang w:val="en-US" w:eastAsia="zh-CN"/>
        </w:rPr>
        <w:t>1</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1</w:t>
      </w:r>
      <w:r>
        <w:rPr>
          <w:rFonts w:hint="eastAsia" w:eastAsia="仿宋_GB2312" w:cs="仿宋_GB2312"/>
          <w:sz w:val="32"/>
          <w:szCs w:val="32"/>
        </w:rPr>
        <w:t>个项目开展绩效监控。</w:t>
      </w:r>
    </w:p>
    <w:p w14:paraId="30EF9C8B">
      <w:pPr>
        <w:spacing w:line="600" w:lineRule="exact"/>
        <w:ind w:firstLine="640"/>
        <w:rPr>
          <w:rFonts w:eastAsia="仿宋_GB2312" w:cs="仿宋_GB2312"/>
          <w:sz w:val="32"/>
          <w:szCs w:val="32"/>
        </w:rPr>
      </w:pPr>
    </w:p>
    <w:p w14:paraId="0636677F">
      <w:pPr>
        <w:rPr>
          <w:rFonts w:hint="eastAsia" w:eastAsia="黑体"/>
          <w:sz w:val="44"/>
          <w:szCs w:val="44"/>
        </w:rPr>
      </w:pPr>
      <w:bookmarkStart w:id="80" w:name="_Toc15377225"/>
      <w:bookmarkStart w:id="81" w:name="_Toc27440"/>
      <w:bookmarkStart w:id="82" w:name="_Toc15396613"/>
      <w:r>
        <w:rPr>
          <w:rFonts w:hint="eastAsia" w:eastAsia="黑体"/>
          <w:sz w:val="44"/>
          <w:szCs w:val="44"/>
        </w:rPr>
        <w:br w:type="page"/>
      </w:r>
    </w:p>
    <w:p w14:paraId="3954CCF7">
      <w:pPr>
        <w:spacing w:line="600" w:lineRule="exact"/>
        <w:jc w:val="center"/>
        <w:outlineLvl w:val="0"/>
        <w:rPr>
          <w:rFonts w:eastAsia="黑体"/>
          <w:sz w:val="44"/>
          <w:szCs w:val="44"/>
        </w:rPr>
      </w:pPr>
      <w:r>
        <w:rPr>
          <w:rFonts w:hint="eastAsia" w:eastAsia="黑体"/>
          <w:sz w:val="44"/>
          <w:szCs w:val="44"/>
        </w:rPr>
        <w:t>第三部分  名词解释</w:t>
      </w:r>
      <w:bookmarkEnd w:id="80"/>
      <w:bookmarkEnd w:id="81"/>
      <w:bookmarkEnd w:id="82"/>
    </w:p>
    <w:p w14:paraId="42CBADE5">
      <w:pPr>
        <w:spacing w:line="600" w:lineRule="exact"/>
        <w:jc w:val="left"/>
        <w:rPr>
          <w:b/>
          <w:sz w:val="44"/>
          <w:szCs w:val="44"/>
        </w:rPr>
      </w:pPr>
    </w:p>
    <w:p w14:paraId="30F6B87B">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4D3D3BDB">
      <w:pPr>
        <w:spacing w:line="600" w:lineRule="exact"/>
        <w:ind w:firstLine="640"/>
        <w:rPr>
          <w:rFonts w:hint="eastAsia" w:eastAsia="仿宋_GB2312" w:cs="仿宋_GB2312"/>
          <w:sz w:val="32"/>
          <w:szCs w:val="32"/>
        </w:rPr>
      </w:pPr>
      <w:r>
        <w:rPr>
          <w:rFonts w:hint="eastAsia" w:eastAsia="仿宋_GB2312" w:cs="仿宋_GB2312"/>
          <w:sz w:val="32"/>
          <w:szCs w:val="32"/>
        </w:rPr>
        <w:t>2.一般公共服务支出（类）政府办公厅（室）及相关机构事务（款）专项业务及机关事务管理（项）：反映各级政府举行各类重大活动、召开重要会议（如国务院一类会议、国庆招待会、全国劳模大会）的支出，政府机关房地产管理、公务用车管理等方面的支出。</w:t>
      </w:r>
    </w:p>
    <w:p w14:paraId="5DBF311C">
      <w:pPr>
        <w:spacing w:line="600" w:lineRule="exact"/>
        <w:ind w:firstLine="640"/>
        <w:rPr>
          <w:rFonts w:hint="eastAsia" w:eastAsia="仿宋_GB2312" w:cs="仿宋_GB2312"/>
          <w:sz w:val="32"/>
          <w:szCs w:val="32"/>
        </w:rPr>
      </w:pPr>
      <w:r>
        <w:rPr>
          <w:rFonts w:hint="eastAsia" w:eastAsia="仿宋_GB2312" w:cs="仿宋_GB2312"/>
          <w:sz w:val="32"/>
          <w:szCs w:val="32"/>
        </w:rPr>
        <w:t>3.一般公共服务支出（类）政府办公厅（室）及相关机构事务（款）事业运行（项）：反应事业单位的基本支出，不包括行政单位（包括实行公务员管理的事业单位）后勤服务中心、医务室等事业单位。</w:t>
      </w:r>
    </w:p>
    <w:p w14:paraId="26D710AC">
      <w:pPr>
        <w:spacing w:line="600" w:lineRule="exact"/>
        <w:ind w:firstLine="640"/>
        <w:rPr>
          <w:rFonts w:hint="eastAsia" w:eastAsia="仿宋_GB2312" w:cs="仿宋_GB2312"/>
          <w:sz w:val="32"/>
          <w:szCs w:val="32"/>
        </w:rPr>
      </w:pPr>
      <w:r>
        <w:rPr>
          <w:rFonts w:hint="eastAsia" w:eastAsia="仿宋_GB2312" w:cs="仿宋_GB2312"/>
          <w:sz w:val="32"/>
          <w:szCs w:val="32"/>
        </w:rPr>
        <w:t xml:space="preserve">4.社会保障和就业支出（类）行政事业单位养老支出（款）事业单位离退休（项）：反映事业单位开支的离退休经费。 </w:t>
      </w:r>
    </w:p>
    <w:p w14:paraId="7B818D84">
      <w:pPr>
        <w:spacing w:line="600" w:lineRule="exact"/>
        <w:ind w:firstLine="640"/>
        <w:rPr>
          <w:rFonts w:hint="eastAsia" w:eastAsia="仿宋_GB2312" w:cs="仿宋_GB2312"/>
          <w:sz w:val="32"/>
          <w:szCs w:val="32"/>
        </w:rPr>
      </w:pPr>
      <w:r>
        <w:rPr>
          <w:rFonts w:hint="eastAsia" w:eastAsia="仿宋_GB2312" w:cs="仿宋_GB2312"/>
          <w:sz w:val="32"/>
          <w:szCs w:val="32"/>
        </w:rPr>
        <w:t>5.社会保障和就业支出（类）行政事业单位养老支出（款）机关事业单位基本养老保险缴费支出（项）：反应机关事业单位实施养老保险制度由单位缴纳的基本养老保险缴费支出。</w:t>
      </w:r>
    </w:p>
    <w:p w14:paraId="21C34B67">
      <w:pPr>
        <w:spacing w:line="600" w:lineRule="exact"/>
        <w:ind w:firstLine="640"/>
        <w:rPr>
          <w:rFonts w:hint="eastAsia" w:eastAsia="仿宋_GB2312" w:cs="仿宋_GB2312"/>
          <w:sz w:val="32"/>
          <w:szCs w:val="32"/>
        </w:rPr>
      </w:pPr>
      <w:r>
        <w:rPr>
          <w:rFonts w:hint="eastAsia" w:eastAsia="仿宋_GB2312" w:cs="仿宋_GB2312"/>
          <w:sz w:val="32"/>
          <w:szCs w:val="32"/>
        </w:rPr>
        <w:t>6.卫生健康支出（类）行政事业单位医疗（款）事业单位医疗（项）：反映财政部门安排的事业单位医疗保险缴费经费，未参加医疗保险的事业单位的公费医疗经费，按国家规定享受离休人员待遇的医疗经费。</w:t>
      </w:r>
    </w:p>
    <w:p w14:paraId="4AB7177C">
      <w:pPr>
        <w:spacing w:line="600" w:lineRule="exact"/>
        <w:ind w:firstLine="640"/>
        <w:rPr>
          <w:rFonts w:hint="eastAsia" w:eastAsia="仿宋_GB2312" w:cs="仿宋_GB2312"/>
          <w:sz w:val="32"/>
          <w:szCs w:val="32"/>
        </w:rPr>
      </w:pPr>
      <w:r>
        <w:rPr>
          <w:rFonts w:hint="eastAsia" w:eastAsia="仿宋_GB2312" w:cs="仿宋_GB2312"/>
          <w:sz w:val="32"/>
          <w:szCs w:val="32"/>
        </w:rPr>
        <w:t>7.卫生健康支出（类）行政事业单位医疗（款）公务员医疗补助（项）：反映财政部门安排的公务员医疗补助经费。</w:t>
      </w:r>
    </w:p>
    <w:p w14:paraId="598273C3">
      <w:pPr>
        <w:spacing w:line="600" w:lineRule="exact"/>
        <w:ind w:firstLine="640"/>
        <w:rPr>
          <w:rFonts w:hint="eastAsia" w:eastAsia="仿宋_GB2312" w:cs="仿宋_GB2312"/>
          <w:sz w:val="32"/>
          <w:szCs w:val="32"/>
        </w:rPr>
      </w:pPr>
      <w:r>
        <w:rPr>
          <w:rFonts w:hint="eastAsia" w:eastAsia="仿宋_GB2312" w:cs="仿宋_GB2312"/>
          <w:sz w:val="32"/>
          <w:szCs w:val="32"/>
        </w:rPr>
        <w:t>8.卫生健康支出（类）行政事业单位医疗（款）其他行政事业单位医疗支出（项）：反映其他用于行政事业单位医疗方面的支出。</w:t>
      </w:r>
    </w:p>
    <w:p w14:paraId="28DE7369">
      <w:pPr>
        <w:spacing w:line="600" w:lineRule="exact"/>
        <w:ind w:firstLine="640"/>
        <w:rPr>
          <w:rFonts w:eastAsia="仿宋_GB2312" w:cs="仿宋_GB2312"/>
          <w:sz w:val="32"/>
          <w:szCs w:val="32"/>
        </w:rPr>
      </w:pPr>
      <w:r>
        <w:rPr>
          <w:rFonts w:hint="eastAsia" w:eastAsia="仿宋_GB2312" w:cs="仿宋_GB2312"/>
          <w:sz w:val="32"/>
          <w:szCs w:val="32"/>
        </w:rPr>
        <w:t>9.住房保障支出（类）住房改革支出（款）住房公积金（项）：反映行政事业单位按人力资源和社会保障部、财政部规定的基本工资和津贴补贴以及规定比例为职工缴纳的住房公积金。</w:t>
      </w:r>
    </w:p>
    <w:p w14:paraId="155FEADB">
      <w:pPr>
        <w:spacing w:line="600" w:lineRule="exact"/>
        <w:ind w:firstLine="640"/>
        <w:rPr>
          <w:rFonts w:eastAsia="仿宋_GB2312" w:cs="仿宋_GB2312"/>
          <w:sz w:val="32"/>
          <w:szCs w:val="32"/>
        </w:rPr>
      </w:pPr>
      <w:r>
        <w:rPr>
          <w:rFonts w:hint="eastAsia" w:eastAsia="仿宋_GB2312" w:cs="仿宋_GB2312"/>
          <w:sz w:val="32"/>
          <w:szCs w:val="32"/>
          <w:lang w:val="en-US" w:eastAsia="zh-CN"/>
        </w:rPr>
        <w:t>10</w:t>
      </w:r>
      <w:r>
        <w:rPr>
          <w:rFonts w:hint="eastAsia" w:eastAsia="仿宋_GB2312" w:cs="仿宋_GB2312"/>
          <w:sz w:val="32"/>
          <w:szCs w:val="32"/>
        </w:rPr>
        <w:t>.基本支出：指为保障机构正常运转、完成日常工作任务而发生的人员支出和公用支出。</w:t>
      </w:r>
    </w:p>
    <w:p w14:paraId="3A45EA22">
      <w:pPr>
        <w:spacing w:line="600" w:lineRule="exact"/>
        <w:ind w:firstLine="640"/>
        <w:rPr>
          <w:rFonts w:eastAsia="仿宋_GB2312" w:cs="仿宋_GB2312"/>
          <w:sz w:val="32"/>
          <w:szCs w:val="32"/>
        </w:rPr>
      </w:pPr>
      <w:r>
        <w:rPr>
          <w:rFonts w:hint="eastAsia" w:eastAsia="仿宋_GB2312" w:cs="仿宋_GB2312"/>
          <w:sz w:val="32"/>
          <w:szCs w:val="32"/>
          <w:lang w:val="en-US" w:eastAsia="zh-CN"/>
        </w:rPr>
        <w:t>11</w:t>
      </w:r>
      <w:r>
        <w:rPr>
          <w:rFonts w:hint="eastAsia" w:eastAsia="仿宋_GB2312" w:cs="仿宋_GB2312"/>
          <w:sz w:val="32"/>
          <w:szCs w:val="32"/>
        </w:rPr>
        <w:t xml:space="preserve">.项目支出：指在基本支出之外为完成特定行政任务和事业发展目标所发生的支出。 </w:t>
      </w:r>
    </w:p>
    <w:p w14:paraId="598E4277">
      <w:pPr>
        <w:spacing w:line="600" w:lineRule="exact"/>
        <w:ind w:firstLine="640"/>
        <w:rPr>
          <w:rFonts w:eastAsia="仿宋_GB2312" w:cs="仿宋_GB2312"/>
          <w:sz w:val="32"/>
          <w:szCs w:val="32"/>
        </w:rPr>
      </w:pPr>
      <w:r>
        <w:rPr>
          <w:rFonts w:hint="eastAsia" w:eastAsia="仿宋_GB2312" w:cs="仿宋_GB2312"/>
          <w:sz w:val="32"/>
          <w:szCs w:val="32"/>
          <w:lang w:val="en-US" w:eastAsia="zh-CN"/>
        </w:rPr>
        <w:t>12</w:t>
      </w:r>
      <w:r>
        <w:rPr>
          <w:rFonts w:hint="eastAsia" w:eastAsia="仿宋_GB2312" w:cs="仿宋_GB2312"/>
          <w:sz w:val="32"/>
          <w:szCs w:val="32"/>
        </w:rPr>
        <w:t>.“三公”经费：指部门用财政拨款安排的因公出国（境）费、公务用车购置及运行费和公务接待费。</w:t>
      </w:r>
    </w:p>
    <w:p w14:paraId="0E5A39E3">
      <w:pPr>
        <w:spacing w:line="600" w:lineRule="exact"/>
        <w:jc w:val="center"/>
        <w:outlineLvl w:val="0"/>
        <w:rPr>
          <w:rStyle w:val="28"/>
          <w:rFonts w:eastAsia="黑体"/>
          <w:b w:val="0"/>
        </w:rPr>
      </w:pPr>
      <w:bookmarkStart w:id="83" w:name="_Toc15377226"/>
      <w:r>
        <w:rPr>
          <w:rFonts w:hint="eastAsia" w:eastAsia="仿宋_GB2312" w:cs="仿宋_GB2312"/>
          <w:sz w:val="32"/>
          <w:szCs w:val="32"/>
        </w:rPr>
        <w:br w:type="page"/>
      </w:r>
      <w:bookmarkStart w:id="84" w:name="_Toc15396614"/>
      <w:bookmarkStart w:id="85" w:name="_Toc30809"/>
      <w:r>
        <w:rPr>
          <w:rFonts w:hint="eastAsia" w:eastAsia="黑体"/>
          <w:sz w:val="44"/>
          <w:szCs w:val="44"/>
        </w:rPr>
        <w:t>第四部分  附件</w:t>
      </w:r>
      <w:bookmarkEnd w:id="84"/>
      <w:bookmarkEnd w:id="85"/>
    </w:p>
    <w:p w14:paraId="1569F597">
      <w:pPr>
        <w:widowControl/>
        <w:spacing w:line="578" w:lineRule="exact"/>
        <w:contextualSpacing/>
        <w:jc w:val="center"/>
        <w:rPr>
          <w:rFonts w:hint="eastAsia" w:eastAsia="仿宋_GB2312"/>
          <w:bCs/>
          <w:sz w:val="44"/>
          <w:szCs w:val="44"/>
          <w:shd w:val="clear" w:color="auto" w:fill="FFFFFF"/>
          <w:lang w:eastAsia="zh-CN"/>
        </w:rPr>
      </w:pPr>
      <w:r>
        <w:rPr>
          <w:rFonts w:hint="eastAsia" w:ascii="Times New Roman" w:eastAsia="仿宋_GB2312" w:cs="仿宋_GB2312"/>
          <w:kern w:val="0"/>
          <w:sz w:val="32"/>
        </w:rPr>
        <w:t>部门预算项目支出绩效自评表（202</w:t>
      </w:r>
      <w:r>
        <w:rPr>
          <w:rFonts w:hint="eastAsia" w:eastAsia="仿宋_GB2312" w:cs="仿宋_GB2312"/>
          <w:kern w:val="0"/>
          <w:sz w:val="32"/>
          <w:lang w:val="en-US" w:eastAsia="zh-CN"/>
        </w:rPr>
        <w:t>5</w:t>
      </w:r>
      <w:r>
        <w:rPr>
          <w:rFonts w:hint="eastAsia" w:ascii="Times New Roman" w:eastAsia="仿宋_GB2312" w:cs="仿宋_GB2312"/>
          <w:kern w:val="0"/>
          <w:sz w:val="32"/>
        </w:rPr>
        <w:t>年度）见附件3</w:t>
      </w:r>
      <w:r>
        <w:rPr>
          <w:rFonts w:hint="eastAsia" w:eastAsia="仿宋_GB2312" w:cs="仿宋_GB2312"/>
          <w:kern w:val="0"/>
          <w:sz w:val="32"/>
          <w:lang w:eastAsia="zh-CN"/>
        </w:rPr>
        <w:t>。</w:t>
      </w:r>
    </w:p>
    <w:p w14:paraId="12666EB9">
      <w:pPr>
        <w:spacing w:line="578" w:lineRule="exact"/>
        <w:ind w:firstLine="640"/>
        <w:rPr>
          <w:rFonts w:eastAsia="仿宋_GB2312" w:cs="仿宋_GB2312"/>
          <w:kern w:val="0"/>
          <w:sz w:val="32"/>
          <w:szCs w:val="32"/>
        </w:rPr>
      </w:pPr>
      <w:bookmarkStart w:id="86" w:name="_Toc15396618"/>
    </w:p>
    <w:p w14:paraId="21A4F279">
      <w:pPr>
        <w:rPr>
          <w:rFonts w:hint="eastAsia" w:eastAsia="黑体"/>
          <w:sz w:val="44"/>
          <w:szCs w:val="44"/>
        </w:rPr>
      </w:pPr>
      <w:r>
        <w:rPr>
          <w:rFonts w:hint="eastAsia" w:eastAsia="黑体"/>
          <w:sz w:val="44"/>
          <w:szCs w:val="44"/>
        </w:rPr>
        <w:br w:type="page"/>
      </w:r>
    </w:p>
    <w:p w14:paraId="6E947944">
      <w:pPr>
        <w:widowControl/>
        <w:jc w:val="center"/>
        <w:outlineLvl w:val="0"/>
        <w:rPr>
          <w:rFonts w:eastAsia="仿宋"/>
        </w:rPr>
      </w:pPr>
      <w:bookmarkStart w:id="87" w:name="_Toc20258"/>
      <w:r>
        <w:rPr>
          <w:rFonts w:hint="eastAsia" w:eastAsia="黑体"/>
          <w:sz w:val="44"/>
          <w:szCs w:val="44"/>
        </w:rPr>
        <w:t>第</w:t>
      </w:r>
      <w:r>
        <w:rPr>
          <w:rStyle w:val="28"/>
          <w:rFonts w:hint="eastAsia" w:eastAsia="黑体"/>
          <w:b w:val="0"/>
        </w:rPr>
        <w:t>五部分 附表</w:t>
      </w:r>
      <w:bookmarkEnd w:id="83"/>
      <w:bookmarkEnd w:id="86"/>
      <w:bookmarkEnd w:id="87"/>
      <w:bookmarkStart w:id="88" w:name="_Toc15396619"/>
    </w:p>
    <w:p w14:paraId="030F79C1">
      <w:pPr>
        <w:pStyle w:val="14"/>
        <w:adjustRightInd w:val="0"/>
        <w:snapToGrid w:val="0"/>
        <w:spacing w:line="560" w:lineRule="exact"/>
        <w:jc w:val="left"/>
        <w:rPr>
          <w:rFonts w:eastAsia="仿宋_GB2312" w:cs="仿宋_GB2312"/>
          <w:sz w:val="32"/>
          <w:szCs w:val="32"/>
        </w:rPr>
      </w:pPr>
    </w:p>
    <w:p w14:paraId="435938A5">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88"/>
    </w:p>
    <w:p w14:paraId="6AD79F6B">
      <w:pPr>
        <w:pStyle w:val="14"/>
        <w:adjustRightInd w:val="0"/>
        <w:snapToGrid w:val="0"/>
        <w:spacing w:line="560" w:lineRule="exact"/>
        <w:jc w:val="left"/>
        <w:rPr>
          <w:rFonts w:eastAsia="仿宋_GB2312" w:cs="仿宋_GB2312"/>
          <w:sz w:val="32"/>
          <w:szCs w:val="32"/>
        </w:rPr>
      </w:pPr>
      <w:bookmarkStart w:id="89" w:name="_Toc15396620"/>
      <w:r>
        <w:rPr>
          <w:rFonts w:hint="eastAsia" w:eastAsia="仿宋_GB2312" w:cs="仿宋_GB2312"/>
          <w:sz w:val="32"/>
          <w:szCs w:val="32"/>
        </w:rPr>
        <w:t>二、收入决算表</w:t>
      </w:r>
      <w:bookmarkEnd w:id="89"/>
    </w:p>
    <w:p w14:paraId="317C226B">
      <w:pPr>
        <w:pStyle w:val="14"/>
        <w:adjustRightInd w:val="0"/>
        <w:snapToGrid w:val="0"/>
        <w:spacing w:line="560" w:lineRule="exact"/>
        <w:jc w:val="left"/>
        <w:rPr>
          <w:rFonts w:eastAsia="仿宋_GB2312" w:cs="仿宋_GB2312"/>
          <w:sz w:val="32"/>
          <w:szCs w:val="32"/>
        </w:rPr>
      </w:pPr>
      <w:bookmarkStart w:id="90" w:name="_Toc15396621"/>
      <w:r>
        <w:rPr>
          <w:rFonts w:hint="eastAsia" w:eastAsia="仿宋_GB2312" w:cs="仿宋_GB2312"/>
          <w:sz w:val="32"/>
          <w:szCs w:val="32"/>
        </w:rPr>
        <w:t>三、支出决算表</w:t>
      </w:r>
      <w:bookmarkEnd w:id="90"/>
    </w:p>
    <w:p w14:paraId="387CCE97">
      <w:pPr>
        <w:pStyle w:val="14"/>
        <w:adjustRightInd w:val="0"/>
        <w:snapToGrid w:val="0"/>
        <w:spacing w:line="560" w:lineRule="exact"/>
        <w:jc w:val="left"/>
        <w:rPr>
          <w:rFonts w:eastAsia="仿宋_GB2312" w:cs="仿宋_GB2312"/>
          <w:sz w:val="32"/>
          <w:szCs w:val="32"/>
        </w:rPr>
      </w:pPr>
      <w:bookmarkStart w:id="91" w:name="_Toc15396622"/>
      <w:r>
        <w:rPr>
          <w:rFonts w:hint="eastAsia" w:eastAsia="仿宋_GB2312" w:cs="仿宋_GB2312"/>
          <w:sz w:val="32"/>
          <w:szCs w:val="32"/>
        </w:rPr>
        <w:t>四、财政拨款收入支出决算总表</w:t>
      </w:r>
      <w:bookmarkEnd w:id="91"/>
    </w:p>
    <w:p w14:paraId="6A7B36E1">
      <w:pPr>
        <w:pStyle w:val="14"/>
        <w:adjustRightInd w:val="0"/>
        <w:snapToGrid w:val="0"/>
        <w:spacing w:line="560" w:lineRule="exact"/>
        <w:jc w:val="left"/>
        <w:rPr>
          <w:rFonts w:eastAsia="仿宋_GB2312" w:cs="仿宋_GB2312"/>
          <w:sz w:val="32"/>
          <w:szCs w:val="32"/>
        </w:rPr>
      </w:pPr>
      <w:bookmarkStart w:id="92" w:name="_Toc15396623"/>
      <w:r>
        <w:rPr>
          <w:rFonts w:hint="eastAsia" w:eastAsia="仿宋_GB2312" w:cs="仿宋_GB2312"/>
          <w:sz w:val="32"/>
          <w:szCs w:val="32"/>
        </w:rPr>
        <w:t>五、财政拨款支出决算明细表</w:t>
      </w:r>
      <w:bookmarkEnd w:id="92"/>
      <w:bookmarkStart w:id="93" w:name="_Toc15396624"/>
    </w:p>
    <w:p w14:paraId="3AA662AB">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93"/>
    </w:p>
    <w:p w14:paraId="0DB9870C">
      <w:pPr>
        <w:pStyle w:val="14"/>
        <w:adjustRightInd w:val="0"/>
        <w:snapToGrid w:val="0"/>
        <w:spacing w:line="560" w:lineRule="exact"/>
        <w:jc w:val="left"/>
        <w:rPr>
          <w:rFonts w:eastAsia="仿宋_GB2312" w:cs="仿宋_GB2312"/>
          <w:sz w:val="32"/>
          <w:szCs w:val="32"/>
        </w:rPr>
      </w:pPr>
      <w:bookmarkStart w:id="94" w:name="_Toc15396625"/>
      <w:r>
        <w:rPr>
          <w:rFonts w:hint="eastAsia" w:eastAsia="仿宋_GB2312" w:cs="仿宋_GB2312"/>
          <w:sz w:val="32"/>
          <w:szCs w:val="32"/>
        </w:rPr>
        <w:t>七、一般公共预算财政拨款支出决算明细表</w:t>
      </w:r>
      <w:bookmarkEnd w:id="94"/>
    </w:p>
    <w:p w14:paraId="16718FC2">
      <w:pPr>
        <w:pStyle w:val="14"/>
        <w:adjustRightInd w:val="0"/>
        <w:snapToGrid w:val="0"/>
        <w:spacing w:line="560" w:lineRule="exact"/>
        <w:jc w:val="left"/>
        <w:rPr>
          <w:rFonts w:eastAsia="仿宋_GB2312" w:cs="仿宋_GB2312"/>
          <w:sz w:val="32"/>
          <w:szCs w:val="32"/>
        </w:rPr>
      </w:pPr>
      <w:bookmarkStart w:id="95" w:name="_Toc15396626"/>
      <w:r>
        <w:rPr>
          <w:rFonts w:hint="eastAsia" w:eastAsia="仿宋_GB2312" w:cs="仿宋_GB2312"/>
          <w:sz w:val="32"/>
          <w:szCs w:val="32"/>
        </w:rPr>
        <w:t>八、一般公共预算财政拨款基本支出决算表</w:t>
      </w:r>
      <w:bookmarkEnd w:id="95"/>
    </w:p>
    <w:p w14:paraId="66594324">
      <w:pPr>
        <w:pStyle w:val="14"/>
        <w:adjustRightInd w:val="0"/>
        <w:snapToGrid w:val="0"/>
        <w:spacing w:line="560" w:lineRule="exact"/>
        <w:jc w:val="left"/>
        <w:rPr>
          <w:rFonts w:eastAsia="仿宋_GB2312" w:cs="仿宋_GB2312"/>
          <w:sz w:val="32"/>
          <w:szCs w:val="32"/>
        </w:rPr>
      </w:pPr>
      <w:bookmarkStart w:id="96" w:name="_Toc15396627"/>
      <w:r>
        <w:rPr>
          <w:rFonts w:hint="eastAsia" w:eastAsia="仿宋_GB2312" w:cs="仿宋_GB2312"/>
          <w:sz w:val="32"/>
          <w:szCs w:val="32"/>
        </w:rPr>
        <w:t>九、一般公共预算财政拨款项目支出决算表</w:t>
      </w:r>
      <w:bookmarkEnd w:id="96"/>
    </w:p>
    <w:p w14:paraId="13AE0D7E">
      <w:pPr>
        <w:pStyle w:val="14"/>
        <w:adjustRightInd w:val="0"/>
        <w:snapToGrid w:val="0"/>
        <w:spacing w:line="560" w:lineRule="exact"/>
        <w:jc w:val="left"/>
        <w:rPr>
          <w:rFonts w:eastAsia="仿宋_GB2312" w:cs="仿宋_GB2312"/>
          <w:sz w:val="32"/>
          <w:szCs w:val="32"/>
        </w:rPr>
      </w:pPr>
      <w:bookmarkStart w:id="97" w:name="_Toc15396628"/>
      <w:r>
        <w:rPr>
          <w:rFonts w:hint="eastAsia" w:eastAsia="仿宋_GB2312" w:cs="仿宋_GB2312"/>
          <w:sz w:val="32"/>
          <w:szCs w:val="32"/>
        </w:rPr>
        <w:t>十、</w:t>
      </w:r>
      <w:bookmarkEnd w:id="97"/>
      <w:r>
        <w:rPr>
          <w:rFonts w:hint="eastAsia" w:eastAsia="仿宋_GB2312" w:cs="仿宋_GB2312"/>
          <w:sz w:val="32"/>
          <w:szCs w:val="32"/>
        </w:rPr>
        <w:t>政府性基金预算财政拨款收入支出决算表</w:t>
      </w:r>
    </w:p>
    <w:p w14:paraId="1B081735">
      <w:pPr>
        <w:pStyle w:val="14"/>
        <w:adjustRightInd w:val="0"/>
        <w:snapToGrid w:val="0"/>
        <w:spacing w:line="560" w:lineRule="exact"/>
        <w:jc w:val="left"/>
        <w:rPr>
          <w:rFonts w:eastAsia="仿宋_GB2312" w:cs="仿宋_GB2312"/>
          <w:sz w:val="32"/>
          <w:szCs w:val="32"/>
        </w:rPr>
      </w:pPr>
      <w:bookmarkStart w:id="98" w:name="_Toc15396629"/>
      <w:r>
        <w:rPr>
          <w:rFonts w:hint="eastAsia" w:eastAsia="仿宋_GB2312" w:cs="仿宋_GB2312"/>
          <w:sz w:val="32"/>
          <w:szCs w:val="32"/>
        </w:rPr>
        <w:t>十一、</w:t>
      </w:r>
      <w:bookmarkEnd w:id="98"/>
      <w:r>
        <w:rPr>
          <w:rFonts w:hint="eastAsia" w:eastAsia="仿宋_GB2312" w:cs="仿宋_GB2312"/>
          <w:sz w:val="32"/>
          <w:szCs w:val="32"/>
        </w:rPr>
        <w:t>国有资本经营预算财政拨款收入支出决算表</w:t>
      </w:r>
    </w:p>
    <w:p w14:paraId="60260BBD">
      <w:pPr>
        <w:pStyle w:val="14"/>
        <w:adjustRightInd w:val="0"/>
        <w:snapToGrid w:val="0"/>
        <w:spacing w:line="560" w:lineRule="exact"/>
        <w:jc w:val="left"/>
        <w:rPr>
          <w:rFonts w:eastAsia="仿宋_GB2312" w:cs="仿宋_GB2312"/>
          <w:sz w:val="32"/>
          <w:szCs w:val="32"/>
        </w:rPr>
      </w:pPr>
      <w:bookmarkStart w:id="99" w:name="_Toc15396630"/>
      <w:r>
        <w:rPr>
          <w:rFonts w:hint="eastAsia" w:eastAsia="仿宋_GB2312" w:cs="仿宋_GB2312"/>
          <w:sz w:val="32"/>
          <w:szCs w:val="32"/>
        </w:rPr>
        <w:t>十二、</w:t>
      </w:r>
      <w:bookmarkEnd w:id="99"/>
      <w:r>
        <w:rPr>
          <w:rFonts w:hint="eastAsia" w:eastAsia="仿宋_GB2312" w:cs="仿宋_GB2312"/>
          <w:sz w:val="32"/>
          <w:szCs w:val="32"/>
        </w:rPr>
        <w:t>国有资本经营预算财政拨款支出决算表</w:t>
      </w:r>
    </w:p>
    <w:p w14:paraId="51797DDA">
      <w:pPr>
        <w:pStyle w:val="14"/>
        <w:adjustRightInd w:val="0"/>
        <w:snapToGrid w:val="0"/>
        <w:spacing w:line="560" w:lineRule="exact"/>
        <w:jc w:val="left"/>
        <w:rPr>
          <w:rFonts w:eastAsia="仿宋_GB2312" w:cs="仿宋_GB2312"/>
          <w:sz w:val="32"/>
          <w:szCs w:val="32"/>
        </w:rPr>
      </w:pPr>
      <w:bookmarkStart w:id="100" w:name="_Toc15396631"/>
      <w:r>
        <w:rPr>
          <w:rFonts w:hint="eastAsia" w:eastAsia="仿宋_GB2312" w:cs="仿宋_GB2312"/>
          <w:sz w:val="32"/>
          <w:szCs w:val="32"/>
        </w:rPr>
        <w:t>十三、</w:t>
      </w:r>
      <w:bookmarkEnd w:id="100"/>
      <w:r>
        <w:rPr>
          <w:rFonts w:hint="eastAsia" w:eastAsia="仿宋_GB2312" w:cs="仿宋_GB2312"/>
          <w:sz w:val="32"/>
          <w:szCs w:val="32"/>
        </w:rPr>
        <w:t>财政拨款“三公”经费支出决算表</w:t>
      </w:r>
    </w:p>
    <w:p w14:paraId="4E679D83"/>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1A6FAE-2799-4712-B7E4-46CFD9D0674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embedRegular r:id="rId2" w:fontKey="{6C6A92B5-A1DD-4688-A453-9A88F78E8BBB}"/>
  </w:font>
  <w:font w:name="仿宋">
    <w:panose1 w:val="02010609060101010101"/>
    <w:charset w:val="86"/>
    <w:family w:val="modern"/>
    <w:pitch w:val="default"/>
    <w:sig w:usb0="800002BF" w:usb1="38CF7CFA" w:usb2="00000016" w:usb3="00000000" w:csb0="00040001" w:csb1="00000000"/>
    <w:embedRegular r:id="rId3" w:fontKey="{A4891150-520F-4F1D-A6ED-053B5E9DCE63}"/>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E0000" w:usb2="00000000" w:usb3="00000000" w:csb0="00040000" w:csb1="00000000"/>
    <w:embedRegular r:id="rId4" w:fontKey="{5ADFD6FD-929B-40C3-950B-74E8B4989CF6}"/>
  </w:font>
  <w:font w:name="楷体_GB2312">
    <w:altName w:val="楷体"/>
    <w:panose1 w:val="02010609030101010101"/>
    <w:charset w:val="86"/>
    <w:family w:val="modern"/>
    <w:pitch w:val="default"/>
    <w:sig w:usb0="00000000" w:usb1="00000000" w:usb2="00000010" w:usb3="00000000" w:csb0="00040000" w:csb1="00000000"/>
    <w:embedRegular r:id="rId5" w:fontKey="{92623CB6-62DB-4557-AE40-606EE90A517A}"/>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3FE70">
    <w:pPr>
      <w:pStyle w:val="11"/>
      <w:jc w:val="center"/>
    </w:pPr>
  </w:p>
  <w:p w14:paraId="38F8AC4D">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3F8E9">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2DB76">
    <w:pPr>
      <w:pStyle w:val="11"/>
      <w:jc w:val="center"/>
    </w:pPr>
  </w:p>
  <w:p w14:paraId="0A9B7532">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F40EB">
    <w:pPr>
      <w:pStyle w:val="11"/>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6F7FF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B6F7FF6">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0B21E47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AEE21">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1E2CB6"/>
    <w:multiLevelType w:val="singleLevel"/>
    <w:tmpl w:val="EE1E2CB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1E3702"/>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BA3072"/>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82938F1"/>
    <w:rsid w:val="29033290"/>
    <w:rsid w:val="29FD04D3"/>
    <w:rsid w:val="2A882BFC"/>
    <w:rsid w:val="2BFF7BC6"/>
    <w:rsid w:val="2C8A61B5"/>
    <w:rsid w:val="2D2E01CF"/>
    <w:rsid w:val="2DF04E50"/>
    <w:rsid w:val="2E9545B0"/>
    <w:rsid w:val="2F040D46"/>
    <w:rsid w:val="2FAE5751"/>
    <w:rsid w:val="2FB1A395"/>
    <w:rsid w:val="2FD9A7D8"/>
    <w:rsid w:val="30043BDC"/>
    <w:rsid w:val="319F7F4E"/>
    <w:rsid w:val="321B2544"/>
    <w:rsid w:val="3304709D"/>
    <w:rsid w:val="33364BF8"/>
    <w:rsid w:val="34281836"/>
    <w:rsid w:val="349D6851"/>
    <w:rsid w:val="357A5672"/>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887504C"/>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16E2381"/>
    <w:rsid w:val="62BF3928"/>
    <w:rsid w:val="647F5392"/>
    <w:rsid w:val="664B1D71"/>
    <w:rsid w:val="67AA3209"/>
    <w:rsid w:val="681C4F0D"/>
    <w:rsid w:val="69046D0F"/>
    <w:rsid w:val="698D0931"/>
    <w:rsid w:val="6A1A05A2"/>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53908"/>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D75E97"/>
    <w:rsid w:val="7AFA0C33"/>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link w:val="35"/>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3"/>
    <w:qFormat/>
    <w:uiPriority w:val="99"/>
    <w:rPr>
      <w:rFonts w:ascii="仿宋_GB2312"/>
      <w:kern w:val="2"/>
      <w:sz w:val="21"/>
      <w:szCs w:val="32"/>
    </w:rPr>
  </w:style>
  <w:style w:type="paragraph" w:customStyle="1" w:styleId="36">
    <w:name w:val="WPSOffice手动目录 1"/>
    <w:qFormat/>
    <w:uiPriority w:val="0"/>
    <w:pPr>
      <w:ind w:leftChars="0"/>
    </w:pPr>
    <w:rPr>
      <w:rFonts w:ascii="Times New Roman" w:hAnsi="Times New Roman" w:eastAsia="宋体" w:cs="Times New Roman"/>
      <w:sz w:val="20"/>
      <w:szCs w:val="20"/>
    </w:rPr>
  </w:style>
  <w:style w:type="paragraph" w:customStyle="1" w:styleId="37">
    <w:name w:val="WPSOffice手动目录 2"/>
    <w:qFormat/>
    <w:uiPriority w:val="0"/>
    <w:pPr>
      <w:ind w:leftChars="200"/>
    </w:pPr>
    <w:rPr>
      <w:rFonts w:ascii="Times New Roman" w:hAnsi="Times New Roman" w:eastAsia="宋体" w:cs="Times New Roman"/>
      <w:sz w:val="20"/>
      <w:szCs w:val="20"/>
    </w:rPr>
  </w:style>
  <w:style w:type="paragraph" w:customStyle="1" w:styleId="38">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manualLayout>
          <c:layoutTarget val="inner"/>
          <c:xMode val="edge"/>
          <c:yMode val="edge"/>
          <c:x val="0.0756319514661274"/>
          <c:y val="0.177705223880597"/>
          <c:w val="0.890423226924744"/>
          <c:h val="0.603871268656716"/>
        </c:manualLayout>
      </c:layout>
      <c:barChart>
        <c:barDir val="col"/>
        <c:grouping val="clustered"/>
        <c:varyColors val="0"/>
        <c:ser>
          <c:idx val="0"/>
          <c:order val="0"/>
          <c:tx>
            <c:strRef>
              <c:f>Sheet1!$B$1</c:f>
              <c:strCache>
                <c:ptCount val="1"/>
                <c:pt idx="0">
                  <c:v>收入</c:v>
                </c:pt>
              </c:strCache>
            </c:strRef>
          </c:tx>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invertIfNegative val="0"/>
          <c:dPt>
            <c:idx val="0"/>
            <c:invertIfNegative val="0"/>
            <c:bubble3D val="0"/>
          </c:dPt>
          <c:dPt>
            <c:idx val="1"/>
            <c:invertIfNegative val="0"/>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141.02</c:v>
                </c:pt>
                <c:pt idx="1">
                  <c:v>123.99</c:v>
                </c:pt>
              </c:numCache>
            </c:numRef>
          </c:val>
        </c:ser>
        <c:ser>
          <c:idx val="1"/>
          <c:order val="1"/>
          <c:tx>
            <c:strRef>
              <c:f>Sheet1!$C$1</c:f>
              <c:strCache>
                <c:ptCount val="1"/>
                <c:pt idx="0">
                  <c:v>支出</c:v>
                </c:pt>
              </c:strCache>
            </c:strRef>
          </c:tx>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a:outerShdw blurRad="76200" dist="25400" dir="2700000" algn="tl" rotWithShape="0">
                <a:schemeClr val="accent5">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Sheet1!$C$2:$C$3</c:f>
              <c:numCache>
                <c:formatCode>General</c:formatCode>
                <c:ptCount val="2"/>
                <c:pt idx="0">
                  <c:v>141.02</c:v>
                </c:pt>
                <c:pt idx="1">
                  <c:v>123.99</c:v>
                </c:pt>
              </c:numCache>
            </c:numRef>
          </c:val>
        </c:ser>
        <c:dLbls>
          <c:showLegendKey val="0"/>
          <c:showVal val="1"/>
          <c:showCatName val="0"/>
          <c:showSerName val="0"/>
          <c:showPercent val="1"/>
          <c:showBubbleSize val="0"/>
        </c:dLbls>
        <c:gapWidth val="246"/>
        <c:overlap val="-28"/>
        <c:axId val="493392593"/>
        <c:axId val="518388401"/>
      </c:barChart>
      <c:catAx>
        <c:axId val="493392593"/>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8388401"/>
        <c:crosses val="autoZero"/>
        <c:auto val="1"/>
        <c:lblAlgn val="ctr"/>
        <c:lblOffset val="100"/>
        <c:noMultiLvlLbl val="0"/>
      </c:catAx>
      <c:valAx>
        <c:axId val="51838840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33925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2a44764-a32a-4850-a210-5d5ac3aa81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列1</c:v>
                </c:pt>
              </c:strCache>
            </c:strRef>
          </c:tx>
          <c:spPr/>
          <c:explosion val="0"/>
          <c:dPt>
            <c:idx val="0"/>
            <c:bubble3D val="0"/>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141.02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2a44764-a32a-4850-a210-5d5ac3aa81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dPt>
          <c:dPt>
            <c:idx val="1"/>
            <c:bubble3D val="0"/>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a:outerShdw blurRad="76200" dist="25400" dir="2700000" algn="tl" rotWithShape="0">
                  <a:schemeClr val="accent5">
                    <a:lumMod val="50000"/>
                    <a:alpha val="30000"/>
                  </a:schemeClr>
                </a:outerShdw>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138.02</c:v>
                </c:pt>
                <c:pt idx="1">
                  <c:v>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2a44764-a32a-4850-a210-5d5ac3aa81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invertIfNegative val="0"/>
          <c:dPt>
            <c:idx val="0"/>
            <c:invertIfNegative val="0"/>
            <c:bubble3D val="0"/>
          </c:dPt>
          <c:dPt>
            <c:idx val="1"/>
            <c:invertIfNegative val="0"/>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141.02</c:v>
                </c:pt>
                <c:pt idx="1">
                  <c:v>123.99</c:v>
                </c:pt>
              </c:numCache>
            </c:numRef>
          </c:val>
        </c:ser>
        <c:ser>
          <c:idx val="1"/>
          <c:order val="1"/>
          <c:tx>
            <c:strRef>
              <c:f>Sheet1!$C$1</c:f>
              <c:strCache>
                <c:ptCount val="1"/>
                <c:pt idx="0">
                  <c:v>支出</c:v>
                </c:pt>
              </c:strCache>
            </c:strRef>
          </c:tx>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a:outerShdw blurRad="76200" dist="25400" dir="2700000" algn="tl" rotWithShape="0">
                <a:schemeClr val="accent5">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Sheet1!$C$2:$C$3</c:f>
              <c:numCache>
                <c:formatCode>General</c:formatCode>
                <c:ptCount val="2"/>
                <c:pt idx="0">
                  <c:v>141.02</c:v>
                </c:pt>
                <c:pt idx="1">
                  <c:v>123.99</c:v>
                </c:pt>
              </c:numCache>
            </c:numRef>
          </c:val>
        </c:ser>
        <c:dLbls>
          <c:showLegendKey val="0"/>
          <c:showVal val="1"/>
          <c:showCatName val="0"/>
          <c:showSerName val="0"/>
          <c:showPercent val="1"/>
          <c:showBubbleSize val="0"/>
        </c:dLbls>
        <c:gapWidth val="246"/>
        <c:overlap val="-28"/>
        <c:axId val="493392593"/>
        <c:axId val="518388401"/>
      </c:barChart>
      <c:catAx>
        <c:axId val="493392593"/>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8388401"/>
        <c:crosses val="autoZero"/>
        <c:auto val="1"/>
        <c:lblAlgn val="ctr"/>
        <c:lblOffset val="100"/>
        <c:noMultiLvlLbl val="0"/>
      </c:catAx>
      <c:valAx>
        <c:axId val="51838840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33925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2a44764-a32a-4850-a210-5d5ac3aa81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支出</c:v>
                </c:pt>
              </c:strCache>
            </c:strRef>
          </c:tx>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invertIfNegative val="0"/>
          <c:dPt>
            <c:idx val="0"/>
            <c:invertIfNegative val="0"/>
            <c:bubble3D val="0"/>
          </c:dPt>
          <c:dPt>
            <c:idx val="1"/>
            <c:invertIfNegative val="0"/>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141.02</c:v>
                </c:pt>
                <c:pt idx="1">
                  <c:v>123.99</c:v>
                </c:pt>
              </c:numCache>
            </c:numRef>
          </c:val>
        </c:ser>
        <c:dLbls>
          <c:showLegendKey val="0"/>
          <c:showVal val="1"/>
          <c:showCatName val="0"/>
          <c:showSerName val="0"/>
          <c:showPercent val="1"/>
          <c:showBubbleSize val="0"/>
        </c:dLbls>
        <c:gapWidth val="246"/>
        <c:overlap val="-28"/>
        <c:axId val="493392593"/>
        <c:axId val="518388401"/>
      </c:barChart>
      <c:catAx>
        <c:axId val="493392593"/>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8388401"/>
        <c:crosses val="autoZero"/>
        <c:auto val="1"/>
        <c:lblAlgn val="ctr"/>
        <c:lblOffset val="100"/>
        <c:noMultiLvlLbl val="0"/>
      </c:catAx>
      <c:valAx>
        <c:axId val="51838840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33925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2a44764-a32a-4850-a210-5d5ac3aa81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dPt>
          <c:dPt>
            <c:idx val="1"/>
            <c:bubble3D val="0"/>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a:outerShdw blurRad="76200" dist="25400" dir="2700000" algn="tl" rotWithShape="0">
                  <a:schemeClr val="accent5">
                    <a:lumMod val="50000"/>
                    <a:alpha val="30000"/>
                  </a:schemeClr>
                </a:outerShdw>
              </a:effectLst>
            </c:spPr>
          </c:dPt>
          <c:dPt>
            <c:idx val="2"/>
            <c:bubble3D val="0"/>
            <c:spPr>
              <a:gradFill>
                <a:gsLst>
                  <a:gs pos="0">
                    <a:schemeClr val="accent4">
                      <a:lumMod val="40000"/>
                      <a:lumOff val="60000"/>
                    </a:schemeClr>
                  </a:gs>
                  <a:gs pos="90000">
                    <a:schemeClr val="accent4"/>
                  </a:gs>
                </a:gsLst>
                <a:lin ang="5400000" scaled="0"/>
              </a:gradFill>
              <a:ln>
                <a:gradFill>
                  <a:gsLst>
                    <a:gs pos="0">
                      <a:schemeClr val="accent4"/>
                    </a:gs>
                    <a:gs pos="100000">
                      <a:schemeClr val="accent4">
                        <a:lumMod val="75000"/>
                      </a:schemeClr>
                    </a:gs>
                  </a:gsLst>
                  <a:lin ang="5400000" scaled="1"/>
                </a:gradFill>
              </a:ln>
              <a:effectLst>
                <a:outerShdw blurRad="76200" dist="25400" dir="2700000" algn="tl" rotWithShape="0">
                  <a:schemeClr val="accent4">
                    <a:lumMod val="50000"/>
                    <a:alpha val="30000"/>
                  </a:schemeClr>
                </a:outerShdw>
              </a:effectLst>
            </c:spPr>
          </c:dPt>
          <c:dPt>
            <c:idx val="3"/>
            <c:bubble3D val="0"/>
            <c:spPr>
              <a:gradFill>
                <a:gsLst>
                  <a:gs pos="0">
                    <a:schemeClr val="accent6">
                      <a:lumMod val="60000"/>
                      <a:lumMod val="40000"/>
                      <a:lumOff val="60000"/>
                    </a:schemeClr>
                  </a:gs>
                  <a:gs pos="90000">
                    <a:schemeClr val="accent6">
                      <a:lumMod val="60000"/>
                    </a:schemeClr>
                  </a:gs>
                </a:gsLst>
                <a:lin ang="5400000" scaled="0"/>
              </a:gradFill>
              <a:ln>
                <a:gradFill>
                  <a:gsLst>
                    <a:gs pos="0">
                      <a:schemeClr val="accent6">
                        <a:lumMod val="60000"/>
                      </a:schemeClr>
                    </a:gs>
                    <a:gs pos="100000">
                      <a:schemeClr val="accent6">
                        <a:lumMod val="60000"/>
                        <a:lumMod val="75000"/>
                      </a:schemeClr>
                    </a:gs>
                  </a:gsLst>
                  <a:lin ang="5400000" scaled="1"/>
                </a:gradFill>
              </a:ln>
              <a:effectLst>
                <a:outerShdw blurRad="76200" dist="25400" dir="2700000" algn="tl" rotWithShape="0">
                  <a:schemeClr val="accent6">
                    <a:lumMod val="60000"/>
                    <a:lumMod val="50000"/>
                    <a:alpha val="30000"/>
                  </a:schemeClr>
                </a:outerShdw>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97</c:v>
                </c:pt>
                <c:pt idx="1">
                  <c:v>26.93</c:v>
                </c:pt>
                <c:pt idx="2">
                  <c:v>7.73</c:v>
                </c:pt>
                <c:pt idx="3">
                  <c:v>9.36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2a44764-a32a-4850-a210-5d5ac3aa81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1334</Words>
  <Characters>7606</Characters>
  <Lines>63</Lines>
  <Paragraphs>17</Paragraphs>
  <TotalTime>5</TotalTime>
  <ScaleCrop>false</ScaleCrop>
  <LinksUpToDate>false</LinksUpToDate>
  <CharactersWithSpaces>8923</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自已</cp:lastModifiedBy>
  <cp:lastPrinted>2026-08-27T00:27:00Z</cp:lastPrinted>
  <dcterms:modified xsi:type="dcterms:W3CDTF">2026-09-04T02:22:50Z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3BF536824C220DA3E40E8B68BA118B1C_42</vt:lpwstr>
  </property>
</Properties>
</file>