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93"/>
        <w:rPr>
          <w:rFonts w:ascii="Times New Roman" w:eastAsia="方正小标宋简体"/>
          <w:kern w:val="2"/>
          <w:sz w:val="72"/>
          <w:szCs w:val="72"/>
        </w:rPr>
      </w:pPr>
      <w:bookmarkStart w:id="0" w:name="_Toc15377193"/>
      <w:bookmarkStart w:id="1" w:name="_Toc15396597"/>
      <w:bookmarkStart w:id="2" w:name="_Toc15396475"/>
      <w:bookmarkStart w:id="3" w:name="_Toc15377425"/>
      <w:bookmarkStart w:id="4" w:name="_Toc15378441"/>
      <w:bookmarkStart w:id="5" w:name="_Toc15306267"/>
    </w:p>
    <w:p>
      <w:pPr>
        <w:pStyle w:val="2"/>
        <w:spacing w:before="93"/>
        <w:rPr>
          <w:rFonts w:hint="eastAsia" w:ascii="Times New Roman" w:eastAsia="方正小标宋简体"/>
          <w:kern w:val="2"/>
          <w:sz w:val="72"/>
          <w:szCs w:val="72"/>
        </w:rPr>
      </w:pPr>
    </w:p>
    <w:p>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2025年度市级部门决算</w:t>
      </w:r>
    </w:p>
    <w:p>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rPr>
        <w:t>公开编制说明</w:t>
      </w:r>
    </w:p>
    <w:p>
      <w:pPr>
        <w:spacing w:line="600" w:lineRule="exact"/>
        <w:jc w:val="center"/>
        <w:outlineLvl w:val="0"/>
        <w:rPr>
          <w:rFonts w:eastAsia="方正小标宋简体"/>
          <w:sz w:val="72"/>
          <w:szCs w:val="72"/>
        </w:rPr>
      </w:pPr>
    </w:p>
    <w:p>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bookmarkEnd w:id="0"/>
    <w:bookmarkEnd w:id="1"/>
    <w:bookmarkEnd w:id="2"/>
    <w:bookmarkEnd w:id="3"/>
    <w:bookmarkEnd w:id="4"/>
    <w:p>
      <w:pPr>
        <w:pStyle w:val="2"/>
        <w:spacing w:before="93"/>
        <w:jc w:val="center"/>
        <w:rPr>
          <w:rFonts w:hint="eastAsia" w:ascii="Times New Roman" w:eastAsia="方正小标宋简体"/>
          <w:kern w:val="2"/>
          <w:sz w:val="44"/>
          <w:szCs w:val="44"/>
          <w:lang w:val="en-US" w:eastAsia="zh-CN"/>
        </w:rPr>
      </w:pPr>
      <w:bookmarkStart w:id="6" w:name="_Toc15377426"/>
      <w:bookmarkStart w:id="7" w:name="_Toc15396476"/>
      <w:bookmarkStart w:id="8" w:name="_Toc15377194"/>
      <w:bookmarkStart w:id="9" w:name="_Toc15378442"/>
      <w:bookmarkStart w:id="10" w:name="_Toc15396598"/>
      <w:r>
        <w:rPr>
          <w:rFonts w:hint="eastAsia" w:ascii="Times New Roman" w:eastAsia="方正小标宋简体"/>
          <w:kern w:val="2"/>
          <w:sz w:val="44"/>
          <w:szCs w:val="44"/>
        </w:rPr>
        <w:t>2025年度攀枝花市</w:t>
      </w:r>
      <w:bookmarkEnd w:id="5"/>
      <w:bookmarkStart w:id="11" w:name="_Toc15306268"/>
      <w:r>
        <w:rPr>
          <w:rFonts w:hint="eastAsia" w:ascii="Times New Roman" w:eastAsia="方正小标宋简体"/>
          <w:kern w:val="2"/>
          <w:sz w:val="44"/>
          <w:szCs w:val="44"/>
          <w:lang w:val="en-US" w:eastAsia="zh-CN"/>
        </w:rPr>
        <w:t>人民政府办公室</w:t>
      </w:r>
    </w:p>
    <w:p>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bookmarkEnd w:id="6"/>
      <w:bookmarkEnd w:id="7"/>
      <w:bookmarkEnd w:id="8"/>
      <w:bookmarkEnd w:id="9"/>
      <w:bookmarkEnd w:id="10"/>
      <w:bookmarkEnd w:id="11"/>
    </w:p>
    <w:p>
      <w:pPr>
        <w:widowControl/>
        <w:jc w:val="center"/>
        <w:rPr>
          <w:rFonts w:eastAsia="黑体"/>
          <w:sz w:val="48"/>
          <w:szCs w:val="48"/>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pPr>
        <w:widowControl/>
        <w:jc w:val="center"/>
        <w:rPr>
          <w:rFonts w:hint="eastAsia" w:eastAsia="黑体"/>
          <w:sz w:val="48"/>
          <w:szCs w:val="48"/>
        </w:rPr>
      </w:pPr>
      <w:r>
        <w:rPr>
          <w:rFonts w:hint="eastAsia" w:eastAsia="黑体"/>
          <w:sz w:val="48"/>
          <w:szCs w:val="48"/>
        </w:rPr>
        <w:t>目录</w:t>
      </w:r>
    </w:p>
    <w:p>
      <w:pPr>
        <w:pStyle w:val="2"/>
      </w:pPr>
    </w:p>
    <w:p>
      <w:pPr>
        <w:pStyle w:val="11"/>
        <w:keepNext w:val="0"/>
        <w:keepLines w:val="0"/>
        <w:pageBreakBefore w:val="0"/>
        <w:kinsoku/>
        <w:wordWrap/>
        <w:overflowPunct/>
        <w:topLinePunct w:val="0"/>
        <w:autoSpaceDE/>
        <w:autoSpaceDN/>
        <w:bidi w:val="0"/>
        <w:adjustRightInd/>
        <w:snapToGrid/>
        <w:spacing w:line="35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w:t>
      </w:r>
      <w:r>
        <w:rPr>
          <w:rFonts w:hint="default" w:ascii="Times New Roman" w:hAnsi="Times New Roman" w:eastAsia="仿宋_GB2312" w:cs="仿宋_GB2312"/>
          <w:sz w:val="32"/>
          <w:szCs w:val="32"/>
          <w:lang w:val="en" w:eastAsia="zh-CN"/>
        </w:rPr>
        <w:t>5</w:t>
      </w:r>
      <w:bookmarkStart w:id="201" w:name="_GoBack"/>
      <w:bookmarkEnd w:id="201"/>
      <w:r>
        <w:rPr>
          <w:rFonts w:hint="eastAsia" w:ascii="Times New Roman" w:hAnsi="Times New Roman" w:eastAsia="仿宋_GB2312" w:cs="仿宋_GB2312"/>
          <w:sz w:val="32"/>
          <w:szCs w:val="32"/>
        </w:rPr>
        <w:t xml:space="preserve"> 日</w:t>
      </w:r>
    </w:p>
    <w:sdt>
      <w:sdtPr>
        <w:rPr>
          <w:rFonts w:ascii="宋体" w:hAnsi="宋体" w:eastAsia="宋体" w:cs="Times New Roman"/>
          <w:kern w:val="2"/>
          <w:sz w:val="21"/>
          <w:szCs w:val="24"/>
          <w:lang w:val="en-US" w:eastAsia="zh-CN" w:bidi="ar-SA"/>
        </w:rPr>
        <w:id w:val="148053218"/>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pPr>
            <w:pStyle w:val="37"/>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bookmarkStart w:id="12" w:name="_Toc1509670989_WPSOffice_Type3"/>
          <w:r>
            <w:fldChar w:fldCharType="begin"/>
          </w:r>
          <w:r>
            <w:instrText xml:space="preserve"> HYPERLINK \l _Toc157487692_WPSOffice_Level1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9161743c-0f33-44cd-a3d0-46abdf9e6f06}"/>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方正小标宋简体" w:cs="方正小标宋简体"/>
                </w:rPr>
                <w:t>第一部分  部门概况</w:t>
              </w:r>
            </w:sdtContent>
          </w:sdt>
          <w:r>
            <w:tab/>
          </w:r>
          <w:bookmarkStart w:id="13" w:name="_Toc157487692_WPSOffice_Level1Page"/>
          <w:r>
            <w:t>1</w:t>
          </w:r>
          <w:bookmarkEnd w:id="13"/>
          <w:r>
            <w:fldChar w:fldCharType="end"/>
          </w:r>
        </w:p>
        <w:p>
          <w:pPr>
            <w:pStyle w:val="38"/>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_Toc1509670989_WPSOffice_Level2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d74bcac2-e2fc-4e89-934c-7f0f4bc220dd}"/>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heme="majorBidi"/>
                </w:rPr>
                <w:t>一、 部门职责</w:t>
              </w:r>
            </w:sdtContent>
          </w:sdt>
          <w:r>
            <w:tab/>
          </w:r>
          <w:bookmarkStart w:id="14" w:name="_Toc1509670989_WPSOffice_Level2Page"/>
          <w:r>
            <w:t>1</w:t>
          </w:r>
          <w:bookmarkEnd w:id="14"/>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_Toc1509670989_WPSOffice_Level3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412ab667-5fa4-44c2-8967-4a9cd5268e82}"/>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楷体_GB2312" w:cs="Times New Roman"/>
                </w:rPr>
                <w:t>（一）市政府办公室职能简介。</w:t>
              </w:r>
            </w:sdtContent>
          </w:sdt>
          <w:r>
            <w:tab/>
          </w:r>
          <w:bookmarkStart w:id="15" w:name="_Toc1509670989_WPSOffice_Level3Page"/>
          <w:r>
            <w:t>1</w:t>
          </w:r>
          <w:bookmarkEnd w:id="15"/>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_Toc1695759650_WPSOffice_Level3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e1d0cea4-510d-41b0-8847-fbc711709a46}"/>
              </w:placeholder>
            </w:sdtPr>
            <w:sdtEndPr>
              <w:rPr>
                <w:rFonts w:ascii="Times New Roman" w:hAnsi="Times New Roman" w:eastAsia="宋体" w:cs="Times New Roman"/>
                <w:b/>
                <w:bCs/>
                <w:kern w:val="44"/>
                <w:sz w:val="44"/>
                <w:szCs w:val="44"/>
                <w:lang w:val="en-US" w:eastAsia="zh-CN" w:bidi="ar-SA"/>
              </w:rPr>
            </w:sdtEndPr>
            <w:sdtContent>
              <w:r>
                <w:rPr>
                  <w:rFonts w:hint="default" w:ascii="Times New Roman" w:hAnsi="Times New Roman" w:eastAsia="楷体_GB2312" w:cs="Times New Roman"/>
                </w:rPr>
                <w:t>（二）市</w:t>
              </w:r>
              <w:r>
                <w:rPr>
                  <w:rFonts w:hint="eastAsia" w:ascii="Times New Roman" w:hAnsi="Times New Roman" w:eastAsia="楷体_GB2312" w:cs="Times New Roman"/>
                </w:rPr>
                <w:t>政府网站事务</w:t>
              </w:r>
              <w:r>
                <w:rPr>
                  <w:rFonts w:hint="default" w:ascii="Times New Roman" w:hAnsi="Times New Roman" w:eastAsia="楷体_GB2312" w:cs="Times New Roman"/>
                </w:rPr>
                <w:t>中心职能简介。</w:t>
              </w:r>
            </w:sdtContent>
          </w:sdt>
          <w:r>
            <w:tab/>
          </w:r>
          <w:bookmarkStart w:id="16" w:name="_Toc1695759650_WPSOffice_Level3Page"/>
          <w:r>
            <w:t>2</w:t>
          </w:r>
          <w:bookmarkEnd w:id="16"/>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_Toc703775249_WPSOffice_Level3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0d149023-fbd6-41ca-bc47-6c605d80ce01}"/>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楷体_GB2312" w:cs="Times New Roman"/>
                </w:rPr>
                <w:t>（三）市决策咨询服务中心职能简介。</w:t>
              </w:r>
            </w:sdtContent>
          </w:sdt>
          <w:r>
            <w:tab/>
          </w:r>
          <w:bookmarkStart w:id="17" w:name="_Toc703775249_WPSOffice_Level3Page"/>
          <w:r>
            <w:t>2</w:t>
          </w:r>
          <w:bookmarkEnd w:id="17"/>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_Toc2066157494_WPSOffice_Level3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aa624b35-35cc-4e49-91c9-a4278e8227be}"/>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楷体_GB2312" w:cs="Times New Roman"/>
                </w:rPr>
                <w:t>（四）市地方志编纂中心职能简介。</w:t>
              </w:r>
            </w:sdtContent>
          </w:sdt>
          <w:r>
            <w:tab/>
          </w:r>
          <w:bookmarkStart w:id="18" w:name="_Toc2066157494_WPSOffice_Level3Page"/>
          <w:r>
            <w:t>3</w:t>
          </w:r>
          <w:bookmarkEnd w:id="18"/>
          <w:r>
            <w:fldChar w:fldCharType="end"/>
          </w:r>
        </w:p>
        <w:p>
          <w:pPr>
            <w:pStyle w:val="38"/>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_Toc1695759650_WPSOffice_Level2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7ca025da-554b-468e-89a9-f561f2d38acb}"/>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heme="majorBidi"/>
                </w:rPr>
                <w:t>二、机构设置</w:t>
              </w:r>
            </w:sdtContent>
          </w:sdt>
          <w:r>
            <w:tab/>
          </w:r>
          <w:bookmarkStart w:id="19" w:name="_Toc1695759650_WPSOffice_Level2Page"/>
          <w:r>
            <w:t>3</w:t>
          </w:r>
          <w:bookmarkEnd w:id="19"/>
          <w:r>
            <w:fldChar w:fldCharType="end"/>
          </w:r>
        </w:p>
        <w:p>
          <w:pPr>
            <w:pStyle w:val="37"/>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_Toc1509670989_WPSOffice_Level1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cb6c5c3e-eeba-472e-82ac-4e457d3bbf17}"/>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方正小标宋简体" w:cs="方正小标宋简体"/>
                </w:rPr>
                <w:t>第二部分  2025年度部门决算情况说明</w:t>
              </w:r>
            </w:sdtContent>
          </w:sdt>
          <w:r>
            <w:tab/>
          </w:r>
          <w:bookmarkStart w:id="20" w:name="_Toc1509670989_WPSOffice_Level1Page"/>
          <w:r>
            <w:t>4</w:t>
          </w:r>
          <w:bookmarkEnd w:id="20"/>
          <w:r>
            <w:fldChar w:fldCharType="end"/>
          </w:r>
        </w:p>
        <w:p>
          <w:pPr>
            <w:pStyle w:val="38"/>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_Toc703775249_WPSOffice_Level2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dd1a4e2c-ca69-48b5-a81e-4fdb72b0f6e7}"/>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21" w:name="_Toc703775249_WPSOffice_Level2Page"/>
          <w:r>
            <w:t>4</w:t>
          </w:r>
          <w:bookmarkEnd w:id="21"/>
          <w:r>
            <w:fldChar w:fldCharType="end"/>
          </w:r>
          <w:r>
            <w:fldChar w:fldCharType="begin"/>
          </w:r>
          <w:r>
            <w:instrText xml:space="preserve"> HYPERLINK \l _Toc1498906798_WPSOffice_Level3 </w:instrText>
          </w:r>
          <w:r>
            <w:fldChar w:fldCharType="separate"/>
          </w:r>
          <w:r>
            <w:fldChar w:fldCharType="end"/>
          </w:r>
        </w:p>
        <w:p>
          <w:pPr>
            <w:pStyle w:val="38"/>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_Toc2066157494_WPSOffice_Level2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678e5aec-a7b8-414c-8e83-9c995d9a70da}"/>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imes New Roman"/>
                </w:rPr>
                <w:t>二、收入决算情况说明</w:t>
              </w:r>
            </w:sdtContent>
          </w:sdt>
          <w:r>
            <w:tab/>
          </w:r>
          <w:bookmarkStart w:id="22" w:name="_Toc2066157494_WPSOffice_Level2Page"/>
          <w:r>
            <w:t>4</w:t>
          </w:r>
          <w:bookmarkEnd w:id="22"/>
          <w:r>
            <w:fldChar w:fldCharType="end"/>
          </w:r>
        </w:p>
        <w:p>
          <w:pPr>
            <w:pStyle w:val="38"/>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_Toc1997647953_WPSOffice_Level2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a0674819-7dad-4dd5-b142-be1d3349d13c}"/>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23" w:name="_Toc1997647953_WPSOffice_Level2Page"/>
          <w:r>
            <w:t>5</w:t>
          </w:r>
          <w:bookmarkEnd w:id="23"/>
          <w:r>
            <w:fldChar w:fldCharType="end"/>
          </w:r>
        </w:p>
        <w:p>
          <w:pPr>
            <w:pStyle w:val="38"/>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_Toc1498906798_WPSOffice_Level2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aae291b7-9550-4750-ad01-2180c1622b44}"/>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24" w:name="_Toc1498906798_WPSOffice_Level2Page"/>
          <w:r>
            <w:t>5</w:t>
          </w:r>
          <w:bookmarkEnd w:id="24"/>
          <w:r>
            <w:fldChar w:fldCharType="end"/>
          </w:r>
        </w:p>
        <w:p>
          <w:pPr>
            <w:pStyle w:val="38"/>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_Toc998199216_WPSOffice_Level2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cc299ada-00bd-4f9e-9988-adbd6f737e9c}"/>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25" w:name="_Toc998199216_WPSOffice_Level2Page"/>
          <w:r>
            <w:t>6</w:t>
          </w:r>
          <w:bookmarkEnd w:id="25"/>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_Toc289623237_WPSOffice_Level3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d99dcffc-4369-498b-961b-523c720dd972}"/>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楷体_GB2312" w:cs="楷体_GB2312"/>
                </w:rPr>
                <w:t>（一）一般公共预算财政拨款支出决算总体情况</w:t>
              </w:r>
            </w:sdtContent>
          </w:sdt>
          <w:r>
            <w:tab/>
          </w:r>
          <w:bookmarkStart w:id="26" w:name="_Toc289623237_WPSOffice_Level3Page"/>
          <w:r>
            <w:t>6</w:t>
          </w:r>
          <w:bookmarkEnd w:id="26"/>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_Toc58412032_WPSOffice_Level3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13c3f312-e0f7-4319-ac33-74493bbde066}"/>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楷体_GB2312" w:cs="楷体_GB2312"/>
                </w:rPr>
                <w:t>（二）一般公共预算财政拨款支出决算结构情况</w:t>
              </w:r>
            </w:sdtContent>
          </w:sdt>
          <w:r>
            <w:tab/>
          </w:r>
          <w:bookmarkStart w:id="27" w:name="_Toc58412032_WPSOffice_Level3Page"/>
          <w:r>
            <w:t>7</w:t>
          </w:r>
          <w:bookmarkEnd w:id="27"/>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_Toc589369360_WPSOffice_Level3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34cdd22c-0fbe-42b0-aa9a-1d3f0c2635dd}"/>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楷体_GB2312" w:cs="楷体_GB2312"/>
                </w:rPr>
                <w:t>（三）一般公共预算财政拨款支出决算具体情况</w:t>
              </w:r>
            </w:sdtContent>
          </w:sdt>
          <w:r>
            <w:tab/>
          </w:r>
          <w:bookmarkStart w:id="28" w:name="_Toc589369360_WPSOffice_Level3Page"/>
          <w:r>
            <w:t>7</w:t>
          </w:r>
          <w:bookmarkEnd w:id="28"/>
          <w:r>
            <w:fldChar w:fldCharType="end"/>
          </w:r>
        </w:p>
        <w:p>
          <w:pPr>
            <w:pStyle w:val="38"/>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_Toc1641788977_WPSOffice_Level2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b9f9a92e-877a-46e7-bfc7-dacc11626e54}"/>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29" w:name="_Toc1641788977_WPSOffice_Level2Page"/>
          <w:r>
            <w:t>9</w:t>
          </w:r>
          <w:bookmarkEnd w:id="29"/>
          <w:r>
            <w:fldChar w:fldCharType="end"/>
          </w:r>
        </w:p>
        <w:p>
          <w:pPr>
            <w:pStyle w:val="38"/>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_Toc1580639341_WPSOffice_Level2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97050acf-fbd0-41b5-977b-4e53940821d2}"/>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30" w:name="_Toc1580639341_WPSOffice_Level2Page"/>
          <w:r>
            <w:t>10</w:t>
          </w:r>
          <w:bookmarkEnd w:id="30"/>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_Toc96387894_WPSOffice_Level3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022dd7f4-5e30-46c0-b8d3-216a790f1c55}"/>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楷体_GB2312" w:cs="楷体_GB2312"/>
                </w:rPr>
                <w:t>（一）财政拨款“三公”经费支出决算总体情况说明</w:t>
              </w:r>
            </w:sdtContent>
          </w:sdt>
          <w:r>
            <w:tab/>
          </w:r>
          <w:bookmarkStart w:id="31" w:name="_Toc96387894_WPSOffice_Level3Page"/>
          <w:r>
            <w:t>10</w:t>
          </w:r>
          <w:bookmarkEnd w:id="31"/>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_Toc2078762813_WPSOffice_Level3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caabef1e-d8d9-4606-859a-4559b713e64e}"/>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楷体_GB2312" w:cs="楷体_GB2312"/>
                </w:rPr>
                <w:t>（二）财政拨款“三公”经费支出决算具体情况说明</w:t>
              </w:r>
            </w:sdtContent>
          </w:sdt>
          <w:r>
            <w:tab/>
          </w:r>
          <w:bookmarkStart w:id="32" w:name="_Toc2078762813_WPSOffice_Level3Page"/>
          <w:r>
            <w:t>10</w:t>
          </w:r>
          <w:bookmarkEnd w:id="32"/>
          <w:r>
            <w:fldChar w:fldCharType="end"/>
          </w:r>
        </w:p>
        <w:p>
          <w:pPr>
            <w:pStyle w:val="38"/>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_Toc289623237_WPSOffice_Level2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8b1ce47d-5538-40e9-ae04-021a5f1c063f}"/>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33" w:name="_Toc289623237_WPSOffice_Level2Page"/>
          <w:r>
            <w:t>12</w:t>
          </w:r>
          <w:bookmarkEnd w:id="33"/>
          <w:r>
            <w:fldChar w:fldCharType="end"/>
          </w:r>
        </w:p>
        <w:p>
          <w:pPr>
            <w:pStyle w:val="38"/>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_Toc58412032_WPSOffice_Level2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53a5dd70-1469-4b07-93b3-35ba7562729e}"/>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34" w:name="_Toc58412032_WPSOffice_Level2Page"/>
          <w:r>
            <w:t>12</w:t>
          </w:r>
          <w:bookmarkEnd w:id="34"/>
          <w:r>
            <w:fldChar w:fldCharType="end"/>
          </w:r>
        </w:p>
        <w:p>
          <w:pPr>
            <w:pStyle w:val="38"/>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_Toc153311004_WPSOffice_Level2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cd166964-045f-4bd8-a976-ae2901c491e8}"/>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heme="majorBidi"/>
                </w:rPr>
                <w:t>十、其他重要事项的情况说明</w:t>
              </w:r>
            </w:sdtContent>
          </w:sdt>
          <w:r>
            <w:tab/>
          </w:r>
          <w:bookmarkStart w:id="35" w:name="_Toc153311004_WPSOffice_Level2Page"/>
          <w:r>
            <w:t>12</w:t>
          </w:r>
          <w:bookmarkEnd w:id="35"/>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_Toc1050029287_WPSOffice_Level3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2895375f-afbb-4dbf-b941-d28d654d2965}"/>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楷体_GB2312" w:cs="楷体_GB2312"/>
                </w:rPr>
                <w:t>（一）机关运行经费支出情况</w:t>
              </w:r>
            </w:sdtContent>
          </w:sdt>
          <w:r>
            <w:tab/>
          </w:r>
          <w:bookmarkStart w:id="36" w:name="_Toc1050029287_WPSOffice_Level3Page"/>
          <w:r>
            <w:t>12</w:t>
          </w:r>
          <w:bookmarkEnd w:id="36"/>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_Toc983366248_WPSOffice_Level3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72cb7aaf-7ce9-4f38-8b42-33bad0a1dcdb}"/>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楷体_GB2312" w:cs="楷体_GB2312"/>
                </w:rPr>
                <w:t>（二）政府采购支出情况</w:t>
              </w:r>
            </w:sdtContent>
          </w:sdt>
          <w:r>
            <w:tab/>
          </w:r>
          <w:bookmarkStart w:id="37" w:name="_Toc983366248_WPSOffice_Level3Page"/>
          <w:r>
            <w:t>13</w:t>
          </w:r>
          <w:bookmarkEnd w:id="37"/>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_Toc1507143069_WPSOffice_Level3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79774fe7-76d7-4d0b-88a2-7165f5c1d6af}"/>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楷体_GB2312" w:cs="楷体_GB2312"/>
                </w:rPr>
                <w:t>（三）国有资产占有使用情况</w:t>
              </w:r>
            </w:sdtContent>
          </w:sdt>
          <w:r>
            <w:tab/>
          </w:r>
          <w:bookmarkStart w:id="38" w:name="_Toc1507143069_WPSOffice_Level3Page"/>
          <w:r>
            <w:t>13</w:t>
          </w:r>
          <w:bookmarkEnd w:id="38"/>
          <w:r>
            <w:fldChar w:fldCharType="end"/>
          </w:r>
        </w:p>
        <w:p>
          <w:pPr>
            <w:pStyle w:val="39"/>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_Toc896769491_WPSOffice_Level3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686b949c-807d-4768-8e36-fd14687df4b7}"/>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楷体_GB2312" w:cs="楷体_GB2312"/>
                </w:rPr>
                <w:t>（四）预算绩效管理情况</w:t>
              </w:r>
            </w:sdtContent>
          </w:sdt>
          <w:r>
            <w:tab/>
          </w:r>
          <w:bookmarkStart w:id="39" w:name="_Toc896769491_WPSOffice_Level3Page"/>
          <w:r>
            <w:t>13</w:t>
          </w:r>
          <w:bookmarkEnd w:id="39"/>
          <w:r>
            <w:fldChar w:fldCharType="end"/>
          </w:r>
        </w:p>
        <w:p>
          <w:pPr>
            <w:pStyle w:val="37"/>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_Toc1695759650_WPSOffice_Level1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392f6ab1-bfaa-44fa-929e-60ed62588672}"/>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imes New Roman"/>
                </w:rPr>
                <w:t>第三部分  名词解释</w:t>
              </w:r>
            </w:sdtContent>
          </w:sdt>
          <w:r>
            <w:tab/>
          </w:r>
          <w:bookmarkStart w:id="40" w:name="_Toc1695759650_WPSOffice_Level1Page"/>
          <w:r>
            <w:t>15</w:t>
          </w:r>
          <w:bookmarkEnd w:id="40"/>
          <w:r>
            <w:fldChar w:fldCharType="end"/>
          </w:r>
        </w:p>
        <w:p>
          <w:pPr>
            <w:pStyle w:val="37"/>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_Toc703775249_WPSOffice_Level1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d01d6b1b-aeb2-42a0-8714-a236d17beeb8}"/>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imes New Roman"/>
                </w:rPr>
                <w:t>第四部分  附件</w:t>
              </w:r>
            </w:sdtContent>
          </w:sdt>
          <w:r>
            <w:tab/>
          </w:r>
          <w:bookmarkStart w:id="41" w:name="_Toc703775249_WPSOffice_Level1Page"/>
          <w:r>
            <w:t>20</w:t>
          </w:r>
          <w:bookmarkEnd w:id="41"/>
          <w:r>
            <w:fldChar w:fldCharType="end"/>
          </w:r>
        </w:p>
        <w:p>
          <w:pPr>
            <w:pStyle w:val="37"/>
            <w:keepNext w:val="0"/>
            <w:keepLines w:val="0"/>
            <w:pageBreakBefore w:val="0"/>
            <w:widowControl/>
            <w:tabs>
              <w:tab w:val="right" w:leader="dot" w:pos="8306"/>
            </w:tabs>
            <w:kinsoku/>
            <w:wordWrap/>
            <w:overflowPunct/>
            <w:topLinePunct w:val="0"/>
            <w:autoSpaceDE/>
            <w:autoSpaceDN/>
            <w:bidi w:val="0"/>
            <w:adjustRightInd/>
            <w:snapToGrid/>
            <w:spacing w:line="390" w:lineRule="exact"/>
            <w:textAlignment w:val="auto"/>
          </w:pPr>
          <w:r>
            <w:fldChar w:fldCharType="begin"/>
          </w:r>
          <w:r>
            <w:instrText xml:space="preserve"> HYPERLINK \l _Toc2066157494_WPSOffice_Level1 </w:instrText>
          </w:r>
          <w:r>
            <w:fldChar w:fldCharType="separate"/>
          </w:r>
          <w:sdt>
            <w:sdtPr>
              <w:rPr>
                <w:rFonts w:ascii="Times New Roman" w:hAnsi="Times New Roman" w:eastAsia="宋体" w:cs="Times New Roman"/>
                <w:b/>
                <w:bCs/>
                <w:kern w:val="44"/>
                <w:sz w:val="44"/>
                <w:szCs w:val="44"/>
                <w:lang w:val="en-US" w:eastAsia="zh-CN" w:bidi="ar-SA"/>
              </w:rPr>
              <w:id w:val="148053218"/>
              <w:placeholder>
                <w:docPart w:val="{2178b5c6-62f5-4037-b954-4da7044085ac}"/>
              </w:placeholder>
            </w:sdtPr>
            <w:sdtEndPr>
              <w:rPr>
                <w:rFonts w:ascii="Times New Roman" w:hAnsi="Times New Roman" w:eastAsia="宋体" w:cs="Times New Roman"/>
                <w:b/>
                <w:bCs/>
                <w:kern w:val="44"/>
                <w:sz w:val="44"/>
                <w:szCs w:val="44"/>
                <w:lang w:val="en-US" w:eastAsia="zh-CN" w:bidi="ar-SA"/>
              </w:rPr>
            </w:sdtEndPr>
            <w:sdtContent>
              <w:r>
                <w:rPr>
                  <w:rFonts w:hint="eastAsia" w:ascii="Times New Roman" w:hAnsi="Times New Roman" w:eastAsia="黑体" w:cs="Times New Roman"/>
                </w:rPr>
                <w:t>第五部分 附表</w:t>
              </w:r>
            </w:sdtContent>
          </w:sdt>
          <w:r>
            <w:tab/>
          </w:r>
          <w:bookmarkStart w:id="42" w:name="_Toc2066157494_WPSOffice_Level1Page"/>
          <w:r>
            <w:t>26</w:t>
          </w:r>
          <w:bookmarkEnd w:id="42"/>
          <w:r>
            <w:fldChar w:fldCharType="end"/>
          </w:r>
        </w:p>
        <w:bookmarkEnd w:id="12"/>
        <w:p>
          <w:pPr>
            <w:pStyle w:val="38"/>
            <w:pageBreakBefore w:val="0"/>
            <w:tabs>
              <w:tab w:val="right" w:leader="dot" w:pos="8306"/>
            </w:tabs>
            <w:kinsoku/>
            <w:wordWrap/>
            <w:overflowPunct/>
            <w:topLinePunct w:val="0"/>
            <w:autoSpaceDE/>
            <w:autoSpaceDN/>
            <w:bidi w:val="0"/>
            <w:adjustRightInd/>
            <w:snapToGrid/>
            <w:spacing w:line="390" w:lineRule="exact"/>
            <w:textAlignment w:val="auto"/>
            <w:rPr>
              <w:rFonts w:hint="eastAsia" w:eastAsia="方正小标宋简体" w:cs="方正小标宋简体"/>
              <w:b w:val="0"/>
            </w:rPr>
            <w:sectPr>
              <w:footerReference r:id="rId8" w:type="first"/>
              <w:footerReference r:id="rId7" w:type="default"/>
              <w:pgSz w:w="11906" w:h="16838"/>
              <w:pgMar w:top="1440" w:right="1800" w:bottom="1440" w:left="1800" w:header="851" w:footer="992" w:gutter="0"/>
              <w:pgNumType w:start="1"/>
              <w:cols w:space="425" w:num="1"/>
              <w:docGrid w:type="lines" w:linePitch="312" w:charSpace="0"/>
            </w:sectPr>
          </w:pPr>
        </w:p>
      </w:sdtContent>
    </w:sdt>
    <w:p>
      <w:pPr>
        <w:pStyle w:val="4"/>
        <w:jc w:val="center"/>
        <w:rPr>
          <w:rFonts w:eastAsia="黑体"/>
          <w:sz w:val="32"/>
          <w:szCs w:val="32"/>
        </w:rPr>
      </w:pPr>
      <w:bookmarkStart w:id="43" w:name="_Toc157487692_WPSOffice_Level1"/>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43"/>
    </w:p>
    <w:p>
      <w:pPr>
        <w:pStyle w:val="5"/>
        <w:pageBreakBefore w:val="0"/>
        <w:widowControl w:val="0"/>
        <w:numPr>
          <w:ilvl w:val="0"/>
          <w:numId w:val="1"/>
        </w:numPr>
        <w:kinsoku/>
        <w:wordWrap/>
        <w:overflowPunct/>
        <w:topLinePunct w:val="0"/>
        <w:autoSpaceDE/>
        <w:autoSpaceDN/>
        <w:bidi w:val="0"/>
        <w:snapToGrid/>
        <w:spacing w:line="580" w:lineRule="exact"/>
        <w:textAlignment w:val="auto"/>
        <w:rPr>
          <w:rFonts w:hint="eastAsia" w:ascii="Times New Roman" w:hAnsi="Times New Roman" w:eastAsia="黑体"/>
          <w:b w:val="0"/>
        </w:rPr>
      </w:pPr>
      <w:bookmarkStart w:id="44" w:name="_Toc1509670989_WPSOffice_Level2"/>
      <w:r>
        <w:rPr>
          <w:rFonts w:hint="eastAsia" w:ascii="Times New Roman" w:hAnsi="Times New Roman" w:eastAsia="黑体"/>
          <w:b w:val="0"/>
        </w:rPr>
        <w:t>部门职责</w:t>
      </w:r>
      <w:bookmarkEnd w:id="44"/>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2" w:firstLineChars="200"/>
        <w:jc w:val="left"/>
        <w:textAlignment w:val="auto"/>
        <w:rPr>
          <w:rFonts w:hint="default" w:ascii="Times New Roman" w:hAnsi="Times New Roman" w:eastAsia="楷体_GB2312" w:cs="Times New Roman"/>
          <w:b/>
          <w:color w:val="auto"/>
          <w:kern w:val="2"/>
          <w:sz w:val="32"/>
          <w:szCs w:val="32"/>
          <w:highlight w:val="none"/>
          <w:lang w:val="en-US" w:eastAsia="zh-CN" w:bidi="ar-SA"/>
        </w:rPr>
      </w:pPr>
      <w:bookmarkStart w:id="45" w:name="_Toc2003080004_WPSOffice_Level2"/>
      <w:bookmarkStart w:id="46" w:name="_Toc915766624_WPSOffice_Level3"/>
      <w:bookmarkStart w:id="47" w:name="_Toc1509670989_WPSOffice_Level3"/>
      <w:bookmarkStart w:id="48" w:name="_Toc1829198423_WPSOffice_Level2"/>
      <w:r>
        <w:rPr>
          <w:rFonts w:hint="eastAsia" w:ascii="Times New Roman" w:hAnsi="Times New Roman" w:eastAsia="楷体_GB2312" w:cs="Times New Roman"/>
          <w:b/>
          <w:color w:val="auto"/>
          <w:kern w:val="2"/>
          <w:sz w:val="32"/>
          <w:szCs w:val="32"/>
          <w:highlight w:val="none"/>
          <w:lang w:val="en-US" w:eastAsia="zh-CN" w:bidi="ar-SA"/>
        </w:rPr>
        <w:t>（一）市政府办公室职能简介。</w:t>
      </w:r>
      <w:bookmarkEnd w:id="45"/>
      <w:bookmarkEnd w:id="46"/>
      <w:bookmarkEnd w:id="47"/>
      <w:bookmarkEnd w:id="48"/>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协助市政府领导同志组织起草或审核以市政府、市政府办公室名义发布的公文。办理省政府、省政府办公厅及省直部门发送市政府的文电。指导全市行政机关公文处理工作。</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2</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研究市政府部门和县（区）人民政府</w:t>
      </w:r>
      <w:r>
        <w:rPr>
          <w:rFonts w:hint="default" w:ascii="Times New Roman" w:hAnsi="Times New Roman" w:eastAsia="方正仿宋_GBK" w:cs="Times New Roman"/>
          <w:b w:val="0"/>
          <w:bCs w:val="0"/>
          <w:color w:val="333333"/>
          <w:spacing w:val="0"/>
          <w:sz w:val="32"/>
          <w:szCs w:val="32"/>
          <w:lang w:eastAsia="zh-CN"/>
        </w:rPr>
        <w:t>、市政府派出机构</w:t>
      </w:r>
      <w:r>
        <w:rPr>
          <w:rFonts w:hint="default" w:ascii="Times New Roman" w:hAnsi="Times New Roman" w:eastAsia="方正仿宋_GBK" w:cs="Times New Roman"/>
          <w:b w:val="0"/>
          <w:bCs w:val="0"/>
          <w:color w:val="333333"/>
          <w:spacing w:val="0"/>
          <w:sz w:val="32"/>
          <w:szCs w:val="32"/>
        </w:rPr>
        <w:t>请示市政府的事项，提出审核意见，报市政府领导同志审批。</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3</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负责市政府会议的准备工作，协助市政府领导同志组织实施会议决定事项。</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4</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督促检查市政府部门和县（区）人民政府</w:t>
      </w:r>
      <w:r>
        <w:rPr>
          <w:rFonts w:hint="default" w:ascii="Times New Roman" w:hAnsi="Times New Roman" w:eastAsia="方正仿宋_GBK" w:cs="Times New Roman"/>
          <w:b w:val="0"/>
          <w:bCs w:val="0"/>
          <w:color w:val="333333"/>
          <w:spacing w:val="0"/>
          <w:sz w:val="32"/>
          <w:szCs w:val="32"/>
          <w:lang w:eastAsia="zh-CN"/>
        </w:rPr>
        <w:t>、市政府派出机构</w:t>
      </w:r>
      <w:r>
        <w:rPr>
          <w:rFonts w:hint="default" w:ascii="Times New Roman" w:hAnsi="Times New Roman" w:eastAsia="方正仿宋_GBK" w:cs="Times New Roman"/>
          <w:b w:val="0"/>
          <w:bCs w:val="0"/>
          <w:color w:val="333333"/>
          <w:spacing w:val="0"/>
          <w:sz w:val="32"/>
          <w:szCs w:val="32"/>
        </w:rPr>
        <w:t>对市政府决定事项及市政府领导同志指示的贯彻落实情况，及时向市政府领导同志报告。</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5</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根据市政府领导同志的指示，对市政府部门间争议问题提出处理意见和建议，报市政府领导同志决定。</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6</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负责市政府值班工作，指导市政府部门和县（区）人民政府</w:t>
      </w:r>
      <w:r>
        <w:rPr>
          <w:rFonts w:hint="default" w:ascii="Times New Roman" w:hAnsi="Times New Roman" w:eastAsia="方正仿宋_GBK" w:cs="Times New Roman"/>
          <w:b w:val="0"/>
          <w:bCs w:val="0"/>
          <w:color w:val="333333"/>
          <w:spacing w:val="0"/>
          <w:sz w:val="32"/>
          <w:szCs w:val="32"/>
          <w:lang w:eastAsia="zh-CN"/>
        </w:rPr>
        <w:t>、市政府派出机构</w:t>
      </w:r>
      <w:r>
        <w:rPr>
          <w:rFonts w:hint="default" w:ascii="Times New Roman" w:hAnsi="Times New Roman" w:eastAsia="方正仿宋_GBK" w:cs="Times New Roman"/>
          <w:b w:val="0"/>
          <w:bCs w:val="0"/>
          <w:color w:val="333333"/>
          <w:spacing w:val="0"/>
          <w:sz w:val="32"/>
          <w:szCs w:val="32"/>
        </w:rPr>
        <w:t>值班工作，及时报告重要情况。</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7</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指导、监督全市政府信息公开工作，指导、监督全市政府系统电子政务工作和政府网站建设。</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8</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围绕市政府中心工作和市政府领导同志的指示，组织专题调查研究，及时反映情况，提出政策性建议。</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9</w:t>
      </w:r>
      <w:r>
        <w:rPr>
          <w:rFonts w:hint="default" w:ascii="Times New Roman" w:hAnsi="Times New Roman" w:eastAsia="方正仿宋_GBK" w:cs="Times New Roman"/>
          <w:b w:val="0"/>
          <w:bCs w:val="0"/>
          <w:color w:val="333333"/>
          <w:spacing w:val="0"/>
          <w:sz w:val="32"/>
          <w:szCs w:val="32"/>
          <w:lang w:val="en-US" w:eastAsia="zh-CN"/>
        </w:rPr>
        <w:t>．统筹管理全市外事工作，归口管理全市因公出国（境）工作，负责全市涉外管理、相关礼宾接待、国际友好城市缔结和对外友协工作，办理其他相关涉外事务。</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lang w:eastAsia="zh-CN"/>
        </w:rPr>
      </w:pP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0．</w:t>
      </w:r>
      <w:r>
        <w:rPr>
          <w:rFonts w:hint="default" w:ascii="Times New Roman" w:hAnsi="Times New Roman" w:eastAsia="方正仿宋_GBK" w:cs="Times New Roman"/>
          <w:b w:val="0"/>
          <w:bCs w:val="0"/>
          <w:color w:val="333333"/>
          <w:spacing w:val="0"/>
          <w:sz w:val="32"/>
          <w:szCs w:val="32"/>
          <w:lang w:eastAsia="zh-CN"/>
        </w:rPr>
        <w:t>负责市政府驻外机构的管理工作。</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1．</w:t>
      </w:r>
      <w:r>
        <w:rPr>
          <w:rFonts w:hint="default" w:ascii="Times New Roman" w:hAnsi="Times New Roman" w:eastAsia="方正仿宋_GBK" w:cs="Times New Roman"/>
          <w:b w:val="0"/>
          <w:bCs w:val="0"/>
          <w:color w:val="333333"/>
          <w:spacing w:val="0"/>
          <w:sz w:val="32"/>
          <w:szCs w:val="32"/>
          <w:lang w:eastAsia="zh-CN"/>
        </w:rPr>
        <w:t>承担市政府公布的有关行政审批事项</w:t>
      </w:r>
      <w:r>
        <w:rPr>
          <w:rFonts w:hint="default" w:ascii="Times New Roman" w:hAnsi="Times New Roman" w:eastAsia="方正仿宋_GBK" w:cs="Times New Roman"/>
          <w:b w:val="0"/>
          <w:bCs w:val="0"/>
          <w:color w:val="333333"/>
          <w:spacing w:val="0"/>
          <w:sz w:val="32"/>
          <w:szCs w:val="32"/>
        </w:rPr>
        <w:t>。</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2．</w:t>
      </w:r>
      <w:r>
        <w:rPr>
          <w:rFonts w:hint="default" w:ascii="Times New Roman" w:hAnsi="Times New Roman" w:eastAsia="方正仿宋_GBK" w:cs="Times New Roman"/>
          <w:b w:val="0"/>
          <w:bCs w:val="0"/>
          <w:color w:val="333333"/>
          <w:spacing w:val="0"/>
          <w:sz w:val="32"/>
          <w:szCs w:val="32"/>
        </w:rPr>
        <w:t>承办市政府和市政府领导同志交办的其他事项。</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0"/>
        <w:jc w:val="left"/>
        <w:textAlignment w:val="auto"/>
        <w:rPr>
          <w:rFonts w:hint="default" w:ascii="Times New Roman" w:hAnsi="Times New Roman" w:eastAsia="仿宋" w:cs="Times New Roman"/>
          <w:color w:val="333333"/>
          <w:spacing w:val="0"/>
          <w:sz w:val="32"/>
          <w:szCs w:val="32"/>
        </w:rPr>
      </w:pPr>
      <w:r>
        <w:rPr>
          <w:rFonts w:hint="default" w:ascii="Times New Roman" w:hAnsi="Times New Roman" w:eastAsia="仿宋" w:cs="Times New Roman"/>
          <w:color w:val="333333"/>
          <w:spacing w:val="0"/>
          <w:sz w:val="32"/>
          <w:szCs w:val="32"/>
        </w:rPr>
        <w:t>　</w:t>
      </w:r>
      <w:r>
        <w:rPr>
          <w:rFonts w:hint="default" w:ascii="Times New Roman" w:hAnsi="Times New Roman" w:eastAsia="楷体_GB2312" w:cs="Times New Roman"/>
          <w:b/>
          <w:color w:val="auto"/>
          <w:kern w:val="2"/>
          <w:sz w:val="32"/>
          <w:szCs w:val="32"/>
          <w:highlight w:val="none"/>
          <w:lang w:val="en-US" w:eastAsia="zh-CN" w:bidi="ar-SA"/>
        </w:rPr>
        <w:t>　</w:t>
      </w:r>
      <w:bookmarkStart w:id="49" w:name="_Toc1071104445_WPSOffice_Level2"/>
      <w:bookmarkStart w:id="50" w:name="_Toc1695759650_WPSOffice_Level3"/>
      <w:bookmarkStart w:id="51" w:name="_Toc1934651194_WPSOffice_Level2"/>
      <w:bookmarkStart w:id="52" w:name="_Toc927660852_WPSOffice_Level3"/>
      <w:r>
        <w:rPr>
          <w:rFonts w:hint="default" w:ascii="Times New Roman" w:hAnsi="Times New Roman" w:eastAsia="楷体_GB2312" w:cs="Times New Roman"/>
          <w:b/>
          <w:color w:val="auto"/>
          <w:kern w:val="2"/>
          <w:sz w:val="32"/>
          <w:szCs w:val="32"/>
          <w:highlight w:val="none"/>
          <w:lang w:val="en-US" w:eastAsia="zh-CN" w:bidi="ar-SA"/>
        </w:rPr>
        <w:t>（二）市</w:t>
      </w:r>
      <w:r>
        <w:rPr>
          <w:rFonts w:hint="eastAsia" w:ascii="Times New Roman" w:hAnsi="Times New Roman" w:eastAsia="楷体_GB2312" w:cs="Times New Roman"/>
          <w:b/>
          <w:color w:val="auto"/>
          <w:kern w:val="2"/>
          <w:sz w:val="32"/>
          <w:szCs w:val="32"/>
          <w:highlight w:val="none"/>
          <w:lang w:val="en-US" w:eastAsia="zh-CN" w:bidi="ar-SA"/>
        </w:rPr>
        <w:t>政府网站事务</w:t>
      </w:r>
      <w:r>
        <w:rPr>
          <w:rFonts w:hint="default" w:ascii="Times New Roman" w:hAnsi="Times New Roman" w:eastAsia="楷体_GB2312" w:cs="Times New Roman"/>
          <w:b/>
          <w:color w:val="auto"/>
          <w:kern w:val="2"/>
          <w:sz w:val="32"/>
          <w:szCs w:val="32"/>
          <w:highlight w:val="none"/>
          <w:lang w:val="en-US" w:eastAsia="zh-CN" w:bidi="ar-SA"/>
        </w:rPr>
        <w:t>中心职能简介。</w:t>
      </w:r>
      <w:bookmarkEnd w:id="49"/>
      <w:bookmarkEnd w:id="50"/>
      <w:bookmarkEnd w:id="51"/>
      <w:bookmarkEnd w:id="52"/>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rPr>
        <w:t>1</w:t>
      </w:r>
      <w:r>
        <w:rPr>
          <w:rFonts w:hint="eastAsia"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eastAsia="zh-CN"/>
        </w:rPr>
        <w:t>负责攀枝花市政府网站集约化平台建设和运维管理，为政务公开、信息发布、政策解读等相关工作提供支撑服务，参与全市政府网站和政务新媒体绩效评估工作</w:t>
      </w:r>
      <w:r>
        <w:rPr>
          <w:rFonts w:hint="eastAsia" w:ascii="Times New Roman" w:hAnsi="Times New Roman" w:eastAsia="方正仿宋_GBK" w:cs="Times New Roman"/>
          <w:b w:val="0"/>
          <w:bCs w:val="0"/>
          <w:color w:val="333333"/>
          <w:spacing w:val="0"/>
          <w:sz w:val="32"/>
          <w:szCs w:val="32"/>
        </w:rPr>
        <w:t>。</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rPr>
        <w:t>2</w:t>
      </w:r>
      <w:r>
        <w:rPr>
          <w:rFonts w:hint="eastAsia"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eastAsia="zh-CN"/>
        </w:rPr>
        <w:t>负责对“走好网上群众路线”等群众诉求网络渠道办理情况进行统计分析，并提出建议</w:t>
      </w:r>
      <w:r>
        <w:rPr>
          <w:rFonts w:hint="eastAsia" w:ascii="Times New Roman" w:hAnsi="Times New Roman" w:eastAsia="方正仿宋_GBK" w:cs="Times New Roman"/>
          <w:b w:val="0"/>
          <w:bCs w:val="0"/>
          <w:color w:val="333333"/>
          <w:spacing w:val="0"/>
          <w:sz w:val="32"/>
          <w:szCs w:val="32"/>
        </w:rPr>
        <w:t>。</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rPr>
        <w:t>3</w:t>
      </w:r>
      <w:r>
        <w:rPr>
          <w:rFonts w:hint="eastAsia"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eastAsia="zh-CN"/>
        </w:rPr>
        <w:t>完成市政府办公室交办的其他任务</w:t>
      </w:r>
      <w:r>
        <w:rPr>
          <w:rFonts w:hint="eastAsia" w:ascii="Times New Roman" w:hAnsi="Times New Roman" w:eastAsia="方正仿宋_GBK" w:cs="Times New Roman"/>
          <w:b w:val="0"/>
          <w:bCs w:val="0"/>
          <w:color w:val="333333"/>
          <w:spacing w:val="0"/>
          <w:sz w:val="32"/>
          <w:szCs w:val="32"/>
        </w:rPr>
        <w:t>。</w:t>
      </w:r>
    </w:p>
    <w:p>
      <w:pPr>
        <w:pStyle w:val="2"/>
        <w:pageBreakBefore w:val="0"/>
        <w:widowControl w:val="0"/>
        <w:kinsoku/>
        <w:wordWrap/>
        <w:overflowPunct/>
        <w:topLinePunct w:val="0"/>
        <w:autoSpaceDE/>
        <w:autoSpaceDN/>
        <w:bidi w:val="0"/>
        <w:adjustRightInd w:val="0"/>
        <w:snapToGrid/>
        <w:spacing w:before="130" w:beforeLines="0" w:line="580" w:lineRule="exact"/>
        <w:ind w:firstLine="674" w:firstLineChars="210"/>
        <w:textAlignment w:val="auto"/>
        <w:rPr>
          <w:rFonts w:hint="default" w:ascii="Times New Roman" w:hAnsi="Times New Roman" w:eastAsia="楷体_GB2312" w:cs="Times New Roman"/>
          <w:b/>
          <w:color w:val="auto"/>
          <w:sz w:val="32"/>
          <w:highlight w:val="none"/>
        </w:rPr>
      </w:pPr>
      <w:bookmarkStart w:id="53" w:name="_Toc703775249_WPSOffice_Level3"/>
      <w:bookmarkStart w:id="54" w:name="_Toc1711645899_WPSOffice_Level3"/>
      <w:bookmarkStart w:id="55" w:name="_Toc58165406_WPSOffice_Level2"/>
      <w:bookmarkStart w:id="56" w:name="_Toc1957690415_WPSOffice_Level2"/>
      <w:r>
        <w:rPr>
          <w:rFonts w:hint="eastAsia" w:ascii="Times New Roman" w:hAnsi="Times New Roman" w:eastAsia="楷体_GB2312" w:cs="Times New Roman"/>
          <w:b/>
          <w:color w:val="auto"/>
          <w:sz w:val="32"/>
          <w:highlight w:val="none"/>
        </w:rPr>
        <w:t>（三）市决策咨询服务中心职能简介。</w:t>
      </w:r>
      <w:bookmarkEnd w:id="53"/>
      <w:bookmarkEnd w:id="54"/>
      <w:bookmarkEnd w:id="55"/>
      <w:bookmarkEnd w:id="56"/>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rPr>
        <w:t>1</w:t>
      </w:r>
      <w:r>
        <w:rPr>
          <w:rFonts w:hint="eastAsia"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rPr>
        <w:t>根据市委、市政府和市决咨委安排，组织委员开展全市发展战略、中长期规划、重大决策部署、重大问题、重点项目等咨询论证活动。</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2．</w:t>
      </w:r>
      <w:r>
        <w:rPr>
          <w:rFonts w:hint="eastAsia" w:ascii="Times New Roman" w:hAnsi="Times New Roman" w:eastAsia="方正仿宋_GBK" w:cs="Times New Roman"/>
          <w:b w:val="0"/>
          <w:bCs w:val="0"/>
          <w:color w:val="333333"/>
          <w:spacing w:val="0"/>
          <w:sz w:val="32"/>
          <w:szCs w:val="32"/>
        </w:rPr>
        <w:t>负责全市经济社会发展重大决策咨询研究课题的组织实施。</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3．</w:t>
      </w:r>
      <w:r>
        <w:rPr>
          <w:rFonts w:hint="eastAsia" w:ascii="Times New Roman" w:hAnsi="Times New Roman" w:eastAsia="方正仿宋_GBK" w:cs="Times New Roman"/>
          <w:b w:val="0"/>
          <w:bCs w:val="0"/>
          <w:color w:val="333333"/>
          <w:spacing w:val="0"/>
          <w:sz w:val="32"/>
          <w:szCs w:val="32"/>
        </w:rPr>
        <w:t>负责市决咨委各专业组决策咨询调研、考察及与相关部门的组织协调工作。</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4．</w:t>
      </w:r>
      <w:r>
        <w:rPr>
          <w:rFonts w:hint="eastAsia" w:ascii="Times New Roman" w:hAnsi="Times New Roman" w:eastAsia="方正仿宋_GBK" w:cs="Times New Roman"/>
          <w:b w:val="0"/>
          <w:bCs w:val="0"/>
          <w:color w:val="333333"/>
          <w:spacing w:val="0"/>
          <w:sz w:val="32"/>
          <w:szCs w:val="32"/>
        </w:rPr>
        <w:t>及时整理市决咨委委员和各专业组提出的咨询意见、建议和课题研究成果，报送市委、市政府及有关部门，并进行成果应用的跟踪。</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5．</w:t>
      </w:r>
      <w:r>
        <w:rPr>
          <w:rFonts w:hint="eastAsia" w:ascii="Times New Roman" w:hAnsi="Times New Roman" w:eastAsia="方正仿宋_GBK" w:cs="Times New Roman"/>
          <w:b w:val="0"/>
          <w:bCs w:val="0"/>
          <w:color w:val="333333"/>
          <w:spacing w:val="0"/>
          <w:sz w:val="32"/>
          <w:szCs w:val="32"/>
        </w:rPr>
        <w:t>组织委员召开决策咨询研讨会议和决策咨询交流活动。</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6．</w:t>
      </w:r>
      <w:r>
        <w:rPr>
          <w:rFonts w:hint="eastAsia" w:ascii="Times New Roman" w:hAnsi="Times New Roman" w:eastAsia="方正仿宋_GBK" w:cs="Times New Roman"/>
          <w:b w:val="0"/>
          <w:bCs w:val="0"/>
          <w:color w:val="333333"/>
          <w:spacing w:val="0"/>
          <w:sz w:val="32"/>
          <w:szCs w:val="32"/>
        </w:rPr>
        <w:t>为委员提供相关信息和资料，组织委员列席市委、市政府重要会议，为委员开展咨询工作提供服务。</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7．</w:t>
      </w:r>
      <w:r>
        <w:rPr>
          <w:rFonts w:hint="eastAsia" w:ascii="Times New Roman" w:hAnsi="Times New Roman" w:eastAsia="方正仿宋_GBK" w:cs="Times New Roman"/>
          <w:b w:val="0"/>
          <w:bCs w:val="0"/>
          <w:color w:val="333333"/>
          <w:spacing w:val="0"/>
          <w:sz w:val="32"/>
          <w:szCs w:val="32"/>
        </w:rPr>
        <w:t>负责起草市决咨委的各种工作制度和文件草案，定期向市决咨委办公室领导汇报工作。</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8．</w:t>
      </w:r>
      <w:r>
        <w:rPr>
          <w:rFonts w:hint="eastAsia" w:ascii="Times New Roman" w:hAnsi="Times New Roman" w:eastAsia="方正仿宋_GBK" w:cs="Times New Roman"/>
          <w:b w:val="0"/>
          <w:bCs w:val="0"/>
          <w:color w:val="333333"/>
          <w:spacing w:val="0"/>
          <w:sz w:val="32"/>
          <w:szCs w:val="32"/>
        </w:rPr>
        <w:t xml:space="preserve">负责市决咨委办公室日常事务工作。 </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pPr>
      <w:r>
        <w:rPr>
          <w:rFonts w:hint="eastAsia" w:ascii="Times New Roman" w:hAnsi="Times New Roman" w:eastAsia="方正仿宋_GBK" w:cs="Times New Roman"/>
          <w:b w:val="0"/>
          <w:bCs w:val="0"/>
          <w:color w:val="333333"/>
          <w:spacing w:val="0"/>
          <w:sz w:val="32"/>
          <w:szCs w:val="32"/>
          <w:lang w:val="en-US" w:eastAsia="zh-CN"/>
        </w:rPr>
        <w:t>9．</w:t>
      </w:r>
      <w:r>
        <w:rPr>
          <w:rFonts w:hint="eastAsia" w:ascii="Times New Roman" w:hAnsi="Times New Roman" w:eastAsia="方正仿宋_GBK" w:cs="Times New Roman"/>
          <w:b w:val="0"/>
          <w:bCs w:val="0"/>
          <w:color w:val="333333"/>
          <w:spacing w:val="0"/>
          <w:sz w:val="32"/>
          <w:szCs w:val="32"/>
        </w:rPr>
        <w:t>完成市委、市政府交办的工作和主任委员会确定的其他工作。</w:t>
      </w:r>
    </w:p>
    <w:p>
      <w:pPr>
        <w:pStyle w:val="2"/>
        <w:pageBreakBefore w:val="0"/>
        <w:widowControl w:val="0"/>
        <w:kinsoku/>
        <w:wordWrap/>
        <w:overflowPunct/>
        <w:topLinePunct w:val="0"/>
        <w:autoSpaceDE/>
        <w:autoSpaceDN/>
        <w:bidi w:val="0"/>
        <w:adjustRightInd w:val="0"/>
        <w:snapToGrid/>
        <w:spacing w:beforeLines="0" w:line="580" w:lineRule="exact"/>
        <w:ind w:left="0" w:firstLine="642" w:firstLineChars="200"/>
        <w:textAlignment w:val="auto"/>
        <w:rPr>
          <w:rFonts w:hint="eastAsia" w:ascii="Times New Roman" w:hAnsi="Times New Roman" w:eastAsia="楷体_GB2312" w:cs="Times New Roman"/>
          <w:b/>
          <w:color w:val="auto"/>
          <w:sz w:val="32"/>
          <w:highlight w:val="none"/>
          <w:lang w:val="en-US" w:eastAsia="zh-CN"/>
        </w:rPr>
      </w:pPr>
      <w:bookmarkStart w:id="57" w:name="_Toc2066157494_WPSOffice_Level3"/>
      <w:r>
        <w:rPr>
          <w:rFonts w:hint="eastAsia" w:ascii="Times New Roman" w:hAnsi="Times New Roman" w:eastAsia="楷体_GB2312" w:cs="Times New Roman"/>
          <w:b/>
          <w:color w:val="auto"/>
          <w:sz w:val="32"/>
          <w:highlight w:val="none"/>
          <w:lang w:val="en-US" w:eastAsia="zh-CN"/>
        </w:rPr>
        <w:t>（四）市地方志编纂中心职能简介。</w:t>
      </w:r>
      <w:bookmarkEnd w:id="57"/>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pPr>
      <w:r>
        <w:rPr>
          <w:rFonts w:hint="default" w:ascii="方正仿宋_GBK" w:hAnsi="方正仿宋_GBK" w:eastAsia="方正仿宋_GBK" w:cs="方正仿宋_GBK"/>
          <w:color w:val="333333"/>
          <w:spacing w:val="0"/>
          <w:sz w:val="32"/>
          <w:szCs w:val="32"/>
          <w:lang w:val="en-US" w:eastAsia="zh-CN"/>
        </w:rPr>
        <w:t>主要负责编修地方志、年鉴。负责组织编辑、出版、发行《攀枝花市志》、《攀枝花年鉴》；负责指导、督促县区志、部门志、专业志的编修，并审查验收；负责组织编辑、出版、发行《攀枝花史志》杂志。</w:t>
      </w:r>
    </w:p>
    <w:p>
      <w:pPr>
        <w:pStyle w:val="5"/>
        <w:pageBreakBefore w:val="0"/>
        <w:widowControl w:val="0"/>
        <w:kinsoku/>
        <w:wordWrap/>
        <w:overflowPunct/>
        <w:topLinePunct w:val="0"/>
        <w:autoSpaceDE/>
        <w:autoSpaceDN/>
        <w:bidi w:val="0"/>
        <w:snapToGrid/>
        <w:spacing w:line="580" w:lineRule="exact"/>
        <w:textAlignment w:val="auto"/>
        <w:rPr>
          <w:rStyle w:val="30"/>
          <w:rFonts w:ascii="Times New Roman" w:hAnsi="Times New Roman"/>
          <w:b w:val="0"/>
          <w:bCs w:val="0"/>
        </w:rPr>
      </w:pPr>
      <w:bookmarkStart w:id="58" w:name="_Toc15396601"/>
      <w:bookmarkStart w:id="59" w:name="_Toc1695759650_WPSOffice_Level2"/>
      <w:bookmarkStart w:id="60" w:name="_Toc15377200"/>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58"/>
      <w:bookmarkEnd w:id="59"/>
      <w:bookmarkEnd w:id="60"/>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方正仿宋_GBK" w:hAnsi="方正仿宋_GBK" w:eastAsia="方正仿宋_GBK" w:cs="方正仿宋_GBK"/>
          <w:color w:val="333333"/>
          <w:spacing w:val="0"/>
          <w:sz w:val="32"/>
          <w:szCs w:val="32"/>
          <w:lang w:val="en-US" w:eastAsia="zh-CN"/>
        </w:rPr>
      </w:pPr>
      <w:r>
        <w:rPr>
          <w:rFonts w:hint="default" w:ascii="方正仿宋_GBK" w:hAnsi="方正仿宋_GBK" w:eastAsia="方正仿宋_GBK" w:cs="方正仿宋_GBK"/>
          <w:color w:val="333333"/>
          <w:spacing w:val="0"/>
          <w:sz w:val="32"/>
          <w:szCs w:val="32"/>
          <w:lang w:val="en-US" w:eastAsia="zh-CN"/>
        </w:rPr>
        <w:t>市政府办公室下属二级预算单位1个，其中行政单位0个，参照公务员法管理的事业单位1个，其他事业单位0个。</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方正仿宋_GBK" w:hAnsi="方正仿宋_GBK" w:eastAsia="方正仿宋_GBK" w:cs="方正仿宋_GBK"/>
          <w:color w:val="333333"/>
          <w:spacing w:val="0"/>
          <w:sz w:val="32"/>
          <w:szCs w:val="32"/>
          <w:lang w:val="en-US" w:eastAsia="zh-CN"/>
        </w:rPr>
      </w:pPr>
      <w:r>
        <w:rPr>
          <w:rFonts w:hint="default" w:ascii="方正仿宋_GBK" w:hAnsi="方正仿宋_GBK" w:eastAsia="方正仿宋_GBK" w:cs="方正仿宋_GBK"/>
          <w:color w:val="333333"/>
          <w:spacing w:val="0"/>
          <w:sz w:val="32"/>
          <w:szCs w:val="32"/>
          <w:lang w:val="en-US" w:eastAsia="zh-CN"/>
        </w:rPr>
        <w:t>纳入市政府办公室202</w:t>
      </w:r>
      <w:r>
        <w:rPr>
          <w:rFonts w:hint="eastAsia" w:ascii="方正仿宋_GBK" w:hAnsi="方正仿宋_GBK" w:eastAsia="方正仿宋_GBK" w:cs="方正仿宋_GBK"/>
          <w:color w:val="333333"/>
          <w:spacing w:val="0"/>
          <w:sz w:val="32"/>
          <w:szCs w:val="32"/>
          <w:lang w:val="en-US" w:eastAsia="zh-CN"/>
        </w:rPr>
        <w:t>5</w:t>
      </w:r>
      <w:r>
        <w:rPr>
          <w:rFonts w:hint="default" w:ascii="方正仿宋_GBK" w:hAnsi="方正仿宋_GBK" w:eastAsia="方正仿宋_GBK" w:cs="方正仿宋_GBK"/>
          <w:color w:val="333333"/>
          <w:spacing w:val="0"/>
          <w:sz w:val="32"/>
          <w:szCs w:val="32"/>
          <w:lang w:val="en-US" w:eastAsia="zh-CN"/>
        </w:rPr>
        <w:t>年度部门决算编制范围的二级预算单位包括：</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eastAsia="仿宋_GB2312" w:cs="仿宋_GB2312"/>
          <w:sz w:val="32"/>
          <w:szCs w:val="32"/>
        </w:rPr>
      </w:pPr>
      <w:bookmarkStart w:id="61" w:name="_Toc937782471"/>
      <w:bookmarkStart w:id="62" w:name="_Toc30899"/>
      <w:bookmarkStart w:id="63" w:name="_Toc1997647953_WPSOffice_Level3"/>
      <w:r>
        <w:rPr>
          <w:rFonts w:hint="default" w:ascii="方正仿宋_GBK" w:hAnsi="方正仿宋_GBK" w:eastAsia="方正仿宋_GBK" w:cs="方正仿宋_GBK"/>
          <w:color w:val="333333"/>
          <w:spacing w:val="0"/>
          <w:sz w:val="32"/>
          <w:szCs w:val="32"/>
          <w:lang w:val="en-US" w:eastAsia="zh-CN"/>
        </w:rPr>
        <w:t>1．市地方志编纂中心</w:t>
      </w:r>
      <w:bookmarkEnd w:id="61"/>
      <w:bookmarkEnd w:id="62"/>
      <w:r>
        <w:rPr>
          <w:rFonts w:hint="default" w:ascii="方正仿宋_GBK" w:hAnsi="方正仿宋_GBK" w:eastAsia="方正仿宋_GBK" w:cs="方正仿宋_GBK"/>
          <w:color w:val="333333"/>
          <w:spacing w:val="0"/>
          <w:sz w:val="32"/>
          <w:szCs w:val="32"/>
          <w:lang w:val="en-US" w:eastAsia="zh-CN"/>
        </w:rPr>
        <w:t>。</w:t>
      </w:r>
      <w:bookmarkEnd w:id="63"/>
    </w:p>
    <w:p>
      <w:pPr>
        <w:pStyle w:val="4"/>
        <w:jc w:val="center"/>
        <w:rPr>
          <w:rFonts w:eastAsia="方正小标宋简体" w:cs="方正小标宋简体"/>
          <w:b w:val="0"/>
        </w:rPr>
      </w:pPr>
      <w:bookmarkStart w:id="64" w:name="_Toc15377204"/>
      <w:bookmarkStart w:id="65" w:name="_Toc15396602"/>
      <w:bookmarkStart w:id="66" w:name="_Toc1509670989_WPSOffice_Level1"/>
      <w:r>
        <w:rPr>
          <w:rFonts w:hint="eastAsia" w:eastAsia="方正小标宋简体" w:cs="方正小标宋简体"/>
          <w:b w:val="0"/>
        </w:rPr>
        <w:t>第二部分  2025年度部门决算情况说明</w:t>
      </w:r>
      <w:bookmarkEnd w:id="64"/>
      <w:bookmarkEnd w:id="65"/>
      <w:bookmarkEnd w:id="66"/>
    </w:p>
    <w:p/>
    <w:p>
      <w:pPr>
        <w:pStyle w:val="28"/>
        <w:spacing w:line="600" w:lineRule="exact"/>
        <w:ind w:firstLine="640"/>
        <w:outlineLvl w:val="1"/>
        <w:rPr>
          <w:rStyle w:val="30"/>
          <w:rFonts w:ascii="Times New Roman" w:hAnsi="Times New Roman" w:eastAsia="黑体"/>
          <w:b w:val="0"/>
        </w:rPr>
      </w:pPr>
      <w:bookmarkStart w:id="67" w:name="_Toc15396603"/>
      <w:bookmarkStart w:id="68" w:name="_Toc15377205"/>
      <w:bookmarkStart w:id="69" w:name="_Toc703775249_WPSOffice_Level2"/>
      <w:r>
        <w:rPr>
          <w:rFonts w:hint="eastAsia" w:eastAsia="黑体"/>
          <w:sz w:val="32"/>
          <w:szCs w:val="32"/>
        </w:rPr>
        <w:t>一、收</w:t>
      </w:r>
      <w:r>
        <w:rPr>
          <w:rStyle w:val="30"/>
          <w:rFonts w:hint="eastAsia" w:ascii="Times New Roman" w:hAnsi="Times New Roman" w:eastAsia="黑体"/>
          <w:b w:val="0"/>
        </w:rPr>
        <w:t>入支出决算总体情况说明</w:t>
      </w:r>
      <w:bookmarkEnd w:id="67"/>
      <w:bookmarkEnd w:id="68"/>
      <w:bookmarkEnd w:id="69"/>
    </w:p>
    <w:p>
      <w:pPr>
        <w:pStyle w:val="28"/>
        <w:spacing w:line="600" w:lineRule="exact"/>
        <w:ind w:firstLine="640"/>
        <w:outlineLvl w:val="1"/>
        <w:rPr>
          <w:rFonts w:hint="eastAsia" w:eastAsia="仿宋_GB2312" w:cs="仿宋_GB2312"/>
          <w:sz w:val="32"/>
          <w:szCs w:val="32"/>
          <w:lang w:eastAsia="zh-CN"/>
        </w:rPr>
      </w:pPr>
      <w:r>
        <w:drawing>
          <wp:anchor distT="0" distB="0" distL="114935" distR="114935" simplePos="0" relativeHeight="251658240" behindDoc="0" locked="0" layoutInCell="1" allowOverlap="1">
            <wp:simplePos x="0" y="0"/>
            <wp:positionH relativeFrom="column">
              <wp:posOffset>57785</wp:posOffset>
            </wp:positionH>
            <wp:positionV relativeFrom="paragraph">
              <wp:posOffset>1476375</wp:posOffset>
            </wp:positionV>
            <wp:extent cx="5171440" cy="2752725"/>
            <wp:effectExtent l="0" t="0" r="10160" b="9525"/>
            <wp:wrapNone/>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11"/>
                    <a:stretch>
                      <a:fillRect/>
                    </a:stretch>
                  </pic:blipFill>
                  <pic:spPr>
                    <a:xfrm>
                      <a:off x="0" y="0"/>
                      <a:ext cx="5171440" cy="2752725"/>
                    </a:xfrm>
                    <a:prstGeom prst="rect">
                      <a:avLst/>
                    </a:prstGeom>
                    <a:noFill/>
                    <a:ln>
                      <a:noFill/>
                    </a:ln>
                  </pic:spPr>
                </pic:pic>
              </a:graphicData>
            </a:graphic>
          </wp:anchor>
        </w:drawing>
      </w:r>
      <w:r>
        <w:rPr>
          <w:rFonts w:hint="eastAsia" w:eastAsia="仿宋_GB2312" w:cs="仿宋_GB2312"/>
          <w:sz w:val="32"/>
          <w:szCs w:val="32"/>
        </w:rPr>
        <w:t>2025年度收入、支出总计均为</w:t>
      </w:r>
      <w:r>
        <w:rPr>
          <w:rFonts w:hint="eastAsia" w:eastAsia="仿宋_GB2312" w:cs="仿宋_GB2312"/>
          <w:sz w:val="32"/>
          <w:szCs w:val="32"/>
          <w:lang w:val="en-US" w:eastAsia="zh-CN"/>
        </w:rPr>
        <w:t>4163.22</w:t>
      </w:r>
      <w:r>
        <w:rPr>
          <w:rFonts w:hint="eastAsia" w:eastAsia="仿宋_GB2312" w:cs="仿宋_GB2312"/>
          <w:sz w:val="32"/>
          <w:szCs w:val="32"/>
        </w:rPr>
        <w:t>万元。与上年度相比，收入、支出总计各减少</w:t>
      </w:r>
      <w:r>
        <w:rPr>
          <w:rFonts w:hint="eastAsia" w:eastAsia="仿宋_GB2312" w:cs="仿宋_GB2312"/>
          <w:sz w:val="32"/>
          <w:szCs w:val="32"/>
          <w:lang w:val="en-US" w:eastAsia="zh-CN"/>
        </w:rPr>
        <w:t>309.28</w:t>
      </w:r>
      <w:r>
        <w:rPr>
          <w:rFonts w:hint="eastAsia" w:eastAsia="仿宋_GB2312" w:cs="仿宋_GB2312"/>
          <w:sz w:val="32"/>
          <w:szCs w:val="32"/>
        </w:rPr>
        <w:t>万元，下降</w:t>
      </w:r>
      <w:r>
        <w:rPr>
          <w:rFonts w:hint="eastAsia" w:eastAsia="仿宋_GB2312" w:cs="仿宋_GB2312"/>
          <w:sz w:val="32"/>
          <w:szCs w:val="32"/>
          <w:lang w:val="en-US" w:eastAsia="zh-CN"/>
        </w:rPr>
        <w:t>6.92</w:t>
      </w:r>
      <w:r>
        <w:rPr>
          <w:rFonts w:hint="eastAsia" w:eastAsia="仿宋_GB2312" w:cs="仿宋_GB2312"/>
          <w:sz w:val="32"/>
          <w:szCs w:val="32"/>
        </w:rPr>
        <w:t>%。主要变动原因是</w:t>
      </w:r>
      <w:r>
        <w:rPr>
          <w:rFonts w:hint="eastAsia" w:eastAsia="仿宋_GB2312" w:cs="仿宋_GB2312"/>
          <w:sz w:val="32"/>
          <w:szCs w:val="32"/>
          <w:lang w:eastAsia="zh-CN"/>
        </w:rPr>
        <w:t>人员调出导致基本支出减少，厉行节约压减部分项目经费。</w:t>
      </w:r>
    </w:p>
    <w:p>
      <w:pPr>
        <w:pStyle w:val="28"/>
        <w:spacing w:line="600" w:lineRule="exact"/>
        <w:ind w:firstLine="640"/>
        <w:outlineLvl w:val="1"/>
        <w:rPr>
          <w:rFonts w:hint="eastAsia" w:eastAsia="仿宋_GB2312" w:cs="仿宋_GB2312"/>
          <w:sz w:val="32"/>
          <w:szCs w:val="32"/>
          <w:lang w:eastAsia="zh-CN"/>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jc w:val="center"/>
        <w:outlineLvl w:val="1"/>
        <w:rPr>
          <w:rFonts w:hint="eastAsia" w:eastAsia="仿宋_GB2312" w:cs="仿宋_GB2312"/>
          <w:sz w:val="32"/>
          <w:szCs w:val="32"/>
        </w:rPr>
      </w:pPr>
    </w:p>
    <w:p>
      <w:pPr>
        <w:pStyle w:val="28"/>
        <w:spacing w:line="600" w:lineRule="exact"/>
        <w:ind w:firstLine="640"/>
        <w:jc w:val="center"/>
        <w:outlineLvl w:val="1"/>
        <w:rPr>
          <w:rFonts w:eastAsia="仿宋_GB2312" w:cs="仿宋_GB2312"/>
          <w:sz w:val="32"/>
          <w:szCs w:val="32"/>
        </w:rPr>
      </w:pPr>
      <w:bookmarkStart w:id="70" w:name="_Toc1498906798_WPSOffice_Level3"/>
      <w:r>
        <w:rPr>
          <w:rFonts w:hint="eastAsia" w:eastAsia="仿宋_GB2312" w:cs="仿宋_GB2312"/>
          <w:sz w:val="32"/>
          <w:szCs w:val="32"/>
        </w:rPr>
        <w:t>（图1：收入、支出决算总计变动情况图）</w:t>
      </w:r>
      <w:bookmarkEnd w:id="70"/>
    </w:p>
    <w:p>
      <w:pPr>
        <w:pStyle w:val="28"/>
        <w:spacing w:line="600" w:lineRule="exact"/>
        <w:ind w:firstLine="640"/>
        <w:outlineLvl w:val="1"/>
        <w:rPr>
          <w:rFonts w:eastAsia="黑体"/>
          <w:sz w:val="32"/>
          <w:szCs w:val="32"/>
        </w:rPr>
      </w:pPr>
      <w:bookmarkStart w:id="71" w:name="_Toc15377206"/>
      <w:bookmarkStart w:id="72" w:name="_Toc15396604"/>
      <w:bookmarkStart w:id="73" w:name="_Toc2066157494_WPSOffice_Level2"/>
      <w:r>
        <w:rPr>
          <w:rFonts w:hint="eastAsia" w:eastAsia="黑体"/>
          <w:sz w:val="32"/>
          <w:szCs w:val="32"/>
        </w:rPr>
        <w:t>二、收入决算情况说明</w:t>
      </w:r>
      <w:bookmarkEnd w:id="71"/>
      <w:bookmarkEnd w:id="72"/>
      <w:bookmarkEnd w:id="73"/>
    </w:p>
    <w:p>
      <w:pPr>
        <w:pStyle w:val="28"/>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2025年度本年收入合计4141.49万元，其中：一般公共预算财政拨款收入4141.49万元，占</w:t>
      </w:r>
      <w:r>
        <w:rPr>
          <w:rFonts w:hint="eastAsia" w:eastAsia="仿宋_GB2312" w:cs="仿宋_GB2312"/>
          <w:sz w:val="32"/>
          <w:szCs w:val="32"/>
          <w:lang w:val="en-US" w:eastAsia="zh-CN"/>
        </w:rPr>
        <w:t>100</w:t>
      </w:r>
      <w:r>
        <w:rPr>
          <w:rFonts w:hint="eastAsia" w:eastAsia="仿宋_GB2312" w:cs="仿宋_GB2312"/>
          <w:sz w:val="32"/>
          <w:szCs w:val="32"/>
        </w:rPr>
        <w:t>%；政府性基金预算财政拨款收入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%；国有资本经营预算财政拨款收入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%；上级补助收入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%；事业收入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%；附属单位上缴收入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%；其他收入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pPr>
        <w:pStyle w:val="28"/>
        <w:spacing w:line="600" w:lineRule="exact"/>
        <w:ind w:firstLine="640"/>
        <w:outlineLvl w:val="1"/>
        <w:rPr>
          <w:rFonts w:hint="eastAsia" w:eastAsia="仿宋_GB2312" w:cs="仿宋_GB2312"/>
          <w:sz w:val="32"/>
          <w:szCs w:val="32"/>
        </w:rPr>
      </w:pPr>
      <w:r>
        <w:drawing>
          <wp:anchor distT="0" distB="0" distL="114300" distR="114300" simplePos="0" relativeHeight="251659264" behindDoc="0" locked="0" layoutInCell="1" allowOverlap="1">
            <wp:simplePos x="0" y="0"/>
            <wp:positionH relativeFrom="column">
              <wp:posOffset>128270</wp:posOffset>
            </wp:positionH>
            <wp:positionV relativeFrom="paragraph">
              <wp:posOffset>61595</wp:posOffset>
            </wp:positionV>
            <wp:extent cx="5106670" cy="2263140"/>
            <wp:effectExtent l="4445" t="4445" r="13335" b="18415"/>
            <wp:wrapNone/>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jc w:val="center"/>
        <w:outlineLvl w:val="1"/>
        <w:rPr>
          <w:rFonts w:eastAsia="仿宋_GB2312" w:cs="仿宋_GB2312"/>
          <w:sz w:val="32"/>
          <w:szCs w:val="32"/>
        </w:rPr>
      </w:pPr>
      <w:bookmarkStart w:id="74" w:name="_Toc998199216_WPSOffice_Level3"/>
      <w:r>
        <w:rPr>
          <w:rFonts w:hint="eastAsia" w:eastAsia="仿宋_GB2312" w:cs="仿宋_GB2312"/>
          <w:sz w:val="32"/>
          <w:szCs w:val="32"/>
        </w:rPr>
        <w:t>（图2：收入决算结构图）</w:t>
      </w:r>
      <w:bookmarkEnd w:id="74"/>
    </w:p>
    <w:p>
      <w:pPr>
        <w:pStyle w:val="28"/>
        <w:spacing w:line="600" w:lineRule="exact"/>
        <w:ind w:firstLine="640"/>
        <w:outlineLvl w:val="1"/>
        <w:rPr>
          <w:rStyle w:val="30"/>
          <w:rFonts w:ascii="Times New Roman" w:hAnsi="Times New Roman" w:eastAsia="黑体"/>
          <w:b w:val="0"/>
        </w:rPr>
      </w:pPr>
      <w:bookmarkStart w:id="75" w:name="_Toc15377207"/>
      <w:bookmarkStart w:id="76" w:name="_Toc1997647953_WPSOffice_Level2"/>
      <w:bookmarkStart w:id="77" w:name="_Toc15396605"/>
      <w:r>
        <w:rPr>
          <w:rFonts w:hint="eastAsia" w:eastAsia="黑体"/>
          <w:sz w:val="32"/>
          <w:szCs w:val="32"/>
        </w:rPr>
        <w:t>三、支</w:t>
      </w:r>
      <w:r>
        <w:rPr>
          <w:rStyle w:val="30"/>
          <w:rFonts w:hint="eastAsia" w:ascii="Times New Roman" w:hAnsi="Times New Roman" w:eastAsia="黑体"/>
          <w:b w:val="0"/>
        </w:rPr>
        <w:t>出决算情况说明</w:t>
      </w:r>
      <w:bookmarkEnd w:id="75"/>
      <w:bookmarkEnd w:id="76"/>
      <w:bookmarkEnd w:id="77"/>
    </w:p>
    <w:p>
      <w:pPr>
        <w:pStyle w:val="28"/>
        <w:spacing w:line="600" w:lineRule="exact"/>
        <w:ind w:firstLine="640"/>
        <w:outlineLvl w:val="1"/>
        <w:rPr>
          <w:rFonts w:hint="eastAsia" w:eastAsia="仿宋_GB2312" w:cs="仿宋_GB2312"/>
          <w:sz w:val="32"/>
          <w:szCs w:val="32"/>
        </w:rPr>
      </w:pPr>
      <w:r>
        <w:drawing>
          <wp:anchor distT="0" distB="0" distL="114935" distR="114935" simplePos="0" relativeHeight="251660288" behindDoc="0" locked="0" layoutInCell="1" allowOverlap="1">
            <wp:simplePos x="0" y="0"/>
            <wp:positionH relativeFrom="column">
              <wp:posOffset>29210</wp:posOffset>
            </wp:positionH>
            <wp:positionV relativeFrom="paragraph">
              <wp:posOffset>1495425</wp:posOffset>
            </wp:positionV>
            <wp:extent cx="5066030" cy="2743835"/>
            <wp:effectExtent l="0" t="0" r="1270" b="18415"/>
            <wp:wrapNone/>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13"/>
                    <a:stretch>
                      <a:fillRect/>
                    </a:stretch>
                  </pic:blipFill>
                  <pic:spPr>
                    <a:xfrm>
                      <a:off x="0" y="0"/>
                      <a:ext cx="5066030" cy="2743835"/>
                    </a:xfrm>
                    <a:prstGeom prst="rect">
                      <a:avLst/>
                    </a:prstGeom>
                    <a:noFill/>
                    <a:ln>
                      <a:noFill/>
                    </a:ln>
                  </pic:spPr>
                </pic:pic>
              </a:graphicData>
            </a:graphic>
          </wp:anchor>
        </w:drawing>
      </w:r>
      <w:r>
        <w:rPr>
          <w:rFonts w:hint="eastAsia" w:eastAsia="仿宋_GB2312" w:cs="仿宋_GB2312"/>
          <w:sz w:val="32"/>
          <w:szCs w:val="32"/>
        </w:rPr>
        <w:t>2025年度本年支出合计4140.64万元，其中：基本支出3419.71万元，占</w:t>
      </w:r>
      <w:r>
        <w:rPr>
          <w:rFonts w:hint="eastAsia" w:eastAsia="仿宋_GB2312" w:cs="仿宋_GB2312"/>
          <w:sz w:val="32"/>
          <w:szCs w:val="32"/>
          <w:lang w:val="en-US" w:eastAsia="zh-CN"/>
        </w:rPr>
        <w:t>82.59</w:t>
      </w:r>
      <w:r>
        <w:rPr>
          <w:rFonts w:hint="eastAsia" w:eastAsia="仿宋_GB2312" w:cs="仿宋_GB2312"/>
          <w:sz w:val="32"/>
          <w:szCs w:val="32"/>
        </w:rPr>
        <w:t>%；项目支出720.93万元，占</w:t>
      </w:r>
      <w:r>
        <w:rPr>
          <w:rFonts w:hint="eastAsia" w:eastAsia="仿宋_GB2312" w:cs="仿宋_GB2312"/>
          <w:sz w:val="32"/>
          <w:szCs w:val="32"/>
          <w:lang w:val="en-US" w:eastAsia="zh-CN"/>
        </w:rPr>
        <w:t>17.41</w:t>
      </w:r>
      <w:r>
        <w:rPr>
          <w:rFonts w:hint="eastAsia" w:eastAsia="仿宋_GB2312" w:cs="仿宋_GB2312"/>
          <w:sz w:val="32"/>
          <w:szCs w:val="32"/>
        </w:rPr>
        <w:t>%；上缴上级支出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%；对附属单位补助支出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outlineLvl w:val="1"/>
        <w:rPr>
          <w:rFonts w:hint="eastAsia" w:eastAsia="仿宋_GB2312" w:cs="仿宋_GB2312"/>
          <w:sz w:val="32"/>
          <w:szCs w:val="32"/>
        </w:rPr>
      </w:pPr>
    </w:p>
    <w:p>
      <w:pPr>
        <w:pStyle w:val="28"/>
        <w:spacing w:line="600" w:lineRule="exact"/>
        <w:ind w:firstLine="640"/>
        <w:jc w:val="center"/>
        <w:outlineLvl w:val="1"/>
        <w:rPr>
          <w:rFonts w:eastAsia="仿宋_GB2312" w:cs="仿宋_GB2312"/>
          <w:sz w:val="32"/>
          <w:szCs w:val="32"/>
        </w:rPr>
      </w:pPr>
      <w:bookmarkStart w:id="78" w:name="_Toc1641788977_WPSOffice_Level3"/>
      <w:r>
        <w:rPr>
          <w:rFonts w:hint="eastAsia" w:eastAsia="仿宋_GB2312" w:cs="仿宋_GB2312"/>
          <w:sz w:val="32"/>
          <w:szCs w:val="32"/>
        </w:rPr>
        <w:t>（图3：支出决算结构图）</w:t>
      </w:r>
      <w:bookmarkEnd w:id="78"/>
    </w:p>
    <w:p>
      <w:pPr>
        <w:spacing w:line="600" w:lineRule="exact"/>
        <w:ind w:firstLine="640" w:firstLineChars="200"/>
        <w:outlineLvl w:val="1"/>
        <w:rPr>
          <w:rStyle w:val="30"/>
          <w:rFonts w:ascii="Times New Roman" w:hAnsi="Times New Roman" w:eastAsia="黑体"/>
          <w:b w:val="0"/>
        </w:rPr>
      </w:pPr>
      <w:bookmarkStart w:id="79" w:name="_Toc1498906798_WPSOffice_Level2"/>
      <w:bookmarkStart w:id="80" w:name="_Toc15377208"/>
      <w:bookmarkStart w:id="81" w:name="_Toc15396606"/>
      <w:r>
        <w:rPr>
          <w:rFonts w:hint="eastAsia" w:eastAsia="黑体"/>
          <w:sz w:val="32"/>
          <w:szCs w:val="32"/>
        </w:rPr>
        <w:t>四、财</w:t>
      </w:r>
      <w:r>
        <w:rPr>
          <w:rStyle w:val="30"/>
          <w:rFonts w:hint="eastAsia" w:ascii="Times New Roman" w:hAnsi="Times New Roman" w:eastAsia="黑体"/>
          <w:b w:val="0"/>
        </w:rPr>
        <w:t>政拨款收入支出决算总体情况说明</w:t>
      </w:r>
      <w:bookmarkEnd w:id="79"/>
      <w:bookmarkEnd w:id="80"/>
      <w:bookmarkEnd w:id="81"/>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4163.22</w:t>
      </w:r>
      <w:r>
        <w:rPr>
          <w:rFonts w:hint="eastAsia" w:eastAsia="仿宋_GB2312" w:cs="仿宋_GB2312"/>
          <w:sz w:val="32"/>
          <w:szCs w:val="32"/>
        </w:rPr>
        <w:t>万元。与上年度相比，财政拨款收入、支出总计各减少</w:t>
      </w:r>
      <w:r>
        <w:rPr>
          <w:rFonts w:hint="eastAsia" w:eastAsia="仿宋_GB2312" w:cs="仿宋_GB2312"/>
          <w:sz w:val="32"/>
          <w:szCs w:val="32"/>
          <w:lang w:val="en-US" w:eastAsia="zh-CN"/>
        </w:rPr>
        <w:t>309.28</w:t>
      </w:r>
      <w:r>
        <w:rPr>
          <w:rFonts w:hint="eastAsia" w:eastAsia="仿宋_GB2312" w:cs="仿宋_GB2312"/>
          <w:sz w:val="32"/>
          <w:szCs w:val="32"/>
        </w:rPr>
        <w:t>万元，下降</w:t>
      </w:r>
      <w:r>
        <w:rPr>
          <w:rFonts w:hint="eastAsia" w:eastAsia="仿宋_GB2312" w:cs="仿宋_GB2312"/>
          <w:sz w:val="32"/>
          <w:szCs w:val="32"/>
          <w:lang w:val="en-US" w:eastAsia="zh-CN"/>
        </w:rPr>
        <w:t>6.92</w:t>
      </w:r>
      <w:r>
        <w:rPr>
          <w:rFonts w:hint="eastAsia" w:eastAsia="仿宋_GB2312" w:cs="仿宋_GB2312"/>
          <w:sz w:val="32"/>
          <w:szCs w:val="32"/>
        </w:rPr>
        <w:t>%。主要变动原因是</w:t>
      </w:r>
      <w:r>
        <w:rPr>
          <w:rFonts w:hint="eastAsia" w:eastAsia="仿宋_GB2312" w:cs="仿宋_GB2312"/>
          <w:sz w:val="32"/>
          <w:szCs w:val="32"/>
          <w:lang w:eastAsia="zh-CN"/>
        </w:rPr>
        <w:t>人员调出导致基本支出减少，厉行节约压减部分项目经费。</w:t>
      </w:r>
    </w:p>
    <w:p>
      <w:pPr>
        <w:pStyle w:val="2"/>
      </w:pPr>
      <w:r>
        <w:drawing>
          <wp:inline distT="0" distB="0" distL="114300" distR="114300">
            <wp:extent cx="5128260" cy="2541905"/>
            <wp:effectExtent l="0" t="0" r="15240" b="10795"/>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14"/>
                    <a:stretch>
                      <a:fillRect/>
                    </a:stretch>
                  </pic:blipFill>
                  <pic:spPr>
                    <a:xfrm>
                      <a:off x="0" y="0"/>
                      <a:ext cx="5128260" cy="2541905"/>
                    </a:xfrm>
                    <a:prstGeom prst="rect">
                      <a:avLst/>
                    </a:prstGeom>
                    <a:noFill/>
                    <a:ln>
                      <a:noFill/>
                    </a:ln>
                  </pic:spPr>
                </pic:pic>
              </a:graphicData>
            </a:graphic>
          </wp:inline>
        </w:drawing>
      </w:r>
    </w:p>
    <w:p>
      <w:pPr>
        <w:spacing w:line="600" w:lineRule="exact"/>
        <w:ind w:firstLine="640" w:firstLineChars="200"/>
        <w:jc w:val="center"/>
        <w:rPr>
          <w:rFonts w:eastAsia="仿宋_GB2312" w:cs="仿宋_GB2312"/>
          <w:sz w:val="32"/>
          <w:szCs w:val="32"/>
        </w:rPr>
      </w:pPr>
      <w:bookmarkStart w:id="82" w:name="_Toc1580639341_WPSOffice_Level3"/>
      <w:r>
        <w:rPr>
          <w:rFonts w:hint="eastAsia" w:eastAsia="仿宋_GB2312" w:cs="仿宋_GB2312"/>
          <w:sz w:val="32"/>
          <w:szCs w:val="32"/>
        </w:rPr>
        <w:t>（图4：财政拨款收、支决算总计变动情况）</w:t>
      </w:r>
      <w:bookmarkEnd w:id="82"/>
    </w:p>
    <w:p>
      <w:pPr>
        <w:spacing w:line="600" w:lineRule="exact"/>
        <w:ind w:firstLine="640" w:firstLineChars="200"/>
        <w:outlineLvl w:val="1"/>
        <w:rPr>
          <w:rStyle w:val="30"/>
          <w:rFonts w:ascii="Times New Roman" w:hAnsi="Times New Roman" w:eastAsia="黑体"/>
          <w:b w:val="0"/>
        </w:rPr>
      </w:pPr>
      <w:bookmarkStart w:id="83" w:name="_Toc15396607"/>
      <w:bookmarkStart w:id="84" w:name="_Toc15377209"/>
      <w:bookmarkStart w:id="85" w:name="_Toc998199216_WPSOffice_Level2"/>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83"/>
      <w:bookmarkEnd w:id="84"/>
      <w:bookmarkEnd w:id="85"/>
    </w:p>
    <w:p>
      <w:pPr>
        <w:spacing w:line="600" w:lineRule="exact"/>
        <w:ind w:firstLine="642" w:firstLineChars="200"/>
        <w:outlineLvl w:val="2"/>
        <w:rPr>
          <w:rFonts w:eastAsia="楷体_GB2312" w:cs="楷体_GB2312"/>
          <w:b/>
          <w:sz w:val="32"/>
          <w:szCs w:val="32"/>
        </w:rPr>
      </w:pPr>
      <w:bookmarkStart w:id="86" w:name="_Toc289623237_WPSOffice_Level3"/>
      <w:bookmarkStart w:id="87" w:name="_Toc15377210"/>
      <w:r>
        <w:rPr>
          <w:rFonts w:hint="eastAsia" w:eastAsia="楷体_GB2312" w:cs="楷体_GB2312"/>
          <w:b/>
          <w:sz w:val="32"/>
          <w:szCs w:val="32"/>
        </w:rPr>
        <w:t>（一）一般公共预算财政拨款支出决算总体情况</w:t>
      </w:r>
      <w:bookmarkEnd w:id="86"/>
      <w:bookmarkEnd w:id="87"/>
    </w:p>
    <w:p>
      <w:pPr>
        <w:spacing w:line="600" w:lineRule="exact"/>
        <w:ind w:firstLine="640"/>
        <w:rPr>
          <w:rFonts w:hint="eastAsia" w:eastAsia="仿宋_GB2312" w:cs="仿宋_GB2312"/>
          <w:sz w:val="32"/>
          <w:szCs w:val="32"/>
          <w:lang w:eastAsia="zh-CN"/>
        </w:rPr>
      </w:pPr>
      <w:r>
        <w:drawing>
          <wp:anchor distT="0" distB="0" distL="114935" distR="114935" simplePos="0" relativeHeight="251661312" behindDoc="0" locked="0" layoutInCell="1" allowOverlap="1">
            <wp:simplePos x="0" y="0"/>
            <wp:positionH relativeFrom="column">
              <wp:posOffset>180975</wp:posOffset>
            </wp:positionH>
            <wp:positionV relativeFrom="paragraph">
              <wp:posOffset>1520825</wp:posOffset>
            </wp:positionV>
            <wp:extent cx="4952365" cy="2400300"/>
            <wp:effectExtent l="0" t="0" r="635" b="0"/>
            <wp:wrapNone/>
            <wp:docPr id="9"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true"/>
                    </pic:cNvPicPr>
                  </pic:nvPicPr>
                  <pic:blipFill>
                    <a:blip r:embed="rId15"/>
                    <a:stretch>
                      <a:fillRect/>
                    </a:stretch>
                  </pic:blipFill>
                  <pic:spPr>
                    <a:xfrm>
                      <a:off x="0" y="0"/>
                      <a:ext cx="4952365" cy="2400300"/>
                    </a:xfrm>
                    <a:prstGeom prst="rect">
                      <a:avLst/>
                    </a:prstGeom>
                    <a:noFill/>
                    <a:ln>
                      <a:noFill/>
                    </a:ln>
                  </pic:spPr>
                </pic:pic>
              </a:graphicData>
            </a:graphic>
          </wp:anchor>
        </w:drawing>
      </w:r>
      <w:r>
        <w:rPr>
          <w:rFonts w:hint="eastAsia" w:eastAsia="仿宋_GB2312" w:cs="仿宋_GB2312"/>
          <w:sz w:val="32"/>
          <w:szCs w:val="32"/>
        </w:rPr>
        <w:t>2025年度一般公共预算财政拨款支出4140.64万元，占本年支出合计的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%。与上年度相比，一般公共预算财政拨款支出减少</w:t>
      </w:r>
      <w:r>
        <w:rPr>
          <w:rFonts w:hint="eastAsia" w:eastAsia="仿宋_GB2312" w:cs="仿宋_GB2312"/>
          <w:sz w:val="32"/>
          <w:szCs w:val="32"/>
          <w:lang w:val="en-US" w:eastAsia="zh-CN"/>
        </w:rPr>
        <w:t>310.13</w:t>
      </w:r>
      <w:r>
        <w:rPr>
          <w:rFonts w:hint="eastAsia" w:eastAsia="仿宋_GB2312" w:cs="仿宋_GB2312"/>
          <w:sz w:val="32"/>
          <w:szCs w:val="32"/>
        </w:rPr>
        <w:t>万元，下降</w:t>
      </w:r>
      <w:r>
        <w:rPr>
          <w:rFonts w:hint="eastAsia" w:eastAsia="仿宋_GB2312" w:cs="仿宋_GB2312"/>
          <w:sz w:val="32"/>
          <w:szCs w:val="32"/>
          <w:lang w:val="en-US" w:eastAsia="zh-CN"/>
        </w:rPr>
        <w:t>6.97</w:t>
      </w:r>
      <w:r>
        <w:rPr>
          <w:rFonts w:hint="eastAsia" w:eastAsia="仿宋_GB2312" w:cs="仿宋_GB2312"/>
          <w:sz w:val="32"/>
          <w:szCs w:val="32"/>
        </w:rPr>
        <w:t>%。主要变动原因是</w:t>
      </w:r>
      <w:r>
        <w:rPr>
          <w:rFonts w:hint="eastAsia" w:eastAsia="仿宋_GB2312" w:cs="仿宋_GB2312"/>
          <w:sz w:val="32"/>
          <w:szCs w:val="32"/>
          <w:lang w:eastAsia="zh-CN"/>
        </w:rPr>
        <w:t>人员调出导致基本支出减少，厉行节约压减部分项目经费。</w:t>
      </w:r>
    </w:p>
    <w:p>
      <w:pPr>
        <w:pStyle w:val="2"/>
      </w:pPr>
    </w:p>
    <w:p>
      <w:pPr>
        <w:pStyle w:val="2"/>
      </w:pPr>
    </w:p>
    <w:p>
      <w:pPr>
        <w:pStyle w:val="2"/>
      </w:pPr>
    </w:p>
    <w:p>
      <w:pPr>
        <w:pStyle w:val="2"/>
      </w:pPr>
    </w:p>
    <w:p>
      <w:pPr>
        <w:pStyle w:val="2"/>
      </w:pPr>
    </w:p>
    <w:p>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2" w:firstLineChars="200"/>
        <w:outlineLvl w:val="2"/>
        <w:rPr>
          <w:rFonts w:eastAsia="楷体_GB2312" w:cs="楷体_GB2312"/>
          <w:b/>
          <w:sz w:val="32"/>
          <w:szCs w:val="32"/>
        </w:rPr>
      </w:pPr>
      <w:bookmarkStart w:id="88" w:name="_Toc15377211"/>
      <w:bookmarkStart w:id="89" w:name="_Toc58412032_WPSOffice_Level3"/>
      <w:r>
        <w:rPr>
          <w:rFonts w:hint="eastAsia" w:eastAsia="楷体_GB2312" w:cs="楷体_GB2312"/>
          <w:b/>
          <w:sz w:val="32"/>
          <w:szCs w:val="32"/>
        </w:rPr>
        <w:t>（二）一般公共预算财政拨款支出决算结构情况</w:t>
      </w:r>
      <w:bookmarkEnd w:id="88"/>
      <w:bookmarkEnd w:id="89"/>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2025年度一般公共预算财政拨款支出4140.64万元，主要用于以下方面：一般公共服务支出2974.22万元，占</w:t>
      </w:r>
      <w:r>
        <w:rPr>
          <w:rFonts w:hint="eastAsia" w:eastAsia="仿宋_GB2312" w:cs="仿宋_GB2312"/>
          <w:sz w:val="32"/>
          <w:szCs w:val="32"/>
          <w:lang w:val="en-US" w:eastAsia="zh-CN"/>
        </w:rPr>
        <w:t>71.83</w:t>
      </w:r>
      <w:r>
        <w:rPr>
          <w:rFonts w:hint="eastAsia" w:eastAsia="仿宋_GB2312" w:cs="仿宋_GB2312"/>
          <w:sz w:val="32"/>
          <w:szCs w:val="32"/>
        </w:rPr>
        <w:t>%；社会保障和就业支出800.46万元，占</w:t>
      </w:r>
      <w:r>
        <w:rPr>
          <w:rFonts w:hint="eastAsia" w:eastAsia="仿宋_GB2312" w:cs="仿宋_GB2312"/>
          <w:sz w:val="32"/>
          <w:szCs w:val="32"/>
          <w:lang w:val="en-US" w:eastAsia="zh-CN"/>
        </w:rPr>
        <w:t>19.33</w:t>
      </w:r>
      <w:r>
        <w:rPr>
          <w:rFonts w:hint="eastAsia" w:eastAsia="仿宋_GB2312" w:cs="仿宋_GB2312"/>
          <w:sz w:val="32"/>
          <w:szCs w:val="32"/>
        </w:rPr>
        <w:t>%；卫生健康支出165.04万元，占</w:t>
      </w:r>
      <w:r>
        <w:rPr>
          <w:rFonts w:hint="eastAsia" w:eastAsia="仿宋_GB2312" w:cs="仿宋_GB2312"/>
          <w:sz w:val="32"/>
          <w:szCs w:val="32"/>
          <w:lang w:val="en-US" w:eastAsia="zh-CN"/>
        </w:rPr>
        <w:t>3.99</w:t>
      </w:r>
      <w:r>
        <w:rPr>
          <w:rFonts w:hint="eastAsia" w:eastAsia="仿宋_GB2312" w:cs="仿宋_GB2312"/>
          <w:sz w:val="32"/>
          <w:szCs w:val="32"/>
        </w:rPr>
        <w:t>%；住房保障支出200.92万元，占</w:t>
      </w:r>
      <w:r>
        <w:rPr>
          <w:rFonts w:hint="eastAsia" w:eastAsia="仿宋_GB2312" w:cs="仿宋_GB2312"/>
          <w:sz w:val="32"/>
          <w:szCs w:val="32"/>
          <w:lang w:val="en-US" w:eastAsia="zh-CN"/>
        </w:rPr>
        <w:t>4.85</w:t>
      </w:r>
      <w:r>
        <w:rPr>
          <w:rFonts w:hint="eastAsia" w:eastAsia="仿宋_GB2312" w:cs="仿宋_GB2312"/>
          <w:sz w:val="32"/>
          <w:szCs w:val="32"/>
        </w:rPr>
        <w:t>%</w:t>
      </w:r>
      <w:r>
        <w:rPr>
          <w:rFonts w:hint="eastAsia" w:eastAsia="仿宋_GB2312" w:cs="仿宋_GB2312"/>
          <w:sz w:val="32"/>
          <w:szCs w:val="32"/>
          <w:lang w:eastAsia="zh-CN"/>
        </w:rPr>
        <w:t>。</w:t>
      </w:r>
    </w:p>
    <w:p>
      <w:pPr>
        <w:pStyle w:val="2"/>
        <w:rPr>
          <w:rFonts w:hint="eastAsia"/>
          <w:lang w:eastAsia="zh-CN"/>
        </w:rPr>
      </w:pPr>
      <w:r>
        <w:drawing>
          <wp:inline distT="0" distB="0" distL="114300" distR="114300">
            <wp:extent cx="5143500" cy="2943860"/>
            <wp:effectExtent l="0" t="0" r="0" b="8890"/>
            <wp:docPr id="10"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true"/>
                    </pic:cNvPicPr>
                  </pic:nvPicPr>
                  <pic:blipFill>
                    <a:blip r:embed="rId16"/>
                    <a:stretch>
                      <a:fillRect/>
                    </a:stretch>
                  </pic:blipFill>
                  <pic:spPr>
                    <a:xfrm>
                      <a:off x="0" y="0"/>
                      <a:ext cx="5143500" cy="2943860"/>
                    </a:xfrm>
                    <a:prstGeom prst="rect">
                      <a:avLst/>
                    </a:prstGeom>
                    <a:noFill/>
                    <a:ln>
                      <a:noFill/>
                    </a:ln>
                  </pic:spPr>
                </pic:pic>
              </a:graphicData>
            </a:graphic>
          </wp:inline>
        </w:drawing>
      </w:r>
    </w:p>
    <w:p>
      <w:pPr>
        <w:spacing w:line="600" w:lineRule="exact"/>
        <w:ind w:firstLine="640"/>
        <w:jc w:val="center"/>
        <w:rPr>
          <w:rFonts w:eastAsia="仿宋_GB2312" w:cs="仿宋_GB2312"/>
          <w:sz w:val="32"/>
          <w:szCs w:val="32"/>
        </w:rPr>
      </w:pPr>
      <w:bookmarkStart w:id="90" w:name="_Toc153311004_WPSOffice_Level3"/>
      <w:r>
        <w:rPr>
          <w:rFonts w:hint="eastAsia" w:eastAsia="仿宋_GB2312" w:cs="仿宋_GB2312"/>
          <w:sz w:val="32"/>
          <w:szCs w:val="32"/>
        </w:rPr>
        <w:t>（图6：一般公共预算财政拨款支出决算结构）</w:t>
      </w:r>
      <w:bookmarkEnd w:id="90"/>
    </w:p>
    <w:p>
      <w:pPr>
        <w:spacing w:line="600" w:lineRule="exact"/>
        <w:ind w:firstLine="642" w:firstLineChars="200"/>
        <w:outlineLvl w:val="2"/>
        <w:rPr>
          <w:rFonts w:eastAsia="楷体_GB2312" w:cs="楷体_GB2312"/>
          <w:b/>
          <w:sz w:val="32"/>
          <w:szCs w:val="32"/>
        </w:rPr>
      </w:pPr>
      <w:bookmarkStart w:id="91" w:name="_Toc15377212"/>
      <w:bookmarkStart w:id="92" w:name="_Toc589369360_WPSOffice_Level3"/>
      <w:r>
        <w:rPr>
          <w:rFonts w:hint="eastAsia" w:eastAsia="楷体_GB2312" w:cs="楷体_GB2312"/>
          <w:b/>
          <w:sz w:val="32"/>
          <w:szCs w:val="32"/>
        </w:rPr>
        <w:t>（三）一般公共预算财政拨款支出决算具体情况</w:t>
      </w:r>
      <w:bookmarkEnd w:id="91"/>
      <w:bookmarkEnd w:id="92"/>
    </w:p>
    <w:p>
      <w:pPr>
        <w:spacing w:line="600" w:lineRule="exact"/>
        <w:ind w:firstLine="640"/>
        <w:rPr>
          <w:rFonts w:eastAsia="仿宋_GB2312" w:cs="仿宋_GB2312"/>
          <w:sz w:val="32"/>
          <w:szCs w:val="32"/>
        </w:rPr>
      </w:pPr>
      <w:bookmarkStart w:id="93" w:name="_Toc15378460"/>
      <w:bookmarkStart w:id="94" w:name="_Toc15377444"/>
      <w:bookmarkStart w:id="95" w:name="_Toc15377213"/>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4140.64</w:t>
      </w:r>
      <w:r>
        <w:rPr>
          <w:rFonts w:hint="eastAsia" w:eastAsia="仿宋_GB2312" w:cs="仿宋_GB2312"/>
          <w:sz w:val="32"/>
          <w:szCs w:val="32"/>
        </w:rPr>
        <w:t>，完成预算</w:t>
      </w:r>
      <w:r>
        <w:rPr>
          <w:rFonts w:hint="eastAsia" w:eastAsia="仿宋_GB2312" w:cs="仿宋_GB2312"/>
          <w:sz w:val="32"/>
          <w:szCs w:val="32"/>
          <w:lang w:val="en-US" w:eastAsia="zh-CN"/>
        </w:rPr>
        <w:t>99.98</w:t>
      </w:r>
      <w:r>
        <w:rPr>
          <w:rFonts w:hint="eastAsia" w:eastAsia="仿宋_GB2312" w:cs="仿宋_GB2312"/>
          <w:sz w:val="32"/>
          <w:szCs w:val="32"/>
        </w:rPr>
        <w:t>%。其中：</w:t>
      </w:r>
    </w:p>
    <w:p>
      <w:pPr>
        <w:spacing w:line="600" w:lineRule="exact"/>
        <w:ind w:firstLine="640"/>
        <w:rPr>
          <w:rFonts w:hint="default" w:ascii="Times New Roman" w:hAnsi="Times New Roman" w:eastAsia="仿宋_GB2312" w:cs="仿宋_GB2312"/>
          <w:sz w:val="32"/>
          <w:szCs w:val="32"/>
          <w:lang w:val="en-US" w:eastAsia="zh-CN"/>
        </w:rPr>
      </w:pPr>
      <w:bookmarkStart w:id="96" w:name="_Toc10687"/>
      <w:r>
        <w:rPr>
          <w:rFonts w:hint="default" w:ascii="Times New Roman" w:hAnsi="Times New Roman" w:eastAsia="仿宋_GB2312" w:cs="仿宋_GB2312"/>
          <w:sz w:val="32"/>
          <w:szCs w:val="32"/>
          <w:lang w:val="en-US" w:eastAsia="zh-CN"/>
        </w:rPr>
        <w:t>1.一般公共服务支出（类）政府办公厅（室）及相关机构事务（款）行政运行（项）: 支出决算为</w:t>
      </w:r>
      <w:r>
        <w:rPr>
          <w:rFonts w:hint="eastAsia" w:ascii="Times New Roman" w:hAnsi="Times New Roman" w:eastAsia="仿宋_GB2312" w:cs="仿宋_GB2312"/>
          <w:sz w:val="32"/>
          <w:szCs w:val="32"/>
          <w:lang w:val="en-US" w:eastAsia="zh-CN"/>
        </w:rPr>
        <w:t>2128.56</w:t>
      </w:r>
      <w:r>
        <w:rPr>
          <w:rFonts w:hint="default" w:ascii="Times New Roman" w:hAnsi="Times New Roman" w:eastAsia="仿宋_GB2312" w:cs="仿宋_GB2312"/>
          <w:sz w:val="32"/>
          <w:szCs w:val="32"/>
          <w:lang w:val="en-US" w:eastAsia="zh-CN"/>
        </w:rPr>
        <w:t>万元，完成预算99.</w:t>
      </w:r>
      <w:r>
        <w:rPr>
          <w:rFonts w:hint="eastAsia" w:ascii="Times New Roman" w:hAnsi="Times New Roman" w:eastAsia="仿宋_GB2312" w:cs="仿宋_GB2312"/>
          <w:sz w:val="32"/>
          <w:szCs w:val="32"/>
          <w:lang w:val="en-US" w:eastAsia="zh-CN"/>
        </w:rPr>
        <w:t>96</w:t>
      </w:r>
      <w:r>
        <w:rPr>
          <w:rFonts w:hint="default" w:ascii="Times New Roman" w:hAnsi="Times New Roman" w:eastAsia="仿宋_GB2312" w:cs="仿宋_GB2312"/>
          <w:sz w:val="32"/>
          <w:szCs w:val="32"/>
          <w:lang w:val="en-US" w:eastAsia="zh-CN"/>
        </w:rPr>
        <w:t>%，决算数小于预算数的主要原因是结转结余形成。</w:t>
      </w:r>
      <w:bookmarkEnd w:id="96"/>
    </w:p>
    <w:p>
      <w:pPr>
        <w:spacing w:line="600" w:lineRule="exact"/>
        <w:ind w:firstLine="640"/>
        <w:rPr>
          <w:rFonts w:hint="default" w:ascii="Times New Roman" w:hAnsi="Times New Roman" w:eastAsia="仿宋_GB2312" w:cs="仿宋_GB2312"/>
          <w:sz w:val="32"/>
          <w:szCs w:val="32"/>
          <w:lang w:val="en-US" w:eastAsia="zh-CN"/>
        </w:rPr>
      </w:pPr>
      <w:bookmarkStart w:id="97" w:name="_Toc13353"/>
      <w:r>
        <w:rPr>
          <w:rFonts w:hint="default" w:ascii="Times New Roman" w:hAnsi="Times New Roman" w:eastAsia="仿宋_GB2312" w:cs="仿宋_GB2312"/>
          <w:sz w:val="32"/>
          <w:szCs w:val="32"/>
          <w:lang w:val="en-US" w:eastAsia="zh-CN"/>
        </w:rPr>
        <w:t>2.一般公共服务支出（类）政府办公厅（室）及相关机构事务（款）一般行政管理事务（项）: 支出决算为</w:t>
      </w:r>
      <w:r>
        <w:rPr>
          <w:rFonts w:hint="eastAsia" w:ascii="Times New Roman" w:hAnsi="Times New Roman" w:eastAsia="仿宋_GB2312" w:cs="仿宋_GB2312"/>
          <w:sz w:val="32"/>
          <w:szCs w:val="32"/>
          <w:lang w:val="en-US" w:eastAsia="zh-CN"/>
        </w:rPr>
        <w:t>691.44</w:t>
      </w:r>
      <w:r>
        <w:rPr>
          <w:rFonts w:hint="default" w:ascii="Times New Roman" w:hAnsi="Times New Roman" w:eastAsia="仿宋_GB2312" w:cs="仿宋_GB2312"/>
          <w:sz w:val="32"/>
          <w:szCs w:val="32"/>
          <w:lang w:val="en-US" w:eastAsia="zh-CN"/>
        </w:rPr>
        <w:t>万元，完成预算</w:t>
      </w:r>
      <w:r>
        <w:rPr>
          <w:rFonts w:hint="eastAsia" w:ascii="Times New Roman" w:hAnsi="Times New Roman" w:eastAsia="仿宋_GB2312" w:cs="仿宋_GB2312"/>
          <w:sz w:val="32"/>
          <w:szCs w:val="32"/>
          <w:lang w:val="en-US" w:eastAsia="zh-CN"/>
        </w:rPr>
        <w:t>100</w:t>
      </w:r>
      <w:r>
        <w:rPr>
          <w:rFonts w:hint="default" w:ascii="Times New Roman" w:hAnsi="Times New Roman" w:eastAsia="仿宋_GB2312" w:cs="仿宋_GB2312"/>
          <w:sz w:val="32"/>
          <w:szCs w:val="32"/>
          <w:lang w:val="en-US" w:eastAsia="zh-CN"/>
        </w:rPr>
        <w:t>%。</w:t>
      </w:r>
      <w:bookmarkEnd w:id="97"/>
    </w:p>
    <w:p>
      <w:pPr>
        <w:spacing w:line="600" w:lineRule="exact"/>
        <w:ind w:firstLine="640"/>
        <w:rPr>
          <w:rFonts w:hint="default" w:ascii="Times New Roman" w:hAnsi="Times New Roman" w:eastAsia="仿宋_GB2312" w:cs="仿宋_GB2312"/>
          <w:sz w:val="32"/>
          <w:szCs w:val="32"/>
          <w:lang w:val="en-US" w:eastAsia="zh-CN"/>
        </w:rPr>
      </w:pPr>
      <w:bookmarkStart w:id="98" w:name="_Toc873"/>
      <w:r>
        <w:rPr>
          <w:rFonts w:hint="default" w:ascii="Times New Roman" w:hAnsi="Times New Roman" w:eastAsia="仿宋_GB2312" w:cs="仿宋_GB2312"/>
          <w:sz w:val="32"/>
          <w:szCs w:val="32"/>
          <w:lang w:val="en-US" w:eastAsia="zh-CN"/>
        </w:rPr>
        <w:t>3.一般公共服务支出（类）政府办公厅（室）及相关机构事务（款）事业运行（项）: 支出决算为</w:t>
      </w:r>
      <w:r>
        <w:rPr>
          <w:rFonts w:hint="eastAsia" w:ascii="Times New Roman" w:hAnsi="Times New Roman" w:eastAsia="仿宋_GB2312" w:cs="仿宋_GB2312"/>
          <w:sz w:val="32"/>
          <w:szCs w:val="32"/>
          <w:lang w:val="en-US" w:eastAsia="zh-CN"/>
        </w:rPr>
        <w:t>122.43</w:t>
      </w:r>
      <w:r>
        <w:rPr>
          <w:rFonts w:hint="default" w:ascii="Times New Roman" w:hAnsi="Times New Roman" w:eastAsia="仿宋_GB2312" w:cs="仿宋_GB2312"/>
          <w:sz w:val="32"/>
          <w:szCs w:val="32"/>
          <w:lang w:val="en-US" w:eastAsia="zh-CN"/>
        </w:rPr>
        <w:t>万元，完成预算100%。</w:t>
      </w:r>
      <w:bookmarkEnd w:id="98"/>
    </w:p>
    <w:p>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lang w:val="en-US" w:eastAsia="zh-CN"/>
        </w:rPr>
        <w:t>.一般公共服务支出（类）政府办公厅（室）及相关机构事务（款）其他政府办公厅（室）及相关机构事务支出（项）: 支出决算为</w:t>
      </w:r>
      <w:r>
        <w:rPr>
          <w:rFonts w:hint="eastAsia" w:ascii="Times New Roman" w:hAnsi="Times New Roman" w:eastAsia="仿宋_GB2312" w:cs="仿宋_GB2312"/>
          <w:sz w:val="32"/>
          <w:szCs w:val="32"/>
          <w:lang w:val="en-US" w:eastAsia="zh-CN"/>
        </w:rPr>
        <w:t>13.98</w:t>
      </w:r>
      <w:r>
        <w:rPr>
          <w:rFonts w:hint="default" w:ascii="Times New Roman" w:hAnsi="Times New Roman" w:eastAsia="仿宋_GB2312" w:cs="仿宋_GB2312"/>
          <w:sz w:val="32"/>
          <w:szCs w:val="32"/>
          <w:lang w:val="en-US" w:eastAsia="zh-CN"/>
        </w:rPr>
        <w:t>万元，完成预算100%。</w:t>
      </w:r>
    </w:p>
    <w:p>
      <w:pPr>
        <w:spacing w:line="600" w:lineRule="exact"/>
        <w:ind w:firstLine="640"/>
        <w:rPr>
          <w:rFonts w:hint="default"/>
          <w:lang w:val="en-US" w:eastAsia="zh-CN"/>
        </w:rPr>
      </w:pP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lang w:val="en-US" w:eastAsia="zh-CN"/>
        </w:rPr>
        <w:t>.一般公共服务支出（类）纪检监察事务（款）派驻派出机构（项）: 支出决算为</w:t>
      </w:r>
      <w:r>
        <w:rPr>
          <w:rFonts w:hint="eastAsia" w:ascii="Times New Roman" w:hAnsi="Times New Roman" w:eastAsia="仿宋_GB2312" w:cs="仿宋_GB2312"/>
          <w:sz w:val="32"/>
          <w:szCs w:val="32"/>
          <w:lang w:val="en-US" w:eastAsia="zh-CN"/>
        </w:rPr>
        <w:t>3.4</w:t>
      </w:r>
      <w:r>
        <w:rPr>
          <w:rFonts w:hint="default" w:ascii="Times New Roman" w:hAnsi="Times New Roman" w:eastAsia="仿宋_GB2312" w:cs="仿宋_GB2312"/>
          <w:sz w:val="32"/>
          <w:szCs w:val="32"/>
          <w:lang w:val="en-US" w:eastAsia="zh-CN"/>
        </w:rPr>
        <w:t>万元，完成预算100%。</w:t>
      </w:r>
    </w:p>
    <w:p>
      <w:pPr>
        <w:spacing w:line="600" w:lineRule="exact"/>
        <w:ind w:firstLine="640"/>
        <w:rPr>
          <w:rFonts w:hint="default" w:ascii="Times New Roman" w:hAnsi="Times New Roman" w:eastAsia="仿宋_GB2312" w:cs="仿宋_GB2312"/>
          <w:sz w:val="32"/>
          <w:szCs w:val="32"/>
          <w:lang w:val="en-US" w:eastAsia="zh-CN"/>
        </w:rPr>
      </w:pPr>
      <w:bookmarkStart w:id="99" w:name="_Toc8227"/>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lang w:val="en-US" w:eastAsia="zh-CN"/>
        </w:rPr>
        <w:t>.一般公共服务支出（类）组织事务（款）其他组织事务支出（项）: 支出决算为</w:t>
      </w:r>
      <w:r>
        <w:rPr>
          <w:rFonts w:hint="eastAsia" w:ascii="Times New Roman" w:hAnsi="Times New Roman" w:eastAsia="仿宋_GB2312" w:cs="仿宋_GB2312"/>
          <w:sz w:val="32"/>
          <w:szCs w:val="32"/>
          <w:lang w:val="en-US" w:eastAsia="zh-CN"/>
        </w:rPr>
        <w:t>14.41</w:t>
      </w:r>
      <w:r>
        <w:rPr>
          <w:rFonts w:hint="default" w:ascii="Times New Roman" w:hAnsi="Times New Roman" w:eastAsia="仿宋_GB2312" w:cs="仿宋_GB2312"/>
          <w:sz w:val="32"/>
          <w:szCs w:val="32"/>
          <w:lang w:val="en-US" w:eastAsia="zh-CN"/>
        </w:rPr>
        <w:t>万元，完成预算100%。</w:t>
      </w:r>
      <w:bookmarkEnd w:id="99"/>
    </w:p>
    <w:p>
      <w:pPr>
        <w:spacing w:line="600" w:lineRule="exact"/>
        <w:ind w:firstLine="640"/>
        <w:rPr>
          <w:rFonts w:hint="default" w:ascii="Times New Roman" w:hAnsi="Times New Roman" w:eastAsia="仿宋_GB2312" w:cs="仿宋_GB2312"/>
          <w:sz w:val="32"/>
          <w:szCs w:val="32"/>
          <w:lang w:val="en-US" w:eastAsia="zh-CN"/>
        </w:rPr>
      </w:pPr>
      <w:bookmarkStart w:id="100" w:name="_Toc26807"/>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lang w:val="en-US" w:eastAsia="zh-CN"/>
        </w:rPr>
        <w:t>.社会保障和就业支出（类）人力资源和社会保障管理事务（款）其他人力资源和社会保障管理事务支出（项）: 支出决算为</w:t>
      </w:r>
      <w:r>
        <w:rPr>
          <w:rFonts w:hint="eastAsia" w:ascii="Times New Roman" w:hAnsi="Times New Roman" w:eastAsia="仿宋_GB2312" w:cs="仿宋_GB2312"/>
          <w:sz w:val="32"/>
          <w:szCs w:val="32"/>
          <w:lang w:val="en-US" w:eastAsia="zh-CN"/>
        </w:rPr>
        <w:t>2.4</w:t>
      </w:r>
      <w:r>
        <w:rPr>
          <w:rFonts w:hint="default" w:ascii="Times New Roman" w:hAnsi="Times New Roman" w:eastAsia="仿宋_GB2312" w:cs="仿宋_GB2312"/>
          <w:sz w:val="32"/>
          <w:szCs w:val="32"/>
          <w:lang w:val="en-US" w:eastAsia="zh-CN"/>
        </w:rPr>
        <w:t>万元，完成预算100%。</w:t>
      </w:r>
      <w:bookmarkEnd w:id="100"/>
    </w:p>
    <w:p>
      <w:pPr>
        <w:spacing w:line="600" w:lineRule="exact"/>
        <w:ind w:firstLine="640"/>
        <w:rPr>
          <w:rFonts w:hint="default" w:ascii="Times New Roman" w:hAnsi="Times New Roman" w:eastAsia="仿宋_GB2312" w:cs="仿宋_GB2312"/>
          <w:sz w:val="32"/>
          <w:szCs w:val="32"/>
          <w:lang w:val="en-US" w:eastAsia="zh-CN"/>
        </w:rPr>
      </w:pPr>
      <w:bookmarkStart w:id="101" w:name="_Toc14371"/>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lang w:val="en-US" w:eastAsia="zh-CN"/>
        </w:rPr>
        <w:t>．社会保障和就业支出（类）行政事业单位养老支出（款）行政单位离退休（项）: 支出决算为</w:t>
      </w:r>
      <w:r>
        <w:rPr>
          <w:rFonts w:hint="eastAsia" w:ascii="Times New Roman" w:hAnsi="Times New Roman" w:eastAsia="仿宋_GB2312" w:cs="仿宋_GB2312"/>
          <w:sz w:val="32"/>
          <w:szCs w:val="32"/>
          <w:lang w:val="en-US" w:eastAsia="zh-CN"/>
        </w:rPr>
        <w:t>496.75</w:t>
      </w:r>
      <w:r>
        <w:rPr>
          <w:rFonts w:hint="default" w:ascii="Times New Roman" w:hAnsi="Times New Roman" w:eastAsia="仿宋_GB2312" w:cs="仿宋_GB2312"/>
          <w:sz w:val="32"/>
          <w:szCs w:val="32"/>
          <w:lang w:val="en-US" w:eastAsia="zh-CN"/>
        </w:rPr>
        <w:t>万元，完成预算100%。</w:t>
      </w:r>
      <w:bookmarkEnd w:id="101"/>
    </w:p>
    <w:p>
      <w:pPr>
        <w:spacing w:line="600" w:lineRule="exact"/>
        <w:ind w:firstLine="640"/>
        <w:rPr>
          <w:rFonts w:hint="default" w:ascii="Times New Roman" w:hAnsi="Times New Roman" w:eastAsia="仿宋_GB2312" w:cs="仿宋_GB2312"/>
          <w:sz w:val="32"/>
          <w:szCs w:val="32"/>
          <w:lang w:val="en-US" w:eastAsia="zh-CN"/>
        </w:rPr>
      </w:pPr>
      <w:bookmarkStart w:id="102" w:name="_Toc32278"/>
      <w:r>
        <w:rPr>
          <w:rFonts w:hint="eastAsia" w:ascii="Times New Roman" w:hAnsi="Times New Roman" w:eastAsia="仿宋_GB2312" w:cs="仿宋_GB2312"/>
          <w:sz w:val="32"/>
          <w:szCs w:val="32"/>
          <w:lang w:val="en-US" w:eastAsia="zh-CN"/>
        </w:rPr>
        <w:t>9</w:t>
      </w:r>
      <w:r>
        <w:rPr>
          <w:rFonts w:hint="default" w:ascii="Times New Roman" w:hAnsi="Times New Roman" w:eastAsia="仿宋_GB2312" w:cs="仿宋_GB2312"/>
          <w:sz w:val="32"/>
          <w:szCs w:val="32"/>
          <w:lang w:val="en-US" w:eastAsia="zh-CN"/>
        </w:rPr>
        <w:t>．社会保障和就业支出（类）行政事业单位养老支出（款）事业单位离退休（项）: 支出决算为0.05万元，完成预算100%。</w:t>
      </w:r>
      <w:bookmarkEnd w:id="102"/>
    </w:p>
    <w:p>
      <w:pPr>
        <w:spacing w:line="600" w:lineRule="exact"/>
        <w:ind w:firstLine="640"/>
        <w:rPr>
          <w:rFonts w:hint="default" w:ascii="Times New Roman" w:hAnsi="Times New Roman" w:eastAsia="仿宋_GB2312" w:cs="仿宋_GB2312"/>
          <w:sz w:val="32"/>
          <w:szCs w:val="32"/>
          <w:lang w:val="en-US" w:eastAsia="zh-CN"/>
        </w:rPr>
      </w:pPr>
      <w:bookmarkStart w:id="103" w:name="_Toc16520"/>
      <w:r>
        <w:rPr>
          <w:rFonts w:hint="eastAsia" w:ascii="Times New Roman" w:hAnsi="Times New Roman" w:eastAsia="仿宋_GB2312" w:cs="仿宋_GB2312"/>
          <w:sz w:val="32"/>
          <w:szCs w:val="32"/>
          <w:lang w:val="en-US" w:eastAsia="zh-CN"/>
        </w:rPr>
        <w:t>10</w:t>
      </w:r>
      <w:r>
        <w:rPr>
          <w:rFonts w:hint="default" w:ascii="Times New Roman" w:hAnsi="Times New Roman" w:eastAsia="仿宋_GB2312" w:cs="仿宋_GB2312"/>
          <w:sz w:val="32"/>
          <w:szCs w:val="32"/>
          <w:lang w:val="en-US" w:eastAsia="zh-CN"/>
        </w:rPr>
        <w:t>．社会保障和就业支出（类）行政事业单位养老支出（款）机关事业单位基本养老保险缴费支出（项）: 支出决算为</w:t>
      </w:r>
      <w:r>
        <w:rPr>
          <w:rFonts w:hint="eastAsia" w:ascii="Times New Roman" w:hAnsi="Times New Roman" w:eastAsia="仿宋_GB2312" w:cs="仿宋_GB2312"/>
          <w:sz w:val="32"/>
          <w:szCs w:val="32"/>
          <w:lang w:val="en-US" w:eastAsia="zh-CN"/>
        </w:rPr>
        <w:t>250.86</w:t>
      </w:r>
      <w:r>
        <w:rPr>
          <w:rFonts w:hint="default" w:ascii="Times New Roman" w:hAnsi="Times New Roman" w:eastAsia="仿宋_GB2312" w:cs="仿宋_GB2312"/>
          <w:sz w:val="32"/>
          <w:szCs w:val="32"/>
          <w:lang w:val="en-US" w:eastAsia="zh-CN"/>
        </w:rPr>
        <w:t>万元，完成预算100%。</w:t>
      </w:r>
      <w:bookmarkEnd w:id="103"/>
    </w:p>
    <w:p>
      <w:pPr>
        <w:spacing w:line="600" w:lineRule="exact"/>
        <w:ind w:firstLine="640"/>
        <w:rPr>
          <w:rFonts w:hint="default" w:ascii="Times New Roman" w:hAnsi="Times New Roman" w:eastAsia="仿宋_GB2312" w:cs="仿宋_GB2312"/>
          <w:sz w:val="32"/>
          <w:szCs w:val="32"/>
          <w:lang w:val="en-US" w:eastAsia="zh-CN"/>
        </w:rPr>
      </w:pPr>
      <w:bookmarkStart w:id="104" w:name="_Toc27013"/>
      <w:r>
        <w:rPr>
          <w:rFonts w:hint="eastAsia" w:ascii="Times New Roman" w:hAnsi="Times New Roman" w:eastAsia="仿宋_GB2312" w:cs="仿宋_GB2312"/>
          <w:sz w:val="32"/>
          <w:szCs w:val="32"/>
          <w:lang w:val="en-US" w:eastAsia="zh-CN"/>
        </w:rPr>
        <w:t>11</w:t>
      </w:r>
      <w:r>
        <w:rPr>
          <w:rFonts w:hint="default" w:ascii="Times New Roman" w:hAnsi="Times New Roman" w:eastAsia="仿宋_GB2312" w:cs="仿宋_GB2312"/>
          <w:sz w:val="32"/>
          <w:szCs w:val="32"/>
          <w:lang w:val="en-US" w:eastAsia="zh-CN"/>
        </w:rPr>
        <w:t>．社会保障和就业支出（类）行政事业单位养老支出（款）机关事业单位职业年金缴费支出（项）: 支出决算为</w:t>
      </w:r>
      <w:bookmarkEnd w:id="104"/>
    </w:p>
    <w:p>
      <w:pPr>
        <w:spacing w:line="600" w:lineRule="exact"/>
        <w:rPr>
          <w:rFonts w:hint="default" w:ascii="Times New Roman" w:hAnsi="Times New Roman" w:eastAsia="仿宋_GB2312" w:cs="仿宋_GB2312"/>
          <w:sz w:val="32"/>
          <w:szCs w:val="32"/>
          <w:lang w:val="en-US" w:eastAsia="zh-CN"/>
        </w:rPr>
      </w:pPr>
      <w:bookmarkStart w:id="105" w:name="_Toc22018"/>
      <w:r>
        <w:rPr>
          <w:rFonts w:hint="eastAsia" w:ascii="Times New Roman" w:hAnsi="Times New Roman" w:eastAsia="仿宋_GB2312" w:cs="仿宋_GB2312"/>
          <w:sz w:val="32"/>
          <w:szCs w:val="32"/>
          <w:lang w:val="en-US" w:eastAsia="zh-CN"/>
        </w:rPr>
        <w:t>49.68</w:t>
      </w:r>
      <w:r>
        <w:rPr>
          <w:rFonts w:hint="default" w:ascii="Times New Roman" w:hAnsi="Times New Roman" w:eastAsia="仿宋_GB2312" w:cs="仿宋_GB2312"/>
          <w:sz w:val="32"/>
          <w:szCs w:val="32"/>
          <w:lang w:val="en-US" w:eastAsia="zh-CN"/>
        </w:rPr>
        <w:t>万元，完成预算100%。</w:t>
      </w:r>
      <w:bookmarkEnd w:id="105"/>
    </w:p>
    <w:p>
      <w:pPr>
        <w:spacing w:line="600" w:lineRule="exact"/>
        <w:ind w:firstLine="640"/>
        <w:rPr>
          <w:rFonts w:hint="default" w:ascii="Times New Roman" w:hAnsi="Times New Roman" w:eastAsia="仿宋_GB2312" w:cs="仿宋_GB2312"/>
          <w:sz w:val="32"/>
          <w:szCs w:val="32"/>
          <w:lang w:val="en-US" w:eastAsia="zh-CN"/>
        </w:rPr>
      </w:pPr>
      <w:bookmarkStart w:id="106" w:name="_Toc31576"/>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2</w:t>
      </w:r>
      <w:r>
        <w:rPr>
          <w:rFonts w:hint="default" w:ascii="Times New Roman" w:hAnsi="Times New Roman" w:eastAsia="仿宋_GB2312" w:cs="仿宋_GB2312"/>
          <w:sz w:val="32"/>
          <w:szCs w:val="32"/>
          <w:lang w:val="en-US" w:eastAsia="zh-CN"/>
        </w:rPr>
        <w:t>．社会保障和就业支出（类）社会福利（款）儿童福利（项）: 支出决算为</w:t>
      </w:r>
      <w:r>
        <w:rPr>
          <w:rFonts w:hint="eastAsia" w:ascii="Times New Roman" w:hAnsi="Times New Roman" w:eastAsia="仿宋_GB2312" w:cs="仿宋_GB2312"/>
          <w:sz w:val="32"/>
          <w:szCs w:val="32"/>
          <w:lang w:val="en-US" w:eastAsia="zh-CN"/>
        </w:rPr>
        <w:t>0.7</w:t>
      </w:r>
      <w:r>
        <w:rPr>
          <w:rFonts w:hint="eastAsia" w:eastAsia="仿宋_GB2312" w:cs="仿宋_GB2312"/>
          <w:sz w:val="32"/>
          <w:szCs w:val="32"/>
          <w:lang w:val="en-US" w:eastAsia="zh-CN"/>
        </w:rPr>
        <w:t>2</w:t>
      </w:r>
      <w:r>
        <w:rPr>
          <w:rFonts w:hint="default" w:ascii="Times New Roman" w:hAnsi="Times New Roman" w:eastAsia="仿宋_GB2312" w:cs="仿宋_GB2312"/>
          <w:sz w:val="32"/>
          <w:szCs w:val="32"/>
          <w:lang w:val="en-US" w:eastAsia="zh-CN"/>
        </w:rPr>
        <w:t>万元，完成预算100%。</w:t>
      </w:r>
      <w:bookmarkEnd w:id="106"/>
    </w:p>
    <w:p>
      <w:pPr>
        <w:spacing w:line="600" w:lineRule="exact"/>
        <w:ind w:firstLine="640"/>
        <w:rPr>
          <w:rFonts w:hint="default" w:ascii="Times New Roman" w:hAnsi="Times New Roman" w:eastAsia="仿宋_GB2312" w:cs="仿宋_GB2312"/>
          <w:sz w:val="32"/>
          <w:szCs w:val="32"/>
          <w:lang w:val="en-US" w:eastAsia="zh-CN"/>
        </w:rPr>
      </w:pPr>
      <w:bookmarkStart w:id="107" w:name="_Toc5884"/>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3</w:t>
      </w:r>
      <w:r>
        <w:rPr>
          <w:rFonts w:hint="default" w:ascii="Times New Roman" w:hAnsi="Times New Roman" w:eastAsia="仿宋_GB2312" w:cs="仿宋_GB2312"/>
          <w:sz w:val="32"/>
          <w:szCs w:val="32"/>
          <w:lang w:val="en-US" w:eastAsia="zh-CN"/>
        </w:rPr>
        <w:t>.卫生健康（类）行政事业单位医疗（款）行政单位医疗（项）:支出决算为127.03万元，完成预算100%。</w:t>
      </w:r>
      <w:bookmarkEnd w:id="107"/>
    </w:p>
    <w:p>
      <w:pPr>
        <w:spacing w:line="600" w:lineRule="exact"/>
        <w:ind w:firstLine="640"/>
        <w:rPr>
          <w:rFonts w:hint="default" w:ascii="Times New Roman" w:hAnsi="Times New Roman" w:eastAsia="仿宋_GB2312" w:cs="仿宋_GB2312"/>
          <w:sz w:val="32"/>
          <w:szCs w:val="32"/>
          <w:lang w:val="en-US" w:eastAsia="zh-CN"/>
        </w:rPr>
      </w:pPr>
      <w:bookmarkStart w:id="108" w:name="_Toc28192"/>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lang w:val="en-US" w:eastAsia="zh-CN"/>
        </w:rPr>
        <w:t>.卫生健康（类）行政事业单位医疗（款）事业单位医疗（项）:支出决算为</w:t>
      </w:r>
      <w:r>
        <w:rPr>
          <w:rFonts w:hint="eastAsia" w:ascii="Times New Roman" w:hAnsi="Times New Roman" w:eastAsia="仿宋_GB2312" w:cs="仿宋_GB2312"/>
          <w:sz w:val="32"/>
          <w:szCs w:val="32"/>
          <w:lang w:val="en-US" w:eastAsia="zh-CN"/>
        </w:rPr>
        <w:t>7.72</w:t>
      </w:r>
      <w:r>
        <w:rPr>
          <w:rFonts w:hint="default" w:ascii="Times New Roman" w:hAnsi="Times New Roman" w:eastAsia="仿宋_GB2312" w:cs="仿宋_GB2312"/>
          <w:sz w:val="32"/>
          <w:szCs w:val="32"/>
          <w:lang w:val="en-US" w:eastAsia="zh-CN"/>
        </w:rPr>
        <w:t>万元，完成预算100%。</w:t>
      </w:r>
      <w:bookmarkEnd w:id="108"/>
    </w:p>
    <w:p>
      <w:pPr>
        <w:spacing w:line="600" w:lineRule="exact"/>
        <w:ind w:firstLine="640"/>
        <w:rPr>
          <w:rFonts w:hint="default" w:ascii="Times New Roman" w:hAnsi="Times New Roman" w:eastAsia="仿宋_GB2312" w:cs="仿宋_GB2312"/>
          <w:sz w:val="32"/>
          <w:szCs w:val="32"/>
          <w:lang w:val="en-US" w:eastAsia="zh-CN"/>
        </w:rPr>
      </w:pPr>
      <w:bookmarkStart w:id="109" w:name="_Toc6198"/>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lang w:val="en-US" w:eastAsia="zh-CN"/>
        </w:rPr>
        <w:t>.卫生健康（类）行政事业单位医疗（款）公务员医疗补助（项）:支出决算为</w:t>
      </w:r>
      <w:r>
        <w:rPr>
          <w:rFonts w:hint="eastAsia" w:ascii="Times New Roman" w:hAnsi="Times New Roman" w:eastAsia="仿宋_GB2312" w:cs="仿宋_GB2312"/>
          <w:sz w:val="32"/>
          <w:szCs w:val="32"/>
          <w:lang w:val="en-US" w:eastAsia="zh-CN"/>
        </w:rPr>
        <w:t>12.81</w:t>
      </w:r>
      <w:r>
        <w:rPr>
          <w:rFonts w:hint="default" w:ascii="Times New Roman" w:hAnsi="Times New Roman" w:eastAsia="仿宋_GB2312" w:cs="仿宋_GB2312"/>
          <w:sz w:val="32"/>
          <w:szCs w:val="32"/>
          <w:lang w:val="en-US" w:eastAsia="zh-CN"/>
        </w:rPr>
        <w:t>万元，完成预算100%。</w:t>
      </w:r>
      <w:bookmarkEnd w:id="109"/>
    </w:p>
    <w:p>
      <w:pPr>
        <w:spacing w:line="600" w:lineRule="exact"/>
        <w:ind w:firstLine="640"/>
        <w:rPr>
          <w:rFonts w:hint="default" w:ascii="Times New Roman" w:hAnsi="Times New Roman" w:eastAsia="仿宋_GB2312" w:cs="仿宋_GB2312"/>
          <w:sz w:val="32"/>
          <w:szCs w:val="32"/>
          <w:lang w:val="en-US" w:eastAsia="zh-CN"/>
        </w:rPr>
      </w:pPr>
      <w:bookmarkStart w:id="110" w:name="_Toc16993"/>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lang w:val="en-US" w:eastAsia="zh-CN"/>
        </w:rPr>
        <w:t>.卫生健康（类）行政事业单位医疗（款）其他行政事业单位医疗支出（项）:支出决算为</w:t>
      </w:r>
      <w:r>
        <w:rPr>
          <w:rFonts w:hint="eastAsia" w:ascii="Times New Roman" w:hAnsi="Times New Roman" w:eastAsia="仿宋_GB2312" w:cs="仿宋_GB2312"/>
          <w:sz w:val="32"/>
          <w:szCs w:val="32"/>
          <w:lang w:val="en-US" w:eastAsia="zh-CN"/>
        </w:rPr>
        <w:t>17.1</w:t>
      </w:r>
      <w:r>
        <w:rPr>
          <w:rFonts w:hint="default" w:ascii="Times New Roman" w:hAnsi="Times New Roman" w:eastAsia="仿宋_GB2312" w:cs="仿宋_GB2312"/>
          <w:sz w:val="32"/>
          <w:szCs w:val="32"/>
          <w:lang w:val="en-US" w:eastAsia="zh-CN"/>
        </w:rPr>
        <w:t>万元，完成预算100%。</w:t>
      </w:r>
      <w:bookmarkEnd w:id="110"/>
    </w:p>
    <w:p>
      <w:pPr>
        <w:spacing w:line="600" w:lineRule="exact"/>
        <w:ind w:firstLine="640"/>
        <w:rPr>
          <w:rFonts w:hint="default" w:ascii="Times New Roman" w:hAnsi="Times New Roman" w:eastAsia="仿宋_GB2312" w:cs="仿宋_GB2312"/>
          <w:sz w:val="32"/>
          <w:szCs w:val="32"/>
          <w:lang w:val="en-US" w:eastAsia="zh-CN"/>
        </w:rPr>
      </w:pPr>
      <w:bookmarkStart w:id="111" w:name="_Toc26059"/>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lang w:val="en-US" w:eastAsia="zh-CN"/>
        </w:rPr>
        <w:t>.卫生健康（类）其他卫生健康支出（款）其他卫生健康支出（项）:支出决算为</w:t>
      </w:r>
      <w:r>
        <w:rPr>
          <w:rFonts w:hint="eastAsia" w:ascii="Times New Roman" w:hAnsi="Times New Roman" w:eastAsia="仿宋_GB2312" w:cs="仿宋_GB2312"/>
          <w:sz w:val="32"/>
          <w:szCs w:val="32"/>
          <w:lang w:val="en-US" w:eastAsia="zh-CN"/>
        </w:rPr>
        <w:t>0.38</w:t>
      </w:r>
      <w:r>
        <w:rPr>
          <w:rFonts w:hint="default" w:ascii="Times New Roman" w:hAnsi="Times New Roman" w:eastAsia="仿宋_GB2312" w:cs="仿宋_GB2312"/>
          <w:sz w:val="32"/>
          <w:szCs w:val="32"/>
          <w:lang w:val="en-US" w:eastAsia="zh-CN"/>
        </w:rPr>
        <w:t>万元，完成预算100%。</w:t>
      </w:r>
      <w:bookmarkEnd w:id="111"/>
    </w:p>
    <w:p>
      <w:pPr>
        <w:spacing w:line="600" w:lineRule="exact"/>
        <w:ind w:firstLine="640"/>
        <w:rPr>
          <w:rFonts w:hint="eastAsia" w:eastAsia="仿宋_GB2312" w:cs="仿宋_GB2312"/>
          <w:sz w:val="32"/>
          <w:szCs w:val="32"/>
        </w:rPr>
      </w:pPr>
      <w:bookmarkStart w:id="112" w:name="_Toc1090"/>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lang w:val="en-US" w:eastAsia="zh-CN"/>
        </w:rPr>
        <w:t>．住房保障支出（类）住房改革支出（款）住房公积金（项）:支出决算为</w:t>
      </w:r>
      <w:r>
        <w:rPr>
          <w:rFonts w:hint="eastAsia" w:ascii="Times New Roman" w:hAnsi="Times New Roman" w:eastAsia="仿宋_GB2312" w:cs="仿宋_GB2312"/>
          <w:sz w:val="32"/>
          <w:szCs w:val="32"/>
          <w:lang w:val="en-US" w:eastAsia="zh-CN"/>
        </w:rPr>
        <w:t>200.92</w:t>
      </w:r>
      <w:r>
        <w:rPr>
          <w:rFonts w:hint="default" w:ascii="Times New Roman" w:hAnsi="Times New Roman" w:eastAsia="仿宋_GB2312" w:cs="仿宋_GB2312"/>
          <w:sz w:val="32"/>
          <w:szCs w:val="32"/>
          <w:lang w:val="en-US" w:eastAsia="zh-CN"/>
        </w:rPr>
        <w:t>万元，完成预算100%。</w:t>
      </w:r>
      <w:bookmarkEnd w:id="112"/>
    </w:p>
    <w:bookmarkEnd w:id="93"/>
    <w:bookmarkEnd w:id="94"/>
    <w:bookmarkEnd w:id="95"/>
    <w:p>
      <w:pPr>
        <w:tabs>
          <w:tab w:val="right" w:pos="8306"/>
        </w:tabs>
        <w:spacing w:line="600" w:lineRule="exact"/>
        <w:ind w:firstLine="640"/>
        <w:outlineLvl w:val="1"/>
        <w:rPr>
          <w:rStyle w:val="30"/>
          <w:rFonts w:ascii="Times New Roman" w:hAnsi="Times New Roman"/>
        </w:rPr>
      </w:pPr>
      <w:bookmarkStart w:id="113" w:name="_Toc15396608"/>
      <w:bookmarkStart w:id="114" w:name="_Toc15377214"/>
      <w:bookmarkStart w:id="115" w:name="_Toc1641788977_WPSOffice_Level2"/>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113"/>
      <w:bookmarkEnd w:id="114"/>
      <w:bookmarkEnd w:id="115"/>
      <w:r>
        <w:rPr>
          <w:rStyle w:val="30"/>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2025年度一般公共预算财政拨款基本支出3419.71万元，其中：</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kern w:val="2"/>
          <w:sz w:val="32"/>
          <w:szCs w:val="32"/>
          <w:lang w:val="en-US" w:eastAsia="zh-CN" w:bidi="ar-SA"/>
        </w:rPr>
      </w:pPr>
      <w:bookmarkStart w:id="116" w:name="_Toc32078"/>
      <w:r>
        <w:rPr>
          <w:rFonts w:hint="eastAsia" w:ascii="Times New Roman" w:hAnsi="Times New Roman" w:eastAsia="仿宋_GB2312" w:cs="仿宋_GB2312"/>
          <w:kern w:val="2"/>
          <w:sz w:val="32"/>
          <w:szCs w:val="32"/>
          <w:lang w:val="en-US" w:eastAsia="zh-CN" w:bidi="ar-SA"/>
        </w:rPr>
        <w:t>人员经费3020.43万元，主要包括：</w:t>
      </w:r>
      <w:r>
        <w:rPr>
          <w:rFonts w:hint="default" w:ascii="Times New Roman" w:hAnsi="Times New Roman" w:eastAsia="仿宋_GB2312" w:cs="仿宋_GB2312"/>
          <w:kern w:val="2"/>
          <w:sz w:val="32"/>
          <w:szCs w:val="32"/>
          <w:lang w:val="en-US" w:eastAsia="zh-CN" w:bidi="ar-SA"/>
        </w:rPr>
        <w:t>基本工资、津贴补贴、奖金、绩效工资、机关事业单位基本养老保险缴费、职业年金缴费、其他社会保障缴费、其他工资福利支出、 奖励金</w:t>
      </w:r>
      <w:r>
        <w:rPr>
          <w:rFonts w:hint="eastAsia" w:ascii="Times New Roman" w:hAnsi="Times New Roman" w:eastAsia="仿宋_GB2312" w:cs="仿宋_GB2312"/>
          <w:kern w:val="2"/>
          <w:sz w:val="32"/>
          <w:szCs w:val="32"/>
          <w:lang w:val="en-US" w:eastAsia="zh-CN" w:bidi="ar-SA"/>
        </w:rPr>
        <w:t>、</w:t>
      </w:r>
      <w:r>
        <w:rPr>
          <w:rFonts w:hint="default" w:ascii="Times New Roman" w:hAnsi="Times New Roman" w:eastAsia="仿宋_GB2312" w:cs="仿宋_GB2312"/>
          <w:kern w:val="2"/>
          <w:sz w:val="32"/>
          <w:szCs w:val="32"/>
          <w:lang w:val="en-US" w:eastAsia="zh-CN" w:bidi="ar-SA"/>
        </w:rPr>
        <w:t>其他对个人和家庭的补助</w:t>
      </w:r>
      <w:r>
        <w:rPr>
          <w:rFonts w:hint="eastAsia" w:ascii="Times New Roman" w:hAnsi="Times New Roman" w:eastAsia="仿宋_GB2312" w:cs="仿宋_GB2312"/>
          <w:kern w:val="2"/>
          <w:sz w:val="32"/>
          <w:szCs w:val="32"/>
          <w:lang w:val="en-US" w:eastAsia="zh-CN" w:bidi="ar-SA"/>
        </w:rPr>
        <w:t>、</w:t>
      </w:r>
      <w:r>
        <w:rPr>
          <w:rFonts w:hint="default" w:ascii="Times New Roman" w:hAnsi="Times New Roman" w:eastAsia="仿宋_GB2312" w:cs="仿宋_GB2312"/>
          <w:kern w:val="2"/>
          <w:sz w:val="32"/>
          <w:szCs w:val="32"/>
          <w:lang w:val="en-US" w:eastAsia="zh-CN" w:bidi="ar-SA"/>
        </w:rPr>
        <w:t>抚恤金、生活补助、医疗费补助、住房公积金等。</w:t>
      </w:r>
      <w:bookmarkEnd w:id="116"/>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kern w:val="2"/>
          <w:sz w:val="32"/>
          <w:szCs w:val="32"/>
          <w:lang w:val="en-US" w:eastAsia="zh-CN" w:bidi="ar-SA"/>
        </w:rPr>
      </w:pPr>
      <w:bookmarkStart w:id="117" w:name="_Toc5405"/>
      <w:r>
        <w:rPr>
          <w:rFonts w:hint="eastAsia" w:ascii="Times New Roman" w:hAnsi="Times New Roman" w:eastAsia="仿宋_GB2312" w:cs="仿宋_GB2312"/>
          <w:kern w:val="2"/>
          <w:sz w:val="32"/>
          <w:szCs w:val="32"/>
          <w:lang w:val="en-US" w:eastAsia="zh-CN" w:bidi="ar-SA"/>
        </w:rPr>
        <w:t>公用经费399.28万元，主要包括：</w:t>
      </w:r>
      <w:r>
        <w:rPr>
          <w:rFonts w:hint="default" w:ascii="Times New Roman" w:hAnsi="Times New Roman" w:eastAsia="仿宋_GB2312" w:cs="仿宋_GB2312"/>
          <w:kern w:val="2"/>
          <w:sz w:val="32"/>
          <w:szCs w:val="32"/>
          <w:lang w:val="en-US" w:eastAsia="zh-CN" w:bidi="ar-SA"/>
        </w:rPr>
        <w:t>办公费、印刷费、水费、电费、邮电费、差旅费、维修（护）费、会议费、培训费、公务接待费、委托业务费、工会经费、福利费、公务用车运行维护费、其他交通费、其他商品和服务支出</w:t>
      </w:r>
      <w:r>
        <w:rPr>
          <w:rFonts w:hint="eastAsia" w:ascii="Times New Roman" w:hAnsi="Times New Roman" w:eastAsia="仿宋_GB2312" w:cs="仿宋_GB2312"/>
          <w:kern w:val="2"/>
          <w:sz w:val="32"/>
          <w:szCs w:val="32"/>
          <w:lang w:val="en-US" w:eastAsia="zh-CN" w:bidi="ar-SA"/>
        </w:rPr>
        <w:t>等</w:t>
      </w:r>
      <w:r>
        <w:rPr>
          <w:rFonts w:hint="default" w:ascii="Times New Roman" w:hAnsi="Times New Roman" w:eastAsia="仿宋_GB2312" w:cs="仿宋_GB2312"/>
          <w:kern w:val="2"/>
          <w:sz w:val="32"/>
          <w:szCs w:val="32"/>
          <w:lang w:val="en-US" w:eastAsia="zh-CN" w:bidi="ar-SA"/>
        </w:rPr>
        <w:t>。</w:t>
      </w:r>
      <w:bookmarkEnd w:id="117"/>
    </w:p>
    <w:p>
      <w:pPr>
        <w:spacing w:line="600" w:lineRule="exact"/>
        <w:ind w:firstLine="640"/>
        <w:outlineLvl w:val="1"/>
        <w:rPr>
          <w:rStyle w:val="30"/>
          <w:rFonts w:ascii="Times New Roman" w:hAnsi="Times New Roman" w:eastAsia="黑体"/>
          <w:b w:val="0"/>
        </w:rPr>
      </w:pPr>
      <w:bookmarkStart w:id="118" w:name="_Toc1580639341_WPSOffice_Level2"/>
      <w:bookmarkStart w:id="119" w:name="_Toc15396609"/>
      <w:bookmarkStart w:id="120" w:name="_Toc15377215"/>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118"/>
      <w:bookmarkEnd w:id="119"/>
      <w:bookmarkEnd w:id="120"/>
    </w:p>
    <w:p>
      <w:pPr>
        <w:spacing w:line="600" w:lineRule="exact"/>
        <w:ind w:firstLine="642" w:firstLineChars="200"/>
        <w:outlineLvl w:val="2"/>
        <w:rPr>
          <w:rFonts w:eastAsia="楷体_GB2312" w:cs="楷体_GB2312"/>
          <w:b/>
          <w:sz w:val="32"/>
          <w:szCs w:val="32"/>
        </w:rPr>
      </w:pPr>
      <w:bookmarkStart w:id="121" w:name="_Toc15377216"/>
      <w:bookmarkStart w:id="122" w:name="_Toc96387894_WPSOffice_Level3"/>
      <w:r>
        <w:rPr>
          <w:rFonts w:hint="eastAsia" w:eastAsia="楷体_GB2312" w:cs="楷体_GB2312"/>
          <w:b/>
          <w:sz w:val="32"/>
          <w:szCs w:val="32"/>
        </w:rPr>
        <w:t>（一）财政拨款“三公”经费支出决算总体情况说明</w:t>
      </w:r>
      <w:bookmarkEnd w:id="121"/>
      <w:bookmarkEnd w:id="122"/>
    </w:p>
    <w:p>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97.54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%，较上年度增加</w:t>
      </w:r>
      <w:r>
        <w:rPr>
          <w:rFonts w:hint="eastAsia" w:eastAsia="仿宋_GB2312" w:cs="仿宋_GB2312"/>
          <w:sz w:val="32"/>
          <w:szCs w:val="32"/>
          <w:lang w:val="en-US" w:eastAsia="zh-CN"/>
        </w:rPr>
        <w:t>44.5</w:t>
      </w:r>
      <w:r>
        <w:rPr>
          <w:rFonts w:hint="eastAsia" w:eastAsia="仿宋_GB2312" w:cs="仿宋_GB2312"/>
          <w:sz w:val="32"/>
          <w:szCs w:val="32"/>
        </w:rPr>
        <w:t>万元，增长</w:t>
      </w:r>
      <w:r>
        <w:rPr>
          <w:rFonts w:hint="eastAsia" w:eastAsia="仿宋_GB2312" w:cs="仿宋_GB2312"/>
          <w:sz w:val="32"/>
          <w:szCs w:val="32"/>
          <w:lang w:val="en-US" w:eastAsia="zh-CN"/>
        </w:rPr>
        <w:t>83.91</w:t>
      </w:r>
      <w:r>
        <w:rPr>
          <w:rFonts w:hint="eastAsia" w:eastAsia="仿宋_GB2312" w:cs="仿宋_GB2312"/>
          <w:sz w:val="32"/>
          <w:szCs w:val="32"/>
        </w:rPr>
        <w:t>%。决算数与预算数持平</w:t>
      </w:r>
      <w:r>
        <w:rPr>
          <w:rFonts w:hint="eastAsia" w:eastAsia="仿宋_GB2312" w:cs="仿宋_GB2312"/>
          <w:sz w:val="32"/>
          <w:szCs w:val="32"/>
          <w:lang w:eastAsia="zh-CN"/>
        </w:rPr>
        <w:t>。</w:t>
      </w:r>
    </w:p>
    <w:p>
      <w:pPr>
        <w:spacing w:line="600" w:lineRule="exact"/>
        <w:ind w:firstLine="642" w:firstLineChars="200"/>
        <w:outlineLvl w:val="2"/>
        <w:rPr>
          <w:rFonts w:eastAsia="楷体_GB2312" w:cs="楷体_GB2312"/>
          <w:b/>
          <w:sz w:val="32"/>
          <w:szCs w:val="32"/>
        </w:rPr>
      </w:pPr>
      <w:bookmarkStart w:id="123" w:name="_Toc15377217"/>
      <w:bookmarkStart w:id="124" w:name="_Toc2078762813_WPSOffice_Level3"/>
      <w:r>
        <w:rPr>
          <w:rFonts w:hint="eastAsia" w:eastAsia="楷体_GB2312" w:cs="楷体_GB2312"/>
          <w:b/>
          <w:sz w:val="32"/>
          <w:szCs w:val="32"/>
        </w:rPr>
        <w:t>（二）财政拨款“三公”经费支出决算具体情况说明</w:t>
      </w:r>
      <w:bookmarkEnd w:id="123"/>
      <w:bookmarkEnd w:id="124"/>
    </w:p>
    <w:p>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2025年度财政拨款“三公”经费支出决算中，因公出国（境）费支出决算9.98万元，占</w:t>
      </w:r>
      <w:r>
        <w:rPr>
          <w:rFonts w:hint="eastAsia" w:eastAsia="仿宋_GB2312" w:cs="仿宋_GB2312"/>
          <w:sz w:val="32"/>
          <w:szCs w:val="32"/>
          <w:lang w:val="en-US" w:eastAsia="zh-CN"/>
        </w:rPr>
        <w:t>10.23</w:t>
      </w:r>
      <w:r>
        <w:rPr>
          <w:rFonts w:hint="eastAsia" w:eastAsia="仿宋_GB2312" w:cs="仿宋_GB2312"/>
          <w:sz w:val="32"/>
          <w:szCs w:val="32"/>
        </w:rPr>
        <w:t>%；公务用车购置及运行维护费支出决算82.92万元，占</w:t>
      </w:r>
      <w:r>
        <w:rPr>
          <w:rFonts w:hint="eastAsia" w:eastAsia="仿宋_GB2312" w:cs="仿宋_GB2312"/>
          <w:sz w:val="32"/>
          <w:szCs w:val="32"/>
          <w:lang w:val="en-US" w:eastAsia="zh-CN"/>
        </w:rPr>
        <w:t>85.01</w:t>
      </w:r>
      <w:r>
        <w:rPr>
          <w:rFonts w:hint="eastAsia" w:eastAsia="仿宋_GB2312" w:cs="仿宋_GB2312"/>
          <w:sz w:val="32"/>
          <w:szCs w:val="32"/>
        </w:rPr>
        <w:t>%；公务接待费支出决算4.64万元，占</w:t>
      </w:r>
      <w:r>
        <w:rPr>
          <w:rFonts w:hint="eastAsia" w:eastAsia="仿宋_GB2312" w:cs="仿宋_GB2312"/>
          <w:sz w:val="32"/>
          <w:szCs w:val="32"/>
          <w:lang w:val="en-US" w:eastAsia="zh-CN"/>
        </w:rPr>
        <w:t>4.76</w:t>
      </w:r>
      <w:r>
        <w:rPr>
          <w:rFonts w:hint="eastAsia" w:eastAsia="仿宋_GB2312" w:cs="仿宋_GB2312"/>
          <w:sz w:val="32"/>
          <w:szCs w:val="32"/>
        </w:rPr>
        <w:t>%。具体情况如下：</w:t>
      </w: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pStyle w:val="2"/>
        <w:rPr>
          <w:rFonts w:hint="eastAsia" w:eastAsia="仿宋_GB2312" w:cs="仿宋_GB2312"/>
          <w:sz w:val="32"/>
          <w:szCs w:val="32"/>
        </w:rPr>
      </w:pPr>
    </w:p>
    <w:p>
      <w:pPr>
        <w:pStyle w:val="3"/>
        <w:rPr>
          <w:rFonts w:hint="eastAsia" w:eastAsia="仿宋_GB2312" w:cs="仿宋_GB2312"/>
          <w:sz w:val="32"/>
          <w:szCs w:val="32"/>
        </w:rPr>
      </w:pPr>
    </w:p>
    <w:p>
      <w:pPr>
        <w:rPr>
          <w:rFonts w:hint="eastAsia" w:eastAsia="仿宋_GB2312" w:cs="仿宋_GB2312"/>
          <w:sz w:val="32"/>
          <w:szCs w:val="32"/>
        </w:rPr>
      </w:pPr>
    </w:p>
    <w:p>
      <w:pPr>
        <w:pStyle w:val="2"/>
        <w:rPr>
          <w:rFonts w:hint="eastAsia"/>
        </w:rPr>
      </w:pPr>
      <w:r>
        <w:drawing>
          <wp:anchor distT="0" distB="0" distL="114300" distR="114300" simplePos="0" relativeHeight="251662336" behindDoc="0" locked="0" layoutInCell="1" allowOverlap="1">
            <wp:simplePos x="0" y="0"/>
            <wp:positionH relativeFrom="column">
              <wp:posOffset>177165</wp:posOffset>
            </wp:positionH>
            <wp:positionV relativeFrom="paragraph">
              <wp:posOffset>15240</wp:posOffset>
            </wp:positionV>
            <wp:extent cx="4904740" cy="2313940"/>
            <wp:effectExtent l="0" t="0" r="10160" b="10160"/>
            <wp:wrapNone/>
            <wp:docPr id="11"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true"/>
                    </pic:cNvPicPr>
                  </pic:nvPicPr>
                  <pic:blipFill>
                    <a:blip r:embed="rId17"/>
                    <a:stretch>
                      <a:fillRect/>
                    </a:stretch>
                  </pic:blipFill>
                  <pic:spPr>
                    <a:xfrm>
                      <a:off x="0" y="0"/>
                      <a:ext cx="4904740" cy="2313940"/>
                    </a:xfrm>
                    <a:prstGeom prst="rect">
                      <a:avLst/>
                    </a:prstGeom>
                    <a:noFill/>
                    <a:ln>
                      <a:noFill/>
                    </a:ln>
                  </pic:spPr>
                </pic:pic>
              </a:graphicData>
            </a:graphic>
          </wp:anchor>
        </w:drawing>
      </w: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w:t>
      </w:r>
    </w:p>
    <w:p>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9.98</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1</w:t>
      </w:r>
      <w:r>
        <w:rPr>
          <w:rFonts w:hint="eastAsia" w:eastAsia="仿宋_GB2312" w:cs="仿宋_GB2312"/>
          <w:sz w:val="32"/>
          <w:szCs w:val="32"/>
        </w:rPr>
        <w:t>次，出国（境）</w:t>
      </w:r>
      <w:r>
        <w:rPr>
          <w:rFonts w:hint="eastAsia" w:eastAsia="仿宋_GB2312" w:cs="仿宋_GB2312"/>
          <w:sz w:val="32"/>
          <w:szCs w:val="32"/>
          <w:lang w:val="en-US" w:eastAsia="zh-CN"/>
        </w:rPr>
        <w:t>1</w:t>
      </w:r>
      <w:r>
        <w:rPr>
          <w:rFonts w:hint="eastAsia" w:eastAsia="仿宋_GB2312" w:cs="仿宋_GB2312"/>
          <w:sz w:val="32"/>
          <w:szCs w:val="32"/>
        </w:rPr>
        <w:t>人。因公出国（境）支出决算比上年度减少</w:t>
      </w:r>
      <w:r>
        <w:rPr>
          <w:rFonts w:hint="eastAsia" w:eastAsia="仿宋_GB2312" w:cs="仿宋_GB2312"/>
          <w:sz w:val="32"/>
          <w:szCs w:val="32"/>
          <w:lang w:val="en-US" w:eastAsia="zh-CN"/>
        </w:rPr>
        <w:t>1.62</w:t>
      </w:r>
      <w:r>
        <w:rPr>
          <w:rFonts w:hint="eastAsia" w:eastAsia="仿宋_GB2312" w:cs="仿宋_GB2312"/>
          <w:sz w:val="32"/>
          <w:szCs w:val="32"/>
        </w:rPr>
        <w:t>万元，下降</w:t>
      </w:r>
      <w:r>
        <w:rPr>
          <w:rFonts w:hint="eastAsia" w:eastAsia="仿宋_GB2312" w:cs="仿宋_GB2312"/>
          <w:sz w:val="32"/>
          <w:szCs w:val="32"/>
          <w:lang w:val="en-US" w:eastAsia="zh-CN"/>
        </w:rPr>
        <w:t>13.97</w:t>
      </w:r>
      <w:r>
        <w:rPr>
          <w:rFonts w:hint="eastAsia" w:eastAsia="仿宋_GB2312" w:cs="仿宋_GB2312"/>
          <w:sz w:val="32"/>
          <w:szCs w:val="32"/>
        </w:rPr>
        <w:t>%。主要原因是因公出国（境）团组</w:t>
      </w:r>
      <w:r>
        <w:rPr>
          <w:rFonts w:hint="eastAsia" w:eastAsia="仿宋_GB2312" w:cs="仿宋_GB2312"/>
          <w:sz w:val="32"/>
          <w:szCs w:val="32"/>
          <w:lang w:val="en-US" w:eastAsia="zh-CN"/>
        </w:rPr>
        <w:t>、</w:t>
      </w:r>
      <w:r>
        <w:rPr>
          <w:rFonts w:hint="eastAsia" w:eastAsia="仿宋_GB2312" w:cs="仿宋_GB2312"/>
          <w:sz w:val="32"/>
          <w:szCs w:val="32"/>
        </w:rPr>
        <w:t>人</w:t>
      </w:r>
      <w:r>
        <w:rPr>
          <w:rFonts w:hint="eastAsia" w:eastAsia="仿宋_GB2312" w:cs="仿宋_GB2312"/>
          <w:sz w:val="32"/>
          <w:szCs w:val="32"/>
          <w:lang w:eastAsia="zh-CN"/>
        </w:rPr>
        <w:t>数减少。</w:t>
      </w:r>
    </w:p>
    <w:p>
      <w:pPr>
        <w:spacing w:line="600" w:lineRule="exact"/>
        <w:ind w:firstLine="640"/>
        <w:rPr>
          <w:rFonts w:eastAsia="仿宋_GB2312" w:cs="仿宋_GB2312"/>
          <w:sz w:val="32"/>
          <w:szCs w:val="32"/>
        </w:rPr>
      </w:pPr>
      <w:r>
        <w:rPr>
          <w:rFonts w:hint="eastAsia" w:eastAsia="仿宋_GB2312" w:cs="仿宋_GB2312"/>
          <w:sz w:val="32"/>
          <w:szCs w:val="32"/>
        </w:rPr>
        <w:t>开支内容包括：</w:t>
      </w:r>
      <w:r>
        <w:rPr>
          <w:rFonts w:hint="eastAsia" w:eastAsia="仿宋_GB2312" w:cs="仿宋_GB2312"/>
          <w:sz w:val="32"/>
          <w:szCs w:val="32"/>
          <w:lang w:eastAsia="zh-CN"/>
        </w:rPr>
        <w:t>参加市政府代表团赴法国、英国开展经贸交流。此次出访严格按照省委外事工作委员会批准任务执行，共执行</w:t>
      </w:r>
      <w:r>
        <w:rPr>
          <w:rFonts w:hint="eastAsia" w:eastAsia="仿宋_GB2312" w:cs="仿宋_GB2312"/>
          <w:sz w:val="32"/>
          <w:szCs w:val="32"/>
          <w:lang w:val="en-US" w:eastAsia="zh-CN"/>
        </w:rPr>
        <w:t>13场公务活动，具体交流合作项目任务10项，成果转化落地项目7项。</w:t>
      </w:r>
    </w:p>
    <w:p>
      <w:pPr>
        <w:spacing w:line="600" w:lineRule="exact"/>
        <w:ind w:firstLine="640"/>
        <w:rPr>
          <w:rFonts w:hint="eastAsia"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82.92</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公务用车购置及运行维护费支出决算比上年度增加</w:t>
      </w:r>
      <w:r>
        <w:rPr>
          <w:rFonts w:hint="eastAsia" w:eastAsia="仿宋_GB2312" w:cs="仿宋_GB2312"/>
          <w:sz w:val="32"/>
          <w:szCs w:val="32"/>
          <w:lang w:val="en-US" w:eastAsia="zh-CN"/>
        </w:rPr>
        <w:t>43.26</w:t>
      </w:r>
      <w:r>
        <w:rPr>
          <w:rFonts w:hint="eastAsia" w:eastAsia="仿宋_GB2312" w:cs="仿宋_GB2312"/>
          <w:sz w:val="32"/>
          <w:szCs w:val="32"/>
        </w:rPr>
        <w:t>万元，增长</w:t>
      </w:r>
      <w:r>
        <w:rPr>
          <w:rFonts w:hint="eastAsia" w:eastAsia="仿宋_GB2312" w:cs="仿宋_GB2312"/>
          <w:sz w:val="32"/>
          <w:szCs w:val="32"/>
          <w:lang w:val="en-US" w:eastAsia="zh-CN"/>
        </w:rPr>
        <w:t>109.08</w:t>
      </w:r>
      <w:r>
        <w:rPr>
          <w:rFonts w:hint="eastAsia" w:eastAsia="仿宋_GB2312" w:cs="仿宋_GB2312"/>
          <w:sz w:val="32"/>
          <w:szCs w:val="32"/>
        </w:rPr>
        <w:t>%。主要原因是按规定更新购置公务用车</w:t>
      </w:r>
      <w:r>
        <w:rPr>
          <w:rFonts w:hint="eastAsia" w:eastAsia="仿宋_GB2312" w:cs="仿宋_GB2312"/>
          <w:sz w:val="32"/>
          <w:szCs w:val="32"/>
          <w:lang w:val="en-US" w:eastAsia="zh-CN"/>
        </w:rPr>
        <w:t>1</w:t>
      </w:r>
      <w:r>
        <w:rPr>
          <w:rFonts w:hint="eastAsia" w:eastAsia="仿宋_GB2312" w:cs="仿宋_GB2312"/>
          <w:sz w:val="32"/>
          <w:szCs w:val="32"/>
        </w:rPr>
        <w:t>辆</w:t>
      </w:r>
      <w:r>
        <w:rPr>
          <w:rFonts w:hint="eastAsia" w:eastAsia="仿宋_GB2312" w:cs="仿宋_GB2312"/>
          <w:sz w:val="32"/>
          <w:szCs w:val="32"/>
          <w:lang w:eastAsia="zh-CN"/>
        </w:rPr>
        <w:t>。</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43.26</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1</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1</w:t>
      </w:r>
      <w:r>
        <w:rPr>
          <w:rFonts w:hint="eastAsia" w:eastAsia="仿宋_GB2312" w:cs="仿宋_GB2312"/>
          <w:sz w:val="32"/>
          <w:szCs w:val="32"/>
        </w:rPr>
        <w:t>辆、金额</w:t>
      </w:r>
      <w:r>
        <w:rPr>
          <w:rFonts w:hint="eastAsia" w:eastAsia="仿宋_GB2312" w:cs="仿宋_GB2312"/>
          <w:sz w:val="32"/>
          <w:szCs w:val="32"/>
          <w:lang w:val="en-US" w:eastAsia="zh-CN"/>
        </w:rPr>
        <w:t>43.26</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万元，主要用于</w:t>
      </w:r>
      <w:r>
        <w:rPr>
          <w:rFonts w:hint="default" w:ascii="Times New Roman" w:hAnsi="Times New Roman" w:eastAsia="仿宋_GB2312" w:cs="仿宋_GB2312"/>
          <w:sz w:val="32"/>
          <w:szCs w:val="32"/>
          <w:lang w:val="en-US" w:eastAsia="zh-CN"/>
        </w:rPr>
        <w:t>保障机关日常工作运转和专项业务工作等所需</w:t>
      </w:r>
      <w:r>
        <w:rPr>
          <w:rFonts w:hint="eastAsia" w:ascii="Times New Roman" w:hAnsi="Times New Roman" w:eastAsia="仿宋_GB2312" w:cs="仿宋_GB2312"/>
          <w:sz w:val="32"/>
          <w:szCs w:val="32"/>
        </w:rPr>
        <w:t>。</w:t>
      </w:r>
      <w:r>
        <w:rPr>
          <w:rFonts w:hint="eastAsia" w:eastAsia="仿宋_GB2312" w:cs="仿宋_GB2312"/>
          <w:sz w:val="32"/>
          <w:szCs w:val="32"/>
        </w:rPr>
        <w:t>截至2025年12月31日，单位共有公务用车</w:t>
      </w:r>
      <w:r>
        <w:rPr>
          <w:rFonts w:hint="eastAsia" w:eastAsia="仿宋_GB2312" w:cs="仿宋_GB2312"/>
          <w:sz w:val="32"/>
          <w:szCs w:val="32"/>
          <w:lang w:val="en-US" w:eastAsia="zh-CN"/>
        </w:rPr>
        <w:t>15</w:t>
      </w:r>
      <w:r>
        <w:rPr>
          <w:rFonts w:hint="eastAsia" w:eastAsia="仿宋_GB2312" w:cs="仿宋_GB2312"/>
          <w:sz w:val="32"/>
          <w:szCs w:val="32"/>
        </w:rPr>
        <w:t>辆，其中：轿车</w:t>
      </w:r>
      <w:r>
        <w:rPr>
          <w:rFonts w:hint="eastAsia" w:eastAsia="仿宋_GB2312" w:cs="仿宋_GB2312"/>
          <w:sz w:val="32"/>
          <w:szCs w:val="32"/>
          <w:lang w:val="en-US" w:eastAsia="zh-CN"/>
        </w:rPr>
        <w:t>4</w:t>
      </w:r>
      <w:r>
        <w:rPr>
          <w:rFonts w:hint="eastAsia" w:eastAsia="仿宋_GB2312" w:cs="仿宋_GB2312"/>
          <w:sz w:val="32"/>
          <w:szCs w:val="32"/>
        </w:rPr>
        <w:t>辆、越野车</w:t>
      </w:r>
      <w:r>
        <w:rPr>
          <w:rFonts w:hint="eastAsia" w:eastAsia="仿宋_GB2312" w:cs="仿宋_GB2312"/>
          <w:sz w:val="32"/>
          <w:szCs w:val="32"/>
          <w:lang w:val="en-US" w:eastAsia="zh-CN"/>
        </w:rPr>
        <w:t>11</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pPr>
        <w:spacing w:line="600" w:lineRule="exact"/>
        <w:ind w:firstLine="640"/>
        <w:rPr>
          <w:rFonts w:eastAsia="仿宋_GB2312" w:cs="仿宋_GB2312"/>
          <w:sz w:val="32"/>
          <w:szCs w:val="32"/>
        </w:rPr>
      </w:pPr>
      <w:r>
        <w:rPr>
          <w:rFonts w:hint="eastAsia" w:ascii="Times New Roman" w:hAnsi="Times New Roman" w:eastAsia="仿宋_GB2312" w:cs="仿宋_GB2312"/>
          <w:sz w:val="32"/>
          <w:szCs w:val="32"/>
        </w:rPr>
        <w:t>公务用车运行维护费支出</w:t>
      </w:r>
      <w:r>
        <w:rPr>
          <w:rFonts w:hint="eastAsia" w:ascii="Times New Roman" w:hAnsi="Times New Roman" w:eastAsia="仿宋_GB2312" w:cs="仿宋_GB2312"/>
          <w:sz w:val="32"/>
          <w:szCs w:val="32"/>
          <w:lang w:val="en-US" w:eastAsia="zh-CN"/>
        </w:rPr>
        <w:t>39.66</w:t>
      </w:r>
      <w:r>
        <w:rPr>
          <w:rFonts w:hint="eastAsia" w:ascii="Times New Roman" w:hAnsi="Times New Roman" w:eastAsia="仿宋_GB2312" w:cs="仿宋_GB2312"/>
          <w:sz w:val="32"/>
          <w:szCs w:val="32"/>
        </w:rPr>
        <w:t>万元。主要用于</w:t>
      </w:r>
      <w:r>
        <w:rPr>
          <w:rFonts w:hint="default" w:ascii="Times New Roman" w:hAnsi="Times New Roman" w:eastAsia="仿宋_GB2312" w:cs="仿宋_GB2312"/>
          <w:sz w:val="32"/>
          <w:szCs w:val="32"/>
          <w:lang w:val="en-US" w:eastAsia="zh-CN"/>
        </w:rPr>
        <w:t>保障机关日常工作运转和专项业务工作等所需</w:t>
      </w:r>
      <w:r>
        <w:rPr>
          <w:rFonts w:hint="eastAsia" w:ascii="Times New Roman" w:hAnsi="Times New Roman" w:eastAsia="仿宋_GB2312" w:cs="仿宋_GB2312"/>
          <w:sz w:val="32"/>
          <w:szCs w:val="32"/>
        </w:rPr>
        <w:t>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4.64</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公务接待费支出决算比上年度增加</w:t>
      </w:r>
      <w:r>
        <w:rPr>
          <w:rFonts w:hint="eastAsia" w:eastAsia="仿宋_GB2312" w:cs="仿宋_GB2312"/>
          <w:sz w:val="32"/>
          <w:szCs w:val="32"/>
          <w:lang w:val="en-US" w:eastAsia="zh-CN"/>
        </w:rPr>
        <w:t>3.09</w:t>
      </w:r>
      <w:r>
        <w:rPr>
          <w:rFonts w:hint="eastAsia" w:eastAsia="仿宋_GB2312" w:cs="仿宋_GB2312"/>
          <w:sz w:val="32"/>
          <w:szCs w:val="32"/>
        </w:rPr>
        <w:t>万元。主要原因是</w:t>
      </w:r>
      <w:r>
        <w:rPr>
          <w:rFonts w:hint="eastAsia" w:eastAsia="仿宋_GB2312" w:cs="仿宋_GB2312"/>
          <w:sz w:val="32"/>
          <w:szCs w:val="32"/>
          <w:lang w:eastAsia="zh-CN"/>
        </w:rPr>
        <w:t>接待批次增加</w:t>
      </w:r>
      <w:r>
        <w:rPr>
          <w:rFonts w:hint="eastAsia" w:eastAsia="仿宋_GB2312" w:cs="仿宋_GB2312"/>
          <w:sz w:val="32"/>
          <w:szCs w:val="32"/>
        </w:rPr>
        <w:t>。其中：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4.64</w:t>
      </w:r>
      <w:r>
        <w:rPr>
          <w:rFonts w:hint="eastAsia" w:eastAsia="仿宋_GB2312" w:cs="仿宋_GB2312"/>
          <w:sz w:val="32"/>
          <w:szCs w:val="32"/>
        </w:rPr>
        <w:t>万元，主要用于执行公务、开展业务活动开支的交通费、住宿费、用餐费等。国内公务接待</w:t>
      </w:r>
      <w:r>
        <w:rPr>
          <w:rFonts w:hint="eastAsia" w:eastAsia="仿宋_GB2312" w:cs="仿宋_GB2312"/>
          <w:sz w:val="32"/>
          <w:szCs w:val="32"/>
          <w:lang w:val="en-US" w:eastAsia="zh-CN"/>
        </w:rPr>
        <w:t>10</w:t>
      </w:r>
      <w:r>
        <w:rPr>
          <w:rFonts w:hint="eastAsia" w:eastAsia="仿宋_GB2312" w:cs="仿宋_GB2312"/>
          <w:sz w:val="32"/>
          <w:szCs w:val="32"/>
        </w:rPr>
        <w:t>批次，</w:t>
      </w:r>
      <w:r>
        <w:rPr>
          <w:rFonts w:hint="eastAsia" w:eastAsia="仿宋_GB2312" w:cs="仿宋_GB2312"/>
          <w:sz w:val="32"/>
          <w:szCs w:val="32"/>
          <w:lang w:val="en-US" w:eastAsia="zh-CN"/>
        </w:rPr>
        <w:t>73</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2.11</w:t>
      </w:r>
      <w:r>
        <w:rPr>
          <w:rFonts w:hint="eastAsia" w:eastAsia="仿宋_GB2312" w:cs="仿宋_GB2312"/>
          <w:sz w:val="32"/>
          <w:szCs w:val="32"/>
        </w:rPr>
        <w:t>万元，具体内容包括：</w:t>
      </w:r>
      <w:r>
        <w:rPr>
          <w:rFonts w:hint="default" w:ascii="Times New Roman" w:hAnsi="Times New Roman" w:eastAsia="仿宋_GB2312" w:cs="仿宋_GB2312"/>
          <w:sz w:val="32"/>
          <w:szCs w:val="32"/>
          <w:lang w:val="en-US" w:eastAsia="zh-CN"/>
        </w:rPr>
        <w:t>市政府办公室、市决策咨询服务中心接待省、其他市州来攀考察、学习、调研、督查等。</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2.53</w:t>
      </w:r>
      <w:r>
        <w:rPr>
          <w:rFonts w:hint="eastAsia" w:eastAsia="仿宋_GB2312" w:cs="仿宋_GB2312"/>
          <w:sz w:val="32"/>
          <w:szCs w:val="32"/>
        </w:rPr>
        <w:t>万元，主要用于中国国际新闻交流中心亚太媒体团来攀参访。外事接待</w:t>
      </w:r>
      <w:r>
        <w:rPr>
          <w:rFonts w:hint="eastAsia" w:eastAsia="仿宋_GB2312" w:cs="仿宋_GB2312"/>
          <w:sz w:val="32"/>
          <w:szCs w:val="32"/>
          <w:lang w:val="en-US" w:eastAsia="zh-CN"/>
        </w:rPr>
        <w:t>1</w:t>
      </w:r>
      <w:r>
        <w:rPr>
          <w:rFonts w:hint="eastAsia" w:eastAsia="仿宋_GB2312" w:cs="仿宋_GB2312"/>
          <w:sz w:val="32"/>
          <w:szCs w:val="32"/>
        </w:rPr>
        <w:t>批次，</w:t>
      </w:r>
      <w:r>
        <w:rPr>
          <w:rFonts w:hint="eastAsia" w:eastAsia="仿宋_GB2312" w:cs="仿宋_GB2312"/>
          <w:sz w:val="32"/>
          <w:szCs w:val="32"/>
          <w:lang w:val="en-US" w:eastAsia="zh-CN"/>
        </w:rPr>
        <w:t>39</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2.53</w:t>
      </w:r>
      <w:r>
        <w:rPr>
          <w:rFonts w:hint="eastAsia" w:eastAsia="仿宋_GB2312" w:cs="仿宋_GB2312"/>
          <w:sz w:val="32"/>
          <w:szCs w:val="32"/>
        </w:rPr>
        <w:t>万元。</w:t>
      </w:r>
      <w:bookmarkStart w:id="125" w:name="_Toc15396610"/>
      <w:bookmarkStart w:id="126" w:name="_Toc15377218"/>
    </w:p>
    <w:p>
      <w:pPr>
        <w:spacing w:line="600" w:lineRule="exact"/>
        <w:ind w:firstLine="640"/>
        <w:outlineLvl w:val="1"/>
        <w:rPr>
          <w:rStyle w:val="30"/>
          <w:rFonts w:ascii="Times New Roman" w:hAnsi="Times New Roman" w:eastAsia="黑体"/>
        </w:rPr>
      </w:pPr>
      <w:bookmarkStart w:id="127" w:name="_Toc289623237_WPSOffice_Level2"/>
      <w:r>
        <w:rPr>
          <w:rFonts w:hint="eastAsia" w:eastAsia="黑体"/>
          <w:sz w:val="32"/>
          <w:szCs w:val="32"/>
        </w:rPr>
        <w:t>八、</w:t>
      </w:r>
      <w:r>
        <w:rPr>
          <w:rStyle w:val="30"/>
          <w:rFonts w:hint="eastAsia" w:ascii="Times New Roman" w:hAnsi="Times New Roman" w:eastAsia="黑体"/>
          <w:b w:val="0"/>
        </w:rPr>
        <w:t>政府性基金预算支出决算情况说明</w:t>
      </w:r>
      <w:bookmarkEnd w:id="125"/>
      <w:bookmarkEnd w:id="126"/>
      <w:bookmarkEnd w:id="127"/>
    </w:p>
    <w:p>
      <w:pPr>
        <w:spacing w:line="600" w:lineRule="exact"/>
        <w:ind w:firstLine="640"/>
        <w:rPr>
          <w:rFonts w:eastAsia="仿宋_GB2312" w:cs="仿宋_GB2312"/>
          <w:sz w:val="32"/>
          <w:szCs w:val="32"/>
        </w:rPr>
      </w:pPr>
      <w:r>
        <w:rPr>
          <w:rFonts w:hint="eastAsia" w:ascii="Times New Roman" w:hAnsi="Times New Roman" w:eastAsia="仿宋_GB2312" w:cs="仿宋_GB2312"/>
          <w:sz w:val="32"/>
          <w:szCs w:val="32"/>
          <w:lang w:val="en-US" w:eastAsia="zh-CN"/>
        </w:rPr>
        <w:t>2025年度</w:t>
      </w:r>
      <w:bookmarkStart w:id="128" w:name="_Toc2544"/>
      <w:bookmarkStart w:id="129" w:name="_Toc7530"/>
      <w:bookmarkStart w:id="130" w:name="_Toc16223"/>
      <w:r>
        <w:rPr>
          <w:rFonts w:hint="eastAsia" w:ascii="Times New Roman" w:hAnsi="Times New Roman" w:eastAsia="仿宋_GB2312" w:cs="仿宋_GB2312"/>
          <w:sz w:val="32"/>
          <w:szCs w:val="32"/>
          <w:lang w:val="en-US" w:eastAsia="zh-CN"/>
        </w:rPr>
        <w:t>政府性基金预算财政拨款支出0万元。</w:t>
      </w:r>
      <w:bookmarkEnd w:id="128"/>
      <w:bookmarkEnd w:id="129"/>
      <w:bookmarkEnd w:id="130"/>
    </w:p>
    <w:p>
      <w:pPr>
        <w:spacing w:line="600" w:lineRule="exact"/>
        <w:ind w:left="630"/>
        <w:outlineLvl w:val="1"/>
        <w:rPr>
          <w:rStyle w:val="30"/>
          <w:rFonts w:ascii="Times New Roman" w:hAnsi="Times New Roman" w:eastAsia="黑体"/>
          <w:b w:val="0"/>
        </w:rPr>
      </w:pPr>
      <w:bookmarkStart w:id="131" w:name="_Toc15377219"/>
      <w:bookmarkStart w:id="132" w:name="_Toc15396611"/>
      <w:bookmarkStart w:id="133" w:name="_Toc58412032_WPSOffice_Level2"/>
      <w:r>
        <w:rPr>
          <w:rStyle w:val="30"/>
          <w:rFonts w:hint="eastAsia" w:ascii="Times New Roman" w:hAnsi="Times New Roman" w:eastAsia="黑体"/>
          <w:b w:val="0"/>
        </w:rPr>
        <w:t>九、国有资本经营预算支出决算情况说明</w:t>
      </w:r>
      <w:bookmarkEnd w:id="131"/>
      <w:bookmarkEnd w:id="132"/>
      <w:bookmarkEnd w:id="133"/>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eastAsia="仿宋_GB2312" w:cs="仿宋_GB2312"/>
          <w:sz w:val="32"/>
          <w:szCs w:val="32"/>
          <w:lang w:val="en-US" w:eastAsia="zh-CN"/>
        </w:rPr>
        <w:t>。</w:t>
      </w:r>
    </w:p>
    <w:p>
      <w:pPr>
        <w:spacing w:line="600" w:lineRule="exact"/>
        <w:ind w:left="630"/>
        <w:outlineLvl w:val="1"/>
        <w:rPr>
          <w:rStyle w:val="30"/>
          <w:rFonts w:ascii="Times New Roman" w:hAnsi="Times New Roman" w:eastAsia="黑体"/>
          <w:b w:val="0"/>
        </w:rPr>
      </w:pPr>
      <w:bookmarkStart w:id="134" w:name="_Toc15396612"/>
      <w:bookmarkStart w:id="135" w:name="_Toc15377221"/>
      <w:bookmarkStart w:id="136" w:name="_Toc153311004_WPSOffice_Level2"/>
      <w:r>
        <w:rPr>
          <w:rStyle w:val="30"/>
          <w:rFonts w:hint="eastAsia" w:ascii="Times New Roman" w:hAnsi="Times New Roman" w:eastAsia="黑体"/>
          <w:b w:val="0"/>
        </w:rPr>
        <w:t>十、其他重要事项的情况说明</w:t>
      </w:r>
      <w:bookmarkEnd w:id="134"/>
      <w:bookmarkEnd w:id="135"/>
      <w:bookmarkEnd w:id="136"/>
    </w:p>
    <w:p>
      <w:pPr>
        <w:spacing w:line="600" w:lineRule="exact"/>
        <w:ind w:firstLine="642" w:firstLineChars="200"/>
        <w:outlineLvl w:val="2"/>
        <w:rPr>
          <w:rFonts w:eastAsia="楷体_GB2312" w:cs="楷体_GB2312"/>
          <w:b/>
          <w:sz w:val="32"/>
          <w:szCs w:val="32"/>
        </w:rPr>
      </w:pPr>
      <w:bookmarkStart w:id="137" w:name="_Toc1050029287_WPSOffice_Level3"/>
      <w:bookmarkStart w:id="138" w:name="_Toc15377222"/>
      <w:r>
        <w:rPr>
          <w:rFonts w:hint="eastAsia" w:eastAsia="楷体_GB2312" w:cs="楷体_GB2312"/>
          <w:b/>
          <w:sz w:val="32"/>
          <w:szCs w:val="32"/>
        </w:rPr>
        <w:t>（一）机关运行经费支出情况</w:t>
      </w:r>
      <w:bookmarkEnd w:id="137"/>
      <w:bookmarkEnd w:id="138"/>
    </w:p>
    <w:p>
      <w:pPr>
        <w:spacing w:line="600" w:lineRule="exact"/>
        <w:ind w:firstLine="640"/>
        <w:rPr>
          <w:rFonts w:eastAsia="仿宋_GB2312" w:cs="仿宋_GB2312"/>
          <w:sz w:val="32"/>
          <w:szCs w:val="32"/>
        </w:rPr>
      </w:pPr>
      <w:r>
        <w:rPr>
          <w:rFonts w:hint="eastAsia" w:ascii="Times New Roman" w:hAnsi="Times New Roman" w:eastAsia="仿宋_GB2312" w:cs="仿宋_GB2312"/>
          <w:sz w:val="32"/>
          <w:szCs w:val="32"/>
        </w:rPr>
        <w:t>2025年度，</w:t>
      </w:r>
      <w:r>
        <w:rPr>
          <w:rFonts w:hint="eastAsia" w:ascii="Times New Roman" w:hAnsi="Times New Roman" w:eastAsia="仿宋_GB2312" w:cs="仿宋_GB2312"/>
          <w:sz w:val="32"/>
          <w:szCs w:val="32"/>
          <w:lang w:val="en-US" w:eastAsia="zh-CN"/>
        </w:rPr>
        <w:t>攀枝花市人民政府办公室</w:t>
      </w:r>
      <w:r>
        <w:rPr>
          <w:rFonts w:hint="eastAsia" w:ascii="Times New Roman" w:hAnsi="Times New Roman" w:eastAsia="仿宋_GB2312" w:cs="仿宋_GB2312"/>
          <w:sz w:val="32"/>
          <w:szCs w:val="32"/>
        </w:rPr>
        <w:t>机关运行经费支出</w:t>
      </w:r>
      <w:r>
        <w:rPr>
          <w:rFonts w:hint="eastAsia" w:eastAsia="仿宋_GB2312" w:cs="仿宋_GB2312"/>
          <w:sz w:val="32"/>
          <w:szCs w:val="32"/>
          <w:lang w:val="en-US" w:eastAsia="zh-CN"/>
        </w:rPr>
        <w:t>399.28</w:t>
      </w:r>
      <w:r>
        <w:rPr>
          <w:rFonts w:hint="eastAsia" w:ascii="Times New Roman" w:hAnsi="Times New Roman" w:eastAsia="仿宋_GB2312" w:cs="仿宋_GB2312"/>
          <w:sz w:val="32"/>
          <w:szCs w:val="32"/>
        </w:rPr>
        <w:t>万元，比上年度减少</w:t>
      </w:r>
      <w:r>
        <w:rPr>
          <w:rFonts w:hint="eastAsia" w:eastAsia="仿宋_GB2312" w:cs="仿宋_GB2312"/>
          <w:sz w:val="32"/>
          <w:szCs w:val="32"/>
          <w:lang w:val="en-US" w:eastAsia="zh-CN"/>
        </w:rPr>
        <w:t>30.58</w:t>
      </w:r>
      <w:r>
        <w:rPr>
          <w:rFonts w:hint="eastAsia" w:ascii="Times New Roman" w:hAnsi="Times New Roman" w:eastAsia="仿宋_GB2312" w:cs="仿宋_GB2312"/>
          <w:sz w:val="32"/>
          <w:szCs w:val="32"/>
        </w:rPr>
        <w:t>万元，下降</w:t>
      </w:r>
      <w:r>
        <w:rPr>
          <w:rFonts w:hint="eastAsia" w:eastAsia="仿宋_GB2312" w:cs="仿宋_GB2312"/>
          <w:sz w:val="32"/>
          <w:szCs w:val="32"/>
          <w:lang w:val="en-US" w:eastAsia="zh-CN"/>
        </w:rPr>
        <w:t>7.11</w:t>
      </w:r>
      <w:r>
        <w:rPr>
          <w:rFonts w:hint="eastAsia" w:ascii="Times New Roman" w:hAnsi="Times New Roman" w:eastAsia="仿宋_GB2312" w:cs="仿宋_GB2312"/>
          <w:sz w:val="32"/>
          <w:szCs w:val="32"/>
        </w:rPr>
        <w:t>%。主要原因是</w:t>
      </w:r>
      <w:r>
        <w:rPr>
          <w:rFonts w:hint="eastAsia" w:ascii="Times New Roman" w:hAnsi="Times New Roman" w:eastAsia="仿宋_GB2312" w:cs="仿宋_GB2312"/>
          <w:sz w:val="32"/>
          <w:szCs w:val="32"/>
          <w:lang w:eastAsia="zh-CN"/>
        </w:rPr>
        <w:t>人员调出导致支出减少。</w:t>
      </w:r>
    </w:p>
    <w:p>
      <w:pPr>
        <w:spacing w:line="600" w:lineRule="exact"/>
        <w:ind w:firstLine="642" w:firstLineChars="200"/>
        <w:outlineLvl w:val="2"/>
        <w:rPr>
          <w:rFonts w:eastAsia="楷体_GB2312" w:cs="楷体_GB2312"/>
          <w:b/>
          <w:sz w:val="32"/>
          <w:szCs w:val="32"/>
        </w:rPr>
      </w:pPr>
      <w:bookmarkStart w:id="139" w:name="_Toc983366248_WPSOffice_Level3"/>
      <w:bookmarkStart w:id="140" w:name="_Toc15377223"/>
      <w:r>
        <w:rPr>
          <w:rFonts w:hint="eastAsia" w:eastAsia="楷体_GB2312" w:cs="楷体_GB2312"/>
          <w:b/>
          <w:sz w:val="32"/>
          <w:szCs w:val="32"/>
        </w:rPr>
        <w:t>（二）政府采购支出情况</w:t>
      </w:r>
      <w:bookmarkEnd w:id="139"/>
      <w:bookmarkEnd w:id="140"/>
    </w:p>
    <w:p>
      <w:pPr>
        <w:spacing w:line="600" w:lineRule="exact"/>
        <w:ind w:firstLine="640"/>
        <w:rPr>
          <w:rFonts w:eastAsia="仿宋_GB2312" w:cs="仿宋_GB2312"/>
          <w:sz w:val="32"/>
          <w:szCs w:val="32"/>
        </w:rPr>
      </w:pPr>
      <w:r>
        <w:rPr>
          <w:rFonts w:hint="eastAsia" w:ascii="Times New Roman" w:hAnsi="Times New Roman" w:eastAsia="仿宋_GB2312" w:cs="仿宋_GB2312"/>
          <w:sz w:val="32"/>
          <w:szCs w:val="32"/>
        </w:rPr>
        <w:t>2025年度，</w:t>
      </w:r>
      <w:r>
        <w:rPr>
          <w:rFonts w:hint="eastAsia" w:ascii="Times New Roman" w:hAnsi="Times New Roman" w:eastAsia="仿宋_GB2312" w:cs="仿宋_GB2312"/>
          <w:sz w:val="32"/>
          <w:szCs w:val="32"/>
          <w:lang w:val="en-US" w:eastAsia="zh-CN"/>
        </w:rPr>
        <w:t>攀枝花市人民政府办公室</w:t>
      </w:r>
      <w:r>
        <w:rPr>
          <w:rFonts w:hint="eastAsia" w:ascii="Times New Roman" w:hAnsi="Times New Roman" w:eastAsia="仿宋_GB2312" w:cs="仿宋_GB2312"/>
          <w:sz w:val="32"/>
          <w:szCs w:val="32"/>
        </w:rPr>
        <w:t>政府采购支出总额</w:t>
      </w:r>
      <w:r>
        <w:rPr>
          <w:rFonts w:hint="eastAsia" w:eastAsia="仿宋_GB2312" w:cs="仿宋_GB2312"/>
          <w:sz w:val="32"/>
          <w:szCs w:val="32"/>
          <w:lang w:val="en-US" w:eastAsia="zh-CN"/>
        </w:rPr>
        <w:t>237.25</w:t>
      </w:r>
      <w:r>
        <w:rPr>
          <w:rFonts w:hint="eastAsia" w:ascii="Times New Roman" w:hAnsi="Times New Roman" w:eastAsia="仿宋_GB2312" w:cs="仿宋_GB2312"/>
          <w:sz w:val="32"/>
          <w:szCs w:val="32"/>
        </w:rPr>
        <w:t>万元，其中：政府采购货物支出</w:t>
      </w:r>
      <w:r>
        <w:rPr>
          <w:rFonts w:hint="eastAsia" w:ascii="Times New Roman" w:hAnsi="Times New Roman" w:eastAsia="仿宋_GB2312" w:cs="仿宋_GB2312"/>
          <w:sz w:val="32"/>
          <w:szCs w:val="32"/>
          <w:lang w:val="en-US" w:eastAsia="zh-CN"/>
        </w:rPr>
        <w:t>65.60</w:t>
      </w:r>
      <w:r>
        <w:rPr>
          <w:rFonts w:hint="eastAsia" w:ascii="Times New Roman" w:hAnsi="Times New Roman" w:eastAsia="仿宋_GB2312" w:cs="仿宋_GB2312"/>
          <w:sz w:val="32"/>
          <w:szCs w:val="32"/>
        </w:rPr>
        <w:t>万元、政府采购工程支出</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万元、政府采购服务支出</w:t>
      </w:r>
      <w:r>
        <w:rPr>
          <w:rFonts w:hint="eastAsia" w:eastAsia="仿宋_GB2312" w:cs="仿宋_GB2312"/>
          <w:sz w:val="32"/>
          <w:szCs w:val="32"/>
          <w:lang w:val="en-US" w:eastAsia="zh-CN"/>
        </w:rPr>
        <w:t>171.65</w:t>
      </w:r>
      <w:r>
        <w:rPr>
          <w:rFonts w:hint="eastAsia" w:ascii="Times New Roman" w:hAnsi="Times New Roman" w:eastAsia="仿宋_GB2312" w:cs="仿宋_GB2312"/>
          <w:sz w:val="32"/>
          <w:szCs w:val="32"/>
        </w:rPr>
        <w:t>万元。主要用于</w:t>
      </w:r>
      <w:r>
        <w:rPr>
          <w:rFonts w:hint="default" w:ascii="Times New Roman" w:hAnsi="Times New Roman" w:eastAsia="仿宋_GB2312" w:cs="仿宋_GB2312"/>
          <w:sz w:val="32"/>
          <w:szCs w:val="32"/>
          <w:lang w:val="en-US" w:eastAsia="zh-CN"/>
        </w:rPr>
        <w:t>全市网站集约化平台运维和安全防护、政府网站和政务新媒体绩效督查评估、政务云平台运维、信息系统安全等级保护测评服务等工作</w:t>
      </w:r>
      <w:r>
        <w:rPr>
          <w:rFonts w:hint="eastAsia" w:ascii="Times New Roman" w:hAnsi="Times New Roman" w:eastAsia="仿宋_GB2312" w:cs="仿宋_GB2312"/>
          <w:sz w:val="32"/>
          <w:szCs w:val="32"/>
        </w:rPr>
        <w:t>。授予中小企业合同金额</w:t>
      </w:r>
      <w:r>
        <w:rPr>
          <w:rFonts w:hint="eastAsia" w:eastAsia="仿宋_GB2312" w:cs="仿宋_GB2312"/>
          <w:sz w:val="32"/>
          <w:szCs w:val="32"/>
          <w:lang w:val="en-US" w:eastAsia="zh-CN"/>
        </w:rPr>
        <w:t>171.65</w:t>
      </w:r>
      <w:r>
        <w:rPr>
          <w:rFonts w:hint="eastAsia" w:ascii="Times New Roman" w:hAnsi="Times New Roman" w:eastAsia="仿宋_GB2312" w:cs="仿宋_GB2312"/>
          <w:sz w:val="32"/>
          <w:szCs w:val="32"/>
        </w:rPr>
        <w:t>万元，占政府采购支出总额的</w:t>
      </w:r>
      <w:r>
        <w:rPr>
          <w:rFonts w:hint="eastAsia" w:eastAsia="仿宋_GB2312" w:cs="仿宋_GB2312"/>
          <w:sz w:val="32"/>
          <w:szCs w:val="32"/>
          <w:lang w:val="en-US" w:eastAsia="zh-CN"/>
        </w:rPr>
        <w:t>72.35</w:t>
      </w:r>
      <w:r>
        <w:rPr>
          <w:rFonts w:hint="eastAsia" w:ascii="Times New Roman" w:hAnsi="Times New Roman" w:eastAsia="仿宋_GB2312" w:cs="仿宋_GB2312"/>
          <w:sz w:val="32"/>
          <w:szCs w:val="32"/>
        </w:rPr>
        <w:t>%，其中：授予小微企业合同金额</w:t>
      </w:r>
      <w:r>
        <w:rPr>
          <w:rFonts w:hint="eastAsia" w:eastAsia="仿宋_GB2312" w:cs="仿宋_GB2312"/>
          <w:sz w:val="32"/>
          <w:szCs w:val="32"/>
          <w:lang w:val="en-US" w:eastAsia="zh-CN"/>
        </w:rPr>
        <w:t>129.66</w:t>
      </w:r>
      <w:r>
        <w:rPr>
          <w:rFonts w:hint="eastAsia" w:ascii="Times New Roman" w:hAnsi="Times New Roman" w:eastAsia="仿宋_GB2312" w:cs="仿宋_GB2312"/>
          <w:sz w:val="32"/>
          <w:szCs w:val="32"/>
        </w:rPr>
        <w:t>万元，占政府采购支出总额的</w:t>
      </w:r>
      <w:r>
        <w:rPr>
          <w:rFonts w:hint="eastAsia" w:eastAsia="仿宋_GB2312" w:cs="仿宋_GB2312"/>
          <w:sz w:val="32"/>
          <w:szCs w:val="32"/>
          <w:lang w:val="en-US" w:eastAsia="zh-CN"/>
        </w:rPr>
        <w:t>54.65</w:t>
      </w:r>
      <w:r>
        <w:rPr>
          <w:rFonts w:hint="eastAsia" w:ascii="Times New Roman" w:hAnsi="Times New Roman" w:eastAsia="仿宋_GB2312" w:cs="仿宋_GB2312"/>
          <w:sz w:val="32"/>
          <w:szCs w:val="32"/>
        </w:rPr>
        <w:t>%。</w:t>
      </w:r>
    </w:p>
    <w:p>
      <w:pPr>
        <w:spacing w:line="600" w:lineRule="exact"/>
        <w:ind w:firstLine="642" w:firstLineChars="200"/>
        <w:outlineLvl w:val="2"/>
        <w:rPr>
          <w:rFonts w:eastAsia="楷体_GB2312" w:cs="楷体_GB2312"/>
          <w:b/>
          <w:sz w:val="32"/>
          <w:szCs w:val="32"/>
        </w:rPr>
      </w:pPr>
      <w:bookmarkStart w:id="141" w:name="_Toc15377224"/>
      <w:bookmarkStart w:id="142" w:name="_Toc1507143069_WPSOffice_Level3"/>
      <w:r>
        <w:rPr>
          <w:rFonts w:hint="eastAsia" w:eastAsia="楷体_GB2312" w:cs="楷体_GB2312"/>
          <w:b/>
          <w:sz w:val="32"/>
          <w:szCs w:val="32"/>
        </w:rPr>
        <w:t>（三）国有资产占有使用情况</w:t>
      </w:r>
      <w:bookmarkEnd w:id="141"/>
      <w:bookmarkEnd w:id="142"/>
    </w:p>
    <w:p>
      <w:pPr>
        <w:spacing w:line="600" w:lineRule="exact"/>
        <w:ind w:firstLine="640"/>
        <w:rPr>
          <w:rFonts w:eastAsia="仿宋_GB2312" w:cs="仿宋_GB2312"/>
          <w:sz w:val="32"/>
          <w:szCs w:val="32"/>
        </w:rPr>
      </w:pPr>
      <w:r>
        <w:rPr>
          <w:rFonts w:hint="eastAsia" w:ascii="Times New Roman" w:hAnsi="Times New Roman" w:eastAsia="仿宋_GB2312" w:cs="仿宋_GB2312"/>
          <w:sz w:val="32"/>
          <w:szCs w:val="32"/>
        </w:rPr>
        <w:t>截至2025年12月31日，</w:t>
      </w:r>
      <w:r>
        <w:rPr>
          <w:rFonts w:hint="eastAsia" w:ascii="Times New Roman" w:hAnsi="Times New Roman" w:eastAsia="仿宋_GB2312" w:cs="仿宋_GB2312"/>
          <w:sz w:val="32"/>
          <w:szCs w:val="32"/>
          <w:lang w:val="en-US" w:eastAsia="zh-CN"/>
        </w:rPr>
        <w:t>攀枝花市人民政府办公室</w:t>
      </w:r>
      <w:r>
        <w:rPr>
          <w:rFonts w:hint="eastAsia" w:ascii="Times New Roman" w:hAnsi="Times New Roman" w:eastAsia="仿宋_GB2312" w:cs="仿宋_GB2312"/>
          <w:sz w:val="32"/>
          <w:szCs w:val="32"/>
        </w:rPr>
        <w:t>共有车辆</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辆，其中：主要负责人用车</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辆、机要通信用车</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辆、应急保障用车</w:t>
      </w: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辆、其他用车</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rPr>
        <w:t>辆，其他用车主要是用于</w:t>
      </w:r>
      <w:r>
        <w:rPr>
          <w:rFonts w:hint="default" w:ascii="Times New Roman" w:hAnsi="Times New Roman" w:eastAsia="仿宋_GB2312" w:cs="仿宋_GB2312"/>
          <w:sz w:val="32"/>
          <w:szCs w:val="32"/>
          <w:lang w:val="en-US" w:eastAsia="zh-CN"/>
        </w:rPr>
        <w:t>下乡调研、督查督办等业务工作</w:t>
      </w:r>
      <w:r>
        <w:rPr>
          <w:rFonts w:hint="eastAsia" w:ascii="Times New Roman" w:hAnsi="Times New Roman" w:eastAsia="仿宋_GB2312" w:cs="仿宋_GB2312"/>
          <w:sz w:val="32"/>
          <w:szCs w:val="32"/>
        </w:rPr>
        <w:t>。单价100万元（含）以上设备（不含车辆）</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台（套）。</w:t>
      </w:r>
    </w:p>
    <w:p>
      <w:pPr>
        <w:spacing w:line="600" w:lineRule="exact"/>
        <w:ind w:firstLine="642" w:firstLineChars="200"/>
        <w:outlineLvl w:val="2"/>
        <w:rPr>
          <w:rFonts w:eastAsia="楷体_GB2312" w:cs="楷体_GB2312"/>
          <w:b/>
          <w:sz w:val="32"/>
          <w:szCs w:val="32"/>
        </w:rPr>
      </w:pPr>
      <w:bookmarkStart w:id="143" w:name="_Toc896769491_WPSOffice_Level3"/>
      <w:r>
        <w:rPr>
          <w:rFonts w:hint="eastAsia" w:eastAsia="楷体_GB2312" w:cs="楷体_GB2312"/>
          <w:b/>
          <w:sz w:val="32"/>
          <w:szCs w:val="32"/>
        </w:rPr>
        <w:t>（四）预算绩效管理情况</w:t>
      </w:r>
      <w:bookmarkEnd w:id="143"/>
    </w:p>
    <w:p>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根据预算绩效管理要求，</w:t>
      </w:r>
      <w:r>
        <w:rPr>
          <w:rFonts w:hint="eastAsia" w:ascii="Times New Roman" w:hAnsi="Times New Roman" w:eastAsia="仿宋_GB2312" w:cs="仿宋_GB2312"/>
          <w:sz w:val="32"/>
          <w:szCs w:val="32"/>
          <w:lang w:val="en-US" w:eastAsia="zh-CN"/>
        </w:rPr>
        <w:t>攀枝花市人民政府办公室</w:t>
      </w:r>
      <w:r>
        <w:rPr>
          <w:rFonts w:hint="eastAsia" w:ascii="Times New Roman" w:hAnsi="Times New Roman" w:eastAsia="仿宋_GB2312" w:cs="仿宋_GB2312"/>
          <w:sz w:val="32"/>
          <w:szCs w:val="32"/>
        </w:rPr>
        <w:t>在2025年度</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rPr>
        <w:t>组织对</w:t>
      </w:r>
      <w:r>
        <w:rPr>
          <w:rFonts w:hint="default" w:ascii="Times New Roman" w:hAnsi="Times New Roman" w:eastAsia="仿宋_GB2312" w:cs="仿宋_GB2312"/>
          <w:sz w:val="32"/>
          <w:szCs w:val="32"/>
          <w:lang w:val="en-US" w:eastAsia="zh-CN"/>
        </w:rPr>
        <w:t>全市政府网站集约化平台运维和安全防护项目、信息系统安全等级保护测评服务、综合业务等</w:t>
      </w:r>
      <w:r>
        <w:rPr>
          <w:rFonts w:hint="eastAsia" w:ascii="Times New Roman" w:hAnsi="Times New Roman" w:eastAsia="仿宋_GB2312" w:cs="仿宋_GB2312"/>
          <w:sz w:val="32"/>
          <w:szCs w:val="32"/>
          <w:lang w:val="en-US" w:eastAsia="zh-CN"/>
        </w:rPr>
        <w:t>1</w:t>
      </w:r>
      <w:r>
        <w:rPr>
          <w:rFonts w:hint="eastAsia" w:eastAsia="仿宋_GB2312" w:cs="仿宋_GB2312"/>
          <w:sz w:val="32"/>
          <w:szCs w:val="32"/>
          <w:lang w:val="en-US" w:eastAsia="zh-CN"/>
        </w:rPr>
        <w:t>8</w:t>
      </w:r>
      <w:r>
        <w:rPr>
          <w:rFonts w:hint="eastAsia" w:ascii="Times New Roman" w:hAnsi="Times New Roman" w:eastAsia="仿宋_GB2312" w:cs="仿宋_GB2312"/>
          <w:sz w:val="32"/>
          <w:szCs w:val="32"/>
        </w:rPr>
        <w:t>个项目涉及金额</w:t>
      </w:r>
      <w:r>
        <w:rPr>
          <w:rFonts w:hint="eastAsia" w:eastAsia="仿宋_GB2312" w:cs="仿宋_GB2312"/>
          <w:sz w:val="32"/>
          <w:szCs w:val="32"/>
          <w:lang w:val="en-US" w:eastAsia="zh-CN"/>
        </w:rPr>
        <w:t>720.93</w:t>
      </w:r>
      <w:r>
        <w:rPr>
          <w:rFonts w:hint="eastAsia" w:ascii="Times New Roman" w:hAnsi="Times New Roman" w:eastAsia="仿宋_GB2312" w:cs="仿宋_GB2312"/>
          <w:sz w:val="32"/>
          <w:szCs w:val="32"/>
        </w:rPr>
        <w:t>万元开展了事前绩效评估，对</w:t>
      </w:r>
      <w:r>
        <w:rPr>
          <w:rFonts w:hint="eastAsia" w:ascii="Times New Roman" w:hAnsi="Times New Roman" w:eastAsia="仿宋_GB2312" w:cs="仿宋_GB2312"/>
          <w:sz w:val="32"/>
          <w:szCs w:val="32"/>
          <w:lang w:val="en-US" w:eastAsia="zh-CN"/>
        </w:rPr>
        <w:t>1</w:t>
      </w:r>
      <w:r>
        <w:rPr>
          <w:rFonts w:hint="eastAsia" w:eastAsia="仿宋_GB2312" w:cs="仿宋_GB2312"/>
          <w:sz w:val="32"/>
          <w:szCs w:val="32"/>
          <w:lang w:val="en-US" w:eastAsia="zh-CN"/>
        </w:rPr>
        <w:t>8</w:t>
      </w:r>
      <w:r>
        <w:rPr>
          <w:rFonts w:hint="eastAsia" w:ascii="Times New Roman" w:hAnsi="Times New Roman" w:eastAsia="仿宋_GB2312" w:cs="仿宋_GB2312"/>
          <w:sz w:val="32"/>
          <w:szCs w:val="32"/>
        </w:rPr>
        <w:t>个项目编制了绩效目标，预算执行过程中，选取</w:t>
      </w:r>
      <w:r>
        <w:rPr>
          <w:rFonts w:hint="eastAsia" w:ascii="Times New Roman" w:hAnsi="Times New Roman" w:eastAsia="仿宋_GB2312" w:cs="仿宋_GB2312"/>
          <w:sz w:val="32"/>
          <w:szCs w:val="32"/>
          <w:lang w:val="en-US" w:eastAsia="zh-CN"/>
        </w:rPr>
        <w:t>1</w:t>
      </w:r>
      <w:r>
        <w:rPr>
          <w:rFonts w:hint="eastAsia" w:eastAsia="仿宋_GB2312" w:cs="仿宋_GB2312"/>
          <w:sz w:val="32"/>
          <w:szCs w:val="32"/>
          <w:lang w:val="en-US" w:eastAsia="zh-CN"/>
        </w:rPr>
        <w:t>8</w:t>
      </w:r>
      <w:r>
        <w:rPr>
          <w:rFonts w:hint="eastAsia" w:ascii="Times New Roman" w:hAnsi="Times New Roman" w:eastAsia="仿宋_GB2312" w:cs="仿宋_GB2312"/>
          <w:sz w:val="32"/>
          <w:szCs w:val="32"/>
        </w:rPr>
        <w:t>个项目开展绩效监控。</w:t>
      </w:r>
      <w:r>
        <w:rPr>
          <w:rFonts w:hint="default" w:ascii="Times New Roman" w:hAnsi="Times New Roman" w:eastAsia="仿宋_GB2312" w:cs="仿宋_GB2312"/>
          <w:sz w:val="32"/>
          <w:szCs w:val="32"/>
          <w:lang w:val="en-US" w:eastAsia="zh-CN"/>
        </w:rPr>
        <w:t>绩效自评表详见第四部分附件</w:t>
      </w:r>
    </w:p>
    <w:p>
      <w:pPr>
        <w:spacing w:line="600" w:lineRule="exact"/>
        <w:ind w:firstLine="645"/>
        <w:rPr>
          <w:rFonts w:hint="eastAsia"/>
        </w:rPr>
      </w:pPr>
      <w:r>
        <w:rPr>
          <w:rFonts w:hint="default" w:ascii="Times New Roman" w:hAnsi="Times New Roman" w:eastAsia="仿宋_GB2312" w:cs="Times New Roman"/>
          <w:color w:val="auto"/>
          <w:sz w:val="32"/>
          <w:szCs w:val="32"/>
          <w:highlight w:val="none"/>
          <w:lang w:eastAsia="zh-CN"/>
        </w:rPr>
        <w:t>组织对</w:t>
      </w:r>
      <w:r>
        <w:rPr>
          <w:rFonts w:hint="default" w:ascii="Times New Roman" w:hAnsi="Times New Roman"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年度一般公共预算</w:t>
      </w:r>
      <w:r>
        <w:rPr>
          <w:rFonts w:hint="default" w:ascii="Times New Roman" w:hAnsi="Times New Roman" w:eastAsia="仿宋_GB2312" w:cs="Times New Roman"/>
          <w:color w:val="auto"/>
          <w:sz w:val="32"/>
          <w:szCs w:val="32"/>
          <w:highlight w:val="none"/>
          <w:lang w:eastAsia="zh-CN"/>
        </w:rPr>
        <w:t>等</w:t>
      </w:r>
      <w:r>
        <w:rPr>
          <w:rFonts w:hint="default" w:ascii="Times New Roman" w:hAnsi="Times New Roman" w:eastAsia="仿宋_GB2312" w:cs="Times New Roman"/>
          <w:color w:val="auto"/>
          <w:sz w:val="32"/>
          <w:szCs w:val="32"/>
          <w:highlight w:val="none"/>
          <w:lang w:val="en-US" w:eastAsia="zh-CN"/>
        </w:rPr>
        <w:t>全面开展绩效自评，形成</w:t>
      </w:r>
      <w:r>
        <w:rPr>
          <w:rFonts w:hint="default" w:ascii="Times New Roman" w:hAnsi="Times New Roman" w:eastAsia="仿宋_GB2312" w:cs="Times New Roman"/>
          <w:color w:val="auto"/>
          <w:sz w:val="32"/>
          <w:szCs w:val="32"/>
          <w:highlight w:val="none"/>
          <w:lang w:eastAsia="zh-CN"/>
        </w:rPr>
        <w:t>市政府办公室部门整体（含部门预算项目）</w:t>
      </w:r>
      <w:r>
        <w:rPr>
          <w:rFonts w:hint="default" w:ascii="Times New Roman" w:hAnsi="Times New Roman" w:eastAsia="仿宋_GB2312" w:cs="Times New Roman"/>
          <w:color w:val="auto"/>
          <w:sz w:val="32"/>
          <w:szCs w:val="32"/>
          <w:highlight w:val="none"/>
          <w:lang w:val="en-US" w:eastAsia="zh-CN"/>
        </w:rPr>
        <w:t>绩效自评报告，绩效自评得分为</w:t>
      </w:r>
      <w:r>
        <w:rPr>
          <w:rFonts w:hint="eastAsia" w:eastAsia="仿宋_GB2312" w:cs="Times New Roman"/>
          <w:color w:val="auto"/>
          <w:sz w:val="32"/>
          <w:szCs w:val="32"/>
          <w:highlight w:val="none"/>
          <w:lang w:val="en-US" w:eastAsia="zh-CN"/>
        </w:rPr>
        <w:t>92</w:t>
      </w:r>
      <w:r>
        <w:rPr>
          <w:rFonts w:hint="default" w:ascii="Times New Roman" w:hAnsi="Times New Roman" w:eastAsia="仿宋_GB2312" w:cs="Times New Roman"/>
          <w:color w:val="auto"/>
          <w:sz w:val="32"/>
          <w:szCs w:val="32"/>
          <w:highlight w:val="none"/>
          <w:lang w:val="en-US" w:eastAsia="zh-CN"/>
        </w:rPr>
        <w:t>分，绩效自评综述：</w:t>
      </w:r>
      <w:r>
        <w:rPr>
          <w:rFonts w:hint="default" w:ascii="Times New Roman" w:hAnsi="Times New Roman" w:eastAsia="仿宋_GB2312" w:cs="Times New Roman"/>
          <w:color w:val="auto"/>
          <w:sz w:val="32"/>
          <w:szCs w:val="32"/>
          <w:highlight w:val="none"/>
          <w:lang w:eastAsia="zh-CN"/>
        </w:rPr>
        <w:t>市政府办公室预、决算编制合理、支出高效规范，财政支出既确保了机关正常运转，又保证了重点项目实施，财政支出绩效良好</w:t>
      </w:r>
      <w:r>
        <w:rPr>
          <w:rFonts w:hint="default" w:ascii="Times New Roman" w:hAnsi="Times New Roman" w:eastAsia="仿宋_GB2312" w:cs="Times New Roman"/>
          <w:color w:val="auto"/>
          <w:sz w:val="32"/>
          <w:szCs w:val="32"/>
          <w:highlight w:val="none"/>
          <w:lang w:val="en-US" w:eastAsia="zh-CN"/>
        </w:rPr>
        <w:t>。</w:t>
      </w:r>
    </w:p>
    <w:p>
      <w:pPr>
        <w:spacing w:line="600" w:lineRule="exact"/>
        <w:rPr>
          <w:rFonts w:eastAsia="仿宋_GB2312" w:cs="仿宋_GB2312"/>
          <w:sz w:val="32"/>
          <w:szCs w:val="32"/>
        </w:rPr>
      </w:pPr>
    </w:p>
    <w:p>
      <w:pPr>
        <w:spacing w:line="600" w:lineRule="exact"/>
        <w:jc w:val="center"/>
        <w:outlineLvl w:val="0"/>
        <w:rPr>
          <w:rFonts w:hint="eastAsia" w:eastAsia="黑体"/>
          <w:sz w:val="44"/>
          <w:szCs w:val="44"/>
        </w:rPr>
      </w:pPr>
      <w:bookmarkStart w:id="144" w:name="_Toc15377225"/>
      <w:bookmarkStart w:id="145" w:name="_Toc15396613"/>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eastAsia="黑体"/>
          <w:sz w:val="44"/>
          <w:szCs w:val="44"/>
        </w:rPr>
      </w:pPr>
      <w:bookmarkStart w:id="146" w:name="_Toc1695759650_WPSOffice_Level1"/>
      <w:r>
        <w:rPr>
          <w:rFonts w:hint="eastAsia" w:eastAsia="黑体"/>
          <w:sz w:val="44"/>
          <w:szCs w:val="44"/>
        </w:rPr>
        <w:t>第三部分  名词解释</w:t>
      </w:r>
      <w:bookmarkEnd w:id="144"/>
      <w:bookmarkEnd w:id="145"/>
      <w:bookmarkEnd w:id="146"/>
    </w:p>
    <w:p>
      <w:pPr>
        <w:spacing w:line="600" w:lineRule="exact"/>
        <w:jc w:val="left"/>
        <w:rPr>
          <w:b/>
          <w:sz w:val="44"/>
          <w:szCs w:val="44"/>
        </w:rPr>
      </w:pPr>
    </w:p>
    <w:p>
      <w:pPr>
        <w:spacing w:line="600" w:lineRule="exact"/>
        <w:ind w:firstLine="640"/>
        <w:rPr>
          <w:rFonts w:hint="default" w:ascii="Times New Roman" w:hAnsi="Times New Roman" w:eastAsia="仿宋_GB2312" w:cs="仿宋_GB2312"/>
          <w:sz w:val="32"/>
          <w:szCs w:val="32"/>
        </w:rPr>
      </w:pPr>
      <w:bookmarkStart w:id="147" w:name="_Toc21893"/>
      <w:bookmarkStart w:id="148" w:name="_Toc29240"/>
      <w:bookmarkStart w:id="149" w:name="_Toc26273"/>
      <w:bookmarkStart w:id="150" w:name="_Toc11348"/>
      <w:bookmarkStart w:id="151" w:name="_Toc22864"/>
      <w:bookmarkStart w:id="152" w:name="_Toc24344"/>
      <w:bookmarkStart w:id="153" w:name="_Toc15377226"/>
      <w:r>
        <w:rPr>
          <w:rFonts w:hint="default" w:ascii="Times New Roman" w:hAnsi="Times New Roman" w:eastAsia="仿宋_GB2312" w:cs="仿宋_GB2312"/>
          <w:sz w:val="32"/>
          <w:szCs w:val="32"/>
        </w:rPr>
        <w:t>1</w:t>
      </w:r>
      <w:r>
        <w:rPr>
          <w:rFonts w:hint="default"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财政拨款收入：指单位从同级财政部门取得的财政预算资金。</w:t>
      </w:r>
      <w:bookmarkEnd w:id="147"/>
      <w:bookmarkEnd w:id="148"/>
      <w:bookmarkEnd w:id="149"/>
      <w:bookmarkEnd w:id="150"/>
      <w:bookmarkEnd w:id="151"/>
      <w:bookmarkEnd w:id="152"/>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rPr>
        <w:t>2．事业收入：指事业单位开展专业业务活动及辅助活动取得的收入。</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rPr>
        <w:t>3．经营收入：指事业单位在专业业务活动及其辅助活动之外开展非独立核算经营活动取得的收入。</w:t>
      </w:r>
    </w:p>
    <w:p>
      <w:pPr>
        <w:spacing w:line="600" w:lineRule="exact"/>
        <w:ind w:firstLine="640"/>
        <w:rPr>
          <w:rFonts w:hint="default" w:ascii="Times New Roman" w:hAnsi="Times New Roman" w:eastAsia="仿宋_GB2312" w:cs="仿宋_GB2312"/>
          <w:sz w:val="32"/>
          <w:szCs w:val="32"/>
        </w:rPr>
      </w:pPr>
      <w:bookmarkStart w:id="154" w:name="_Toc15928"/>
      <w:bookmarkStart w:id="155" w:name="_Toc5947"/>
      <w:bookmarkStart w:id="156" w:name="_Toc1682"/>
      <w:bookmarkStart w:id="157" w:name="_Toc28077"/>
      <w:bookmarkStart w:id="158" w:name="_Toc29700"/>
      <w:bookmarkStart w:id="159" w:name="_Toc8778"/>
      <w:r>
        <w:rPr>
          <w:rFonts w:hint="default" w:ascii="Times New Roman" w:hAnsi="Times New Roman" w:eastAsia="仿宋_GB2312" w:cs="仿宋_GB2312"/>
          <w:sz w:val="32"/>
          <w:szCs w:val="32"/>
        </w:rPr>
        <w:t>4．其他收入：指单位取得的除上述收入以外的各项收入。</w:t>
      </w:r>
      <w:bookmarkEnd w:id="154"/>
      <w:bookmarkEnd w:id="155"/>
      <w:bookmarkEnd w:id="156"/>
      <w:bookmarkEnd w:id="157"/>
      <w:bookmarkEnd w:id="158"/>
      <w:bookmarkEnd w:id="159"/>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rPr>
        <w:t>．年初结转和结余：指以前年度尚未完成、结转到本年按有关规定继续使用的资金。</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rPr>
        <w:t>．年末结转和结余：指单位按有关规定结转到下年或以后年度继续使用的资金。</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rPr>
        <w:t>．一般公共服务支出（类）政府办公厅（室）及相关机构事务（款）行政运行（项）：反映行政单位（包括实行公务员管理的事业单位）的基本支出。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rPr>
        <w:t>．一般公共服务支出（类）政府办公厅（室）及相关机构事务（款）一般行政管理事务（项）：反映行政单位（包括实行公务员管理的事业单位）未单独设置项级科目的其他项目支出。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9</w:t>
      </w:r>
      <w:r>
        <w:rPr>
          <w:rFonts w:hint="default" w:ascii="Times New Roman" w:hAnsi="Times New Roman" w:eastAsia="仿宋_GB2312" w:cs="仿宋_GB2312"/>
          <w:sz w:val="32"/>
          <w:szCs w:val="32"/>
        </w:rPr>
        <w:t>．一般公共服务支出（类）政府办公厅（室）及相关机构事务（款）事业运行（项）：</w:t>
      </w:r>
      <w:r>
        <w:rPr>
          <w:rFonts w:hint="default" w:ascii="Times New Roman" w:hAnsi="Times New Roman" w:eastAsia="仿宋_GB2312" w:cs="仿宋_GB2312"/>
          <w:sz w:val="32"/>
          <w:szCs w:val="32"/>
          <w:lang w:val="en-US" w:eastAsia="zh-CN"/>
        </w:rPr>
        <w:t>反映事业单位的基本支出，不包括行政单位（包括实行公务员管理的事业单位）后勤服务中心、医务室等附属事业单位。</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 xml:space="preserve">10．一般公共服务支出（类）政府办公厅（室）及相关机构事务（款）其他政府办公厅（室）及相关机构事务支出（项）: </w:t>
      </w:r>
      <w:r>
        <w:rPr>
          <w:rFonts w:hint="eastAsia" w:ascii="Times New Roman" w:hAnsi="Times New Roman" w:eastAsia="仿宋_GB2312" w:cs="仿宋_GB2312"/>
          <w:sz w:val="32"/>
          <w:szCs w:val="32"/>
          <w:lang w:val="en-US" w:eastAsia="zh-CN"/>
        </w:rPr>
        <w:t>反映除上述项目以外的</w:t>
      </w:r>
      <w:r>
        <w:rPr>
          <w:rFonts w:hint="default" w:ascii="Times New Roman" w:hAnsi="Times New Roman" w:eastAsia="仿宋_GB2312" w:cs="仿宋_GB2312"/>
          <w:sz w:val="32"/>
          <w:szCs w:val="32"/>
          <w:lang w:val="en-US" w:eastAsia="zh-CN"/>
        </w:rPr>
        <w:t>其他政府办公厅（室）及相关机构事务支出</w:t>
      </w:r>
      <w:r>
        <w:rPr>
          <w:rFonts w:hint="eastAsia" w:ascii="Times New Roman" w:hAnsi="Times New Roman" w:eastAsia="仿宋_GB2312" w:cs="仿宋_GB2312"/>
          <w:sz w:val="32"/>
          <w:szCs w:val="32"/>
          <w:lang w:val="en-US" w:eastAsia="zh-CN"/>
        </w:rPr>
        <w:t>。</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 xml:space="preserve">11．一般公共服务支出（类）纪检监察事务（款）派驻派出机构（项）: </w:t>
      </w:r>
      <w:r>
        <w:rPr>
          <w:rFonts w:hint="eastAsia" w:ascii="Times New Roman" w:hAnsi="Times New Roman" w:eastAsia="仿宋_GB2312" w:cs="仿宋_GB2312"/>
          <w:sz w:val="32"/>
          <w:szCs w:val="32"/>
          <w:lang w:val="en-US" w:eastAsia="zh-CN"/>
        </w:rPr>
        <w:t>反映由纪检监察部门负担的派驻各部门和单位的纪检监察人员的专项业务支出。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2</w:t>
      </w:r>
      <w:r>
        <w:rPr>
          <w:rFonts w:hint="default"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rPr>
        <w:t>一般公共服务支出</w:t>
      </w:r>
      <w:r>
        <w:rPr>
          <w:rFonts w:hint="default" w:ascii="Times New Roman" w:hAnsi="Times New Roman" w:eastAsia="仿宋_GB2312" w:cs="仿宋_GB2312"/>
          <w:sz w:val="32"/>
          <w:szCs w:val="32"/>
          <w:lang w:val="en-US" w:eastAsia="zh-CN"/>
        </w:rPr>
        <w:t>（类）组织事务（款）其他组织事务支出（项）：反映其他用于</w:t>
      </w:r>
      <w:r>
        <w:rPr>
          <w:rFonts w:hint="eastAsia" w:ascii="Times New Roman" w:hAnsi="Times New Roman" w:eastAsia="仿宋_GB2312" w:cs="仿宋_GB2312"/>
          <w:sz w:val="32"/>
          <w:szCs w:val="32"/>
          <w:lang w:val="en-US" w:eastAsia="zh-CN"/>
        </w:rPr>
        <w:t>中国共产党组织部门的事务</w:t>
      </w:r>
      <w:r>
        <w:rPr>
          <w:rFonts w:hint="default" w:ascii="Times New Roman" w:hAnsi="Times New Roman" w:eastAsia="仿宋_GB2312" w:cs="仿宋_GB2312"/>
          <w:sz w:val="32"/>
          <w:szCs w:val="32"/>
          <w:lang w:val="en-US" w:eastAsia="zh-CN"/>
        </w:rPr>
        <w:t>支出。</w:t>
      </w:r>
    </w:p>
    <w:p>
      <w:pPr>
        <w:spacing w:line="600" w:lineRule="exact"/>
        <w:ind w:firstLine="640"/>
        <w:rPr>
          <w:rFonts w:hint="default" w:ascii="Times New Roman" w:hAnsi="Times New Roman" w:eastAsia="仿宋_GB2312" w:cs="仿宋_GB2312"/>
          <w:sz w:val="32"/>
          <w:szCs w:val="32"/>
          <w:lang w:eastAsia="zh-CN"/>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3</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社会保障和就业支出</w:t>
      </w:r>
      <w:r>
        <w:rPr>
          <w:rFonts w:hint="default" w:ascii="Times New Roman" w:hAnsi="Times New Roman" w:eastAsia="仿宋_GB2312" w:cs="仿宋_GB2312"/>
          <w:sz w:val="32"/>
          <w:szCs w:val="32"/>
        </w:rPr>
        <w:t>（类）人力资源和社会保障管理事务（款）其他人力资源和社会保障管理事务支出（项）</w:t>
      </w:r>
      <w:r>
        <w:rPr>
          <w:rFonts w:hint="default" w:ascii="Times New Roman" w:hAnsi="Times New Roman" w:eastAsia="仿宋_GB2312" w:cs="仿宋_GB2312"/>
          <w:sz w:val="32"/>
          <w:szCs w:val="32"/>
          <w:lang w:eastAsia="zh-CN"/>
        </w:rPr>
        <w:t>：反映其他用于人力资源和社会保障管理事务方面的支出。。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社会保障和就业支出</w:t>
      </w:r>
      <w:r>
        <w:rPr>
          <w:rFonts w:hint="default" w:ascii="Times New Roman" w:hAnsi="Times New Roman" w:eastAsia="仿宋_GB2312" w:cs="仿宋_GB2312"/>
          <w:sz w:val="32"/>
          <w:szCs w:val="32"/>
        </w:rPr>
        <w:t>（类）行政事业单位养老支出（款）行政单位离退休（项）</w:t>
      </w:r>
      <w:r>
        <w:rPr>
          <w:rFonts w:hint="default"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反映行政单位（包括实行公务员管理的事业单位）开支的离退休经费。</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lang w:val="en-US" w:eastAsia="zh-CN"/>
        </w:rPr>
        <w:t>．社会保障和就业支出（类）行政事业单位养老支出（款）事业单位离退休（项）：反应事业单位开支的离退休经费。</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社会保障和就业支出</w:t>
      </w:r>
      <w:r>
        <w:rPr>
          <w:rFonts w:hint="default" w:ascii="Times New Roman" w:hAnsi="Times New Roman" w:eastAsia="仿宋_GB2312" w:cs="仿宋_GB2312"/>
          <w:sz w:val="32"/>
          <w:szCs w:val="32"/>
        </w:rPr>
        <w:t>（类）行政事业单位养老支出（款）机关事业单位基本养老保险缴费支出（项）</w:t>
      </w:r>
      <w:r>
        <w:rPr>
          <w:rFonts w:hint="default"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反映机关事业单位实施养老保险制度由单位缴纳的基本养老保险费支出。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社会保障和就业支出</w:t>
      </w:r>
      <w:r>
        <w:rPr>
          <w:rFonts w:hint="default" w:ascii="Times New Roman" w:hAnsi="Times New Roman" w:eastAsia="仿宋_GB2312" w:cs="仿宋_GB2312"/>
          <w:sz w:val="32"/>
          <w:szCs w:val="32"/>
        </w:rPr>
        <w:t>（类）行政事业单位养老支出（款）机关事业单位</w:t>
      </w:r>
      <w:r>
        <w:rPr>
          <w:rFonts w:hint="default" w:ascii="Times New Roman" w:hAnsi="Times New Roman" w:eastAsia="仿宋_GB2312" w:cs="仿宋_GB2312"/>
          <w:sz w:val="32"/>
          <w:szCs w:val="32"/>
          <w:lang w:val="en-US" w:eastAsia="zh-CN"/>
        </w:rPr>
        <w:t>职业年金缴费</w:t>
      </w:r>
      <w:r>
        <w:rPr>
          <w:rFonts w:hint="default" w:ascii="Times New Roman" w:hAnsi="Times New Roman" w:eastAsia="仿宋_GB2312" w:cs="仿宋_GB2312"/>
          <w:sz w:val="32"/>
          <w:szCs w:val="32"/>
        </w:rPr>
        <w:t>支出（项）</w:t>
      </w:r>
      <w:r>
        <w:rPr>
          <w:rFonts w:hint="default"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反映机关事业单位实施养老保险制度由单位实际缴纳的职业年金支出。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rPr>
        <w:t>．社会保障和就业支出（类）抚恤（款）死亡抚恤（项）：反映按规定用于烈士和牺牲、病故人员家属的一次性和定期抚恤金以及丧葬补助费。</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9</w:t>
      </w:r>
      <w:r>
        <w:rPr>
          <w:rFonts w:hint="default" w:ascii="Times New Roman" w:hAnsi="Times New Roman" w:eastAsia="仿宋_GB2312" w:cs="仿宋_GB2312"/>
          <w:sz w:val="32"/>
          <w:szCs w:val="32"/>
        </w:rPr>
        <w:t>．社会保障和就业支出（类）社会福利（款）儿童福利（项）：反映对儿童提供福利服务方面的支出。</w:t>
      </w:r>
    </w:p>
    <w:p>
      <w:pPr>
        <w:spacing w:line="600" w:lineRule="exact"/>
        <w:ind w:firstLine="640"/>
        <w:rPr>
          <w:rFonts w:hint="default"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20</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行政事业单位医疗（款）行政单位医疗（项）：反映财政部门安排的行政单位(包括实行公务员管理的事业单位)基本医疗保险缴费经费，未参加医疗保险的行政单位的公费医疗经费，按国家规定享受离休人员、红军老战士待遇人员的医疗经费。</w:t>
      </w:r>
    </w:p>
    <w:p>
      <w:pPr>
        <w:spacing w:line="600" w:lineRule="exact"/>
        <w:ind w:firstLine="640"/>
        <w:rPr>
          <w:rFonts w:hint="default"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21</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（类）行政事业单位医疗（款）</w:t>
      </w:r>
      <w:r>
        <w:rPr>
          <w:rFonts w:hint="default" w:ascii="Times New Roman" w:hAnsi="Times New Roman" w:eastAsia="仿宋_GB2312" w:cs="仿宋_GB2312"/>
          <w:sz w:val="32"/>
          <w:szCs w:val="32"/>
          <w:lang w:val="en-US" w:eastAsia="zh-CN"/>
        </w:rPr>
        <w:t>事业</w:t>
      </w:r>
      <w:r>
        <w:rPr>
          <w:rFonts w:hint="default" w:ascii="Times New Roman" w:hAnsi="Times New Roman" w:eastAsia="仿宋_GB2312" w:cs="仿宋_GB2312"/>
          <w:sz w:val="32"/>
          <w:szCs w:val="32"/>
        </w:rPr>
        <w:t>单位医疗（项）：反映财政部门安排的事业单位基本医疗保险缴费经费，未参加医疗保险的事业单位的公费医疗经费，按国家规定享受离休人员待遇的医疗经费。</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2</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（类）行政事业单位医疗（款）</w:t>
      </w:r>
      <w:r>
        <w:rPr>
          <w:rFonts w:hint="default" w:ascii="Times New Roman" w:hAnsi="Times New Roman" w:eastAsia="仿宋_GB2312" w:cs="仿宋_GB2312"/>
          <w:sz w:val="32"/>
          <w:szCs w:val="32"/>
          <w:lang w:val="en-US" w:eastAsia="zh-CN"/>
        </w:rPr>
        <w:t>公务员医疗补助</w:t>
      </w:r>
      <w:r>
        <w:rPr>
          <w:rFonts w:hint="default" w:ascii="Times New Roman" w:hAnsi="Times New Roman" w:eastAsia="仿宋_GB2312" w:cs="仿宋_GB2312"/>
          <w:sz w:val="32"/>
          <w:szCs w:val="32"/>
        </w:rPr>
        <w:t>（项）：反映财政部门安排的公务员医疗补助经费。</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3</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（类）行政事业单位医疗（款）</w:t>
      </w:r>
      <w:r>
        <w:rPr>
          <w:rFonts w:hint="default" w:ascii="Times New Roman" w:hAnsi="Times New Roman" w:eastAsia="仿宋_GB2312" w:cs="仿宋_GB2312"/>
          <w:sz w:val="32"/>
          <w:szCs w:val="32"/>
          <w:lang w:val="en-US" w:eastAsia="zh-CN"/>
        </w:rPr>
        <w:t>其他行政事业单位医疗支出</w:t>
      </w:r>
      <w:r>
        <w:rPr>
          <w:rFonts w:hint="default" w:ascii="Times New Roman" w:hAnsi="Times New Roman" w:eastAsia="仿宋_GB2312" w:cs="仿宋_GB2312"/>
          <w:sz w:val="32"/>
          <w:szCs w:val="32"/>
        </w:rPr>
        <w:t>（项）：反映其他用于行政事业单位医疗方面的支出。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（类）其他卫生健康支出（款）</w:t>
      </w:r>
      <w:r>
        <w:rPr>
          <w:rFonts w:hint="default" w:ascii="Times New Roman" w:hAnsi="Times New Roman" w:eastAsia="仿宋_GB2312" w:cs="仿宋_GB2312"/>
          <w:sz w:val="32"/>
          <w:szCs w:val="32"/>
          <w:lang w:val="en-US" w:eastAsia="zh-CN"/>
        </w:rPr>
        <w:t>其他卫生健康支出</w:t>
      </w:r>
      <w:r>
        <w:rPr>
          <w:rFonts w:hint="default" w:ascii="Times New Roman" w:hAnsi="Times New Roman" w:eastAsia="仿宋_GB2312" w:cs="仿宋_GB2312"/>
          <w:sz w:val="32"/>
          <w:szCs w:val="32"/>
        </w:rPr>
        <w:t>（项）：反映其他用于卫生健康方面的支出。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住房保障支出（类）住房改革支出（款）住房公积金（项）：反映行政事业单位按人力资源和社会保障部、财政部规定的基本工资和津贴补贴以及规定比例为职工缴纳的住房公积金。</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基本支出：指为保障机构正常运转、完成日常工作任务而发生的人员支出和公用支出。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项目支出：指在基本支出之外为完成特定行政任务和事业发展目标所发生的支出。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经营支出：指事业单位在专业业务活动及其辅助活动之外开展非独立核算经营活动发生的支出。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9</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“三公”经费：指单位用财政拨款安排的因公出国（境）费、公务用车购置及运行费和公务接待费。其中，因公出国（境）</w:t>
      </w:r>
      <w:bookmarkStart w:id="160" w:name="hmjd_error_2_0_费_黑马提示无建议_11309"/>
      <w:r>
        <w:rPr>
          <w:rFonts w:hint="default" w:ascii="Times New Roman" w:hAnsi="Times New Roman" w:eastAsia="仿宋_GB2312" w:cs="仿宋_GB2312"/>
          <w:sz w:val="32"/>
          <w:szCs w:val="32"/>
          <w:lang w:val="en-US" w:eastAsia="zh-CN"/>
        </w:rPr>
        <w:t>费</w:t>
      </w:r>
      <w:bookmarkEnd w:id="160"/>
      <w:r>
        <w:rPr>
          <w:rFonts w:hint="default" w:ascii="Times New Roman" w:hAnsi="Times New Roman" w:eastAsia="仿宋_GB2312" w:cs="仿宋_GB2312"/>
          <w:sz w:val="32"/>
          <w:szCs w:val="32"/>
          <w:lang w:val="en-US" w:eastAsia="zh-CN"/>
        </w:rPr>
        <w:t>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30</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9"/>
          <w:rFonts w:eastAsia="黑体"/>
          <w:b w:val="0"/>
        </w:rPr>
      </w:pPr>
      <w:r>
        <w:rPr>
          <w:rFonts w:hint="eastAsia" w:eastAsia="仿宋_GB2312" w:cs="仿宋_GB2312"/>
          <w:sz w:val="32"/>
          <w:szCs w:val="32"/>
        </w:rPr>
        <w:br w:type="page"/>
      </w:r>
      <w:bookmarkStart w:id="161" w:name="_Toc15396614"/>
      <w:bookmarkStart w:id="162" w:name="_Toc703775249_WPSOffice_Level1"/>
      <w:r>
        <w:rPr>
          <w:rFonts w:hint="eastAsia" w:eastAsia="黑体"/>
          <w:sz w:val="44"/>
          <w:szCs w:val="44"/>
        </w:rPr>
        <w:t>第四部分  附件</w:t>
      </w:r>
      <w:bookmarkEnd w:id="161"/>
      <w:bookmarkEnd w:id="162"/>
    </w:p>
    <w:p>
      <w:pPr>
        <w:spacing w:line="572" w:lineRule="exact"/>
        <w:jc w:val="left"/>
        <w:outlineLvl w:val="0"/>
        <w:rPr>
          <w:rFonts w:eastAsia="黑体" w:cs="黑体"/>
          <w:color w:val="FF0000"/>
          <w:sz w:val="32"/>
          <w:szCs w:val="32"/>
        </w:rPr>
      </w:pPr>
    </w:p>
    <w:p>
      <w:pPr>
        <w:pStyle w:val="12"/>
      </w:pPr>
    </w:p>
    <w:p>
      <w:pPr>
        <w:spacing w:line="572" w:lineRule="exact"/>
        <w:jc w:val="left"/>
        <w:outlineLvl w:val="0"/>
        <w:rPr>
          <w:rFonts w:eastAsia="黑体" w:cs="方正小标宋简体"/>
          <w:sz w:val="44"/>
          <w:szCs w:val="44"/>
        </w:rPr>
      </w:pPr>
      <w:r>
        <w:rPr>
          <w:rFonts w:hint="eastAsia" w:eastAsia="黑体" w:cs="黑体"/>
          <w:sz w:val="32"/>
          <w:szCs w:val="32"/>
        </w:rPr>
        <w:t>附件1</w:t>
      </w:r>
    </w:p>
    <w:p>
      <w:pPr>
        <w:widowControl/>
        <w:spacing w:line="578" w:lineRule="exact"/>
        <w:contextualSpacing/>
        <w:jc w:val="center"/>
        <w:rPr>
          <w:rFonts w:eastAsia="方正小标宋简体"/>
          <w:bCs/>
          <w:sz w:val="44"/>
          <w:szCs w:val="44"/>
          <w:shd w:val="clear" w:color="auto" w:fill="FFFFFF"/>
        </w:rPr>
      </w:pPr>
    </w:p>
    <w:p>
      <w:pPr>
        <w:widowControl/>
        <w:spacing w:line="578" w:lineRule="exact"/>
        <w:contextualSpacing/>
        <w:jc w:val="center"/>
        <w:rPr>
          <w:rFonts w:eastAsia="方正小标宋简体"/>
          <w:bCs/>
          <w:sz w:val="44"/>
          <w:szCs w:val="44"/>
          <w:shd w:val="clear" w:color="auto" w:fill="FFFFFF"/>
        </w:rPr>
      </w:pPr>
      <w:bookmarkStart w:id="163" w:name="_Toc589369360_WPSOffice_Level2"/>
      <w:bookmarkStart w:id="164" w:name="_Toc1370959417_WPSOffice_Level2"/>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bookmarkEnd w:id="163"/>
      <w:bookmarkEnd w:id="164"/>
    </w:p>
    <w:p>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pPr>
        <w:keepNext w:val="0"/>
        <w:keepLines w:val="0"/>
        <w:pageBreakBefore w:val="0"/>
        <w:widowControl/>
        <w:kinsoku/>
        <w:wordWrap/>
        <w:overflowPunct/>
        <w:topLinePunct w:val="0"/>
        <w:autoSpaceDE/>
        <w:autoSpaceDN/>
        <w:bidi w:val="0"/>
        <w:adjustRightInd w:val="0"/>
        <w:snapToGrid w:val="0"/>
        <w:spacing w:line="240" w:lineRule="auto"/>
        <w:ind w:firstLine="640" w:firstLineChars="200"/>
        <w:contextualSpacing/>
        <w:jc w:val="both"/>
        <w:textAlignment w:val="auto"/>
        <w:rPr>
          <w:rFonts w:eastAsia="黑体"/>
          <w:color w:val="000000"/>
          <w:kern w:val="0"/>
          <w:sz w:val="32"/>
          <w:szCs w:val="32"/>
          <w:shd w:val="clear" w:color="auto" w:fill="FFFFFF"/>
          <w:lang w:val="zh-CN"/>
        </w:rPr>
      </w:pPr>
      <w:bookmarkStart w:id="165" w:name="_Toc96387894_WPSOffice_Level2"/>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bookmarkEnd w:id="165"/>
    </w:p>
    <w:p>
      <w:pPr>
        <w:keepNext w:val="0"/>
        <w:keepLines w:val="0"/>
        <w:pageBreakBefore w:val="0"/>
        <w:widowControl/>
        <w:kinsoku/>
        <w:wordWrap/>
        <w:overflowPunct/>
        <w:topLinePunct w:val="0"/>
        <w:autoSpaceDE/>
        <w:autoSpaceDN/>
        <w:bidi w:val="0"/>
        <w:adjustRightInd w:val="0"/>
        <w:snapToGrid w:val="0"/>
        <w:spacing w:line="240" w:lineRule="auto"/>
        <w:ind w:firstLine="642" w:firstLineChars="200"/>
        <w:contextualSpacing/>
        <w:jc w:val="both"/>
        <w:textAlignment w:val="auto"/>
        <w:rPr>
          <w:rFonts w:eastAsia="楷体_GB2312" w:cs="楷体_GB2312"/>
          <w:b/>
          <w:sz w:val="32"/>
          <w:szCs w:val="32"/>
          <w:lang w:val="zh-CN"/>
        </w:rPr>
      </w:pPr>
      <w:r>
        <w:rPr>
          <w:rFonts w:hint="eastAsia" w:eastAsia="楷体_GB2312" w:cs="楷体_GB2312"/>
          <w:b/>
          <w:sz w:val="32"/>
          <w:szCs w:val="32"/>
          <w:lang w:val="zh-CN"/>
        </w:rPr>
        <w:t>（一）</w:t>
      </w:r>
      <w:r>
        <w:rPr>
          <w:rFonts w:eastAsia="楷体_GB2312" w:cs="楷体_GB2312"/>
          <w:b/>
          <w:sz w:val="32"/>
          <w:szCs w:val="32"/>
          <w:lang w:val="zh-CN"/>
        </w:rPr>
        <w:t>机构组成。</w:t>
      </w:r>
    </w:p>
    <w:p>
      <w:pPr>
        <w:keepNext w:val="0"/>
        <w:keepLines w:val="0"/>
        <w:pageBreakBefore w:val="0"/>
        <w:kinsoku/>
        <w:wordWrap/>
        <w:overflowPunct/>
        <w:topLinePunct w:val="0"/>
        <w:autoSpaceDE/>
        <w:autoSpaceDN/>
        <w:bidi w:val="0"/>
        <w:spacing w:line="240" w:lineRule="auto"/>
        <w:ind w:firstLine="640" w:firstLineChars="200"/>
        <w:jc w:val="both"/>
        <w:textAlignment w:val="auto"/>
        <w:rPr>
          <w:rFonts w:hint="default" w:ascii="Times New Roman" w:hAnsi="Times New Roman" w:eastAsia="方正仿宋_GBK" w:cs="Times New Roman"/>
          <w:kern w:val="0"/>
          <w:sz w:val="32"/>
          <w:szCs w:val="20"/>
          <w:lang w:val="zh-CN"/>
        </w:rPr>
      </w:pPr>
      <w:r>
        <w:rPr>
          <w:rFonts w:hint="default" w:ascii="Times New Roman" w:hAnsi="Times New Roman" w:eastAsia="仿宋_GB2312" w:cs="Times New Roman"/>
          <w:color w:val="auto"/>
          <w:sz w:val="32"/>
          <w:szCs w:val="32"/>
          <w:highlight w:val="none"/>
          <w:lang w:val="en-US" w:eastAsia="zh-CN"/>
        </w:rPr>
        <w:t>市政府办公室</w:t>
      </w:r>
      <w:r>
        <w:rPr>
          <w:rFonts w:hint="default" w:ascii="Times New Roman" w:hAnsi="Times New Roman" w:eastAsia="仿宋_GB2312" w:cs="Times New Roman"/>
          <w:color w:val="auto"/>
          <w:sz w:val="32"/>
          <w:szCs w:val="32"/>
          <w:highlight w:val="none"/>
          <w:lang w:val="zh-CN" w:eastAsia="zh-CN"/>
        </w:rPr>
        <w:t>下属</w:t>
      </w:r>
      <w:r>
        <w:rPr>
          <w:rFonts w:hint="default" w:ascii="Times New Roman" w:hAnsi="Times New Roman" w:eastAsia="仿宋_GB2312" w:cs="Times New Roman"/>
          <w:color w:val="auto"/>
          <w:sz w:val="32"/>
          <w:szCs w:val="32"/>
          <w:highlight w:val="none"/>
          <w:lang w:eastAsia="zh-CN"/>
        </w:rPr>
        <w:t>二级预算单位1个，其中行政单位0个，参照公务员法管理的事业单位1个，其他事业单位0个。</w:t>
      </w:r>
    </w:p>
    <w:p>
      <w:pPr>
        <w:keepNext w:val="0"/>
        <w:keepLines w:val="0"/>
        <w:pageBreakBefore w:val="0"/>
        <w:widowControl/>
        <w:kinsoku/>
        <w:wordWrap/>
        <w:overflowPunct/>
        <w:topLinePunct w:val="0"/>
        <w:autoSpaceDE/>
        <w:autoSpaceDN/>
        <w:bidi w:val="0"/>
        <w:adjustRightInd w:val="0"/>
        <w:snapToGrid w:val="0"/>
        <w:spacing w:line="240" w:lineRule="auto"/>
        <w:ind w:firstLine="642" w:firstLineChars="200"/>
        <w:contextualSpacing/>
        <w:jc w:val="both"/>
        <w:textAlignment w:val="auto"/>
        <w:rPr>
          <w:rFonts w:hint="eastAsia" w:eastAsia="楷体_GB2312" w:cs="楷体_GB2312"/>
          <w:b/>
          <w:sz w:val="32"/>
          <w:szCs w:val="32"/>
          <w:lang w:val="zh-CN"/>
        </w:rPr>
      </w:pPr>
      <w:r>
        <w:rPr>
          <w:rFonts w:eastAsia="楷体_GB2312" w:cs="楷体_GB2312"/>
          <w:b/>
          <w:sz w:val="32"/>
          <w:szCs w:val="32"/>
          <w:lang w:val="zh-CN"/>
        </w:rPr>
        <w:t>（二）机构职能</w:t>
      </w:r>
      <w:r>
        <w:rPr>
          <w:rFonts w:hint="eastAsia" w:eastAsia="楷体_GB2312" w:cs="楷体_GB2312"/>
          <w:b/>
          <w:sz w:val="32"/>
          <w:szCs w:val="32"/>
          <w:lang w:val="zh-CN"/>
        </w:rPr>
        <w:t>。</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楷体_GB2312" w:cs="Times New Roman"/>
          <w:b/>
          <w:color w:val="auto"/>
          <w:kern w:val="2"/>
          <w:sz w:val="32"/>
          <w:szCs w:val="32"/>
          <w:highlight w:val="none"/>
          <w:lang w:val="en-US" w:eastAsia="zh-CN" w:bidi="ar-SA"/>
        </w:rPr>
      </w:pPr>
      <w:bookmarkStart w:id="166" w:name="_Toc425731371_WPSOffice_Level3"/>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楷体_GB2312" w:cs="Times New Roman"/>
          <w:b/>
          <w:color w:val="auto"/>
          <w:kern w:val="2"/>
          <w:sz w:val="32"/>
          <w:szCs w:val="32"/>
          <w:highlight w:val="none"/>
          <w:lang w:val="en-US" w:eastAsia="zh-CN" w:bidi="ar-SA"/>
        </w:rPr>
        <w:t>市政府办公室职能简介。</w:t>
      </w:r>
      <w:bookmarkEnd w:id="166"/>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1</w:t>
      </w:r>
      <w:r>
        <w:rPr>
          <w:rFonts w:hint="eastAsia"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协助市政府领导同志组织起草或审核以市政府、市政府办公室名义发布的公文。办理省政府、省政府办公厅及省直部门发送市政府的文电。指导全市行政机关公文处理工作。</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2</w:t>
      </w: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研究市政府部门和县（区）人民政府</w:t>
      </w:r>
      <w:r>
        <w:rPr>
          <w:rFonts w:hint="default" w:ascii="Times New Roman" w:hAnsi="Times New Roman" w:eastAsia="方正仿宋_GBK" w:cs="Times New Roman"/>
          <w:b w:val="0"/>
          <w:bCs w:val="0"/>
          <w:color w:val="333333"/>
          <w:spacing w:val="0"/>
          <w:sz w:val="32"/>
          <w:szCs w:val="32"/>
          <w:lang w:eastAsia="zh-CN"/>
        </w:rPr>
        <w:t>、市政府派出机构</w:t>
      </w:r>
      <w:r>
        <w:rPr>
          <w:rFonts w:hint="default" w:ascii="Times New Roman" w:hAnsi="Times New Roman" w:eastAsia="方正仿宋_GBK" w:cs="Times New Roman"/>
          <w:b w:val="0"/>
          <w:bCs w:val="0"/>
          <w:color w:val="333333"/>
          <w:spacing w:val="0"/>
          <w:sz w:val="32"/>
          <w:szCs w:val="32"/>
        </w:rPr>
        <w:t>请示市政府的事项，提出审核意见，报市政府领导同志审批。</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3</w:t>
      </w:r>
      <w:r>
        <w:rPr>
          <w:rFonts w:hint="eastAsia"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负责市政府会议的准备工作，协助市政府领导同志组织实施会议决定事项。</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4</w:t>
      </w:r>
      <w:r>
        <w:rPr>
          <w:rFonts w:hint="eastAsia"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督促检查市政府部门和县（区）人民政府</w:t>
      </w:r>
      <w:r>
        <w:rPr>
          <w:rFonts w:hint="default" w:ascii="Times New Roman" w:hAnsi="Times New Roman" w:eastAsia="方正仿宋_GBK" w:cs="Times New Roman"/>
          <w:b w:val="0"/>
          <w:bCs w:val="0"/>
          <w:color w:val="333333"/>
          <w:spacing w:val="0"/>
          <w:sz w:val="32"/>
          <w:szCs w:val="32"/>
          <w:lang w:eastAsia="zh-CN"/>
        </w:rPr>
        <w:t>、市政府派出机构</w:t>
      </w:r>
      <w:r>
        <w:rPr>
          <w:rFonts w:hint="default" w:ascii="Times New Roman" w:hAnsi="Times New Roman" w:eastAsia="方正仿宋_GBK" w:cs="Times New Roman"/>
          <w:b w:val="0"/>
          <w:bCs w:val="0"/>
          <w:color w:val="333333"/>
          <w:spacing w:val="0"/>
          <w:sz w:val="32"/>
          <w:szCs w:val="32"/>
        </w:rPr>
        <w:t>对市政府决定事项及市政府领导同志指示的贯彻落实情况，及时向市政府领导同志报告。</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5</w:t>
      </w:r>
      <w:r>
        <w:rPr>
          <w:rFonts w:hint="eastAsia"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根据市政府领导同志的指示，对市政府部门间争议问题提出处理意见和建议，报市政府领导同志决定。</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6</w:t>
      </w:r>
      <w:r>
        <w:rPr>
          <w:rFonts w:hint="eastAsia"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负责市政府值班工作，指导市政府部门和县（区）人民政府</w:t>
      </w:r>
      <w:r>
        <w:rPr>
          <w:rFonts w:hint="default" w:ascii="Times New Roman" w:hAnsi="Times New Roman" w:eastAsia="方正仿宋_GBK" w:cs="Times New Roman"/>
          <w:b w:val="0"/>
          <w:bCs w:val="0"/>
          <w:color w:val="333333"/>
          <w:spacing w:val="0"/>
          <w:sz w:val="32"/>
          <w:szCs w:val="32"/>
          <w:lang w:eastAsia="zh-CN"/>
        </w:rPr>
        <w:t>、市政府派出机构</w:t>
      </w:r>
      <w:r>
        <w:rPr>
          <w:rFonts w:hint="default" w:ascii="Times New Roman" w:hAnsi="Times New Roman" w:eastAsia="方正仿宋_GBK" w:cs="Times New Roman"/>
          <w:b w:val="0"/>
          <w:bCs w:val="0"/>
          <w:color w:val="333333"/>
          <w:spacing w:val="0"/>
          <w:sz w:val="32"/>
          <w:szCs w:val="32"/>
        </w:rPr>
        <w:t>值班工作，及时报告重要情况。</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7</w:t>
      </w:r>
      <w:r>
        <w:rPr>
          <w:rFonts w:hint="eastAsia"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指导、监督全市政府信息公开工作，指导、监督全市政府系统电子政务工作和政府网站建设。</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8</w:t>
      </w:r>
      <w:r>
        <w:rPr>
          <w:rFonts w:hint="eastAsia"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围绕市政府中心工作和市政府领导同志的指示，组织专题调查研究，及时反映情况，提出政策性建议。</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9</w:t>
      </w:r>
      <w:r>
        <w:rPr>
          <w:rFonts w:hint="eastAsia"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lang w:val="en-US" w:eastAsia="zh-CN"/>
        </w:rPr>
        <w:t>统筹管理全市外事工作，归口管理全市因公出国（境）工作，负责全市涉外管理、相关礼宾接待、国际友好城市缔结和对外友协工作，办理其他相关涉外事务。</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方正仿宋_GBK" w:cs="Times New Roman"/>
          <w:b w:val="0"/>
          <w:bCs w:val="0"/>
          <w:color w:val="333333"/>
          <w:spacing w:val="0"/>
          <w:sz w:val="32"/>
          <w:szCs w:val="32"/>
          <w:lang w:eastAsia="zh-CN"/>
        </w:rPr>
      </w:pP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0</w:t>
      </w:r>
      <w:r>
        <w:rPr>
          <w:rFonts w:hint="eastAsia"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lang w:eastAsia="zh-CN"/>
        </w:rPr>
        <w:t>负责市政府驻外机构的管理工作。</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1</w:t>
      </w:r>
      <w:r>
        <w:rPr>
          <w:rFonts w:hint="eastAsia"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lang w:eastAsia="zh-CN"/>
        </w:rPr>
        <w:t>承担市政府公布的有关行政审批事项</w:t>
      </w:r>
      <w:r>
        <w:rPr>
          <w:rFonts w:hint="default" w:ascii="Times New Roman" w:hAnsi="Times New Roman" w:eastAsia="方正仿宋_GBK" w:cs="Times New Roman"/>
          <w:b w:val="0"/>
          <w:bCs w:val="0"/>
          <w:color w:val="333333"/>
          <w:spacing w:val="0"/>
          <w:sz w:val="32"/>
          <w:szCs w:val="32"/>
        </w:rPr>
        <w:t>。</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2</w:t>
      </w:r>
      <w:r>
        <w:rPr>
          <w:rFonts w:hint="eastAsia"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承办市政府和市政府领导同志交办的其他事项。</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default" w:ascii="Times New Roman" w:hAnsi="Times New Roman" w:eastAsia="仿宋" w:cs="Times New Roman"/>
          <w:color w:val="333333"/>
          <w:spacing w:val="0"/>
          <w:sz w:val="32"/>
          <w:szCs w:val="32"/>
        </w:rPr>
      </w:pPr>
      <w:bookmarkStart w:id="167" w:name="_Toc2032671425_WPSOffice_Level3"/>
      <w:r>
        <w:rPr>
          <w:rFonts w:hint="eastAsia" w:ascii="Times New Roman" w:hAnsi="Times New Roman" w:eastAsia="方正仿宋_GBK" w:cs="Times New Roman"/>
          <w:b w:val="0"/>
          <w:bCs w:val="0"/>
          <w:color w:val="333333"/>
          <w:spacing w:val="0"/>
          <w:sz w:val="32"/>
          <w:szCs w:val="32"/>
        </w:rPr>
        <w:t>2</w:t>
      </w:r>
      <w:r>
        <w:rPr>
          <w:rFonts w:hint="eastAsia"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楷体_GB2312" w:cs="Times New Roman"/>
          <w:b/>
          <w:color w:val="auto"/>
          <w:kern w:val="2"/>
          <w:sz w:val="32"/>
          <w:szCs w:val="32"/>
          <w:highlight w:val="none"/>
          <w:lang w:val="en-US" w:eastAsia="zh-CN" w:bidi="ar-SA"/>
        </w:rPr>
        <w:t>市</w:t>
      </w:r>
      <w:r>
        <w:rPr>
          <w:rFonts w:hint="eastAsia" w:ascii="Times New Roman" w:hAnsi="Times New Roman" w:eastAsia="楷体_GB2312" w:cs="Times New Roman"/>
          <w:b/>
          <w:color w:val="auto"/>
          <w:kern w:val="2"/>
          <w:sz w:val="32"/>
          <w:szCs w:val="32"/>
          <w:highlight w:val="none"/>
          <w:lang w:val="en-US" w:eastAsia="zh-CN" w:bidi="ar-SA"/>
        </w:rPr>
        <w:t>政府网站事务</w:t>
      </w:r>
      <w:r>
        <w:rPr>
          <w:rFonts w:hint="default" w:ascii="Times New Roman" w:hAnsi="Times New Roman" w:eastAsia="楷体_GB2312" w:cs="Times New Roman"/>
          <w:b/>
          <w:color w:val="auto"/>
          <w:kern w:val="2"/>
          <w:sz w:val="32"/>
          <w:szCs w:val="32"/>
          <w:highlight w:val="none"/>
          <w:lang w:val="en-US" w:eastAsia="zh-CN" w:bidi="ar-SA"/>
        </w:rPr>
        <w:t>中心职能简介。</w:t>
      </w:r>
      <w:bookmarkEnd w:id="167"/>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eastAsia" w:ascii="Times New Roman" w:hAnsi="Times New Roman" w:eastAsia="方正仿宋_GBK" w:cs="Times New Roman"/>
          <w:b w:val="0"/>
          <w:bCs w:val="0"/>
          <w:color w:val="333333"/>
          <w:spacing w:val="0"/>
          <w:sz w:val="32"/>
          <w:szCs w:val="32"/>
        </w:rPr>
        <w:t>1</w:t>
      </w: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eastAsia="zh-CN"/>
        </w:rPr>
        <w:t>负责攀枝花市政府网站集约化平台建设和运维管理，为政务公开、信息发布、政策解读等相关工作提供支撑服务，参与全市政府网站和政务新媒体绩效评估工作</w:t>
      </w:r>
      <w:r>
        <w:rPr>
          <w:rFonts w:hint="eastAsia" w:ascii="Times New Roman" w:hAnsi="Times New Roman" w:eastAsia="方正仿宋_GBK" w:cs="Times New Roman"/>
          <w:b w:val="0"/>
          <w:bCs w:val="0"/>
          <w:color w:val="333333"/>
          <w:spacing w:val="0"/>
          <w:sz w:val="32"/>
          <w:szCs w:val="32"/>
        </w:rPr>
        <w:t>。</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eastAsia" w:ascii="Times New Roman" w:hAnsi="Times New Roman" w:eastAsia="方正仿宋_GBK" w:cs="Times New Roman"/>
          <w:b w:val="0"/>
          <w:bCs w:val="0"/>
          <w:color w:val="333333"/>
          <w:spacing w:val="0"/>
          <w:sz w:val="32"/>
          <w:szCs w:val="32"/>
        </w:rPr>
        <w:t>2</w:t>
      </w: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eastAsia="zh-CN"/>
        </w:rPr>
        <w:t>负责对“走好网上群众路线”等群众诉求网络渠道办理情况进行统计分析，并提出建议</w:t>
      </w:r>
      <w:r>
        <w:rPr>
          <w:rFonts w:hint="eastAsia" w:ascii="Times New Roman" w:hAnsi="Times New Roman" w:eastAsia="方正仿宋_GBK" w:cs="Times New Roman"/>
          <w:b w:val="0"/>
          <w:bCs w:val="0"/>
          <w:color w:val="333333"/>
          <w:spacing w:val="0"/>
          <w:sz w:val="32"/>
          <w:szCs w:val="32"/>
        </w:rPr>
        <w:t>。</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eastAsia" w:ascii="Times New Roman" w:hAnsi="Times New Roman" w:eastAsia="方正仿宋_GBK" w:cs="Times New Roman"/>
          <w:b w:val="0"/>
          <w:bCs w:val="0"/>
          <w:color w:val="333333"/>
          <w:spacing w:val="0"/>
          <w:sz w:val="32"/>
          <w:szCs w:val="32"/>
        </w:rPr>
        <w:t>3</w:t>
      </w: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eastAsia="zh-CN"/>
        </w:rPr>
        <w:t>完成市政府办公室交办的其他任务</w:t>
      </w:r>
      <w:r>
        <w:rPr>
          <w:rFonts w:hint="eastAsia" w:ascii="Times New Roman" w:hAnsi="Times New Roman" w:eastAsia="方正仿宋_GBK" w:cs="Times New Roman"/>
          <w:b w:val="0"/>
          <w:bCs w:val="0"/>
          <w:color w:val="333333"/>
          <w:spacing w:val="0"/>
          <w:sz w:val="32"/>
          <w:szCs w:val="32"/>
        </w:rPr>
        <w:t>。</w:t>
      </w:r>
    </w:p>
    <w:p>
      <w:pPr>
        <w:pStyle w:val="2"/>
        <w:keepNext w:val="0"/>
        <w:keepLines w:val="0"/>
        <w:pageBreakBefore w:val="0"/>
        <w:kinsoku/>
        <w:wordWrap/>
        <w:overflowPunct/>
        <w:topLinePunct w:val="0"/>
        <w:autoSpaceDE/>
        <w:autoSpaceDN/>
        <w:bidi w:val="0"/>
        <w:adjustRightInd w:val="0"/>
        <w:spacing w:before="130" w:beforeLines="0" w:line="240" w:lineRule="auto"/>
        <w:ind w:firstLine="640" w:firstLineChars="200"/>
        <w:jc w:val="both"/>
        <w:textAlignment w:val="auto"/>
        <w:rPr>
          <w:rFonts w:hint="default" w:ascii="Times New Roman" w:hAnsi="Times New Roman" w:eastAsia="楷体_GB2312" w:cs="Times New Roman"/>
          <w:b/>
          <w:color w:val="auto"/>
          <w:sz w:val="32"/>
          <w:highlight w:val="none"/>
        </w:rPr>
      </w:pPr>
      <w:bookmarkStart w:id="168" w:name="_Toc2003985683_WPSOffice_Level3"/>
      <w:r>
        <w:rPr>
          <w:rFonts w:hint="eastAsia" w:ascii="Times New Roman" w:hAnsi="Times New Roman" w:eastAsia="方正仿宋_GBK" w:cs="Times New Roman"/>
          <w:b w:val="0"/>
          <w:bCs w:val="0"/>
          <w:color w:val="333333"/>
          <w:spacing w:val="0"/>
          <w:sz w:val="32"/>
          <w:szCs w:val="32"/>
          <w:lang w:val="en-US" w:eastAsia="zh-CN"/>
        </w:rPr>
        <w:t>3．</w:t>
      </w:r>
      <w:r>
        <w:rPr>
          <w:rFonts w:hint="eastAsia" w:ascii="Times New Roman" w:hAnsi="Times New Roman" w:eastAsia="楷体_GB2312" w:cs="Times New Roman"/>
          <w:b/>
          <w:color w:val="auto"/>
          <w:sz w:val="32"/>
          <w:highlight w:val="none"/>
        </w:rPr>
        <w:t>市决策咨询服务中心职能简介。</w:t>
      </w:r>
      <w:bookmarkEnd w:id="168"/>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eastAsia="zh-CN"/>
        </w:rPr>
        <w:t>（</w:t>
      </w:r>
      <w:r>
        <w:rPr>
          <w:rFonts w:hint="eastAsia" w:ascii="Times New Roman" w:hAnsi="Times New Roman" w:eastAsia="方正仿宋_GBK" w:cs="Times New Roman"/>
          <w:b w:val="0"/>
          <w:bCs w:val="0"/>
          <w:color w:val="333333"/>
          <w:spacing w:val="0"/>
          <w:sz w:val="32"/>
          <w:szCs w:val="32"/>
        </w:rPr>
        <w:t>1</w:t>
      </w:r>
      <w:r>
        <w:rPr>
          <w:rFonts w:hint="eastAsia" w:eastAsia="方正仿宋_GBK" w:cs="Times New Roman"/>
          <w:b w:val="0"/>
          <w:bCs w:val="0"/>
          <w:color w:val="333333"/>
          <w:spacing w:val="0"/>
          <w:sz w:val="32"/>
          <w:szCs w:val="32"/>
          <w:lang w:eastAsia="zh-CN"/>
        </w:rPr>
        <w:t>）</w:t>
      </w:r>
      <w:r>
        <w:rPr>
          <w:rFonts w:hint="eastAsia" w:ascii="Times New Roman" w:hAnsi="Times New Roman" w:eastAsia="方正仿宋_GBK" w:cs="Times New Roman"/>
          <w:b w:val="0"/>
          <w:bCs w:val="0"/>
          <w:color w:val="333333"/>
          <w:spacing w:val="0"/>
          <w:sz w:val="32"/>
          <w:szCs w:val="32"/>
        </w:rPr>
        <w:t>根据市委、市政府和市决咨委安排，组织委员开展全市发展战略、中长期规划、重大决策部署、重大问题、重点项目等咨询论证活动。</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val="en-US" w:eastAsia="zh-CN"/>
        </w:rPr>
        <w:t>2</w:t>
      </w: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rPr>
        <w:t>负责全市经济社会发展重大决策咨询研究课题的组织实施。</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val="en-US" w:eastAsia="zh-CN"/>
        </w:rPr>
        <w:t>3</w:t>
      </w: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rPr>
        <w:t>负责市决咨委各专业组决策咨询调研、考察及与相关部门的组织协调工作。</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val="en-US" w:eastAsia="zh-CN"/>
        </w:rPr>
        <w:t>4</w:t>
      </w: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rPr>
        <w:t>及时整理市决咨委委员和各专业组提出的咨询意见、建议和课题研究成果，报送市委、市政府及有关部门，并进行成果应用的跟踪。</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val="en-US" w:eastAsia="zh-CN"/>
        </w:rPr>
        <w:t>5</w:t>
      </w: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rPr>
        <w:t>组织委员召开决策咨询研讨会议和决策咨询交流活动。</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val="en-US" w:eastAsia="zh-CN"/>
        </w:rPr>
        <w:t>6</w:t>
      </w: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rPr>
        <w:t>为委员提供相关信息和资料，组织委员列席市委、市政府重要会议，为委员开展咨询工作提供服务。</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val="en-US" w:eastAsia="zh-CN"/>
        </w:rPr>
        <w:t>7</w:t>
      </w: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rPr>
        <w:t>负责起草市决咨委的各种工作制度和文件草案，定期向市决咨委办公室领导汇报工作。</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Times New Roman"/>
          <w:b w:val="0"/>
          <w:bCs w:val="0"/>
          <w:color w:val="333333"/>
          <w:spacing w:val="0"/>
          <w:sz w:val="32"/>
          <w:szCs w:val="32"/>
        </w:rPr>
      </w:pP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val="en-US" w:eastAsia="zh-CN"/>
        </w:rPr>
        <w:t>8</w:t>
      </w: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rPr>
        <w:t xml:space="preserve">负责市决咨委办公室日常事务工作。 </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pP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val="en-US" w:eastAsia="zh-CN"/>
        </w:rPr>
        <w:t>9</w:t>
      </w:r>
      <w:r>
        <w:rPr>
          <w:rFonts w:hint="eastAsia"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rPr>
        <w:t>完成市委、市政府交办的工作和主任委员会确定的其他工作。</w:t>
      </w:r>
    </w:p>
    <w:p>
      <w:pPr>
        <w:pStyle w:val="2"/>
        <w:keepNext w:val="0"/>
        <w:keepLines w:val="0"/>
        <w:pageBreakBefore w:val="0"/>
        <w:widowControl w:val="0"/>
        <w:kinsoku/>
        <w:wordWrap/>
        <w:overflowPunct/>
        <w:topLinePunct w:val="0"/>
        <w:autoSpaceDE/>
        <w:autoSpaceDN/>
        <w:bidi w:val="0"/>
        <w:adjustRightInd w:val="0"/>
        <w:spacing w:beforeLines="0" w:line="240" w:lineRule="auto"/>
        <w:ind w:left="0" w:firstLine="640" w:firstLineChars="200"/>
        <w:jc w:val="both"/>
        <w:textAlignment w:val="auto"/>
        <w:rPr>
          <w:rFonts w:hint="eastAsia" w:ascii="Times New Roman" w:hAnsi="Times New Roman" w:eastAsia="楷体_GB2312" w:cs="Times New Roman"/>
          <w:b/>
          <w:color w:val="auto"/>
          <w:sz w:val="32"/>
          <w:highlight w:val="none"/>
          <w:lang w:val="en-US" w:eastAsia="zh-CN"/>
        </w:rPr>
      </w:pPr>
      <w:bookmarkStart w:id="169" w:name="_Toc524431987_WPSOffice_Level3"/>
      <w:r>
        <w:rPr>
          <w:rFonts w:hint="eastAsia" w:ascii="Times New Roman" w:hAnsi="Times New Roman" w:eastAsia="方正仿宋_GBK" w:cs="Times New Roman"/>
          <w:b w:val="0"/>
          <w:bCs w:val="0"/>
          <w:color w:val="333333"/>
          <w:spacing w:val="0"/>
          <w:sz w:val="32"/>
          <w:szCs w:val="32"/>
          <w:lang w:val="en-US" w:eastAsia="zh-CN"/>
        </w:rPr>
        <w:t>4．</w:t>
      </w:r>
      <w:r>
        <w:rPr>
          <w:rFonts w:hint="eastAsia" w:ascii="Times New Roman" w:hAnsi="Times New Roman" w:eastAsia="楷体_GB2312" w:cs="Times New Roman"/>
          <w:b/>
          <w:color w:val="auto"/>
          <w:sz w:val="32"/>
          <w:highlight w:val="none"/>
          <w:lang w:val="en-US" w:eastAsia="zh-CN"/>
        </w:rPr>
        <w:t>市地方志编纂中心职能简介。</w:t>
      </w:r>
      <w:bookmarkEnd w:id="169"/>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pPr>
      <w:r>
        <w:rPr>
          <w:rFonts w:hint="default" w:ascii="方正仿宋_GBK" w:hAnsi="方正仿宋_GBK" w:eastAsia="方正仿宋_GBK" w:cs="方正仿宋_GBK"/>
          <w:color w:val="333333"/>
          <w:spacing w:val="0"/>
          <w:sz w:val="32"/>
          <w:szCs w:val="32"/>
          <w:lang w:val="en-US" w:eastAsia="zh-CN"/>
        </w:rPr>
        <w:t>主要负责编修地方志、年鉴。负责组织编辑、出版、发行《攀枝花市志》、《攀枝花年鉴》；负责指导、督促县区志、部门志、专业志的编修，并审查验收；负责组织编辑、出版、发行《攀枝花史志》杂志。</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r>
        <w:rPr>
          <w:rFonts w:hint="eastAsia" w:ascii="Times New Roman" w:hAnsi="Times New Roman" w:eastAsia="仿宋" w:cs="Times New Roman"/>
          <w:b w:val="0"/>
          <w:bCs w:val="0"/>
          <w:color w:val="333333"/>
          <w:spacing w:val="0"/>
          <w:sz w:val="32"/>
          <w:szCs w:val="32"/>
        </w:rPr>
        <w:t>截至2025年末，市政府办公室部门</w:t>
      </w:r>
      <w:r>
        <w:rPr>
          <w:rFonts w:hint="eastAsia" w:eastAsia="仿宋" w:cs="Times New Roman"/>
          <w:b w:val="0"/>
          <w:bCs w:val="0"/>
          <w:color w:val="333333"/>
          <w:spacing w:val="0"/>
          <w:sz w:val="32"/>
          <w:szCs w:val="32"/>
          <w:lang w:eastAsia="zh-CN"/>
        </w:rPr>
        <w:t>预算</w:t>
      </w:r>
      <w:r>
        <w:rPr>
          <w:rFonts w:hint="eastAsia" w:ascii="Times New Roman" w:hAnsi="Times New Roman" w:eastAsia="仿宋" w:cs="Times New Roman"/>
          <w:b w:val="0"/>
          <w:bCs w:val="0"/>
          <w:color w:val="333333"/>
          <w:spacing w:val="0"/>
          <w:sz w:val="32"/>
          <w:szCs w:val="32"/>
        </w:rPr>
        <w:t>包括市政府办公室本级、</w:t>
      </w:r>
      <w:r>
        <w:rPr>
          <w:rFonts w:hint="eastAsia" w:ascii="Times New Roman" w:hAnsi="Times New Roman" w:eastAsia="仿宋" w:cs="Times New Roman"/>
          <w:b w:val="0"/>
          <w:bCs w:val="0"/>
          <w:color w:val="333333"/>
          <w:spacing w:val="0"/>
          <w:sz w:val="32"/>
          <w:szCs w:val="32"/>
          <w:lang w:eastAsia="zh-CN"/>
        </w:rPr>
        <w:t>市政府网站事务中心、</w:t>
      </w:r>
      <w:r>
        <w:rPr>
          <w:rFonts w:hint="eastAsia" w:ascii="Times New Roman" w:hAnsi="Times New Roman" w:eastAsia="仿宋" w:cs="Times New Roman"/>
          <w:b w:val="0"/>
          <w:bCs w:val="0"/>
          <w:color w:val="333333"/>
          <w:spacing w:val="0"/>
          <w:sz w:val="32"/>
          <w:szCs w:val="32"/>
        </w:rPr>
        <w:t>市决策咨询服务中心、原市政府驻昆明办事处</w:t>
      </w:r>
      <w:r>
        <w:rPr>
          <w:rFonts w:hint="eastAsia" w:ascii="Times New Roman" w:hAnsi="Times New Roman" w:eastAsia="仿宋" w:cs="Times New Roman"/>
          <w:b w:val="0"/>
          <w:bCs w:val="0"/>
          <w:color w:val="333333"/>
          <w:spacing w:val="0"/>
          <w:sz w:val="32"/>
          <w:szCs w:val="32"/>
          <w:lang w:eastAsia="zh-CN"/>
        </w:rPr>
        <w:t>、</w:t>
      </w:r>
      <w:r>
        <w:rPr>
          <w:rFonts w:hint="eastAsia" w:ascii="Times New Roman" w:hAnsi="Times New Roman" w:eastAsia="仿宋" w:cs="Times New Roman"/>
          <w:b w:val="0"/>
          <w:bCs w:val="0"/>
          <w:color w:val="333333"/>
          <w:spacing w:val="0"/>
          <w:sz w:val="32"/>
          <w:szCs w:val="32"/>
          <w:lang w:val="en-US" w:eastAsia="zh-CN"/>
        </w:rPr>
        <w:t>市地方志编纂中心</w:t>
      </w:r>
      <w:r>
        <w:rPr>
          <w:rFonts w:hint="eastAsia" w:ascii="Times New Roman" w:hAnsi="Times New Roman" w:eastAsia="仿宋" w:cs="Times New Roman"/>
          <w:b w:val="0"/>
          <w:bCs w:val="0"/>
          <w:color w:val="333333"/>
          <w:spacing w:val="0"/>
          <w:sz w:val="32"/>
          <w:szCs w:val="32"/>
        </w:rPr>
        <w:t>等单位和机构。202</w:t>
      </w:r>
      <w:r>
        <w:rPr>
          <w:rFonts w:hint="eastAsia" w:ascii="Times New Roman" w:hAnsi="Times New Roman" w:eastAsia="仿宋" w:cs="Times New Roman"/>
          <w:b w:val="0"/>
          <w:bCs w:val="0"/>
          <w:color w:val="333333"/>
          <w:spacing w:val="0"/>
          <w:sz w:val="32"/>
          <w:szCs w:val="32"/>
          <w:lang w:val="en-US" w:eastAsia="zh-CN"/>
        </w:rPr>
        <w:t>5</w:t>
      </w:r>
      <w:r>
        <w:rPr>
          <w:rFonts w:hint="eastAsia" w:ascii="Times New Roman" w:hAnsi="Times New Roman" w:eastAsia="仿宋" w:cs="Times New Roman"/>
          <w:b w:val="0"/>
          <w:bCs w:val="0"/>
          <w:color w:val="333333"/>
          <w:spacing w:val="0"/>
          <w:sz w:val="32"/>
          <w:szCs w:val="32"/>
        </w:rPr>
        <w:t>年末在职人数</w:t>
      </w:r>
      <w:r>
        <w:rPr>
          <w:rFonts w:hint="eastAsia" w:eastAsia="仿宋" w:cs="Times New Roman"/>
          <w:b w:val="0"/>
          <w:bCs w:val="0"/>
          <w:color w:val="333333"/>
          <w:spacing w:val="0"/>
          <w:sz w:val="32"/>
          <w:szCs w:val="32"/>
          <w:lang w:val="en-US" w:eastAsia="zh-CN"/>
        </w:rPr>
        <w:t>114</w:t>
      </w:r>
      <w:r>
        <w:rPr>
          <w:rFonts w:hint="eastAsia" w:ascii="Times New Roman" w:hAnsi="Times New Roman" w:eastAsia="仿宋" w:cs="Times New Roman"/>
          <w:b w:val="0"/>
          <w:bCs w:val="0"/>
          <w:color w:val="333333"/>
          <w:spacing w:val="0"/>
          <w:sz w:val="32"/>
          <w:szCs w:val="32"/>
        </w:rPr>
        <w:t>人，离休人员</w:t>
      </w:r>
      <w:r>
        <w:rPr>
          <w:rFonts w:hint="eastAsia" w:ascii="Times New Roman" w:hAnsi="Times New Roman" w:eastAsia="仿宋" w:cs="Times New Roman"/>
          <w:b w:val="0"/>
          <w:bCs w:val="0"/>
          <w:color w:val="333333"/>
          <w:spacing w:val="0"/>
          <w:sz w:val="32"/>
          <w:szCs w:val="32"/>
          <w:lang w:val="en-US" w:eastAsia="zh-CN"/>
        </w:rPr>
        <w:t>0</w:t>
      </w:r>
      <w:r>
        <w:rPr>
          <w:rFonts w:hint="eastAsia" w:ascii="Times New Roman" w:hAnsi="Times New Roman" w:eastAsia="仿宋" w:cs="Times New Roman"/>
          <w:b w:val="0"/>
          <w:bCs w:val="0"/>
          <w:color w:val="333333"/>
          <w:spacing w:val="0"/>
          <w:sz w:val="32"/>
          <w:szCs w:val="32"/>
        </w:rPr>
        <w:t>人，退休人员</w:t>
      </w:r>
      <w:r>
        <w:rPr>
          <w:rFonts w:hint="eastAsia" w:eastAsia="仿宋" w:cs="Times New Roman"/>
          <w:b w:val="0"/>
          <w:bCs w:val="0"/>
          <w:color w:val="333333"/>
          <w:spacing w:val="0"/>
          <w:sz w:val="32"/>
          <w:szCs w:val="32"/>
          <w:lang w:val="en-US" w:eastAsia="zh-CN"/>
        </w:rPr>
        <w:t>155</w:t>
      </w:r>
      <w:r>
        <w:rPr>
          <w:rFonts w:hint="eastAsia" w:ascii="Times New Roman" w:hAnsi="Times New Roman" w:eastAsia="仿宋" w:cs="Times New Roman"/>
          <w:b w:val="0"/>
          <w:bCs w:val="0"/>
          <w:color w:val="333333"/>
          <w:spacing w:val="0"/>
          <w:sz w:val="32"/>
          <w:szCs w:val="32"/>
        </w:rPr>
        <w:t>人。</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bookmarkStart w:id="170" w:name="_Toc2078762813_WPSOffice_Level2"/>
      <w:r>
        <w:rPr>
          <w:rFonts w:eastAsia="黑体"/>
          <w:color w:val="000000"/>
          <w:kern w:val="0"/>
          <w:sz w:val="32"/>
          <w:szCs w:val="32"/>
          <w:shd w:val="clear" w:color="auto" w:fill="FFFFFF"/>
          <w:lang w:val="zh-CN"/>
        </w:rPr>
        <w:t>二、部门资金收支情况</w:t>
      </w:r>
      <w:bookmarkEnd w:id="170"/>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Times New Roman" w:hAnsi="Times New Roman" w:eastAsia="仿宋" w:cs="Times New Roman"/>
          <w:b w:val="0"/>
          <w:bCs w:val="0"/>
          <w:color w:val="333333"/>
          <w:spacing w:val="0"/>
          <w:sz w:val="32"/>
          <w:szCs w:val="32"/>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hint="eastAsia" w:ascii="Times New Roman" w:hAnsi="Times New Roman" w:eastAsia="仿宋" w:cs="Times New Roman"/>
          <w:b w:val="0"/>
          <w:bCs w:val="0"/>
          <w:color w:val="333333"/>
          <w:spacing w:val="0"/>
          <w:sz w:val="32"/>
          <w:szCs w:val="32"/>
        </w:rPr>
        <w:t>市政府办公室202</w:t>
      </w:r>
      <w:r>
        <w:rPr>
          <w:rFonts w:hint="eastAsia" w:eastAsia="仿宋" w:cs="Times New Roman"/>
          <w:b w:val="0"/>
          <w:bCs w:val="0"/>
          <w:color w:val="333333"/>
          <w:spacing w:val="0"/>
          <w:sz w:val="32"/>
          <w:szCs w:val="32"/>
          <w:lang w:val="en-US" w:eastAsia="zh-CN"/>
        </w:rPr>
        <w:t>5</w:t>
      </w:r>
      <w:r>
        <w:rPr>
          <w:rFonts w:hint="eastAsia" w:ascii="Times New Roman" w:hAnsi="Times New Roman" w:eastAsia="仿宋" w:cs="Times New Roman"/>
          <w:b w:val="0"/>
          <w:bCs w:val="0"/>
          <w:color w:val="333333"/>
          <w:spacing w:val="0"/>
          <w:sz w:val="32"/>
          <w:szCs w:val="32"/>
        </w:rPr>
        <w:t>年</w:t>
      </w:r>
      <w:r>
        <w:rPr>
          <w:rFonts w:hint="eastAsia" w:ascii="Times New Roman" w:hAnsi="Times New Roman" w:eastAsia="仿宋" w:cs="Times New Roman"/>
          <w:b w:val="0"/>
          <w:bCs w:val="0"/>
          <w:color w:val="333333"/>
          <w:spacing w:val="0"/>
          <w:sz w:val="32"/>
          <w:szCs w:val="32"/>
          <w:lang w:eastAsia="zh-CN"/>
        </w:rPr>
        <w:t>全年</w:t>
      </w:r>
      <w:r>
        <w:rPr>
          <w:rFonts w:hint="eastAsia" w:ascii="Times New Roman" w:hAnsi="Times New Roman" w:eastAsia="仿宋" w:cs="Times New Roman"/>
          <w:b w:val="0"/>
          <w:bCs w:val="0"/>
          <w:color w:val="333333"/>
          <w:spacing w:val="0"/>
          <w:sz w:val="32"/>
          <w:szCs w:val="32"/>
        </w:rPr>
        <w:t>收入预算</w:t>
      </w:r>
      <w:r>
        <w:rPr>
          <w:rFonts w:hint="eastAsia" w:eastAsia="仿宋" w:cs="Times New Roman"/>
          <w:b w:val="0"/>
          <w:bCs w:val="0"/>
          <w:color w:val="333333"/>
          <w:spacing w:val="0"/>
          <w:sz w:val="32"/>
          <w:szCs w:val="32"/>
          <w:lang w:val="en-US" w:eastAsia="zh-CN"/>
        </w:rPr>
        <w:t>4141.49</w:t>
      </w:r>
      <w:r>
        <w:rPr>
          <w:rFonts w:hint="eastAsia" w:ascii="Times New Roman" w:hAnsi="Times New Roman" w:eastAsia="仿宋" w:cs="Times New Roman"/>
          <w:b w:val="0"/>
          <w:bCs w:val="0"/>
          <w:color w:val="333333"/>
          <w:spacing w:val="0"/>
          <w:sz w:val="32"/>
          <w:szCs w:val="32"/>
        </w:rPr>
        <w:t>万元，其中：基本支出</w:t>
      </w:r>
      <w:r>
        <w:rPr>
          <w:rFonts w:hint="eastAsia" w:eastAsia="仿宋" w:cs="Times New Roman"/>
          <w:b w:val="0"/>
          <w:bCs w:val="0"/>
          <w:color w:val="333333"/>
          <w:spacing w:val="0"/>
          <w:sz w:val="32"/>
          <w:szCs w:val="32"/>
          <w:lang w:val="en-US" w:eastAsia="zh-CN"/>
        </w:rPr>
        <w:t>3420.56</w:t>
      </w:r>
      <w:r>
        <w:rPr>
          <w:rFonts w:hint="eastAsia" w:ascii="Times New Roman" w:hAnsi="Times New Roman" w:eastAsia="仿宋" w:cs="Times New Roman"/>
          <w:b w:val="0"/>
          <w:bCs w:val="0"/>
          <w:color w:val="333333"/>
          <w:spacing w:val="0"/>
          <w:sz w:val="32"/>
          <w:szCs w:val="32"/>
        </w:rPr>
        <w:t>万元，占总收入的</w:t>
      </w:r>
      <w:r>
        <w:rPr>
          <w:rFonts w:hint="eastAsia" w:ascii="Times New Roman" w:hAnsi="Times New Roman" w:eastAsia="仿宋" w:cs="Times New Roman"/>
          <w:b w:val="0"/>
          <w:bCs w:val="0"/>
          <w:color w:val="333333"/>
          <w:spacing w:val="0"/>
          <w:sz w:val="32"/>
          <w:szCs w:val="32"/>
          <w:lang w:val="en-US" w:eastAsia="zh-CN"/>
        </w:rPr>
        <w:t>82.59</w:t>
      </w:r>
      <w:r>
        <w:rPr>
          <w:rFonts w:hint="eastAsia" w:ascii="Times New Roman" w:hAnsi="Times New Roman" w:eastAsia="仿宋" w:cs="Times New Roman"/>
          <w:b w:val="0"/>
          <w:bCs w:val="0"/>
          <w:color w:val="333333"/>
          <w:spacing w:val="0"/>
          <w:sz w:val="32"/>
          <w:szCs w:val="32"/>
        </w:rPr>
        <w:t>%</w:t>
      </w:r>
      <w:r>
        <w:rPr>
          <w:rFonts w:hint="default" w:ascii="Times New Roman" w:hAnsi="Times New Roman" w:eastAsia="仿宋" w:cs="Times New Roman"/>
          <w:b w:val="0"/>
          <w:bCs w:val="0"/>
          <w:color w:val="333333"/>
          <w:spacing w:val="0"/>
          <w:sz w:val="32"/>
          <w:szCs w:val="32"/>
          <w:lang w:val="en"/>
        </w:rPr>
        <w:t>;</w:t>
      </w:r>
      <w:r>
        <w:rPr>
          <w:rFonts w:hint="eastAsia" w:ascii="Times New Roman" w:hAnsi="Times New Roman" w:eastAsia="仿宋" w:cs="Times New Roman"/>
          <w:b w:val="0"/>
          <w:bCs w:val="0"/>
          <w:color w:val="333333"/>
          <w:spacing w:val="0"/>
          <w:sz w:val="32"/>
          <w:szCs w:val="32"/>
          <w:lang w:val="en" w:eastAsia="zh-CN"/>
        </w:rPr>
        <w:t>项目支出</w:t>
      </w:r>
      <w:r>
        <w:rPr>
          <w:rFonts w:hint="eastAsia" w:eastAsia="仿宋" w:cs="Times New Roman"/>
          <w:b w:val="0"/>
          <w:bCs w:val="0"/>
          <w:color w:val="333333"/>
          <w:spacing w:val="0"/>
          <w:sz w:val="32"/>
          <w:szCs w:val="32"/>
          <w:lang w:val="en-US" w:eastAsia="zh-CN"/>
        </w:rPr>
        <w:t>720.93</w:t>
      </w:r>
      <w:r>
        <w:rPr>
          <w:rFonts w:hint="eastAsia" w:ascii="Times New Roman" w:hAnsi="Times New Roman" w:eastAsia="仿宋" w:cs="Times New Roman"/>
          <w:b w:val="0"/>
          <w:bCs w:val="0"/>
          <w:color w:val="333333"/>
          <w:spacing w:val="0"/>
          <w:sz w:val="32"/>
          <w:szCs w:val="32"/>
          <w:lang w:val="en-US" w:eastAsia="zh-CN"/>
        </w:rPr>
        <w:t>万元，</w:t>
      </w:r>
      <w:r>
        <w:rPr>
          <w:rFonts w:hint="eastAsia" w:ascii="Times New Roman" w:hAnsi="Times New Roman" w:eastAsia="仿宋" w:cs="Times New Roman"/>
          <w:b w:val="0"/>
          <w:bCs w:val="0"/>
          <w:color w:val="333333"/>
          <w:spacing w:val="0"/>
          <w:sz w:val="32"/>
          <w:szCs w:val="32"/>
        </w:rPr>
        <w:t>占总收入的</w:t>
      </w:r>
      <w:r>
        <w:rPr>
          <w:rFonts w:hint="eastAsia" w:eastAsia="仿宋" w:cs="Times New Roman"/>
          <w:b w:val="0"/>
          <w:bCs w:val="0"/>
          <w:color w:val="333333"/>
          <w:spacing w:val="0"/>
          <w:sz w:val="32"/>
          <w:szCs w:val="32"/>
          <w:lang w:val="en-US" w:eastAsia="zh-CN"/>
        </w:rPr>
        <w:t>17.41</w:t>
      </w:r>
      <w:r>
        <w:rPr>
          <w:rFonts w:hint="eastAsia" w:ascii="Times New Roman" w:hAnsi="Times New Roman" w:eastAsia="仿宋" w:cs="Times New Roman"/>
          <w:b w:val="0"/>
          <w:bCs w:val="0"/>
          <w:color w:val="333333"/>
          <w:spacing w:val="0"/>
          <w:sz w:val="32"/>
          <w:szCs w:val="32"/>
        </w:rPr>
        <w:t>%。</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Times New Roman" w:hAnsi="Times New Roman" w:eastAsia="仿宋" w:cs="Times New Roman"/>
          <w:b w:val="0"/>
          <w:bCs w:val="0"/>
          <w:color w:val="333333"/>
          <w:spacing w:val="0"/>
          <w:sz w:val="32"/>
          <w:szCs w:val="32"/>
          <w:lang w:val="en-US" w:eastAsia="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hint="eastAsia" w:ascii="Times New Roman" w:hAnsi="Times New Roman" w:eastAsia="仿宋" w:cs="Times New Roman"/>
          <w:b w:val="0"/>
          <w:bCs w:val="0"/>
          <w:color w:val="333333"/>
          <w:spacing w:val="0"/>
          <w:sz w:val="32"/>
          <w:szCs w:val="32"/>
          <w:lang w:val="en-US" w:eastAsia="zh-CN"/>
        </w:rPr>
        <w:t>基本支出</w:t>
      </w:r>
      <w:r>
        <w:rPr>
          <w:rFonts w:hint="eastAsia" w:eastAsia="仿宋" w:cs="Times New Roman"/>
          <w:b w:val="0"/>
          <w:bCs w:val="0"/>
          <w:color w:val="333333"/>
          <w:spacing w:val="0"/>
          <w:sz w:val="32"/>
          <w:szCs w:val="32"/>
          <w:lang w:val="en-US" w:eastAsia="zh-CN"/>
        </w:rPr>
        <w:t>3419.71</w:t>
      </w:r>
      <w:r>
        <w:rPr>
          <w:rFonts w:hint="default" w:ascii="Times New Roman" w:hAnsi="Times New Roman" w:eastAsia="仿宋" w:cs="Times New Roman"/>
          <w:b w:val="0"/>
          <w:bCs w:val="0"/>
          <w:color w:val="333333"/>
          <w:spacing w:val="0"/>
          <w:sz w:val="32"/>
          <w:szCs w:val="32"/>
          <w:lang w:val="en-US" w:eastAsia="zh-CN"/>
        </w:rPr>
        <w:t>万元</w:t>
      </w:r>
      <w:r>
        <w:rPr>
          <w:rFonts w:hint="eastAsia" w:ascii="Times New Roman" w:hAnsi="Times New Roman" w:eastAsia="仿宋" w:cs="Times New Roman"/>
          <w:b w:val="0"/>
          <w:bCs w:val="0"/>
          <w:color w:val="333333"/>
          <w:spacing w:val="0"/>
          <w:sz w:val="32"/>
          <w:szCs w:val="32"/>
          <w:lang w:val="en-US" w:eastAsia="zh-CN"/>
        </w:rPr>
        <w:t>,其中，人员经费支出</w:t>
      </w:r>
      <w:r>
        <w:rPr>
          <w:rFonts w:hint="eastAsia" w:eastAsia="仿宋" w:cs="Times New Roman"/>
          <w:b w:val="0"/>
          <w:bCs w:val="0"/>
          <w:color w:val="333333"/>
          <w:spacing w:val="0"/>
          <w:sz w:val="32"/>
          <w:szCs w:val="32"/>
          <w:lang w:val="en-US" w:eastAsia="zh-CN"/>
        </w:rPr>
        <w:t>3020.43</w:t>
      </w:r>
      <w:r>
        <w:rPr>
          <w:rFonts w:hint="eastAsia" w:ascii="Times New Roman" w:hAnsi="Times New Roman" w:eastAsia="仿宋" w:cs="Times New Roman"/>
          <w:b w:val="0"/>
          <w:bCs w:val="0"/>
          <w:color w:val="333333"/>
          <w:spacing w:val="0"/>
          <w:sz w:val="32"/>
          <w:szCs w:val="32"/>
          <w:lang w:val="en-US" w:eastAsia="zh-CN"/>
        </w:rPr>
        <w:t>万元，公用经费支出</w:t>
      </w:r>
      <w:r>
        <w:rPr>
          <w:rFonts w:hint="eastAsia" w:eastAsia="仿宋" w:cs="Times New Roman"/>
          <w:b w:val="0"/>
          <w:bCs w:val="0"/>
          <w:color w:val="333333"/>
          <w:spacing w:val="0"/>
          <w:sz w:val="32"/>
          <w:szCs w:val="32"/>
          <w:lang w:val="en-US" w:eastAsia="zh-CN"/>
        </w:rPr>
        <w:t>399.28</w:t>
      </w:r>
      <w:r>
        <w:rPr>
          <w:rFonts w:hint="eastAsia" w:ascii="Times New Roman" w:hAnsi="Times New Roman" w:eastAsia="仿宋" w:cs="Times New Roman"/>
          <w:b w:val="0"/>
          <w:bCs w:val="0"/>
          <w:color w:val="333333"/>
          <w:spacing w:val="0"/>
          <w:sz w:val="32"/>
          <w:szCs w:val="32"/>
          <w:lang w:val="en-US" w:eastAsia="zh-CN"/>
        </w:rPr>
        <w:t>万元。</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 w:cs="Times New Roman"/>
          <w:b w:val="0"/>
          <w:bCs w:val="0"/>
          <w:color w:val="333333"/>
          <w:spacing w:val="0"/>
          <w:sz w:val="32"/>
          <w:szCs w:val="32"/>
          <w:lang w:val="zh-CN"/>
        </w:rPr>
      </w:pPr>
      <w:r>
        <w:rPr>
          <w:rFonts w:hint="eastAsia" w:ascii="Times New Roman" w:hAnsi="Times New Roman" w:eastAsia="仿宋" w:cs="Times New Roman"/>
          <w:b w:val="0"/>
          <w:bCs w:val="0"/>
          <w:color w:val="333333"/>
          <w:spacing w:val="0"/>
          <w:sz w:val="32"/>
          <w:szCs w:val="32"/>
        </w:rPr>
        <w:t>项目支出</w:t>
      </w:r>
      <w:r>
        <w:rPr>
          <w:rFonts w:hint="eastAsia" w:eastAsia="仿宋" w:cs="Times New Roman"/>
          <w:b w:val="0"/>
          <w:bCs w:val="0"/>
          <w:color w:val="333333"/>
          <w:spacing w:val="0"/>
          <w:sz w:val="32"/>
          <w:szCs w:val="32"/>
          <w:lang w:val="en-US" w:eastAsia="zh-CN"/>
        </w:rPr>
        <w:t>720.93</w:t>
      </w:r>
      <w:r>
        <w:rPr>
          <w:rFonts w:hint="eastAsia" w:ascii="Times New Roman" w:hAnsi="Times New Roman" w:eastAsia="仿宋" w:cs="Times New Roman"/>
          <w:b w:val="0"/>
          <w:bCs w:val="0"/>
          <w:color w:val="333333"/>
          <w:spacing w:val="0"/>
          <w:sz w:val="32"/>
          <w:szCs w:val="32"/>
        </w:rPr>
        <w:t>万元，其中：一般行政管理事务</w:t>
      </w:r>
      <w:r>
        <w:rPr>
          <w:rFonts w:hint="eastAsia" w:eastAsia="仿宋" w:cs="Times New Roman"/>
          <w:b w:val="0"/>
          <w:bCs w:val="0"/>
          <w:color w:val="333333"/>
          <w:spacing w:val="0"/>
          <w:sz w:val="32"/>
          <w:szCs w:val="32"/>
          <w:lang w:val="en-US" w:eastAsia="zh-CN"/>
        </w:rPr>
        <w:t>691.44</w:t>
      </w:r>
      <w:r>
        <w:rPr>
          <w:rFonts w:hint="eastAsia" w:ascii="Times New Roman" w:hAnsi="Times New Roman" w:eastAsia="仿宋" w:cs="Times New Roman"/>
          <w:b w:val="0"/>
          <w:bCs w:val="0"/>
          <w:color w:val="333333"/>
          <w:spacing w:val="0"/>
          <w:sz w:val="32"/>
          <w:szCs w:val="32"/>
        </w:rPr>
        <w:t>万元；</w:t>
      </w:r>
      <w:r>
        <w:rPr>
          <w:rFonts w:hint="eastAsia" w:ascii="Times New Roman" w:hAnsi="Times New Roman" w:eastAsia="仿宋" w:cs="Times New Roman"/>
          <w:b w:val="0"/>
          <w:bCs w:val="0"/>
          <w:color w:val="333333"/>
          <w:spacing w:val="0"/>
          <w:kern w:val="0"/>
          <w:sz w:val="32"/>
          <w:szCs w:val="32"/>
          <w:lang w:val="en-US" w:eastAsia="zh-CN" w:bidi="ar"/>
        </w:rPr>
        <w:t>其他政府办公厅（室）及相关机构事务支出</w:t>
      </w:r>
      <w:r>
        <w:rPr>
          <w:rFonts w:hint="eastAsia" w:eastAsia="仿宋" w:cs="Times New Roman"/>
          <w:b w:val="0"/>
          <w:bCs w:val="0"/>
          <w:color w:val="333333"/>
          <w:spacing w:val="0"/>
          <w:sz w:val="32"/>
          <w:szCs w:val="32"/>
          <w:lang w:val="en-US" w:eastAsia="zh-CN"/>
        </w:rPr>
        <w:t>13.98</w:t>
      </w:r>
      <w:r>
        <w:rPr>
          <w:rFonts w:hint="eastAsia" w:ascii="Times New Roman" w:hAnsi="Times New Roman" w:eastAsia="仿宋" w:cs="Times New Roman"/>
          <w:b w:val="0"/>
          <w:bCs w:val="0"/>
          <w:color w:val="333333"/>
          <w:spacing w:val="0"/>
          <w:sz w:val="32"/>
          <w:szCs w:val="32"/>
        </w:rPr>
        <w:t>万元；社会福利-儿童福利支出0.</w:t>
      </w:r>
      <w:r>
        <w:rPr>
          <w:rFonts w:hint="eastAsia" w:ascii="Times New Roman" w:hAnsi="Times New Roman" w:eastAsia="仿宋" w:cs="Times New Roman"/>
          <w:b w:val="0"/>
          <w:bCs w:val="0"/>
          <w:color w:val="333333"/>
          <w:spacing w:val="0"/>
          <w:sz w:val="32"/>
          <w:szCs w:val="32"/>
          <w:lang w:val="en-US" w:eastAsia="zh-CN"/>
        </w:rPr>
        <w:t>72</w:t>
      </w:r>
      <w:r>
        <w:rPr>
          <w:rFonts w:hint="eastAsia" w:ascii="Times New Roman" w:hAnsi="Times New Roman" w:eastAsia="仿宋" w:cs="Times New Roman"/>
          <w:b w:val="0"/>
          <w:bCs w:val="0"/>
          <w:color w:val="333333"/>
          <w:spacing w:val="0"/>
          <w:sz w:val="32"/>
          <w:szCs w:val="32"/>
        </w:rPr>
        <w:t>万元</w:t>
      </w:r>
      <w:r>
        <w:rPr>
          <w:rFonts w:hint="eastAsia" w:ascii="Times New Roman" w:hAnsi="Times New Roman" w:eastAsia="仿宋" w:cs="Times New Roman"/>
          <w:b w:val="0"/>
          <w:bCs w:val="0"/>
          <w:color w:val="333333"/>
          <w:spacing w:val="0"/>
          <w:sz w:val="32"/>
          <w:szCs w:val="32"/>
          <w:lang w:eastAsia="zh-CN"/>
        </w:rPr>
        <w:t>；其他卫生健康支出</w:t>
      </w:r>
      <w:r>
        <w:rPr>
          <w:rFonts w:hint="eastAsia" w:ascii="Times New Roman" w:hAnsi="Times New Roman" w:eastAsia="仿宋" w:cs="Times New Roman"/>
          <w:b w:val="0"/>
          <w:bCs w:val="0"/>
          <w:color w:val="333333"/>
          <w:spacing w:val="0"/>
          <w:sz w:val="32"/>
          <w:szCs w:val="32"/>
          <w:lang w:val="en-US" w:eastAsia="zh-CN"/>
        </w:rPr>
        <w:t>0.</w:t>
      </w:r>
      <w:r>
        <w:rPr>
          <w:rFonts w:hint="eastAsia" w:eastAsia="仿宋" w:cs="Times New Roman"/>
          <w:b w:val="0"/>
          <w:bCs w:val="0"/>
          <w:color w:val="333333"/>
          <w:spacing w:val="0"/>
          <w:sz w:val="32"/>
          <w:szCs w:val="32"/>
          <w:lang w:val="en-US" w:eastAsia="zh-CN"/>
        </w:rPr>
        <w:t>38</w:t>
      </w:r>
      <w:r>
        <w:rPr>
          <w:rFonts w:hint="eastAsia" w:ascii="Times New Roman" w:hAnsi="Times New Roman" w:eastAsia="仿宋" w:cs="Times New Roman"/>
          <w:b w:val="0"/>
          <w:bCs w:val="0"/>
          <w:color w:val="333333"/>
          <w:spacing w:val="0"/>
          <w:sz w:val="32"/>
          <w:szCs w:val="32"/>
          <w:lang w:val="en-US" w:eastAsia="zh-CN"/>
        </w:rPr>
        <w:t>万元；其他组织事务支出</w:t>
      </w:r>
      <w:r>
        <w:rPr>
          <w:rFonts w:hint="eastAsia" w:eastAsia="仿宋" w:cs="Times New Roman"/>
          <w:b w:val="0"/>
          <w:bCs w:val="0"/>
          <w:color w:val="333333"/>
          <w:spacing w:val="0"/>
          <w:sz w:val="32"/>
          <w:szCs w:val="32"/>
          <w:lang w:val="en-US" w:eastAsia="zh-CN"/>
        </w:rPr>
        <w:t>14.41</w:t>
      </w:r>
      <w:r>
        <w:rPr>
          <w:rFonts w:hint="eastAsia" w:ascii="Times New Roman" w:hAnsi="Times New Roman" w:eastAsia="仿宋" w:cs="Times New Roman"/>
          <w:b w:val="0"/>
          <w:bCs w:val="0"/>
          <w:color w:val="333333"/>
          <w:spacing w:val="0"/>
          <w:sz w:val="32"/>
          <w:szCs w:val="32"/>
          <w:lang w:val="en-US" w:eastAsia="zh-CN"/>
        </w:rPr>
        <w:t>万元</w:t>
      </w:r>
      <w:r>
        <w:rPr>
          <w:rFonts w:hint="eastAsia" w:ascii="Times New Roman" w:hAnsi="Times New Roman" w:eastAsia="仿宋" w:cs="Times New Roman"/>
          <w:b w:val="0"/>
          <w:bCs w:val="0"/>
          <w:color w:val="333333"/>
          <w:spacing w:val="0"/>
          <w:sz w:val="32"/>
          <w:szCs w:val="32"/>
        </w:rPr>
        <w:t>。主要用于：</w:t>
      </w:r>
      <w:r>
        <w:rPr>
          <w:rFonts w:hint="eastAsia" w:ascii="Times New Roman" w:hAnsi="Times New Roman" w:eastAsia="仿宋" w:cs="Times New Roman"/>
          <w:b w:val="0"/>
          <w:bCs w:val="0"/>
          <w:color w:val="333333"/>
          <w:spacing w:val="0"/>
          <w:sz w:val="32"/>
          <w:szCs w:val="32"/>
          <w:lang w:eastAsia="zh-CN"/>
        </w:rPr>
        <w:t>保障</w:t>
      </w:r>
      <w:r>
        <w:rPr>
          <w:rFonts w:hint="eastAsia" w:ascii="Times New Roman" w:hAnsi="Times New Roman" w:eastAsia="仿宋" w:cs="Times New Roman"/>
          <w:b w:val="0"/>
          <w:bCs w:val="0"/>
          <w:color w:val="333333"/>
          <w:spacing w:val="0"/>
          <w:sz w:val="32"/>
          <w:szCs w:val="32"/>
        </w:rPr>
        <w:t>市政府办公室及下属单位</w:t>
      </w:r>
      <w:r>
        <w:rPr>
          <w:rFonts w:hint="eastAsia" w:ascii="Times New Roman" w:hAnsi="Times New Roman" w:eastAsia="仿宋" w:cs="Times New Roman"/>
          <w:b w:val="0"/>
          <w:bCs w:val="0"/>
          <w:color w:val="333333"/>
          <w:spacing w:val="0"/>
          <w:sz w:val="32"/>
          <w:szCs w:val="32"/>
          <w:lang w:eastAsia="zh-CN"/>
        </w:rPr>
        <w:t>完成全年各项目标任务、保障市政府办公大楼物业正常运转；保障全市政府网站集约化平台平稳安全运行；确保全市政务云及共享交换平台正常运行等</w:t>
      </w:r>
      <w:r>
        <w:rPr>
          <w:rFonts w:hint="eastAsia" w:ascii="Times New Roman" w:hAnsi="Times New Roman" w:eastAsia="仿宋" w:cs="Times New Roman"/>
          <w:b w:val="0"/>
          <w:bCs w:val="0"/>
          <w:color w:val="333333"/>
          <w:spacing w:val="0"/>
          <w:sz w:val="32"/>
          <w:szCs w:val="32"/>
        </w:rPr>
        <w:t>。</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Times New Roman" w:hAnsi="Times New Roman" w:eastAsia="仿宋" w:cs="Times New Roman"/>
          <w:b w:val="0"/>
          <w:bCs w:val="0"/>
          <w:color w:val="333333"/>
          <w:spacing w:val="0"/>
          <w:sz w:val="32"/>
          <w:szCs w:val="32"/>
          <w:lang w:val="en-US" w:eastAsia="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hint="eastAsia" w:ascii="Times New Roman" w:hAnsi="Times New Roman" w:eastAsia="仿宋" w:cs="Times New Roman"/>
          <w:b w:val="0"/>
          <w:bCs w:val="0"/>
          <w:color w:val="333333"/>
          <w:spacing w:val="0"/>
          <w:sz w:val="32"/>
          <w:szCs w:val="32"/>
          <w:lang w:val="en-US" w:eastAsia="zh-CN"/>
        </w:rPr>
        <w:t>财政拨款结转和结余情况：202</w:t>
      </w:r>
      <w:r>
        <w:rPr>
          <w:rFonts w:hint="eastAsia" w:eastAsia="仿宋" w:cs="Times New Roman"/>
          <w:b w:val="0"/>
          <w:bCs w:val="0"/>
          <w:color w:val="333333"/>
          <w:spacing w:val="0"/>
          <w:sz w:val="32"/>
          <w:szCs w:val="32"/>
          <w:lang w:val="en-US" w:eastAsia="zh-CN"/>
        </w:rPr>
        <w:t>5</w:t>
      </w:r>
      <w:r>
        <w:rPr>
          <w:rFonts w:hint="eastAsia" w:ascii="Times New Roman" w:hAnsi="Times New Roman" w:eastAsia="仿宋" w:cs="Times New Roman"/>
          <w:b w:val="0"/>
          <w:bCs w:val="0"/>
          <w:color w:val="333333"/>
          <w:spacing w:val="0"/>
          <w:sz w:val="32"/>
          <w:szCs w:val="32"/>
          <w:lang w:val="en-US" w:eastAsia="zh-CN"/>
        </w:rPr>
        <w:t>年度年末，行政运行结转</w:t>
      </w:r>
      <w:r>
        <w:rPr>
          <w:rFonts w:hint="eastAsia" w:eastAsia="仿宋" w:cs="Times New Roman"/>
          <w:b w:val="0"/>
          <w:bCs w:val="0"/>
          <w:color w:val="333333"/>
          <w:spacing w:val="0"/>
          <w:sz w:val="32"/>
          <w:szCs w:val="32"/>
          <w:lang w:val="en-US" w:eastAsia="zh-CN"/>
        </w:rPr>
        <w:t>18.53万</w:t>
      </w:r>
      <w:r>
        <w:rPr>
          <w:rFonts w:hint="eastAsia" w:ascii="Times New Roman" w:hAnsi="Times New Roman" w:eastAsia="仿宋" w:cs="Times New Roman"/>
          <w:b w:val="0"/>
          <w:bCs w:val="0"/>
          <w:color w:val="333333"/>
          <w:spacing w:val="0"/>
          <w:sz w:val="32"/>
          <w:szCs w:val="32"/>
          <w:lang w:val="en-US" w:eastAsia="zh-CN"/>
        </w:rPr>
        <w:t>元，一般行政管理事务结转4</w:t>
      </w:r>
      <w:r>
        <w:rPr>
          <w:rFonts w:hint="eastAsia" w:eastAsia="仿宋" w:cs="Times New Roman"/>
          <w:b w:val="0"/>
          <w:bCs w:val="0"/>
          <w:color w:val="333333"/>
          <w:spacing w:val="0"/>
          <w:sz w:val="32"/>
          <w:szCs w:val="32"/>
          <w:lang w:val="en-US" w:eastAsia="zh-CN"/>
        </w:rPr>
        <w:t>.</w:t>
      </w:r>
      <w:r>
        <w:rPr>
          <w:rFonts w:hint="eastAsia" w:ascii="Times New Roman" w:hAnsi="Times New Roman" w:eastAsia="仿宋" w:cs="Times New Roman"/>
          <w:b w:val="0"/>
          <w:bCs w:val="0"/>
          <w:color w:val="333333"/>
          <w:spacing w:val="0"/>
          <w:sz w:val="32"/>
          <w:szCs w:val="32"/>
          <w:lang w:val="en-US" w:eastAsia="zh-CN"/>
        </w:rPr>
        <w:t>05</w:t>
      </w:r>
      <w:r>
        <w:rPr>
          <w:rFonts w:hint="eastAsia" w:eastAsia="仿宋" w:cs="Times New Roman"/>
          <w:b w:val="0"/>
          <w:bCs w:val="0"/>
          <w:color w:val="333333"/>
          <w:spacing w:val="0"/>
          <w:sz w:val="32"/>
          <w:szCs w:val="32"/>
          <w:lang w:val="en-US" w:eastAsia="zh-CN"/>
        </w:rPr>
        <w:t>万</w:t>
      </w:r>
      <w:r>
        <w:rPr>
          <w:rFonts w:hint="eastAsia" w:ascii="Times New Roman" w:hAnsi="Times New Roman" w:eastAsia="仿宋" w:cs="Times New Roman"/>
          <w:b w:val="0"/>
          <w:bCs w:val="0"/>
          <w:color w:val="333333"/>
          <w:spacing w:val="0"/>
          <w:sz w:val="32"/>
          <w:szCs w:val="32"/>
          <w:lang w:val="en-US" w:eastAsia="zh-CN"/>
        </w:rPr>
        <w:t>元。</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eastAsia="仿宋_GB2312"/>
          <w:color w:val="000000"/>
          <w:kern w:val="0"/>
          <w:szCs w:val="32"/>
          <w:shd w:val="clear" w:color="auto" w:fill="FFFFFF"/>
          <w:lang w:val="zh-CN"/>
        </w:rPr>
      </w:pPr>
      <w:r>
        <w:rPr>
          <w:rFonts w:hint="eastAsia" w:ascii="Times New Roman" w:hAnsi="Times New Roman" w:eastAsia="仿宋" w:cs="Times New Roman"/>
          <w:b w:val="0"/>
          <w:bCs w:val="0"/>
          <w:color w:val="333333"/>
          <w:spacing w:val="0"/>
          <w:sz w:val="32"/>
          <w:szCs w:val="32"/>
          <w:lang w:val="en-US" w:eastAsia="zh-CN"/>
        </w:rPr>
        <w:t>非财政拨款结转和结余情况：202</w:t>
      </w:r>
      <w:r>
        <w:rPr>
          <w:rFonts w:hint="eastAsia" w:eastAsia="仿宋" w:cs="Times New Roman"/>
          <w:b w:val="0"/>
          <w:bCs w:val="0"/>
          <w:color w:val="333333"/>
          <w:spacing w:val="0"/>
          <w:sz w:val="32"/>
          <w:szCs w:val="32"/>
          <w:lang w:val="en-US" w:eastAsia="zh-CN"/>
        </w:rPr>
        <w:t>5</w:t>
      </w:r>
      <w:r>
        <w:rPr>
          <w:rFonts w:hint="eastAsia" w:ascii="Times New Roman" w:hAnsi="Times New Roman" w:eastAsia="仿宋" w:cs="Times New Roman"/>
          <w:b w:val="0"/>
          <w:bCs w:val="0"/>
          <w:color w:val="333333"/>
          <w:spacing w:val="0"/>
          <w:sz w:val="32"/>
          <w:szCs w:val="32"/>
          <w:lang w:val="en-US" w:eastAsia="zh-CN"/>
        </w:rPr>
        <w:t>年度年末，市政府办公室非财政拨款年末结转和结余12.97元。</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bookmarkStart w:id="171" w:name="_Toc1050029287_WPSOffice_Level2"/>
      <w:r>
        <w:rPr>
          <w:rFonts w:eastAsia="黑体"/>
          <w:color w:val="000000"/>
          <w:kern w:val="0"/>
          <w:sz w:val="32"/>
          <w:szCs w:val="32"/>
          <w:shd w:val="clear" w:color="auto" w:fill="FFFFFF"/>
          <w:lang w:val="zh-CN"/>
        </w:rPr>
        <w:t>三、部门预算绩效分析</w:t>
      </w:r>
      <w:bookmarkEnd w:id="171"/>
    </w:p>
    <w:p>
      <w:pPr>
        <w:adjustRightInd w:val="0"/>
        <w:snapToGrid w:val="0"/>
        <w:spacing w:line="578" w:lineRule="exact"/>
        <w:ind w:firstLine="642" w:firstLineChars="200"/>
        <w:contextualSpacing/>
        <w:jc w:val="left"/>
        <w:rPr>
          <w:rFonts w:hint="eastAsia" w:eastAsia="楷体_GB2312"/>
          <w:b/>
          <w:bCs/>
          <w:color w:val="000000"/>
          <w:kern w:val="0"/>
          <w:sz w:val="32"/>
          <w:szCs w:val="32"/>
          <w:shd w:val="clear" w:color="auto" w:fill="FFFFFF"/>
          <w:lang w:val="zh-CN" w:eastAsia="zh-CN"/>
        </w:rPr>
      </w:pPr>
      <w:r>
        <w:rPr>
          <w:rFonts w:eastAsia="楷体_GB2312"/>
          <w:b/>
          <w:bCs/>
          <w:color w:val="000000"/>
          <w:kern w:val="0"/>
          <w:sz w:val="32"/>
          <w:szCs w:val="32"/>
          <w:shd w:val="clear" w:color="auto" w:fill="FFFFFF"/>
          <w:lang w:val="zh-CN"/>
        </w:rPr>
        <w:t>（一）部门预算总体绩效分析。</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 w:cs="Times New Roman"/>
          <w:b w:val="0"/>
          <w:bCs w:val="0"/>
          <w:color w:val="333333"/>
          <w:spacing w:val="0"/>
          <w:sz w:val="32"/>
          <w:szCs w:val="32"/>
          <w:lang w:val="en-US" w:eastAsia="zh-CN"/>
        </w:rPr>
      </w:pPr>
      <w:r>
        <w:rPr>
          <w:rFonts w:hint="eastAsia" w:ascii="Times New Roman" w:hAnsi="Times New Roman" w:eastAsia="仿宋" w:cs="Times New Roman"/>
          <w:b w:val="0"/>
          <w:bCs w:val="0"/>
          <w:color w:val="333333"/>
          <w:spacing w:val="0"/>
          <w:sz w:val="32"/>
          <w:szCs w:val="32"/>
          <w:lang w:val="en-US" w:eastAsia="zh-CN"/>
        </w:rPr>
        <w:t>2025年单位整体支出绩效目标基本实现,项目绩效目标全部完成,完成情况良好。主要项目有政府办综合业务费、原市政府驻昆明办事处医疗保险费、政务商务服务采购项目、市决策咨询经费（含委员报刊费和专家经费）等。项目的支出按规定专款专用，支出符合部门预算批复的用途。认真编制项目绩效目标，加强项目评估评价，强化绩效引领。落实全过程绩效结果应用，将绩效结果与完善政策、调整预算有机衔接，进一步压实预算绩效管理主体责任，强化预算绩效管理监督问责，提升绩效管理工作质量。</w:t>
      </w:r>
    </w:p>
    <w:p>
      <w:pPr>
        <w:adjustRightInd w:val="0"/>
        <w:snapToGrid w:val="0"/>
        <w:spacing w:line="578" w:lineRule="exact"/>
        <w:ind w:firstLine="642"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（二）部门预算项目绩效分析。</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 w:cs="Times New Roman"/>
          <w:b w:val="0"/>
          <w:bCs w:val="0"/>
          <w:color w:val="333333"/>
          <w:spacing w:val="0"/>
          <w:sz w:val="32"/>
          <w:szCs w:val="32"/>
          <w:lang w:val="zh-CN" w:eastAsia="zh-CN"/>
        </w:rPr>
      </w:pPr>
      <w:r>
        <w:rPr>
          <w:rFonts w:hint="eastAsia" w:ascii="Times New Roman" w:hAnsi="Times New Roman" w:eastAsia="仿宋" w:cs="Times New Roman"/>
          <w:b w:val="0"/>
          <w:bCs w:val="0"/>
          <w:color w:val="333333"/>
          <w:spacing w:val="0"/>
          <w:sz w:val="32"/>
          <w:szCs w:val="32"/>
          <w:lang w:val="en-US" w:eastAsia="zh-CN"/>
        </w:rPr>
        <w:t>常年项目绩效分析。</w:t>
      </w:r>
      <w:r>
        <w:rPr>
          <w:rFonts w:hint="eastAsia" w:ascii="Times New Roman" w:hAnsi="Times New Roman" w:eastAsia="仿宋" w:cs="Times New Roman"/>
          <w:b w:val="0"/>
          <w:bCs w:val="0"/>
          <w:color w:val="333333"/>
          <w:spacing w:val="0"/>
          <w:sz w:val="32"/>
          <w:szCs w:val="32"/>
          <w:lang w:val="zh-CN" w:eastAsia="zh-CN"/>
        </w:rPr>
        <w:t>该类项目总数</w:t>
      </w:r>
      <w:r>
        <w:rPr>
          <w:rFonts w:hint="eastAsia" w:ascii="Times New Roman" w:hAnsi="Times New Roman" w:eastAsia="仿宋" w:cs="Times New Roman"/>
          <w:b w:val="0"/>
          <w:bCs w:val="0"/>
          <w:color w:val="333333"/>
          <w:spacing w:val="0"/>
          <w:sz w:val="32"/>
          <w:szCs w:val="32"/>
          <w:lang w:val="en-US" w:eastAsia="zh-CN"/>
        </w:rPr>
        <w:t>18</w:t>
      </w:r>
      <w:r>
        <w:rPr>
          <w:rFonts w:hint="eastAsia" w:ascii="Times New Roman" w:hAnsi="Times New Roman" w:eastAsia="仿宋" w:cs="Times New Roman"/>
          <w:b w:val="0"/>
          <w:bCs w:val="0"/>
          <w:color w:val="333333"/>
          <w:spacing w:val="0"/>
          <w:sz w:val="32"/>
          <w:szCs w:val="32"/>
          <w:lang w:val="zh-CN" w:eastAsia="zh-CN"/>
        </w:rPr>
        <w:t>个，涉及预算总金额</w:t>
      </w:r>
      <w:r>
        <w:rPr>
          <w:rFonts w:hint="eastAsia" w:ascii="Times New Roman" w:hAnsi="Times New Roman" w:eastAsia="仿宋" w:cs="Times New Roman"/>
          <w:b w:val="0"/>
          <w:bCs w:val="0"/>
          <w:color w:val="333333"/>
          <w:spacing w:val="0"/>
          <w:sz w:val="32"/>
          <w:szCs w:val="32"/>
          <w:lang w:val="en-US" w:eastAsia="zh-CN"/>
        </w:rPr>
        <w:t>720.93</w:t>
      </w:r>
      <w:r>
        <w:rPr>
          <w:rFonts w:hint="eastAsia" w:ascii="Times New Roman" w:hAnsi="Times New Roman" w:eastAsia="仿宋" w:cs="Times New Roman"/>
          <w:b w:val="0"/>
          <w:bCs w:val="0"/>
          <w:color w:val="333333"/>
          <w:spacing w:val="0"/>
          <w:sz w:val="32"/>
          <w:szCs w:val="32"/>
          <w:lang w:val="zh-CN" w:eastAsia="zh-CN"/>
        </w:rPr>
        <w:t>万元，1—1</w:t>
      </w:r>
      <w:r>
        <w:rPr>
          <w:rFonts w:hint="eastAsia" w:ascii="Times New Roman" w:hAnsi="Times New Roman" w:eastAsia="仿宋" w:cs="Times New Roman"/>
          <w:b w:val="0"/>
          <w:bCs w:val="0"/>
          <w:color w:val="333333"/>
          <w:spacing w:val="0"/>
          <w:sz w:val="32"/>
          <w:szCs w:val="32"/>
          <w:lang w:val="en-US" w:eastAsia="zh-CN"/>
        </w:rPr>
        <w:t>2</w:t>
      </w:r>
      <w:r>
        <w:rPr>
          <w:rFonts w:hint="eastAsia" w:ascii="Times New Roman" w:hAnsi="Times New Roman" w:eastAsia="仿宋" w:cs="Times New Roman"/>
          <w:b w:val="0"/>
          <w:bCs w:val="0"/>
          <w:color w:val="333333"/>
          <w:spacing w:val="0"/>
          <w:sz w:val="32"/>
          <w:szCs w:val="32"/>
          <w:lang w:val="zh-CN" w:eastAsia="zh-CN"/>
        </w:rPr>
        <w:t>月预算执行总体进度为</w:t>
      </w:r>
      <w:r>
        <w:rPr>
          <w:rFonts w:hint="eastAsia" w:ascii="Times New Roman" w:hAnsi="Times New Roman" w:eastAsia="仿宋" w:cs="Times New Roman"/>
          <w:b w:val="0"/>
          <w:bCs w:val="0"/>
          <w:color w:val="333333"/>
          <w:spacing w:val="0"/>
          <w:sz w:val="32"/>
          <w:szCs w:val="32"/>
          <w:lang w:val="en-US" w:eastAsia="zh-CN"/>
        </w:rPr>
        <w:t>100</w:t>
      </w:r>
      <w:r>
        <w:rPr>
          <w:rFonts w:hint="eastAsia" w:ascii="Times New Roman" w:hAnsi="Times New Roman" w:eastAsia="仿宋" w:cs="Times New Roman"/>
          <w:b w:val="0"/>
          <w:bCs w:val="0"/>
          <w:color w:val="333333"/>
          <w:spacing w:val="0"/>
          <w:sz w:val="32"/>
          <w:szCs w:val="32"/>
          <w:lang w:val="zh-CN" w:eastAsia="zh-CN"/>
        </w:rPr>
        <w:t>%，其中：预算结余率大于</w:t>
      </w:r>
      <w:r>
        <w:rPr>
          <w:rFonts w:hint="eastAsia" w:ascii="Times New Roman" w:hAnsi="Times New Roman" w:eastAsia="仿宋" w:cs="Times New Roman"/>
          <w:b w:val="0"/>
          <w:bCs w:val="0"/>
          <w:color w:val="333333"/>
          <w:spacing w:val="0"/>
          <w:sz w:val="32"/>
          <w:szCs w:val="32"/>
          <w:lang w:val="en-US" w:eastAsia="zh-CN"/>
        </w:rPr>
        <w:t>10%</w:t>
      </w:r>
      <w:r>
        <w:rPr>
          <w:rFonts w:hint="eastAsia" w:ascii="Times New Roman" w:hAnsi="Times New Roman" w:eastAsia="仿宋" w:cs="Times New Roman"/>
          <w:b w:val="0"/>
          <w:bCs w:val="0"/>
          <w:color w:val="333333"/>
          <w:spacing w:val="0"/>
          <w:sz w:val="32"/>
          <w:szCs w:val="32"/>
          <w:lang w:val="zh-CN" w:eastAsia="zh-CN"/>
        </w:rPr>
        <w:t>的项目共计</w:t>
      </w:r>
      <w:r>
        <w:rPr>
          <w:rFonts w:hint="eastAsia" w:ascii="Times New Roman" w:hAnsi="Times New Roman" w:eastAsia="仿宋" w:cs="Times New Roman"/>
          <w:b w:val="0"/>
          <w:bCs w:val="0"/>
          <w:color w:val="333333"/>
          <w:spacing w:val="0"/>
          <w:sz w:val="32"/>
          <w:szCs w:val="32"/>
          <w:lang w:val="en-US" w:eastAsia="zh-CN"/>
        </w:rPr>
        <w:t>0</w:t>
      </w:r>
      <w:r>
        <w:rPr>
          <w:rFonts w:hint="eastAsia" w:ascii="Times New Roman" w:hAnsi="Times New Roman" w:eastAsia="仿宋" w:cs="Times New Roman"/>
          <w:b w:val="0"/>
          <w:bCs w:val="0"/>
          <w:color w:val="333333"/>
          <w:spacing w:val="0"/>
          <w:sz w:val="32"/>
          <w:szCs w:val="32"/>
          <w:lang w:val="zh-CN" w:eastAsia="zh-CN"/>
        </w:rPr>
        <w:t>个。</w:t>
      </w:r>
    </w:p>
    <w:p>
      <w:pPr>
        <w:pStyle w:val="1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Times New Roman" w:hAnsi="Times New Roman" w:eastAsia="仿宋" w:cs="Times New Roman"/>
          <w:b w:val="0"/>
          <w:bCs w:val="0"/>
          <w:color w:val="333333"/>
          <w:spacing w:val="0"/>
          <w:sz w:val="32"/>
          <w:szCs w:val="32"/>
          <w:lang w:val="zh-CN" w:eastAsia="zh-CN"/>
        </w:rPr>
      </w:pPr>
      <w:r>
        <w:rPr>
          <w:rFonts w:hint="eastAsia" w:ascii="Times New Roman" w:hAnsi="Times New Roman" w:eastAsia="仿宋" w:cs="Times New Roman"/>
          <w:b w:val="0"/>
          <w:bCs w:val="0"/>
          <w:color w:val="333333"/>
          <w:spacing w:val="0"/>
          <w:sz w:val="32"/>
          <w:szCs w:val="32"/>
          <w:lang w:val="en-US" w:eastAsia="zh-CN"/>
        </w:rPr>
        <w:t>2025年项目绩效目标全部完成,完成情况良好。</w:t>
      </w:r>
      <w:r>
        <w:rPr>
          <w:rFonts w:hint="eastAsia" w:ascii="Times New Roman" w:hAnsi="Times New Roman" w:eastAsia="仿宋" w:cs="Times New Roman"/>
          <w:b w:val="0"/>
          <w:bCs w:val="0"/>
          <w:color w:val="333333"/>
          <w:spacing w:val="0"/>
          <w:sz w:val="32"/>
          <w:szCs w:val="32"/>
          <w:lang w:val="zh-CN" w:eastAsia="zh-CN"/>
        </w:rPr>
        <w:t>项目入库符合决策程序、目标设置合理、资金预算执行情况及资金使用管理规范合理。</w:t>
      </w:r>
    </w:p>
    <w:p>
      <w:pPr>
        <w:keepNext w:val="0"/>
        <w:keepLines w:val="0"/>
        <w:pageBreakBefore w:val="0"/>
        <w:widowControl/>
        <w:kinsoku/>
        <w:wordWrap/>
        <w:overflowPunct/>
        <w:topLinePunct w:val="0"/>
        <w:autoSpaceDE/>
        <w:autoSpaceDN/>
        <w:bidi w:val="0"/>
        <w:adjustRightInd w:val="0"/>
        <w:snapToGrid w:val="0"/>
        <w:spacing w:line="580" w:lineRule="exact"/>
        <w:ind w:firstLine="642" w:firstLineChars="200"/>
        <w:contextualSpacing/>
        <w:jc w:val="left"/>
        <w:textAlignment w:val="auto"/>
        <w:rPr>
          <w:rFonts w:hint="eastAsia" w:ascii="Times New Roman" w:hAnsi="Times New Roman" w:eastAsia="仿宋" w:cs="Times New Roman"/>
          <w:b w:val="0"/>
          <w:bCs w:val="0"/>
          <w:color w:val="333333"/>
          <w:spacing w:val="0"/>
          <w:kern w:val="0"/>
          <w:sz w:val="32"/>
          <w:szCs w:val="32"/>
          <w:lang w:val="en-US" w:eastAsia="zh-CN" w:bidi="ar"/>
        </w:rPr>
      </w:pPr>
      <w:r>
        <w:rPr>
          <w:rFonts w:eastAsia="楷体_GB2312"/>
          <w:b/>
          <w:bCs/>
          <w:color w:val="000000"/>
          <w:kern w:val="0"/>
          <w:sz w:val="32"/>
          <w:szCs w:val="32"/>
          <w:shd w:val="clear" w:color="auto" w:fill="FFFFFF"/>
          <w:lang w:val="zh-CN"/>
        </w:rPr>
        <w:t>（三）绩效结果应用情况。</w:t>
      </w:r>
      <w:r>
        <w:rPr>
          <w:rFonts w:hint="eastAsia" w:ascii="Times New Roman" w:hAnsi="Times New Roman" w:eastAsia="仿宋" w:cs="Times New Roman"/>
          <w:b w:val="0"/>
          <w:bCs w:val="0"/>
          <w:color w:val="333333"/>
          <w:spacing w:val="0"/>
          <w:kern w:val="0"/>
          <w:sz w:val="32"/>
          <w:szCs w:val="32"/>
          <w:lang w:val="en-US" w:eastAsia="zh-CN" w:bidi="ar"/>
        </w:rPr>
        <w:t>根据部门整体支出绩效评价指标规定的内容，我办认真开展了自评，部门整体绩效目标编制合理，目标设定客观实际，严格按预算执行质量、预算执行进度、厉行节约的要求，做到了清晰、细化。按要求及时挂网公开绩效目标等信息。将落实市委、市政府重大决策部署作为预算绩效管理重点，进一步深化预算管理制度改革，推动全过程预算绩效管理提质增效。</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bookmarkStart w:id="172" w:name="_Toc983366248_WPSOffice_Level2"/>
      <w:r>
        <w:rPr>
          <w:rFonts w:eastAsia="黑体"/>
          <w:color w:val="000000"/>
          <w:kern w:val="0"/>
          <w:sz w:val="32"/>
          <w:szCs w:val="32"/>
          <w:shd w:val="clear" w:color="auto" w:fill="FFFFFF"/>
          <w:lang w:val="zh-CN"/>
        </w:rPr>
        <w:t>四、评价结论及建议</w:t>
      </w:r>
      <w:bookmarkEnd w:id="172"/>
    </w:p>
    <w:p>
      <w:pPr>
        <w:keepNext w:val="0"/>
        <w:keepLines w:val="0"/>
        <w:pageBreakBefore w:val="0"/>
        <w:widowControl/>
        <w:kinsoku/>
        <w:wordWrap/>
        <w:overflowPunct/>
        <w:topLinePunct w:val="0"/>
        <w:autoSpaceDE/>
        <w:autoSpaceDN/>
        <w:bidi w:val="0"/>
        <w:adjustRightInd w:val="0"/>
        <w:snapToGrid w:val="0"/>
        <w:spacing w:line="580" w:lineRule="exact"/>
        <w:ind w:firstLine="642" w:firstLineChars="200"/>
        <w:contextualSpacing/>
        <w:jc w:val="left"/>
        <w:textAlignment w:val="auto"/>
        <w:rPr>
          <w:rFonts w:hint="eastAsia" w:ascii="Times New Roman" w:hAnsi="Times New Roman" w:eastAsia="仿宋" w:cs="Times New Roman"/>
          <w:b w:val="0"/>
          <w:bCs w:val="0"/>
          <w:color w:val="333333"/>
          <w:spacing w:val="0"/>
          <w:kern w:val="0"/>
          <w:sz w:val="32"/>
          <w:szCs w:val="32"/>
          <w:lang w:val="zh-CN" w:eastAsia="zh-CN" w:bidi="ar"/>
        </w:rPr>
      </w:pPr>
      <w:r>
        <w:rPr>
          <w:rFonts w:eastAsia="楷体_GB2312"/>
          <w:b/>
          <w:bCs/>
          <w:color w:val="000000"/>
          <w:kern w:val="0"/>
          <w:sz w:val="32"/>
          <w:szCs w:val="32"/>
          <w:shd w:val="clear" w:color="auto" w:fill="FFFFFF"/>
          <w:lang w:val="zh-CN"/>
        </w:rPr>
        <w:t>（一）评价结论。</w:t>
      </w:r>
      <w:r>
        <w:rPr>
          <w:rFonts w:hint="eastAsia" w:ascii="Times New Roman" w:hAnsi="Times New Roman" w:eastAsia="仿宋" w:cs="Times New Roman"/>
          <w:b w:val="0"/>
          <w:bCs w:val="0"/>
          <w:color w:val="333333"/>
          <w:spacing w:val="0"/>
          <w:kern w:val="0"/>
          <w:sz w:val="32"/>
          <w:szCs w:val="32"/>
          <w:lang w:val="en-US" w:eastAsia="zh-CN" w:bidi="ar"/>
        </w:rPr>
        <w:t>我办部门预算整体绩效评价结果良好，完成了年初设定的绩效目标，保障了单位各项工作任务圆满完成。</w:t>
      </w:r>
    </w:p>
    <w:p>
      <w:pPr>
        <w:widowControl/>
        <w:adjustRightInd w:val="0"/>
        <w:snapToGrid w:val="0"/>
        <w:spacing w:line="578" w:lineRule="exact"/>
        <w:ind w:firstLine="642" w:firstLineChars="200"/>
        <w:contextualSpacing/>
        <w:jc w:val="left"/>
        <w:rPr>
          <w:rFonts w:hint="eastAsia" w:ascii="Times New Roman" w:hAnsi="Times New Roman" w:eastAsia="仿宋" w:cs="Times New Roman"/>
          <w:b w:val="0"/>
          <w:bCs w:val="0"/>
          <w:color w:val="333333"/>
          <w:spacing w:val="0"/>
          <w:kern w:val="0"/>
          <w:sz w:val="32"/>
          <w:szCs w:val="32"/>
          <w:lang w:val="en-US" w:eastAsia="zh-CN" w:bidi="ar"/>
        </w:rPr>
      </w:pPr>
      <w:r>
        <w:rPr>
          <w:rFonts w:eastAsia="楷体_GB2312"/>
          <w:b/>
          <w:bCs/>
          <w:color w:val="000000"/>
          <w:kern w:val="0"/>
          <w:sz w:val="32"/>
          <w:szCs w:val="32"/>
          <w:shd w:val="clear" w:color="auto" w:fill="FFFFFF"/>
          <w:lang w:val="zh-CN"/>
        </w:rPr>
        <w:t>（二）存在问题。</w:t>
      </w:r>
      <w:r>
        <w:rPr>
          <w:rFonts w:hint="eastAsia" w:ascii="Times New Roman" w:hAnsi="Times New Roman" w:eastAsia="仿宋" w:cs="Times New Roman"/>
          <w:b w:val="0"/>
          <w:bCs w:val="0"/>
          <w:color w:val="333333"/>
          <w:spacing w:val="0"/>
          <w:kern w:val="0"/>
          <w:sz w:val="32"/>
          <w:szCs w:val="32"/>
          <w:lang w:val="en-US" w:eastAsia="zh-CN" w:bidi="ar"/>
        </w:rPr>
        <w:t>在预算绩效自评</w:t>
      </w:r>
      <w:r>
        <w:rPr>
          <w:rFonts w:hint="eastAsia" w:eastAsia="仿宋" w:cs="Times New Roman"/>
          <w:b w:val="0"/>
          <w:bCs w:val="0"/>
          <w:color w:val="333333"/>
          <w:spacing w:val="0"/>
          <w:kern w:val="0"/>
          <w:sz w:val="32"/>
          <w:szCs w:val="32"/>
          <w:lang w:val="en-US" w:eastAsia="zh-CN" w:bidi="ar"/>
        </w:rPr>
        <w:t>中</w:t>
      </w:r>
      <w:r>
        <w:rPr>
          <w:rFonts w:hint="eastAsia" w:ascii="Times New Roman" w:hAnsi="Times New Roman" w:eastAsia="仿宋" w:cs="Times New Roman"/>
          <w:b w:val="0"/>
          <w:bCs w:val="0"/>
          <w:color w:val="333333"/>
          <w:spacing w:val="0"/>
          <w:kern w:val="0"/>
          <w:sz w:val="32"/>
          <w:szCs w:val="32"/>
          <w:lang w:val="en-US" w:eastAsia="zh-CN" w:bidi="ar"/>
        </w:rPr>
        <w:t>未发现问题。</w:t>
      </w:r>
    </w:p>
    <w:p>
      <w:pPr>
        <w:keepNext w:val="0"/>
        <w:keepLines w:val="0"/>
        <w:pageBreakBefore w:val="0"/>
        <w:widowControl/>
        <w:kinsoku/>
        <w:wordWrap/>
        <w:overflowPunct/>
        <w:topLinePunct w:val="0"/>
        <w:autoSpaceDE/>
        <w:autoSpaceDN/>
        <w:bidi w:val="0"/>
        <w:adjustRightInd w:val="0"/>
        <w:snapToGrid w:val="0"/>
        <w:spacing w:line="580" w:lineRule="exact"/>
        <w:ind w:firstLine="642" w:firstLineChars="200"/>
        <w:contextualSpacing/>
        <w:jc w:val="left"/>
        <w:textAlignment w:val="auto"/>
        <w:rPr>
          <w:rFonts w:hint="eastAsia" w:ascii="Times New Roman" w:hAnsi="Times New Roman" w:eastAsia="仿宋" w:cs="Times New Roman"/>
          <w:b w:val="0"/>
          <w:bCs w:val="0"/>
          <w:color w:val="333333"/>
          <w:spacing w:val="0"/>
          <w:kern w:val="0"/>
          <w:sz w:val="32"/>
          <w:szCs w:val="32"/>
          <w:lang w:val="zh-CN" w:eastAsia="zh-CN" w:bidi="ar"/>
        </w:rPr>
      </w:pPr>
      <w:r>
        <w:rPr>
          <w:rFonts w:eastAsia="楷体_GB2312"/>
          <w:b/>
          <w:bCs/>
          <w:color w:val="000000"/>
          <w:kern w:val="0"/>
          <w:sz w:val="32"/>
          <w:szCs w:val="32"/>
          <w:shd w:val="clear" w:color="auto" w:fill="FFFFFF"/>
          <w:lang w:val="zh-CN"/>
        </w:rPr>
        <w:t>（三）改进建议。</w:t>
      </w:r>
      <w:r>
        <w:rPr>
          <w:rFonts w:hint="eastAsia" w:ascii="Times New Roman" w:hAnsi="Times New Roman" w:eastAsia="仿宋" w:cs="Times New Roman"/>
          <w:b w:val="0"/>
          <w:bCs w:val="0"/>
          <w:color w:val="333333"/>
          <w:spacing w:val="0"/>
          <w:kern w:val="0"/>
          <w:sz w:val="32"/>
          <w:szCs w:val="32"/>
          <w:lang w:val="zh-CN" w:eastAsia="zh-CN" w:bidi="ar"/>
        </w:rPr>
        <w:t>进一步科学合理设置绩效评价指标，夯实绩效评价基础。</w:t>
      </w:r>
    </w:p>
    <w:p>
      <w:pPr>
        <w:widowControl/>
        <w:adjustRightInd w:val="0"/>
        <w:snapToGrid w:val="0"/>
        <w:spacing w:line="578" w:lineRule="exact"/>
        <w:contextualSpacing/>
        <w:jc w:val="left"/>
        <w:rPr>
          <w:rFonts w:eastAsia="黑体"/>
          <w:color w:val="000000"/>
          <w:kern w:val="0"/>
          <w:sz w:val="32"/>
          <w:szCs w:val="32"/>
          <w:shd w:val="clear" w:color="auto" w:fill="FFFFFF"/>
          <w:lang w:val="zh-CN"/>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eastAsia="仿宋_GB2312"/>
          <w:sz w:val="32"/>
          <w:lang w:val="zh-CN" w:bidi="ar"/>
        </w:rPr>
        <w:t>附表：</w:t>
      </w:r>
      <w:r>
        <w:rPr>
          <w:rFonts w:hint="eastAsia" w:ascii="Times New Roman" w:hAnsi="Times New Roman" w:eastAsia="仿宋_GB2312" w:cs="仿宋_GB2312"/>
          <w:color w:val="auto"/>
          <w:kern w:val="2"/>
          <w:sz w:val="32"/>
          <w:szCs w:val="32"/>
          <w:highlight w:val="none"/>
          <w:lang w:val="en-US" w:eastAsia="zh-CN" w:bidi="ar-SA"/>
        </w:rPr>
        <w:t>部门预算项目支出绩效自评表（2025）</w:t>
      </w:r>
      <w:r>
        <w:rPr>
          <w:rFonts w:hint="default" w:ascii="Times New Roman" w:hAnsi="Times New Roman" w:eastAsia="仿宋_GB2312" w:cs="Times New Roman"/>
          <w:color w:val="auto"/>
          <w:kern w:val="0"/>
          <w:sz w:val="32"/>
          <w:szCs w:val="32"/>
          <w:highlight w:val="none"/>
          <w:lang w:val="en-US" w:eastAsia="zh-CN" w:bidi="ar-SA"/>
        </w:rPr>
        <w:t>见附件3</w:t>
      </w:r>
    </w:p>
    <w:p>
      <w:pPr>
        <w:pStyle w:val="13"/>
        <w:spacing w:line="560" w:lineRule="exact"/>
        <w:ind w:left="0" w:leftChars="0" w:firstLine="640"/>
        <w:rPr>
          <w:rFonts w:ascii="Times New Roman" w:eastAsia="仿宋_GB2312"/>
          <w:sz w:val="32"/>
          <w:lang w:val="zh-CN" w:bidi="ar"/>
        </w:rPr>
      </w:pPr>
    </w:p>
    <w:p>
      <w:pPr>
        <w:pStyle w:val="13"/>
        <w:spacing w:line="560" w:lineRule="exact"/>
        <w:ind w:left="0" w:leftChars="0" w:firstLine="0" w:firstLineChars="0"/>
        <w:rPr>
          <w:rFonts w:ascii="Times New Roman"/>
          <w:sz w:val="32"/>
          <w:highlight w:val="yellow"/>
          <w:lang w:val="zh-CN"/>
        </w:rPr>
      </w:pPr>
    </w:p>
    <w:p>
      <w:pPr>
        <w:pStyle w:val="2"/>
        <w:spacing w:before="93"/>
        <w:rPr>
          <w:rFonts w:ascii="Times New Roman" w:cs="宋体"/>
          <w:color w:val="FF0000"/>
          <w:sz w:val="32"/>
          <w:szCs w:val="32"/>
          <w:highlight w:val="yellow"/>
          <w:shd w:val="clear" w:color="auto" w:fill="FFFFFF"/>
          <w:lang w:val="zh-CN"/>
        </w:rPr>
      </w:pPr>
    </w:p>
    <w:p>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pPr>
        <w:widowControl/>
        <w:jc w:val="center"/>
        <w:rPr>
          <w:rFonts w:eastAsia="仿宋"/>
        </w:rPr>
      </w:pPr>
      <w:bookmarkStart w:id="173" w:name="_Toc15396618"/>
      <w:bookmarkStart w:id="174" w:name="_Toc2066157494_WPSOffice_Level1"/>
      <w:r>
        <w:rPr>
          <w:rFonts w:hint="eastAsia" w:eastAsia="黑体"/>
          <w:sz w:val="44"/>
          <w:szCs w:val="44"/>
        </w:rPr>
        <w:t>第</w:t>
      </w:r>
      <w:r>
        <w:rPr>
          <w:rStyle w:val="29"/>
          <w:rFonts w:hint="eastAsia" w:eastAsia="黑体"/>
          <w:b w:val="0"/>
        </w:rPr>
        <w:t>五部分 附表</w:t>
      </w:r>
      <w:bookmarkEnd w:id="153"/>
      <w:bookmarkEnd w:id="173"/>
      <w:bookmarkEnd w:id="174"/>
      <w:bookmarkStart w:id="175"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bookmarkStart w:id="176" w:name="_Toc1507143069_WPSOffice_Level2"/>
      <w:r>
        <w:rPr>
          <w:rFonts w:hint="eastAsia" w:eastAsia="仿宋_GB2312" w:cs="仿宋_GB2312"/>
          <w:sz w:val="32"/>
          <w:szCs w:val="32"/>
        </w:rPr>
        <w:t>一、收入支出决算总表</w:t>
      </w:r>
      <w:bookmarkEnd w:id="175"/>
      <w:bookmarkEnd w:id="176"/>
    </w:p>
    <w:p>
      <w:pPr>
        <w:pStyle w:val="14"/>
        <w:adjustRightInd w:val="0"/>
        <w:snapToGrid w:val="0"/>
        <w:spacing w:line="560" w:lineRule="exact"/>
        <w:jc w:val="left"/>
        <w:rPr>
          <w:rFonts w:eastAsia="仿宋_GB2312" w:cs="仿宋_GB2312"/>
          <w:sz w:val="32"/>
          <w:szCs w:val="32"/>
        </w:rPr>
      </w:pPr>
      <w:bookmarkStart w:id="177" w:name="_Toc15396620"/>
      <w:bookmarkStart w:id="178" w:name="_Toc896769491_WPSOffice_Level2"/>
      <w:r>
        <w:rPr>
          <w:rFonts w:hint="eastAsia" w:eastAsia="仿宋_GB2312" w:cs="仿宋_GB2312"/>
          <w:sz w:val="32"/>
          <w:szCs w:val="32"/>
        </w:rPr>
        <w:t>二、收入决算表</w:t>
      </w:r>
      <w:bookmarkEnd w:id="177"/>
      <w:bookmarkEnd w:id="178"/>
    </w:p>
    <w:p>
      <w:pPr>
        <w:pStyle w:val="14"/>
        <w:adjustRightInd w:val="0"/>
        <w:snapToGrid w:val="0"/>
        <w:spacing w:line="560" w:lineRule="exact"/>
        <w:jc w:val="left"/>
        <w:rPr>
          <w:rFonts w:eastAsia="仿宋_GB2312" w:cs="仿宋_GB2312"/>
          <w:sz w:val="32"/>
          <w:szCs w:val="32"/>
        </w:rPr>
      </w:pPr>
      <w:bookmarkStart w:id="179" w:name="_Toc15396621"/>
      <w:bookmarkStart w:id="180" w:name="_Toc425731371_WPSOffice_Level2"/>
      <w:r>
        <w:rPr>
          <w:rFonts w:hint="eastAsia" w:eastAsia="仿宋_GB2312" w:cs="仿宋_GB2312"/>
          <w:sz w:val="32"/>
          <w:szCs w:val="32"/>
        </w:rPr>
        <w:t>三、支出决算表</w:t>
      </w:r>
      <w:bookmarkEnd w:id="179"/>
      <w:bookmarkEnd w:id="180"/>
    </w:p>
    <w:p>
      <w:pPr>
        <w:pStyle w:val="14"/>
        <w:adjustRightInd w:val="0"/>
        <w:snapToGrid w:val="0"/>
        <w:spacing w:line="560" w:lineRule="exact"/>
        <w:jc w:val="left"/>
        <w:rPr>
          <w:rFonts w:eastAsia="仿宋_GB2312" w:cs="仿宋_GB2312"/>
          <w:sz w:val="32"/>
          <w:szCs w:val="32"/>
        </w:rPr>
      </w:pPr>
      <w:bookmarkStart w:id="181" w:name="_Toc15396622"/>
      <w:bookmarkStart w:id="182" w:name="_Toc2032671425_WPSOffice_Level2"/>
      <w:r>
        <w:rPr>
          <w:rFonts w:hint="eastAsia" w:eastAsia="仿宋_GB2312" w:cs="仿宋_GB2312"/>
          <w:sz w:val="32"/>
          <w:szCs w:val="32"/>
        </w:rPr>
        <w:t>四、财政拨款收入支出决算总表</w:t>
      </w:r>
      <w:bookmarkEnd w:id="181"/>
      <w:bookmarkEnd w:id="182"/>
    </w:p>
    <w:p>
      <w:pPr>
        <w:pStyle w:val="14"/>
        <w:adjustRightInd w:val="0"/>
        <w:snapToGrid w:val="0"/>
        <w:spacing w:line="560" w:lineRule="exact"/>
        <w:jc w:val="left"/>
        <w:rPr>
          <w:rFonts w:eastAsia="仿宋_GB2312" w:cs="仿宋_GB2312"/>
          <w:sz w:val="32"/>
          <w:szCs w:val="32"/>
        </w:rPr>
      </w:pPr>
      <w:bookmarkStart w:id="183" w:name="_Toc2003985683_WPSOffice_Level2"/>
      <w:bookmarkStart w:id="184" w:name="_Toc15396623"/>
      <w:r>
        <w:rPr>
          <w:rFonts w:hint="eastAsia" w:eastAsia="仿宋_GB2312" w:cs="仿宋_GB2312"/>
          <w:sz w:val="32"/>
          <w:szCs w:val="32"/>
        </w:rPr>
        <w:t>五、财政拨款支出决算明细表</w:t>
      </w:r>
      <w:bookmarkEnd w:id="183"/>
      <w:bookmarkEnd w:id="184"/>
      <w:bookmarkStart w:id="185" w:name="_Toc15396624"/>
    </w:p>
    <w:p>
      <w:pPr>
        <w:pStyle w:val="14"/>
        <w:adjustRightInd w:val="0"/>
        <w:snapToGrid w:val="0"/>
        <w:spacing w:line="560" w:lineRule="exact"/>
        <w:jc w:val="left"/>
        <w:rPr>
          <w:rFonts w:eastAsia="仿宋_GB2312" w:cs="仿宋_GB2312"/>
          <w:sz w:val="32"/>
          <w:szCs w:val="32"/>
        </w:rPr>
      </w:pPr>
      <w:bookmarkStart w:id="186" w:name="_Toc524431987_WPSOffice_Level2"/>
      <w:r>
        <w:rPr>
          <w:rFonts w:hint="eastAsia" w:eastAsia="仿宋_GB2312" w:cs="仿宋_GB2312"/>
          <w:sz w:val="32"/>
          <w:szCs w:val="32"/>
        </w:rPr>
        <w:t>六、一般公共预算财政拨款支出决算表</w:t>
      </w:r>
      <w:bookmarkEnd w:id="185"/>
      <w:bookmarkEnd w:id="186"/>
    </w:p>
    <w:p>
      <w:pPr>
        <w:pStyle w:val="14"/>
        <w:adjustRightInd w:val="0"/>
        <w:snapToGrid w:val="0"/>
        <w:spacing w:line="560" w:lineRule="exact"/>
        <w:jc w:val="left"/>
        <w:rPr>
          <w:rFonts w:eastAsia="仿宋_GB2312" w:cs="仿宋_GB2312"/>
          <w:sz w:val="32"/>
          <w:szCs w:val="32"/>
        </w:rPr>
      </w:pPr>
      <w:bookmarkStart w:id="187" w:name="_Toc15396625"/>
      <w:bookmarkStart w:id="188" w:name="_Toc756633715_WPSOffice_Level2"/>
      <w:r>
        <w:rPr>
          <w:rFonts w:hint="eastAsia" w:eastAsia="仿宋_GB2312" w:cs="仿宋_GB2312"/>
          <w:sz w:val="32"/>
          <w:szCs w:val="32"/>
        </w:rPr>
        <w:t>七、一般公共预算财政拨款支出决算明细表</w:t>
      </w:r>
      <w:bookmarkEnd w:id="187"/>
      <w:bookmarkEnd w:id="188"/>
    </w:p>
    <w:p>
      <w:pPr>
        <w:pStyle w:val="14"/>
        <w:adjustRightInd w:val="0"/>
        <w:snapToGrid w:val="0"/>
        <w:spacing w:line="560" w:lineRule="exact"/>
        <w:jc w:val="left"/>
        <w:rPr>
          <w:rFonts w:eastAsia="仿宋_GB2312" w:cs="仿宋_GB2312"/>
          <w:sz w:val="32"/>
          <w:szCs w:val="32"/>
        </w:rPr>
      </w:pPr>
      <w:bookmarkStart w:id="189" w:name="_Toc15396626"/>
      <w:bookmarkStart w:id="190" w:name="_Toc1679968591_WPSOffice_Level2"/>
      <w:r>
        <w:rPr>
          <w:rFonts w:hint="eastAsia" w:eastAsia="仿宋_GB2312" w:cs="仿宋_GB2312"/>
          <w:sz w:val="32"/>
          <w:szCs w:val="32"/>
        </w:rPr>
        <w:t>八、一般公共预算财政拨款基本支出决算表</w:t>
      </w:r>
      <w:bookmarkEnd w:id="189"/>
      <w:bookmarkEnd w:id="190"/>
    </w:p>
    <w:p>
      <w:pPr>
        <w:pStyle w:val="14"/>
        <w:adjustRightInd w:val="0"/>
        <w:snapToGrid w:val="0"/>
        <w:spacing w:line="560" w:lineRule="exact"/>
        <w:jc w:val="left"/>
        <w:rPr>
          <w:rFonts w:eastAsia="仿宋_GB2312" w:cs="仿宋_GB2312"/>
          <w:sz w:val="32"/>
          <w:szCs w:val="32"/>
        </w:rPr>
      </w:pPr>
      <w:bookmarkStart w:id="191" w:name="_Toc15396627"/>
      <w:bookmarkStart w:id="192" w:name="_Toc599591509_WPSOffice_Level2"/>
      <w:r>
        <w:rPr>
          <w:rFonts w:hint="eastAsia" w:eastAsia="仿宋_GB2312" w:cs="仿宋_GB2312"/>
          <w:sz w:val="32"/>
          <w:szCs w:val="32"/>
        </w:rPr>
        <w:t>九、一般公共预算财政拨款项目支出决算表</w:t>
      </w:r>
      <w:bookmarkEnd w:id="191"/>
      <w:bookmarkEnd w:id="192"/>
    </w:p>
    <w:p>
      <w:pPr>
        <w:pStyle w:val="14"/>
        <w:adjustRightInd w:val="0"/>
        <w:snapToGrid w:val="0"/>
        <w:spacing w:line="560" w:lineRule="exact"/>
        <w:jc w:val="left"/>
        <w:rPr>
          <w:rFonts w:eastAsia="仿宋_GB2312" w:cs="仿宋_GB2312"/>
          <w:sz w:val="32"/>
          <w:szCs w:val="32"/>
        </w:rPr>
      </w:pPr>
      <w:bookmarkStart w:id="193" w:name="_Toc15396628"/>
      <w:bookmarkStart w:id="194" w:name="_Toc1813389184_WPSOffice_Level2"/>
      <w:r>
        <w:rPr>
          <w:rFonts w:hint="eastAsia" w:eastAsia="仿宋_GB2312" w:cs="仿宋_GB2312"/>
          <w:sz w:val="32"/>
          <w:szCs w:val="32"/>
        </w:rPr>
        <w:t>十、</w:t>
      </w:r>
      <w:bookmarkEnd w:id="193"/>
      <w:r>
        <w:rPr>
          <w:rFonts w:hint="eastAsia" w:eastAsia="仿宋_GB2312" w:cs="仿宋_GB2312"/>
          <w:sz w:val="32"/>
          <w:szCs w:val="32"/>
        </w:rPr>
        <w:t>政府性基金预算财政拨款收入支出决算表</w:t>
      </w:r>
      <w:bookmarkEnd w:id="194"/>
    </w:p>
    <w:p>
      <w:pPr>
        <w:pStyle w:val="14"/>
        <w:adjustRightInd w:val="0"/>
        <w:snapToGrid w:val="0"/>
        <w:spacing w:line="560" w:lineRule="exact"/>
        <w:jc w:val="left"/>
        <w:rPr>
          <w:rFonts w:eastAsia="仿宋_GB2312" w:cs="仿宋_GB2312"/>
          <w:sz w:val="32"/>
          <w:szCs w:val="32"/>
        </w:rPr>
      </w:pPr>
      <w:bookmarkStart w:id="195" w:name="_Toc15396629"/>
      <w:bookmarkStart w:id="196" w:name="_Toc1288905032_WPSOffice_Level2"/>
      <w:r>
        <w:rPr>
          <w:rFonts w:hint="eastAsia" w:eastAsia="仿宋_GB2312" w:cs="仿宋_GB2312"/>
          <w:sz w:val="32"/>
          <w:szCs w:val="32"/>
        </w:rPr>
        <w:t>十一、</w:t>
      </w:r>
      <w:bookmarkEnd w:id="195"/>
      <w:r>
        <w:rPr>
          <w:rFonts w:hint="eastAsia" w:eastAsia="仿宋_GB2312" w:cs="仿宋_GB2312"/>
          <w:sz w:val="32"/>
          <w:szCs w:val="32"/>
        </w:rPr>
        <w:t>国有资本经营预算财政拨款收入支出决算表</w:t>
      </w:r>
      <w:bookmarkEnd w:id="196"/>
    </w:p>
    <w:p>
      <w:pPr>
        <w:pStyle w:val="14"/>
        <w:adjustRightInd w:val="0"/>
        <w:snapToGrid w:val="0"/>
        <w:spacing w:line="560" w:lineRule="exact"/>
        <w:jc w:val="left"/>
        <w:rPr>
          <w:rFonts w:eastAsia="仿宋_GB2312" w:cs="仿宋_GB2312"/>
          <w:sz w:val="32"/>
          <w:szCs w:val="32"/>
        </w:rPr>
      </w:pPr>
      <w:bookmarkStart w:id="197" w:name="_Toc15396630"/>
      <w:bookmarkStart w:id="198" w:name="_Toc886390333_WPSOffice_Level2"/>
      <w:r>
        <w:rPr>
          <w:rFonts w:hint="eastAsia" w:eastAsia="仿宋_GB2312" w:cs="仿宋_GB2312"/>
          <w:sz w:val="32"/>
          <w:szCs w:val="32"/>
        </w:rPr>
        <w:t>十二、</w:t>
      </w:r>
      <w:bookmarkEnd w:id="197"/>
      <w:r>
        <w:rPr>
          <w:rFonts w:hint="eastAsia" w:eastAsia="仿宋_GB2312" w:cs="仿宋_GB2312"/>
          <w:sz w:val="32"/>
          <w:szCs w:val="32"/>
        </w:rPr>
        <w:t>国有资本经营预算财政拨款支出决算表</w:t>
      </w:r>
      <w:bookmarkEnd w:id="198"/>
    </w:p>
    <w:p>
      <w:pPr>
        <w:pStyle w:val="14"/>
        <w:adjustRightInd w:val="0"/>
        <w:snapToGrid w:val="0"/>
        <w:spacing w:line="560" w:lineRule="exact"/>
        <w:jc w:val="left"/>
        <w:rPr>
          <w:rFonts w:eastAsia="仿宋_GB2312" w:cs="仿宋_GB2312"/>
          <w:sz w:val="32"/>
          <w:szCs w:val="32"/>
        </w:rPr>
      </w:pPr>
      <w:bookmarkStart w:id="199" w:name="_Toc15396631"/>
      <w:bookmarkStart w:id="200" w:name="_Toc421501963_WPSOffice_Level2"/>
      <w:r>
        <w:rPr>
          <w:rFonts w:hint="eastAsia" w:eastAsia="仿宋_GB2312" w:cs="仿宋_GB2312"/>
          <w:sz w:val="32"/>
          <w:szCs w:val="32"/>
        </w:rPr>
        <w:t>十三、</w:t>
      </w:r>
      <w:bookmarkEnd w:id="199"/>
      <w:r>
        <w:rPr>
          <w:rFonts w:hint="eastAsia" w:eastAsia="仿宋_GB2312" w:cs="仿宋_GB2312"/>
          <w:sz w:val="32"/>
          <w:szCs w:val="32"/>
        </w:rPr>
        <w:t>财政拨款“三公”经费支出决算表</w:t>
      </w:r>
      <w:bookmarkEnd w:id="200"/>
    </w:p>
    <w:p/>
    <w:sectPr>
      <w:footerReference r:id="rId9"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汉仪仿宋S"/>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anumGothic">
    <w:panose1 w:val="020D0604000000000000"/>
    <w:charset w:val="81"/>
    <w:family w:val="auto"/>
    <w:pitch w:val="default"/>
    <w:sig w:usb0="900002A7" w:usb1="29D7FCFB" w:usb2="0000001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q+O8FQIAABkEAAAOAAAAAAAAAAEAIAAAADUBAABkcnMvZTJvRG9jLnhtbFBLBQYAAAAABgAG&#10;AFkBAAC8BQAAAAA=&#10;">
              <v:fill on="f" focussize="0,0"/>
              <v:stroke on="f" weight="0.5pt"/>
              <v:imagedata o:title=""/>
              <o:lock v:ext="edit" aspectratio="f"/>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2F2E94"/>
    <w:multiLevelType w:val="singleLevel"/>
    <w:tmpl w:val="172F2E9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C04E49"/>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DFF3444"/>
    <w:rsid w:val="1E740ACF"/>
    <w:rsid w:val="1EFA235A"/>
    <w:rsid w:val="1FF35744"/>
    <w:rsid w:val="1FF6BC77"/>
    <w:rsid w:val="21962A9E"/>
    <w:rsid w:val="21AE7C77"/>
    <w:rsid w:val="22BC3C41"/>
    <w:rsid w:val="23860B96"/>
    <w:rsid w:val="240371BF"/>
    <w:rsid w:val="260F557C"/>
    <w:rsid w:val="281408E2"/>
    <w:rsid w:val="29FD04D3"/>
    <w:rsid w:val="2BFF7BC6"/>
    <w:rsid w:val="2C8A61B5"/>
    <w:rsid w:val="2D2E01CF"/>
    <w:rsid w:val="2D454F31"/>
    <w:rsid w:val="2DF04E50"/>
    <w:rsid w:val="2E9545B0"/>
    <w:rsid w:val="2EF7164C"/>
    <w:rsid w:val="2F040D46"/>
    <w:rsid w:val="2FAE5751"/>
    <w:rsid w:val="2FB1A395"/>
    <w:rsid w:val="2FD9A7D8"/>
    <w:rsid w:val="319F7F4E"/>
    <w:rsid w:val="321B2544"/>
    <w:rsid w:val="3304709D"/>
    <w:rsid w:val="34281836"/>
    <w:rsid w:val="349D6851"/>
    <w:rsid w:val="35BA6CAF"/>
    <w:rsid w:val="360B000C"/>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123B1B"/>
    <w:rsid w:val="4EAB630A"/>
    <w:rsid w:val="4ECE2238"/>
    <w:rsid w:val="4F833267"/>
    <w:rsid w:val="4FE9BD67"/>
    <w:rsid w:val="4FFB052F"/>
    <w:rsid w:val="53083A92"/>
    <w:rsid w:val="537E6D0A"/>
    <w:rsid w:val="53AF27A2"/>
    <w:rsid w:val="53F74C96"/>
    <w:rsid w:val="54674065"/>
    <w:rsid w:val="56E47B74"/>
    <w:rsid w:val="57BD3DD4"/>
    <w:rsid w:val="57EACB88"/>
    <w:rsid w:val="583B0154"/>
    <w:rsid w:val="5AF92295"/>
    <w:rsid w:val="5BDD79E6"/>
    <w:rsid w:val="5BF561CA"/>
    <w:rsid w:val="5BFF5DFC"/>
    <w:rsid w:val="5CD71FC4"/>
    <w:rsid w:val="5D1F11B5"/>
    <w:rsid w:val="5D9E6F62"/>
    <w:rsid w:val="5DAE1B18"/>
    <w:rsid w:val="5DE7D9E5"/>
    <w:rsid w:val="5ECEC941"/>
    <w:rsid w:val="5EF7B095"/>
    <w:rsid w:val="5F493CB7"/>
    <w:rsid w:val="5FBF9FF3"/>
    <w:rsid w:val="5FCD4E2C"/>
    <w:rsid w:val="5FD15F49"/>
    <w:rsid w:val="5FEF394A"/>
    <w:rsid w:val="5FF67715"/>
    <w:rsid w:val="62A6976A"/>
    <w:rsid w:val="62BF3928"/>
    <w:rsid w:val="647F5392"/>
    <w:rsid w:val="664B1D71"/>
    <w:rsid w:val="67AA3209"/>
    <w:rsid w:val="67FBCE21"/>
    <w:rsid w:val="681C4F0D"/>
    <w:rsid w:val="69046D0F"/>
    <w:rsid w:val="698D0931"/>
    <w:rsid w:val="6A993CED"/>
    <w:rsid w:val="6B053271"/>
    <w:rsid w:val="6B0B929B"/>
    <w:rsid w:val="6BCE6674"/>
    <w:rsid w:val="6C4A05C8"/>
    <w:rsid w:val="6C8742B8"/>
    <w:rsid w:val="6C8A170F"/>
    <w:rsid w:val="6CB54609"/>
    <w:rsid w:val="6DBF5E93"/>
    <w:rsid w:val="6DFF077E"/>
    <w:rsid w:val="6E7E3605"/>
    <w:rsid w:val="6E7FDCC7"/>
    <w:rsid w:val="6ED6A62E"/>
    <w:rsid w:val="6EE00B15"/>
    <w:rsid w:val="6F3D1F71"/>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DD48AB"/>
    <w:rsid w:val="73FA1DA9"/>
    <w:rsid w:val="73FA497D"/>
    <w:rsid w:val="744731E5"/>
    <w:rsid w:val="74527205"/>
    <w:rsid w:val="74BBD01D"/>
    <w:rsid w:val="74ED5379"/>
    <w:rsid w:val="74EF4497"/>
    <w:rsid w:val="74FC2395"/>
    <w:rsid w:val="75DEEEC2"/>
    <w:rsid w:val="76E3355F"/>
    <w:rsid w:val="76FF5125"/>
    <w:rsid w:val="776F6FFA"/>
    <w:rsid w:val="778769C8"/>
    <w:rsid w:val="77DC22F5"/>
    <w:rsid w:val="79086DAD"/>
    <w:rsid w:val="79974F09"/>
    <w:rsid w:val="79D7FD79"/>
    <w:rsid w:val="79EE5BA4"/>
    <w:rsid w:val="7A894339"/>
    <w:rsid w:val="7AF7359E"/>
    <w:rsid w:val="7AFF7572"/>
    <w:rsid w:val="7B6C7DFB"/>
    <w:rsid w:val="7BBFBED0"/>
    <w:rsid w:val="7BC3E394"/>
    <w:rsid w:val="7BFF42D9"/>
    <w:rsid w:val="7C1F3737"/>
    <w:rsid w:val="7CA53C16"/>
    <w:rsid w:val="7CBFC87B"/>
    <w:rsid w:val="7CFE0F48"/>
    <w:rsid w:val="7D7EC23E"/>
    <w:rsid w:val="7D916348"/>
    <w:rsid w:val="7DDF1351"/>
    <w:rsid w:val="7E8ADEBF"/>
    <w:rsid w:val="7EDDF83C"/>
    <w:rsid w:val="7EEF11D3"/>
    <w:rsid w:val="7EF3932D"/>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636BD"/>
    <w:rsid w:val="7FF7C0F3"/>
    <w:rsid w:val="7FF93490"/>
    <w:rsid w:val="99FF2014"/>
    <w:rsid w:val="A6DD0D7F"/>
    <w:rsid w:val="ADC6F725"/>
    <w:rsid w:val="B1AD80EE"/>
    <w:rsid w:val="B7CF06AB"/>
    <w:rsid w:val="B7CFA926"/>
    <w:rsid w:val="B7F84115"/>
    <w:rsid w:val="B7F8786B"/>
    <w:rsid w:val="BABB6AA1"/>
    <w:rsid w:val="BB2F4199"/>
    <w:rsid w:val="BD079C78"/>
    <w:rsid w:val="BD733540"/>
    <w:rsid w:val="BF3735D5"/>
    <w:rsid w:val="BF6F78FE"/>
    <w:rsid w:val="BF7F09AC"/>
    <w:rsid w:val="BFD475C3"/>
    <w:rsid w:val="BFDE5EA6"/>
    <w:rsid w:val="BFFE1A4A"/>
    <w:rsid w:val="C6FD24F0"/>
    <w:rsid w:val="CF6FC6F3"/>
    <w:rsid w:val="CFD3D3D7"/>
    <w:rsid w:val="CFDF1009"/>
    <w:rsid w:val="D7D7B16A"/>
    <w:rsid w:val="D8D6DB89"/>
    <w:rsid w:val="DB6F4CAB"/>
    <w:rsid w:val="DB777682"/>
    <w:rsid w:val="DD1FB521"/>
    <w:rsid w:val="DEDF5AA3"/>
    <w:rsid w:val="DEFBFEAE"/>
    <w:rsid w:val="DF1F3B80"/>
    <w:rsid w:val="DF6F9789"/>
    <w:rsid w:val="DFBB01E7"/>
    <w:rsid w:val="DFFFA9E8"/>
    <w:rsid w:val="E5F4E9DC"/>
    <w:rsid w:val="E70FE695"/>
    <w:rsid w:val="EB4B44E6"/>
    <w:rsid w:val="ECFED1BC"/>
    <w:rsid w:val="ED1D69BB"/>
    <w:rsid w:val="ED7FD312"/>
    <w:rsid w:val="EF53993F"/>
    <w:rsid w:val="EF6FD633"/>
    <w:rsid w:val="EFBFB2F4"/>
    <w:rsid w:val="EFBFFA21"/>
    <w:rsid w:val="F2BEBCB8"/>
    <w:rsid w:val="F36FB518"/>
    <w:rsid w:val="F3DE1A04"/>
    <w:rsid w:val="F3F722E5"/>
    <w:rsid w:val="F7E5D673"/>
    <w:rsid w:val="F7F7476F"/>
    <w:rsid w:val="FA5F1E70"/>
    <w:rsid w:val="FA5FDB97"/>
    <w:rsid w:val="FB7F486A"/>
    <w:rsid w:val="FBE69120"/>
    <w:rsid w:val="FBFF5B2E"/>
    <w:rsid w:val="FD7FFE2B"/>
    <w:rsid w:val="FDDD8273"/>
    <w:rsid w:val="FDEE196B"/>
    <w:rsid w:val="FDF6BAF3"/>
    <w:rsid w:val="FDFE6575"/>
    <w:rsid w:val="FE7FBEE9"/>
    <w:rsid w:val="FEDFDDC2"/>
    <w:rsid w:val="FEED32F6"/>
    <w:rsid w:val="FEF781DD"/>
    <w:rsid w:val="FEFD77E2"/>
    <w:rsid w:val="FF3F7E3F"/>
    <w:rsid w:val="FFBA12D7"/>
    <w:rsid w:val="FFDFFAEE"/>
    <w:rsid w:val="FFF9B57B"/>
    <w:rsid w:val="FFFD61D9"/>
    <w:rsid w:val="FFFD8F59"/>
    <w:rsid w:val="FFFF2BB1"/>
    <w:rsid w:val="FFFF9913"/>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6"/>
    <w:qFormat/>
    <w:uiPriority w:val="99"/>
    <w:pPr>
      <w:spacing w:beforeLines="30"/>
    </w:pPr>
    <w:rPr>
      <w:rFonts w:ascii="仿宋_GB2312" w:eastAsia="仿宋_GB2312"/>
      <w:kern w:val="0"/>
      <w:sz w:val="30"/>
    </w:rPr>
  </w:style>
  <w:style w:type="paragraph" w:styleId="3">
    <w:name w:val="Body Text Indent"/>
    <w:basedOn w:val="1"/>
    <w:next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3"/>
    <w:next w:val="1"/>
    <w:link w:val="3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4"/>
    <w:qFormat/>
    <w:uiPriority w:val="9"/>
    <w:rPr>
      <w:rFonts w:ascii="Times New Roman" w:hAnsi="Times New Roman"/>
      <w:b/>
      <w:bCs/>
      <w:kern w:val="44"/>
      <w:sz w:val="44"/>
      <w:szCs w:val="44"/>
    </w:rPr>
  </w:style>
  <w:style w:type="character" w:customStyle="1" w:styleId="30">
    <w:name w:val="标题 2 Char"/>
    <w:basedOn w:val="17"/>
    <w:link w:val="5"/>
    <w:qFormat/>
    <w:uiPriority w:val="9"/>
    <w:rPr>
      <w:rFonts w:asciiTheme="majorHAnsi" w:hAnsiTheme="majorHAnsi" w:eastAsiaTheme="majorEastAsia" w:cstheme="majorBidi"/>
      <w:b/>
      <w:bCs/>
      <w:kern w:val="2"/>
      <w:sz w:val="32"/>
      <w:szCs w:val="32"/>
    </w:rPr>
  </w:style>
  <w:style w:type="paragraph" w:customStyle="1" w:styleId="31">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6"/>
    <w:qFormat/>
    <w:uiPriority w:val="9"/>
    <w:rPr>
      <w:rFonts w:ascii="Times New Roman" w:hAnsi="Times New Roman"/>
      <w:b/>
      <w:bCs/>
      <w:kern w:val="2"/>
      <w:sz w:val="32"/>
      <w:szCs w:val="32"/>
    </w:rPr>
  </w:style>
  <w:style w:type="paragraph" w:customStyle="1" w:styleId="34">
    <w:name w:val="TOC 标题2"/>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正文首行缩进 2 Char"/>
    <w:basedOn w:val="17"/>
    <w:link w:val="13"/>
    <w:qFormat/>
    <w:uiPriority w:val="99"/>
    <w:rPr>
      <w:rFonts w:ascii="仿宋_GB2312"/>
      <w:kern w:val="2"/>
      <w:sz w:val="21"/>
      <w:szCs w:val="32"/>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 w:type="paragraph" w:customStyle="1" w:styleId="39">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chart" Target="charts/chart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pc\Desktop\2024&#24180;&#20915;&#31639;&#20844;&#24320;\&#25991;&#20214;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false"/>
      <c:spPr>
        <a:noFill/>
        <a:ln>
          <a:noFill/>
        </a:ln>
        <a:effectLst/>
      </c:spPr>
    </c:title>
    <c:autoTitleDeleted val="false"/>
    <c:plotArea>
      <c:layout/>
      <c:pieChart>
        <c:varyColors val="true"/>
        <c:ser>
          <c:idx val="0"/>
          <c:order val="0"/>
          <c:tx>
            <c:strRef>
              <c:f>[文件4.xls]工作表2!$A$4</c:f>
              <c:strCache>
                <c:ptCount val="1"/>
                <c:pt idx="0">
                  <c:v>一般公共预算财政拨款收入</c:v>
                </c:pt>
              </c:strCache>
            </c:strRef>
          </c:tx>
          <c:spPr>
            <a:ln w="19050">
              <a:noFill/>
            </a:ln>
            <a:sp3d contourW="9525"/>
          </c:spPr>
          <c:explosion val="0"/>
          <c:dPt>
            <c:idx val="0"/>
            <c:bubble3D val="false"/>
            <c:spPr>
              <a:solidFill>
                <a:schemeClr val="accent1"/>
              </a:solidFill>
              <a:ln w="19050">
                <a:noFill/>
              </a:ln>
              <a:effectLst/>
              <a:sp3d contourW="9525"/>
            </c:spPr>
          </c:dPt>
          <c:dLbls>
            <c:dLbl>
              <c:idx val="0"/>
              <c:layout>
                <c:manualLayout>
                  <c:x val="-0.00947429702537453"/>
                  <c:y val="-0.273324074075209"/>
                </c:manualLayout>
              </c:layout>
              <c:tx>
                <c:rich>
                  <a:bodyPr rot="0" spcFirstLastPara="0" vertOverflow="ellipsis" vert="horz" wrap="square" lIns="38100" tIns="19050" rIns="38100" bIns="19050" anchor="ctr" anchorCtr="true"/>
                  <a:lstStyle/>
                  <a:p>
                    <a:pPr defTabSz="914400">
                      <a:defRPr lang="zh-CN" sz="1000" b="0" i="0" u="none" strike="noStrike" kern="1200" baseline="0">
                        <a:solidFill>
                          <a:schemeClr val="tx1">
                            <a:lumMod val="75000"/>
                            <a:lumOff val="25000"/>
                          </a:schemeClr>
                        </a:solidFill>
                        <a:latin typeface="+mn-lt"/>
                        <a:ea typeface="+mn-ea"/>
                        <a:cs typeface="+mn-cs"/>
                      </a:defRPr>
                    </a:pPr>
                    <a:r>
                      <a:t>一般公共预算财政拨款收入</a:t>
                    </a:r>
                    <a:r>
                      <a:rPr lang="en-US" altLang="zh-CN"/>
                      <a:t>,</a:t>
                    </a:r>
                    <a:r>
                      <a:rPr altLang="en-US"/>
                      <a:t>占本年收入</a:t>
                    </a:r>
                    <a:r>
                      <a:t>100%</a:t>
                    </a:r>
                  </a:p>
                </c:rich>
              </c:tx>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manualLayout>
                      <c:w val="0.324868421052632"/>
                      <c:h val="0.235416666666667"/>
                    </c:manualLayout>
                  </c15:layout>
                </c:ext>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fals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val>
            <c:numRef>
              <c:f>[文件4.xls]工作表2!$B$4</c:f>
              <c:numCache>
                <c:formatCode>General</c:formatCode>
                <c:ptCount val="1"/>
                <c:pt idx="0">
                  <c:v>4451.26</c:v>
                </c:pt>
              </c:numCache>
            </c:numRef>
          </c:val>
        </c:ser>
        <c:dLbls>
          <c:showLegendKey val="false"/>
          <c:showVal val="false"/>
          <c:showCatName val="true"/>
          <c:showSerName val="false"/>
          <c:showPercent val="true"/>
          <c:showBubbleSize val="false"/>
          <c:showLeaderLines val="true"/>
        </c:dLbls>
        <c:firstSliceAng val="0"/>
      </c:pieChart>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161743c-0f33-44cd-a3d0-46abdf9e6f06}"/>
        <w:style w:val=""/>
        <w:category>
          <w:name w:val="常规"/>
          <w:gallery w:val="placeholder"/>
        </w:category>
        <w:types>
          <w:type w:val="bbPlcHdr"/>
        </w:types>
        <w:behaviors>
          <w:behavior w:val="content"/>
        </w:behaviors>
        <w:description w:val=""/>
        <w:guid w:val="{9161743c-0f33-44cd-a3d0-46abdf9e6f06}"/>
      </w:docPartPr>
      <w:docPartBody>
        <w:p>
          <w:r>
            <w:rPr>
              <w:color w:val="808080"/>
            </w:rPr>
            <w:t>单击此处输入文字。</w:t>
          </w:r>
        </w:p>
      </w:docPartBody>
    </w:docPart>
    <w:docPart>
      <w:docPartPr>
        <w:name w:val="{d74bcac2-e2fc-4e89-934c-7f0f4bc220dd}"/>
        <w:style w:val=""/>
        <w:category>
          <w:name w:val="常规"/>
          <w:gallery w:val="placeholder"/>
        </w:category>
        <w:types>
          <w:type w:val="bbPlcHdr"/>
        </w:types>
        <w:behaviors>
          <w:behavior w:val="content"/>
        </w:behaviors>
        <w:description w:val=""/>
        <w:guid w:val="{d74bcac2-e2fc-4e89-934c-7f0f4bc220dd}"/>
      </w:docPartPr>
      <w:docPartBody>
        <w:p>
          <w:r>
            <w:rPr>
              <w:color w:val="808080"/>
            </w:rPr>
            <w:t>单击此处输入文字。</w:t>
          </w:r>
        </w:p>
      </w:docPartBody>
    </w:docPart>
    <w:docPart>
      <w:docPartPr>
        <w:name w:val="{412ab667-5fa4-44c2-8967-4a9cd5268e82}"/>
        <w:style w:val=""/>
        <w:category>
          <w:name w:val="常规"/>
          <w:gallery w:val="placeholder"/>
        </w:category>
        <w:types>
          <w:type w:val="bbPlcHdr"/>
        </w:types>
        <w:behaviors>
          <w:behavior w:val="content"/>
        </w:behaviors>
        <w:description w:val=""/>
        <w:guid w:val="{412ab667-5fa4-44c2-8967-4a9cd5268e82}"/>
      </w:docPartPr>
      <w:docPartBody>
        <w:p>
          <w:r>
            <w:rPr>
              <w:color w:val="808080"/>
            </w:rPr>
            <w:t>单击此处输入文字。</w:t>
          </w:r>
        </w:p>
      </w:docPartBody>
    </w:docPart>
    <w:docPart>
      <w:docPartPr>
        <w:name w:val="{e1d0cea4-510d-41b0-8847-fbc711709a46}"/>
        <w:style w:val=""/>
        <w:category>
          <w:name w:val="常规"/>
          <w:gallery w:val="placeholder"/>
        </w:category>
        <w:types>
          <w:type w:val="bbPlcHdr"/>
        </w:types>
        <w:behaviors>
          <w:behavior w:val="content"/>
        </w:behaviors>
        <w:description w:val=""/>
        <w:guid w:val="{e1d0cea4-510d-41b0-8847-fbc711709a46}"/>
      </w:docPartPr>
      <w:docPartBody>
        <w:p>
          <w:r>
            <w:rPr>
              <w:color w:val="808080"/>
            </w:rPr>
            <w:t>单击此处输入文字。</w:t>
          </w:r>
        </w:p>
      </w:docPartBody>
    </w:docPart>
    <w:docPart>
      <w:docPartPr>
        <w:name w:val="{0d149023-fbd6-41ca-bc47-6c605d80ce01}"/>
        <w:style w:val=""/>
        <w:category>
          <w:name w:val="常规"/>
          <w:gallery w:val="placeholder"/>
        </w:category>
        <w:types>
          <w:type w:val="bbPlcHdr"/>
        </w:types>
        <w:behaviors>
          <w:behavior w:val="content"/>
        </w:behaviors>
        <w:description w:val=""/>
        <w:guid w:val="{0d149023-fbd6-41ca-bc47-6c605d80ce01}"/>
      </w:docPartPr>
      <w:docPartBody>
        <w:p>
          <w:r>
            <w:rPr>
              <w:color w:val="808080"/>
            </w:rPr>
            <w:t>单击此处输入文字。</w:t>
          </w:r>
        </w:p>
      </w:docPartBody>
    </w:docPart>
    <w:docPart>
      <w:docPartPr>
        <w:name w:val="{aa624b35-35cc-4e49-91c9-a4278e8227be}"/>
        <w:style w:val=""/>
        <w:category>
          <w:name w:val="常规"/>
          <w:gallery w:val="placeholder"/>
        </w:category>
        <w:types>
          <w:type w:val="bbPlcHdr"/>
        </w:types>
        <w:behaviors>
          <w:behavior w:val="content"/>
        </w:behaviors>
        <w:description w:val=""/>
        <w:guid w:val="{aa624b35-35cc-4e49-91c9-a4278e8227be}"/>
      </w:docPartPr>
      <w:docPartBody>
        <w:p>
          <w:r>
            <w:rPr>
              <w:color w:val="808080"/>
            </w:rPr>
            <w:t>单击此处输入文字。</w:t>
          </w:r>
        </w:p>
      </w:docPartBody>
    </w:docPart>
    <w:docPart>
      <w:docPartPr>
        <w:name w:val="{7ca025da-554b-468e-89a9-f561f2d38acb}"/>
        <w:style w:val=""/>
        <w:category>
          <w:name w:val="常规"/>
          <w:gallery w:val="placeholder"/>
        </w:category>
        <w:types>
          <w:type w:val="bbPlcHdr"/>
        </w:types>
        <w:behaviors>
          <w:behavior w:val="content"/>
        </w:behaviors>
        <w:description w:val=""/>
        <w:guid w:val="{7ca025da-554b-468e-89a9-f561f2d38acb}"/>
      </w:docPartPr>
      <w:docPartBody>
        <w:p>
          <w:r>
            <w:rPr>
              <w:color w:val="808080"/>
            </w:rPr>
            <w:t>单击此处输入文字。</w:t>
          </w:r>
        </w:p>
      </w:docPartBody>
    </w:docPart>
    <w:docPart>
      <w:docPartPr>
        <w:name w:val="{cb6c5c3e-eeba-472e-82ac-4e457d3bbf17}"/>
        <w:style w:val=""/>
        <w:category>
          <w:name w:val="常规"/>
          <w:gallery w:val="placeholder"/>
        </w:category>
        <w:types>
          <w:type w:val="bbPlcHdr"/>
        </w:types>
        <w:behaviors>
          <w:behavior w:val="content"/>
        </w:behaviors>
        <w:description w:val=""/>
        <w:guid w:val="{cb6c5c3e-eeba-472e-82ac-4e457d3bbf17}"/>
      </w:docPartPr>
      <w:docPartBody>
        <w:p>
          <w:r>
            <w:rPr>
              <w:color w:val="808080"/>
            </w:rPr>
            <w:t>单击此处输入文字。</w:t>
          </w:r>
        </w:p>
      </w:docPartBody>
    </w:docPart>
    <w:docPart>
      <w:docPartPr>
        <w:name w:val="{dd1a4e2c-ca69-48b5-a81e-4fdb72b0f6e7}"/>
        <w:style w:val=""/>
        <w:category>
          <w:name w:val="常规"/>
          <w:gallery w:val="placeholder"/>
        </w:category>
        <w:types>
          <w:type w:val="bbPlcHdr"/>
        </w:types>
        <w:behaviors>
          <w:behavior w:val="content"/>
        </w:behaviors>
        <w:description w:val=""/>
        <w:guid w:val="{dd1a4e2c-ca69-48b5-a81e-4fdb72b0f6e7}"/>
      </w:docPartPr>
      <w:docPartBody>
        <w:p>
          <w:r>
            <w:rPr>
              <w:color w:val="808080"/>
            </w:rPr>
            <w:t>单击此处输入文字。</w:t>
          </w:r>
        </w:p>
      </w:docPartBody>
    </w:docPart>
    <w:docPart>
      <w:docPartPr>
        <w:name w:val="{678e5aec-a7b8-414c-8e83-9c995d9a70da}"/>
        <w:style w:val=""/>
        <w:category>
          <w:name w:val="常规"/>
          <w:gallery w:val="placeholder"/>
        </w:category>
        <w:types>
          <w:type w:val="bbPlcHdr"/>
        </w:types>
        <w:behaviors>
          <w:behavior w:val="content"/>
        </w:behaviors>
        <w:description w:val=""/>
        <w:guid w:val="{678e5aec-a7b8-414c-8e83-9c995d9a70da}"/>
      </w:docPartPr>
      <w:docPartBody>
        <w:p>
          <w:r>
            <w:rPr>
              <w:color w:val="808080"/>
            </w:rPr>
            <w:t>单击此处输入文字。</w:t>
          </w:r>
        </w:p>
      </w:docPartBody>
    </w:docPart>
    <w:docPart>
      <w:docPartPr>
        <w:name w:val="{a0674819-7dad-4dd5-b142-be1d3349d13c}"/>
        <w:style w:val=""/>
        <w:category>
          <w:name w:val="常规"/>
          <w:gallery w:val="placeholder"/>
        </w:category>
        <w:types>
          <w:type w:val="bbPlcHdr"/>
        </w:types>
        <w:behaviors>
          <w:behavior w:val="content"/>
        </w:behaviors>
        <w:description w:val=""/>
        <w:guid w:val="{a0674819-7dad-4dd5-b142-be1d3349d13c}"/>
      </w:docPartPr>
      <w:docPartBody>
        <w:p>
          <w:r>
            <w:rPr>
              <w:color w:val="808080"/>
            </w:rPr>
            <w:t>单击此处输入文字。</w:t>
          </w:r>
        </w:p>
      </w:docPartBody>
    </w:docPart>
    <w:docPart>
      <w:docPartPr>
        <w:name w:val="{aae291b7-9550-4750-ad01-2180c1622b44}"/>
        <w:style w:val=""/>
        <w:category>
          <w:name w:val="常规"/>
          <w:gallery w:val="placeholder"/>
        </w:category>
        <w:types>
          <w:type w:val="bbPlcHdr"/>
        </w:types>
        <w:behaviors>
          <w:behavior w:val="content"/>
        </w:behaviors>
        <w:description w:val=""/>
        <w:guid w:val="{aae291b7-9550-4750-ad01-2180c1622b44}"/>
      </w:docPartPr>
      <w:docPartBody>
        <w:p>
          <w:r>
            <w:rPr>
              <w:color w:val="808080"/>
            </w:rPr>
            <w:t>单击此处输入文字。</w:t>
          </w:r>
        </w:p>
      </w:docPartBody>
    </w:docPart>
    <w:docPart>
      <w:docPartPr>
        <w:name w:val="{cc299ada-00bd-4f9e-9988-adbd6f737e9c}"/>
        <w:style w:val=""/>
        <w:category>
          <w:name w:val="常规"/>
          <w:gallery w:val="placeholder"/>
        </w:category>
        <w:types>
          <w:type w:val="bbPlcHdr"/>
        </w:types>
        <w:behaviors>
          <w:behavior w:val="content"/>
        </w:behaviors>
        <w:description w:val=""/>
        <w:guid w:val="{cc299ada-00bd-4f9e-9988-adbd6f737e9c}"/>
      </w:docPartPr>
      <w:docPartBody>
        <w:p>
          <w:r>
            <w:rPr>
              <w:color w:val="808080"/>
            </w:rPr>
            <w:t>单击此处输入文字。</w:t>
          </w:r>
        </w:p>
      </w:docPartBody>
    </w:docPart>
    <w:docPart>
      <w:docPartPr>
        <w:name w:val="{d99dcffc-4369-498b-961b-523c720dd972}"/>
        <w:style w:val=""/>
        <w:category>
          <w:name w:val="常规"/>
          <w:gallery w:val="placeholder"/>
        </w:category>
        <w:types>
          <w:type w:val="bbPlcHdr"/>
        </w:types>
        <w:behaviors>
          <w:behavior w:val="content"/>
        </w:behaviors>
        <w:description w:val=""/>
        <w:guid w:val="{d99dcffc-4369-498b-961b-523c720dd972}"/>
      </w:docPartPr>
      <w:docPartBody>
        <w:p>
          <w:r>
            <w:rPr>
              <w:color w:val="808080"/>
            </w:rPr>
            <w:t>单击此处输入文字。</w:t>
          </w:r>
        </w:p>
      </w:docPartBody>
    </w:docPart>
    <w:docPart>
      <w:docPartPr>
        <w:name w:val="{13c3f312-e0f7-4319-ac33-74493bbde066}"/>
        <w:style w:val=""/>
        <w:category>
          <w:name w:val="常规"/>
          <w:gallery w:val="placeholder"/>
        </w:category>
        <w:types>
          <w:type w:val="bbPlcHdr"/>
        </w:types>
        <w:behaviors>
          <w:behavior w:val="content"/>
        </w:behaviors>
        <w:description w:val=""/>
        <w:guid w:val="{13c3f312-e0f7-4319-ac33-74493bbde066}"/>
      </w:docPartPr>
      <w:docPartBody>
        <w:p>
          <w:r>
            <w:rPr>
              <w:color w:val="808080"/>
            </w:rPr>
            <w:t>单击此处输入文字。</w:t>
          </w:r>
        </w:p>
      </w:docPartBody>
    </w:docPart>
    <w:docPart>
      <w:docPartPr>
        <w:name w:val="{34cdd22c-0fbe-42b0-aa9a-1d3f0c2635dd}"/>
        <w:style w:val=""/>
        <w:category>
          <w:name w:val="常规"/>
          <w:gallery w:val="placeholder"/>
        </w:category>
        <w:types>
          <w:type w:val="bbPlcHdr"/>
        </w:types>
        <w:behaviors>
          <w:behavior w:val="content"/>
        </w:behaviors>
        <w:description w:val=""/>
        <w:guid w:val="{34cdd22c-0fbe-42b0-aa9a-1d3f0c2635dd}"/>
      </w:docPartPr>
      <w:docPartBody>
        <w:p>
          <w:r>
            <w:rPr>
              <w:color w:val="808080"/>
            </w:rPr>
            <w:t>单击此处输入文字。</w:t>
          </w:r>
        </w:p>
      </w:docPartBody>
    </w:docPart>
    <w:docPart>
      <w:docPartPr>
        <w:name w:val="{b9f9a92e-877a-46e7-bfc7-dacc11626e54}"/>
        <w:style w:val=""/>
        <w:category>
          <w:name w:val="常规"/>
          <w:gallery w:val="placeholder"/>
        </w:category>
        <w:types>
          <w:type w:val="bbPlcHdr"/>
        </w:types>
        <w:behaviors>
          <w:behavior w:val="content"/>
        </w:behaviors>
        <w:description w:val=""/>
        <w:guid w:val="{b9f9a92e-877a-46e7-bfc7-dacc11626e54}"/>
      </w:docPartPr>
      <w:docPartBody>
        <w:p>
          <w:r>
            <w:rPr>
              <w:color w:val="808080"/>
            </w:rPr>
            <w:t>单击此处输入文字。</w:t>
          </w:r>
        </w:p>
      </w:docPartBody>
    </w:docPart>
    <w:docPart>
      <w:docPartPr>
        <w:name w:val="{97050acf-fbd0-41b5-977b-4e53940821d2}"/>
        <w:style w:val=""/>
        <w:category>
          <w:name w:val="常规"/>
          <w:gallery w:val="placeholder"/>
        </w:category>
        <w:types>
          <w:type w:val="bbPlcHdr"/>
        </w:types>
        <w:behaviors>
          <w:behavior w:val="content"/>
        </w:behaviors>
        <w:description w:val=""/>
        <w:guid w:val="{97050acf-fbd0-41b5-977b-4e53940821d2}"/>
      </w:docPartPr>
      <w:docPartBody>
        <w:p>
          <w:r>
            <w:rPr>
              <w:color w:val="808080"/>
            </w:rPr>
            <w:t>单击此处输入文字。</w:t>
          </w:r>
        </w:p>
      </w:docPartBody>
    </w:docPart>
    <w:docPart>
      <w:docPartPr>
        <w:name w:val="{022dd7f4-5e30-46c0-b8d3-216a790f1c55}"/>
        <w:style w:val=""/>
        <w:category>
          <w:name w:val="常规"/>
          <w:gallery w:val="placeholder"/>
        </w:category>
        <w:types>
          <w:type w:val="bbPlcHdr"/>
        </w:types>
        <w:behaviors>
          <w:behavior w:val="content"/>
        </w:behaviors>
        <w:description w:val=""/>
        <w:guid w:val="{022dd7f4-5e30-46c0-b8d3-216a790f1c55}"/>
      </w:docPartPr>
      <w:docPartBody>
        <w:p>
          <w:r>
            <w:rPr>
              <w:color w:val="808080"/>
            </w:rPr>
            <w:t>单击此处输入文字。</w:t>
          </w:r>
        </w:p>
      </w:docPartBody>
    </w:docPart>
    <w:docPart>
      <w:docPartPr>
        <w:name w:val="{caabef1e-d8d9-4606-859a-4559b713e64e}"/>
        <w:style w:val=""/>
        <w:category>
          <w:name w:val="常规"/>
          <w:gallery w:val="placeholder"/>
        </w:category>
        <w:types>
          <w:type w:val="bbPlcHdr"/>
        </w:types>
        <w:behaviors>
          <w:behavior w:val="content"/>
        </w:behaviors>
        <w:description w:val=""/>
        <w:guid w:val="{caabef1e-d8d9-4606-859a-4559b713e64e}"/>
      </w:docPartPr>
      <w:docPartBody>
        <w:p>
          <w:r>
            <w:rPr>
              <w:color w:val="808080"/>
            </w:rPr>
            <w:t>单击此处输入文字。</w:t>
          </w:r>
        </w:p>
      </w:docPartBody>
    </w:docPart>
    <w:docPart>
      <w:docPartPr>
        <w:name w:val="{8b1ce47d-5538-40e9-ae04-021a5f1c063f}"/>
        <w:style w:val=""/>
        <w:category>
          <w:name w:val="常规"/>
          <w:gallery w:val="placeholder"/>
        </w:category>
        <w:types>
          <w:type w:val="bbPlcHdr"/>
        </w:types>
        <w:behaviors>
          <w:behavior w:val="content"/>
        </w:behaviors>
        <w:description w:val=""/>
        <w:guid w:val="{8b1ce47d-5538-40e9-ae04-021a5f1c063f}"/>
      </w:docPartPr>
      <w:docPartBody>
        <w:p>
          <w:r>
            <w:rPr>
              <w:color w:val="808080"/>
            </w:rPr>
            <w:t>单击此处输入文字。</w:t>
          </w:r>
        </w:p>
      </w:docPartBody>
    </w:docPart>
    <w:docPart>
      <w:docPartPr>
        <w:name w:val="{53a5dd70-1469-4b07-93b3-35ba7562729e}"/>
        <w:style w:val=""/>
        <w:category>
          <w:name w:val="常规"/>
          <w:gallery w:val="placeholder"/>
        </w:category>
        <w:types>
          <w:type w:val="bbPlcHdr"/>
        </w:types>
        <w:behaviors>
          <w:behavior w:val="content"/>
        </w:behaviors>
        <w:description w:val=""/>
        <w:guid w:val="{53a5dd70-1469-4b07-93b3-35ba7562729e}"/>
      </w:docPartPr>
      <w:docPartBody>
        <w:p>
          <w:r>
            <w:rPr>
              <w:color w:val="808080"/>
            </w:rPr>
            <w:t>单击此处输入文字。</w:t>
          </w:r>
        </w:p>
      </w:docPartBody>
    </w:docPart>
    <w:docPart>
      <w:docPartPr>
        <w:name w:val="{cd166964-045f-4bd8-a976-ae2901c491e8}"/>
        <w:style w:val=""/>
        <w:category>
          <w:name w:val="常规"/>
          <w:gallery w:val="placeholder"/>
        </w:category>
        <w:types>
          <w:type w:val="bbPlcHdr"/>
        </w:types>
        <w:behaviors>
          <w:behavior w:val="content"/>
        </w:behaviors>
        <w:description w:val=""/>
        <w:guid w:val="{cd166964-045f-4bd8-a976-ae2901c491e8}"/>
      </w:docPartPr>
      <w:docPartBody>
        <w:p>
          <w:r>
            <w:rPr>
              <w:color w:val="808080"/>
            </w:rPr>
            <w:t>单击此处输入文字。</w:t>
          </w:r>
        </w:p>
      </w:docPartBody>
    </w:docPart>
    <w:docPart>
      <w:docPartPr>
        <w:name w:val="{2895375f-afbb-4dbf-b941-d28d654d2965}"/>
        <w:style w:val=""/>
        <w:category>
          <w:name w:val="常规"/>
          <w:gallery w:val="placeholder"/>
        </w:category>
        <w:types>
          <w:type w:val="bbPlcHdr"/>
        </w:types>
        <w:behaviors>
          <w:behavior w:val="content"/>
        </w:behaviors>
        <w:description w:val=""/>
        <w:guid w:val="{2895375f-afbb-4dbf-b941-d28d654d2965}"/>
      </w:docPartPr>
      <w:docPartBody>
        <w:p>
          <w:r>
            <w:rPr>
              <w:color w:val="808080"/>
            </w:rPr>
            <w:t>单击此处输入文字。</w:t>
          </w:r>
        </w:p>
      </w:docPartBody>
    </w:docPart>
    <w:docPart>
      <w:docPartPr>
        <w:name w:val="{72cb7aaf-7ce9-4f38-8b42-33bad0a1dcdb}"/>
        <w:style w:val=""/>
        <w:category>
          <w:name w:val="常规"/>
          <w:gallery w:val="placeholder"/>
        </w:category>
        <w:types>
          <w:type w:val="bbPlcHdr"/>
        </w:types>
        <w:behaviors>
          <w:behavior w:val="content"/>
        </w:behaviors>
        <w:description w:val=""/>
        <w:guid w:val="{72cb7aaf-7ce9-4f38-8b42-33bad0a1dcdb}"/>
      </w:docPartPr>
      <w:docPartBody>
        <w:p>
          <w:r>
            <w:rPr>
              <w:color w:val="808080"/>
            </w:rPr>
            <w:t>单击此处输入文字。</w:t>
          </w:r>
        </w:p>
      </w:docPartBody>
    </w:docPart>
    <w:docPart>
      <w:docPartPr>
        <w:name w:val="{79774fe7-76d7-4d0b-88a2-7165f5c1d6af}"/>
        <w:style w:val=""/>
        <w:category>
          <w:name w:val="常规"/>
          <w:gallery w:val="placeholder"/>
        </w:category>
        <w:types>
          <w:type w:val="bbPlcHdr"/>
        </w:types>
        <w:behaviors>
          <w:behavior w:val="content"/>
        </w:behaviors>
        <w:description w:val=""/>
        <w:guid w:val="{79774fe7-76d7-4d0b-88a2-7165f5c1d6af}"/>
      </w:docPartPr>
      <w:docPartBody>
        <w:p>
          <w:r>
            <w:rPr>
              <w:color w:val="808080"/>
            </w:rPr>
            <w:t>单击此处输入文字。</w:t>
          </w:r>
        </w:p>
      </w:docPartBody>
    </w:docPart>
    <w:docPart>
      <w:docPartPr>
        <w:name w:val="{686b949c-807d-4768-8e36-fd14687df4b7}"/>
        <w:style w:val=""/>
        <w:category>
          <w:name w:val="常规"/>
          <w:gallery w:val="placeholder"/>
        </w:category>
        <w:types>
          <w:type w:val="bbPlcHdr"/>
        </w:types>
        <w:behaviors>
          <w:behavior w:val="content"/>
        </w:behaviors>
        <w:description w:val=""/>
        <w:guid w:val="{686b949c-807d-4768-8e36-fd14687df4b7}"/>
      </w:docPartPr>
      <w:docPartBody>
        <w:p>
          <w:r>
            <w:rPr>
              <w:color w:val="808080"/>
            </w:rPr>
            <w:t>单击此处输入文字。</w:t>
          </w:r>
        </w:p>
      </w:docPartBody>
    </w:docPart>
    <w:docPart>
      <w:docPartPr>
        <w:name w:val="{392f6ab1-bfaa-44fa-929e-60ed62588672}"/>
        <w:style w:val=""/>
        <w:category>
          <w:name w:val="常规"/>
          <w:gallery w:val="placeholder"/>
        </w:category>
        <w:types>
          <w:type w:val="bbPlcHdr"/>
        </w:types>
        <w:behaviors>
          <w:behavior w:val="content"/>
        </w:behaviors>
        <w:description w:val=""/>
        <w:guid w:val="{392f6ab1-bfaa-44fa-929e-60ed62588672}"/>
      </w:docPartPr>
      <w:docPartBody>
        <w:p>
          <w:r>
            <w:rPr>
              <w:color w:val="808080"/>
            </w:rPr>
            <w:t>单击此处输入文字。</w:t>
          </w:r>
        </w:p>
      </w:docPartBody>
    </w:docPart>
    <w:docPart>
      <w:docPartPr>
        <w:name w:val="{d01d6b1b-aeb2-42a0-8714-a236d17beeb8}"/>
        <w:style w:val=""/>
        <w:category>
          <w:name w:val="常规"/>
          <w:gallery w:val="placeholder"/>
        </w:category>
        <w:types>
          <w:type w:val="bbPlcHdr"/>
        </w:types>
        <w:behaviors>
          <w:behavior w:val="content"/>
        </w:behaviors>
        <w:description w:val=""/>
        <w:guid w:val="{d01d6b1b-aeb2-42a0-8714-a236d17beeb8}"/>
      </w:docPartPr>
      <w:docPartBody>
        <w:p>
          <w:r>
            <w:rPr>
              <w:color w:val="808080"/>
            </w:rPr>
            <w:t>单击此处输入文字。</w:t>
          </w:r>
        </w:p>
      </w:docPartBody>
    </w:docPart>
    <w:docPart>
      <w:docPartPr>
        <w:name w:val="{2178b5c6-62f5-4037-b954-4da7044085ac}"/>
        <w:style w:val=""/>
        <w:category>
          <w:name w:val="常规"/>
          <w:gallery w:val="placeholder"/>
        </w:category>
        <w:types>
          <w:type w:val="bbPlcHdr"/>
        </w:types>
        <w:behaviors>
          <w:behavior w:val="content"/>
        </w:behaviors>
        <w:description w:val=""/>
        <w:guid w:val="{2178b5c6-62f5-4037-b954-4da7044085ac}"/>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7768</Words>
  <Characters>8258</Characters>
  <Lines>63</Lines>
  <Paragraphs>17</Paragraphs>
  <TotalTime>0</TotalTime>
  <ScaleCrop>false</ScaleCrop>
  <LinksUpToDate>false</LinksUpToDate>
  <CharactersWithSpaces>8290</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2020-08-12T09:49:00Z</dcterms:created>
  <dc:creator>曹颖</dc:creator>
  <cp:lastModifiedBy>靜待婲閞</cp:lastModifiedBy>
  <cp:lastPrinted>2026-09-12T16:49:00Z</cp:lastPrinted>
  <dcterms:modified xsi:type="dcterms:W3CDTF">2026-09-15T08:39:39Z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y fmtid="{D5CDD505-2E9C-101B-9397-08002B2CF9AE}" pid="3" name="ICV">
    <vt:lpwstr>6DDBC8FA63404B239598317F032D71B7_13</vt:lpwstr>
  </property>
  <property fmtid="{D5CDD505-2E9C-101B-9397-08002B2CF9AE}" pid="4" name="KSOTemplateDocerSaveRecord">
    <vt:lpwstr>eyJoZGlkIjoiNzg0NmNiM2Y4ODRiZjExMDFjZDJlYmE0ZjI4ODNmNjAifQ==</vt:lpwstr>
  </property>
</Properties>
</file>