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597"/>
      <w:bookmarkStart w:id="1" w:name="_Toc15377425"/>
      <w:bookmarkStart w:id="2" w:name="_Toc15396475"/>
      <w:bookmarkStart w:id="3" w:name="_Toc15377193"/>
      <w:bookmarkStart w:id="4" w:name="_Toc15378441"/>
      <w:bookmarkStart w:id="5" w:name="_Toc15306267"/>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方正小标宋_GBK" w:hAnsi="方正小标宋_GBK" w:eastAsia="方正小标宋_GBK" w:cs="方正小标宋_GBK"/>
          <w:b w:val="0"/>
          <w:bCs w:val="0"/>
          <w:color w:val="auto"/>
          <w:kern w:val="2"/>
          <w:sz w:val="52"/>
          <w:szCs w:val="52"/>
          <w:highlight w:val="none"/>
          <w:lang w:val="en-US" w:eastAsia="zh-CN" w:bidi="ar-SA"/>
        </w:rPr>
      </w:pPr>
      <w:r>
        <w:rPr>
          <w:rFonts w:hint="eastAsia" w:ascii="方正小标宋_GBK" w:hAnsi="方正小标宋_GBK" w:eastAsia="方正小标宋_GBK" w:cs="方正小标宋_GBK"/>
          <w:b w:val="0"/>
          <w:bCs w:val="0"/>
          <w:color w:val="auto"/>
          <w:kern w:val="2"/>
          <w:sz w:val="52"/>
          <w:szCs w:val="52"/>
          <w:highlight w:val="none"/>
          <w:lang w:val="en-US" w:eastAsia="zh-CN" w:bidi="ar-SA"/>
        </w:rPr>
        <w:t>2025年度单位决算公开文字说明</w:t>
      </w:r>
    </w:p>
    <w:p>
      <w:pPr>
        <w:spacing w:line="600" w:lineRule="exact"/>
        <w:jc w:val="center"/>
        <w:outlineLvl w:val="9"/>
        <w:rPr>
          <w:rFonts w:ascii="Times New Roman" w:hAnsi="Times New Roman" w:eastAsia="方正小标宋简体"/>
          <w:color w:val="auto"/>
          <w:sz w:val="72"/>
          <w:szCs w:val="72"/>
          <w:highlight w:val="none"/>
        </w:rPr>
      </w:pPr>
    </w:p>
    <w:p>
      <w:pPr>
        <w:pStyle w:val="19"/>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pPr>
        <w:widowControl/>
        <w:jc w:val="center"/>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目录</w:t>
      </w:r>
      <w:bookmarkStart w:id="93" w:name="_GoBack"/>
      <w:bookmarkEnd w:id="93"/>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w:t>
      </w:r>
      <w:r>
        <w:rPr>
          <w:rFonts w:hint="default" w:ascii="Times New Roman" w:hAnsi="Times New Roman" w:eastAsia="仿宋_GB2312" w:cs="仿宋_GB2312"/>
          <w:color w:val="auto"/>
          <w:sz w:val="32"/>
          <w:szCs w:val="32"/>
          <w:highlight w:val="none"/>
          <w:lang w:val="en" w:eastAsia="zh-CN"/>
        </w:rPr>
        <w:t>15</w:t>
      </w:r>
      <w:r>
        <w:rPr>
          <w:rFonts w:hint="eastAsia" w:ascii="Times New Roman" w:hAnsi="Times New Roman" w:eastAsia="仿宋_GB2312" w:cs="仿宋_GB2312"/>
          <w:color w:val="auto"/>
          <w:sz w:val="32"/>
          <w:szCs w:val="32"/>
          <w:highlight w:val="none"/>
          <w:lang w:val="en-US" w:eastAsia="zh-CN"/>
        </w:rPr>
        <w:t xml:space="preserve">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58969"/>
        <w15:color w:val="DBDBDB"/>
        <w:docPartObj>
          <w:docPartGallery w:val="Table of Contents"/>
          <w:docPartUnique/>
        </w:docPartObj>
      </w:sdtPr>
      <w:sdtEndPr>
        <w:rPr>
          <w:rFonts w:hint="eastAsia" w:ascii="Times New Roman" w:hAnsi="Times New Roman" w:eastAsia="仿宋_GB2312" w:cs="仿宋_GB2312"/>
          <w:b/>
          <w:bCs/>
          <w:color w:val="auto"/>
          <w:kern w:val="2"/>
          <w:sz w:val="21"/>
          <w:szCs w:val="32"/>
          <w:highlight w:val="none"/>
          <w:lang w:val="en-US" w:eastAsia="zh-CN" w:bidi="ar-SA"/>
        </w:rPr>
      </w:sdtEndPr>
      <w:sdtContent>
        <w:p>
          <w:pPr>
            <w:spacing w:before="0" w:beforeLines="0" w:after="0" w:afterLines="0" w:line="240" w:lineRule="auto"/>
            <w:ind w:left="0" w:leftChars="0" w:right="0" w:rightChars="0" w:firstLine="0" w:firstLineChars="0"/>
            <w:jc w:val="center"/>
          </w:pPr>
        </w:p>
        <w:p>
          <w:pPr>
            <w:pStyle w:val="13"/>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eastAsia" w:ascii="Times New Roman" w:hAnsi="Times New Roman" w:eastAsia="仿宋_GB2312" w:cs="仿宋_GB2312"/>
              <w:b/>
              <w:bCs/>
              <w:color w:val="auto"/>
              <w:sz w:val="32"/>
              <w:szCs w:val="32"/>
              <w:highlight w:val="none"/>
              <w:lang w:eastAsia="zh-CN"/>
            </w:rPr>
            <w:fldChar w:fldCharType="begin"/>
          </w:r>
          <w:r>
            <w:rPr>
              <w:rFonts w:hint="eastAsia" w:ascii="Times New Roman" w:hAnsi="Times New Roman" w:eastAsia="仿宋_GB2312" w:cs="仿宋_GB2312"/>
              <w:b/>
              <w:bCs/>
              <w:color w:val="auto"/>
              <w:sz w:val="32"/>
              <w:szCs w:val="32"/>
              <w:highlight w:val="none"/>
              <w:lang w:eastAsia="zh-CN"/>
            </w:rPr>
            <w:instrText xml:space="preserve">TOC \o "1-2" \h \u </w:instrText>
          </w:r>
          <w:r>
            <w:rPr>
              <w:rFonts w:hint="eastAsia" w:ascii="Times New Roman" w:hAnsi="Times New Roman" w:eastAsia="仿宋_GB2312" w:cs="仿宋_GB2312"/>
              <w:b/>
              <w:bCs/>
              <w:color w:val="auto"/>
              <w:sz w:val="32"/>
              <w:szCs w:val="32"/>
              <w:highlight w:val="none"/>
              <w:lang w:eastAsia="zh-CN"/>
            </w:rPr>
            <w:fldChar w:fldCharType="separate"/>
          </w: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_Toc26394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小标宋_GBK" w:cs="Times New Roman"/>
              <w:sz w:val="32"/>
              <w:szCs w:val="32"/>
              <w:highlight w:val="none"/>
            </w:rPr>
            <w:t>第一部分</w:t>
          </w:r>
          <w:r>
            <w:rPr>
              <w:rFonts w:hint="default" w:ascii="Times New Roman" w:hAnsi="Times New Roman" w:eastAsia="方正小标宋_GBK" w:cs="Times New Roman"/>
              <w:sz w:val="32"/>
              <w:szCs w:val="32"/>
              <w:highlight w:val="none"/>
              <w:lang w:val="en-US" w:eastAsia="zh-CN"/>
            </w:rPr>
            <w:t xml:space="preserve"> </w:t>
          </w:r>
          <w:r>
            <w:rPr>
              <w:rFonts w:hint="default" w:ascii="Times New Roman" w:hAnsi="Times New Roman" w:eastAsia="方正小标宋_GBK" w:cs="Times New Roman"/>
              <w:sz w:val="32"/>
              <w:szCs w:val="32"/>
              <w:highlight w:val="none"/>
            </w:rPr>
            <w:t xml:space="preserve"> </w:t>
          </w:r>
          <w:r>
            <w:rPr>
              <w:rFonts w:hint="default" w:ascii="Times New Roman" w:hAnsi="Times New Roman" w:eastAsia="方正小标宋_GBK" w:cs="Times New Roman"/>
              <w:bCs w:val="0"/>
              <w:sz w:val="32"/>
              <w:szCs w:val="32"/>
              <w:highlight w:val="none"/>
              <w:lang w:eastAsia="zh-CN"/>
            </w:rPr>
            <w:t>单位</w:t>
          </w:r>
          <w:r>
            <w:rPr>
              <w:rFonts w:hint="default" w:ascii="Times New Roman" w:hAnsi="Times New Roman" w:eastAsia="方正小标宋_GBK" w:cs="Times New Roman"/>
              <w:bCs w:val="0"/>
              <w:sz w:val="32"/>
              <w:szCs w:val="32"/>
              <w:highlight w:val="none"/>
            </w:rPr>
            <w:t>概况</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_Toc26394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_Toc4804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一、</w:t>
          </w:r>
          <w:r>
            <w:rPr>
              <w:rFonts w:hint="default" w:ascii="Times New Roman" w:hAnsi="Times New Roman" w:eastAsia="方正黑体_GBK" w:cs="Times New Roman"/>
              <w:sz w:val="32"/>
              <w:szCs w:val="32"/>
              <w:highlight w:val="none"/>
              <w:lang w:eastAsia="zh-CN"/>
            </w:rPr>
            <w:t>单位职责</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_Toc4804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_Toc19367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二、机构设置</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_Toc19367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3</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3"/>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_Toc25354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小标宋简体" w:cs="Times New Roman"/>
              <w:sz w:val="32"/>
              <w:szCs w:val="32"/>
              <w:highlight w:val="none"/>
            </w:rPr>
            <w:t>第二部分</w:t>
          </w:r>
          <w:r>
            <w:rPr>
              <w:rFonts w:hint="default" w:ascii="Times New Roman" w:hAnsi="Times New Roman" w:eastAsia="方正小标宋简体" w:cs="Times New Roman"/>
              <w:sz w:val="32"/>
              <w:szCs w:val="32"/>
              <w:highlight w:val="none"/>
              <w:lang w:val="en-US" w:eastAsia="zh-CN"/>
            </w:rPr>
            <w:t xml:space="preserve"> </w:t>
          </w:r>
          <w:r>
            <w:rPr>
              <w:rFonts w:hint="default" w:ascii="Times New Roman" w:hAnsi="Times New Roman" w:eastAsia="方正小标宋简体" w:cs="Times New Roman"/>
              <w:sz w:val="32"/>
              <w:szCs w:val="32"/>
              <w:highlight w:val="none"/>
            </w:rPr>
            <w:t xml:space="preserve"> </w:t>
          </w:r>
          <w:r>
            <w:rPr>
              <w:rFonts w:hint="default" w:ascii="Times New Roman" w:hAnsi="Times New Roman" w:eastAsia="方正小标宋简体" w:cs="Times New Roman"/>
              <w:sz w:val="32"/>
              <w:szCs w:val="32"/>
              <w:highlight w:val="none"/>
              <w:lang w:val="en-US" w:eastAsia="zh-CN"/>
            </w:rPr>
            <w:t>2025年度</w:t>
          </w:r>
          <w:r>
            <w:rPr>
              <w:rFonts w:hint="default" w:ascii="Times New Roman" w:hAnsi="Times New Roman" w:eastAsia="方正小标宋简体" w:cs="Times New Roman"/>
              <w:sz w:val="32"/>
              <w:szCs w:val="32"/>
              <w:highlight w:val="none"/>
            </w:rPr>
            <w:t>部门决算情况说明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_Toc25354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_Toc13744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lang w:eastAsia="zh-CN"/>
            </w:rPr>
            <w:t>一、</w:t>
          </w:r>
          <w:r>
            <w:rPr>
              <w:rFonts w:hint="default" w:ascii="Times New Roman" w:hAnsi="Times New Roman" w:eastAsia="方正黑体_GBK" w:cs="Times New Roman"/>
              <w:sz w:val="32"/>
              <w:szCs w:val="32"/>
              <w:highlight w:val="none"/>
            </w:rPr>
            <w:t>收入支出决算总体情况说明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_Toc13744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_Toc5760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lang w:eastAsia="zh-CN"/>
            </w:rPr>
            <w:t>二、收入决算情况说明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_Toc5760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5</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_Toc16439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lang w:eastAsia="zh-CN"/>
            </w:rPr>
            <w:t>三、</w:t>
          </w:r>
          <w:r>
            <w:rPr>
              <w:rFonts w:hint="default" w:ascii="Times New Roman" w:hAnsi="Times New Roman" w:eastAsia="方正黑体_GBK" w:cs="Times New Roman"/>
              <w:sz w:val="32"/>
              <w:szCs w:val="32"/>
              <w:highlight w:val="none"/>
            </w:rPr>
            <w:t>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_Toc16439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_Toc6988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lang w:eastAsia="zh-CN"/>
            </w:rPr>
            <w:t>四、财政拨款收入支出决算总体情况说明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_Toc6988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6</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_Toc2896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lang w:eastAsia="zh-CN"/>
            </w:rPr>
            <w:t>五、一般公共预算财政拨款支出决算情况说明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_Toc2896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7</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_Toc22956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六、一般公共预算财政拨款基本支出决算情况说明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_Toc22956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_Toc27857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七、财政拨款“三公”经费支出决算情况说明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_Toc27857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_Toc27750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八、政府性基金预算支出决算情况说明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_Toc27750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12</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_Toc26505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lang w:eastAsia="zh-CN"/>
            </w:rPr>
            <w:t>九、</w:t>
          </w:r>
          <w:r>
            <w:rPr>
              <w:rFonts w:hint="default" w:ascii="Times New Roman" w:hAnsi="Times New Roman" w:eastAsia="方正黑体_GBK" w:cs="Times New Roman"/>
              <w:sz w:val="32"/>
              <w:szCs w:val="32"/>
              <w:highlight w:val="none"/>
            </w:rPr>
            <w:t>国有资本经营预算支出决算情况说明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_Toc26505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12</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_Toc22952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lang w:eastAsia="zh-CN"/>
            </w:rPr>
            <w:t>十、其他重要事项的情况说明</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_Toc22952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13</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3"/>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_Toc9507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小标宋_GBK" w:cs="Times New Roman"/>
              <w:sz w:val="32"/>
              <w:szCs w:val="32"/>
              <w:highlight w:val="none"/>
            </w:rPr>
            <w:t>第</w:t>
          </w:r>
          <w:r>
            <w:rPr>
              <w:rFonts w:hint="default" w:ascii="Times New Roman" w:hAnsi="Times New Roman" w:eastAsia="方正小标宋_GBK" w:cs="Times New Roman"/>
              <w:sz w:val="32"/>
              <w:szCs w:val="32"/>
              <w:highlight w:val="none"/>
              <w:lang w:eastAsia="zh-CN"/>
            </w:rPr>
            <w:t>三</w:t>
          </w:r>
          <w:r>
            <w:rPr>
              <w:rFonts w:hint="default" w:ascii="Times New Roman" w:hAnsi="Times New Roman" w:eastAsia="方正小标宋_GBK" w:cs="Times New Roman"/>
              <w:sz w:val="32"/>
              <w:szCs w:val="32"/>
              <w:highlight w:val="none"/>
            </w:rPr>
            <w:t>部分</w:t>
          </w:r>
          <w:r>
            <w:rPr>
              <w:rFonts w:hint="default" w:ascii="Times New Roman" w:hAnsi="Times New Roman" w:eastAsia="方正小标宋_GBK" w:cs="Times New Roman"/>
              <w:sz w:val="32"/>
              <w:szCs w:val="32"/>
              <w:highlight w:val="none"/>
              <w:lang w:val="en-US" w:eastAsia="zh-CN"/>
            </w:rPr>
            <w:t xml:space="preserve">  </w:t>
          </w:r>
          <w:r>
            <w:rPr>
              <w:rFonts w:hint="default" w:ascii="Times New Roman" w:hAnsi="Times New Roman" w:eastAsia="方正小标宋_GBK" w:cs="Times New Roman"/>
              <w:sz w:val="32"/>
              <w:szCs w:val="32"/>
              <w:highlight w:val="none"/>
            </w:rPr>
            <w:t>名词解释</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_Toc9507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15</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3"/>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_Toc14302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小标宋_GBK" w:cs="Times New Roman"/>
              <w:sz w:val="32"/>
              <w:szCs w:val="32"/>
              <w:highlight w:val="none"/>
            </w:rPr>
            <w:t>第四部分</w:t>
          </w:r>
          <w:r>
            <w:rPr>
              <w:rFonts w:hint="default" w:ascii="Times New Roman" w:hAnsi="Times New Roman" w:eastAsia="方正小标宋_GBK" w:cs="Times New Roman"/>
              <w:sz w:val="32"/>
              <w:szCs w:val="32"/>
              <w:highlight w:val="none"/>
              <w:lang w:val="en-US" w:eastAsia="zh-CN"/>
            </w:rPr>
            <w:t xml:space="preserve"> </w:t>
          </w:r>
          <w:r>
            <w:rPr>
              <w:rFonts w:hint="default" w:ascii="Times New Roman" w:hAnsi="Times New Roman" w:eastAsia="方正小标宋_GBK" w:cs="Times New Roman"/>
              <w:sz w:val="32"/>
              <w:szCs w:val="32"/>
              <w:highlight w:val="none"/>
            </w:rPr>
            <w:t xml:space="preserve"> 附件</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_Toc14302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19</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3"/>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_Toc20505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小标宋_GBK" w:cs="Times New Roman"/>
              <w:sz w:val="32"/>
              <w:szCs w:val="32"/>
              <w:highlight w:val="none"/>
            </w:rPr>
            <w:t xml:space="preserve">第五部分 </w:t>
          </w:r>
          <w:r>
            <w:rPr>
              <w:rFonts w:hint="default" w:ascii="Times New Roman" w:hAnsi="Times New Roman" w:eastAsia="方正小标宋_GBK" w:cs="Times New Roman"/>
              <w:sz w:val="32"/>
              <w:szCs w:val="32"/>
              <w:highlight w:val="none"/>
              <w:lang w:val="en-US" w:eastAsia="zh-CN"/>
            </w:rPr>
            <w:t xml:space="preserve">  </w:t>
          </w:r>
          <w:r>
            <w:rPr>
              <w:rFonts w:hint="default" w:ascii="Times New Roman" w:hAnsi="Times New Roman" w:eastAsia="方正小标宋_GBK" w:cs="Times New Roman"/>
              <w:sz w:val="32"/>
              <w:szCs w:val="32"/>
              <w:highlight w:val="none"/>
            </w:rPr>
            <w:t>附表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_Toc20505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_Toc17998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一、收入支出决算总表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_Toc17998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_Toc22129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二、收入决算表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_Toc22129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_Toc32629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三、支出决算表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_Toc32629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_Toc8974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四、财政拨款收入支出决算总表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_Toc8974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_Toc7042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五、财政拨款支出决算明细表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_Toc7042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_Toc2780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六、一般公共预算财政拨款支出决算表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_Toc2780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_Toc27482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七、一般公共预算财政拨款支出决算明细表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_Toc27482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_Toc21547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八、一般公共预算财政拨款基本支出决算表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_Toc21547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_Toc30986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九、一般公共预算财政拨款项目支出决算表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_Toc30986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_Toc12773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十、政府性基金预算财政拨款收入支出决算表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_Toc12773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_Toc157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十一、国有资本经营预算</w:t>
          </w:r>
          <w:r>
            <w:rPr>
              <w:rFonts w:hint="default" w:ascii="Times New Roman" w:hAnsi="Times New Roman" w:eastAsia="方正黑体_GBK" w:cs="Times New Roman"/>
              <w:sz w:val="32"/>
              <w:szCs w:val="32"/>
              <w:highlight w:val="none"/>
              <w:lang w:eastAsia="zh-CN"/>
            </w:rPr>
            <w:t>财政拨款收入</w:t>
          </w:r>
          <w:r>
            <w:rPr>
              <w:rFonts w:hint="default" w:ascii="Times New Roman" w:hAnsi="Times New Roman" w:eastAsia="方正黑体_GBK" w:cs="Times New Roman"/>
              <w:sz w:val="32"/>
              <w:szCs w:val="32"/>
              <w:highlight w:val="none"/>
            </w:rPr>
            <w:t>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_Toc157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32"/>
              <w:szCs w:val="32"/>
            </w:rPr>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_Toc6541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十二、</w:t>
          </w:r>
          <w:r>
            <w:rPr>
              <w:rFonts w:hint="default" w:ascii="Times New Roman" w:hAnsi="Times New Roman" w:eastAsia="方正黑体_GBK" w:cs="Times New Roman"/>
              <w:sz w:val="32"/>
              <w:szCs w:val="32"/>
              <w:highlight w:val="none"/>
              <w:lang w:eastAsia="zh-CN"/>
            </w:rPr>
            <w:t>国有资本经营预算财政拨款支出决算表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_Toc6541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tabs>
              <w:tab w:val="right" w:leader="dot" w:pos="8901"/>
              <w:tab w:val="clear" w:pos="8296"/>
            </w:tabs>
            <w:kinsoku/>
            <w:wordWrap/>
            <w:overflowPunct/>
            <w:topLinePunct w:val="0"/>
            <w:autoSpaceDE/>
            <w:autoSpaceDN/>
            <w:bidi w:val="0"/>
            <w:adjustRightInd/>
            <w:snapToGrid/>
            <w:spacing w:line="600" w:lineRule="exact"/>
            <w:textAlignment w:val="auto"/>
          </w:pPr>
          <w:r>
            <w:rPr>
              <w:rFonts w:hint="default" w:ascii="Times New Roman" w:hAnsi="Times New Roman" w:eastAsia="仿宋_GB2312" w:cs="Times New Roman"/>
              <w:bCs/>
              <w:color w:val="auto"/>
              <w:sz w:val="32"/>
              <w:szCs w:val="32"/>
              <w:highlight w:val="none"/>
              <w:lang w:eastAsia="zh-CN"/>
            </w:rPr>
            <w:fldChar w:fldCharType="begin"/>
          </w:r>
          <w:r>
            <w:rPr>
              <w:rFonts w:hint="default" w:ascii="Times New Roman" w:hAnsi="Times New Roman" w:eastAsia="仿宋_GB2312" w:cs="Times New Roman"/>
              <w:bCs/>
              <w:sz w:val="32"/>
              <w:szCs w:val="32"/>
              <w:highlight w:val="none"/>
              <w:lang w:eastAsia="zh-CN"/>
            </w:rPr>
            <w:instrText xml:space="preserve"> HYPERLINK \l _Toc11425 </w:instrText>
          </w:r>
          <w:r>
            <w:rPr>
              <w:rFonts w:hint="default" w:ascii="Times New Roman" w:hAnsi="Times New Roman" w:eastAsia="仿宋_GB2312" w:cs="Times New Roman"/>
              <w:bCs/>
              <w:sz w:val="32"/>
              <w:szCs w:val="32"/>
              <w:highlight w:val="none"/>
              <w:lang w:eastAsia="zh-CN"/>
            </w:rPr>
            <w:fldChar w:fldCharType="separate"/>
          </w:r>
          <w:r>
            <w:rPr>
              <w:rFonts w:hint="default" w:ascii="Times New Roman" w:hAnsi="Times New Roman" w:eastAsia="方正黑体_GBK" w:cs="Times New Roman"/>
              <w:sz w:val="32"/>
              <w:szCs w:val="32"/>
              <w:highlight w:val="none"/>
            </w:rPr>
            <w:t>十三、</w:t>
          </w:r>
          <w:r>
            <w:rPr>
              <w:rFonts w:hint="default" w:ascii="Times New Roman" w:hAnsi="Times New Roman" w:eastAsia="方正黑体_GBK" w:cs="Times New Roman"/>
              <w:sz w:val="32"/>
              <w:szCs w:val="32"/>
              <w:highlight w:val="none"/>
              <w:lang w:eastAsia="zh-CN"/>
            </w:rPr>
            <w:t>财政拨款“三公”经费支出决算表</w:t>
          </w:r>
          <w:r>
            <w:rPr>
              <w:rFonts w:hint="default" w:ascii="Times New Roman" w:hAnsi="Times New Roman" w:cs="Times New Roman"/>
              <w:sz w:val="32"/>
              <w:szCs w:val="32"/>
            </w:rPr>
            <w:tab/>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PAGEREF _Toc11425 \h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20</w:t>
          </w:r>
          <w:r>
            <w:rPr>
              <w:rFonts w:hint="default" w:ascii="Times New Roman" w:hAnsi="Times New Roman" w:cs="Times New Roman"/>
              <w:sz w:val="32"/>
              <w:szCs w:val="32"/>
            </w:rPr>
            <w:fldChar w:fldCharType="end"/>
          </w:r>
          <w:r>
            <w:rPr>
              <w:rFonts w:hint="default" w:ascii="Times New Roman" w:hAnsi="Times New Roman" w:eastAsia="仿宋_GB2312" w:cs="Times New Roman"/>
              <w:bCs/>
              <w:color w:val="auto"/>
              <w:sz w:val="32"/>
              <w:szCs w:val="32"/>
              <w:highlight w:val="none"/>
              <w:lang w:eastAsia="zh-CN"/>
            </w:rPr>
            <w:fldChar w:fldCharType="end"/>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420"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Cs/>
              <w:color w:val="auto"/>
              <w:szCs w:val="32"/>
              <w:highlight w:val="none"/>
              <w:lang w:eastAsia="zh-CN"/>
            </w:rPr>
            <w:fldChar w:fldCharType="end"/>
          </w:r>
        </w:p>
      </w:sdtContent>
    </w:sdt>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5"/>
        <w:keepNext w:val="0"/>
        <w:keepLines w:val="0"/>
        <w:pageBreakBefore w:val="0"/>
        <w:widowControl w:val="0"/>
        <w:kinsoku/>
        <w:wordWrap/>
        <w:overflowPunct/>
        <w:topLinePunct w:val="0"/>
        <w:autoSpaceDE/>
        <w:autoSpaceDN/>
        <w:bidi w:val="0"/>
        <w:spacing w:before="0" w:after="0" w:line="600" w:lineRule="exact"/>
        <w:jc w:val="center"/>
        <w:textAlignment w:val="auto"/>
        <w:rPr>
          <w:rStyle w:val="28"/>
          <w:rFonts w:hint="eastAsia" w:ascii="方正小标宋_GBK" w:hAnsi="方正小标宋_GBK" w:eastAsia="方正小标宋_GBK" w:cs="方正小标宋_GBK"/>
          <w:b/>
          <w:bCs w:val="0"/>
          <w:color w:val="auto"/>
          <w:highlight w:val="none"/>
        </w:rPr>
      </w:pPr>
      <w:bookmarkStart w:id="8" w:name="_Toc26394"/>
      <w:r>
        <w:rPr>
          <w:rFonts w:hint="eastAsia" w:ascii="方正小标宋_GBK" w:hAnsi="方正小标宋_GBK" w:eastAsia="方正小标宋_GBK" w:cs="方正小标宋_GBK"/>
          <w:b w:val="0"/>
          <w:color w:val="auto"/>
          <w:highlight w:val="none"/>
        </w:rPr>
        <w:t>第一部分</w:t>
      </w:r>
      <w:r>
        <w:rPr>
          <w:rFonts w:hint="eastAsia" w:ascii="方正小标宋_GBK" w:hAnsi="方正小标宋_GBK" w:eastAsia="方正小标宋_GBK" w:cs="方正小标宋_GBK"/>
          <w:b w:val="0"/>
          <w:color w:val="auto"/>
          <w:highlight w:val="none"/>
          <w:lang w:val="en-US" w:eastAsia="zh-CN"/>
        </w:rPr>
        <w:t xml:space="preserve"> </w:t>
      </w:r>
      <w:r>
        <w:rPr>
          <w:rFonts w:hint="eastAsia" w:ascii="方正小标宋_GBK" w:hAnsi="方正小标宋_GBK" w:eastAsia="方正小标宋_GBK" w:cs="方正小标宋_GBK"/>
          <w:b w:val="0"/>
          <w:color w:val="auto"/>
          <w:highlight w:val="none"/>
        </w:rPr>
        <w:t xml:space="preserve"> </w:t>
      </w:r>
      <w:r>
        <w:rPr>
          <w:rStyle w:val="28"/>
          <w:rFonts w:hint="eastAsia" w:ascii="方正小标宋_GBK" w:hAnsi="方正小标宋_GBK" w:eastAsia="方正小标宋_GBK" w:cs="方正小标宋_GBK"/>
          <w:b w:val="0"/>
          <w:bCs w:val="0"/>
          <w:color w:val="auto"/>
          <w:highlight w:val="none"/>
          <w:lang w:eastAsia="zh-CN"/>
        </w:rPr>
        <w:t>单位</w:t>
      </w:r>
      <w:r>
        <w:rPr>
          <w:rStyle w:val="28"/>
          <w:rFonts w:hint="eastAsia" w:ascii="方正小标宋_GBK" w:hAnsi="方正小标宋_GBK" w:eastAsia="方正小标宋_GBK" w:cs="方正小标宋_GBK"/>
          <w:b w:val="0"/>
          <w:bCs w:val="0"/>
          <w:color w:val="auto"/>
          <w:highlight w:val="none"/>
        </w:rPr>
        <w:t>概况</w:t>
      </w:r>
      <w:bookmarkEnd w:id="6"/>
      <w:bookmarkEnd w:id="7"/>
      <w:bookmarkEnd w:id="8"/>
    </w:p>
    <w:p>
      <w:pPr>
        <w:keepNext w:val="0"/>
        <w:keepLines w:val="0"/>
        <w:pageBreakBefore w:val="0"/>
        <w:widowControl w:val="0"/>
        <w:kinsoku/>
        <w:wordWrap/>
        <w:overflowPunct/>
        <w:topLinePunct w:val="0"/>
        <w:autoSpaceDE/>
        <w:autoSpaceDN/>
        <w:bidi w:val="0"/>
        <w:spacing w:line="600" w:lineRule="exact"/>
        <w:ind w:left="0" w:firstLine="640" w:firstLineChars="200"/>
        <w:jc w:val="both"/>
        <w:textAlignment w:val="auto"/>
        <w:rPr>
          <w:rFonts w:ascii="Times New Roman" w:hAnsi="Times New Roman" w:eastAsia="黑体"/>
          <w:color w:val="auto"/>
          <w:sz w:val="32"/>
          <w:szCs w:val="32"/>
          <w:highlight w:val="none"/>
        </w:rPr>
      </w:pPr>
    </w:p>
    <w:p>
      <w:pPr>
        <w:pStyle w:val="6"/>
        <w:keepNext w:val="0"/>
        <w:keepLines w:val="0"/>
        <w:pageBreakBefore w:val="0"/>
        <w:widowControl w:val="0"/>
        <w:kinsoku/>
        <w:wordWrap/>
        <w:overflowPunct/>
        <w:topLinePunct w:val="0"/>
        <w:autoSpaceDE/>
        <w:autoSpaceDN/>
        <w:bidi w:val="0"/>
        <w:spacing w:before="0" w:after="0" w:line="600" w:lineRule="exact"/>
        <w:ind w:left="0" w:firstLine="640" w:firstLineChars="200"/>
        <w:jc w:val="both"/>
        <w:textAlignment w:val="auto"/>
        <w:rPr>
          <w:rFonts w:hint="eastAsia" w:ascii="方正黑体_GBK" w:hAnsi="方正黑体_GBK" w:eastAsia="方正黑体_GBK" w:cs="方正黑体_GBK"/>
          <w:b w:val="0"/>
          <w:color w:val="auto"/>
          <w:sz w:val="32"/>
          <w:szCs w:val="32"/>
          <w:highlight w:val="none"/>
          <w:lang w:eastAsia="zh-CN"/>
        </w:rPr>
      </w:pPr>
      <w:bookmarkStart w:id="9" w:name="_Toc15377197"/>
      <w:bookmarkStart w:id="10" w:name="_Toc15396600"/>
      <w:bookmarkStart w:id="11" w:name="_Toc4804"/>
      <w:r>
        <w:rPr>
          <w:rFonts w:hint="eastAsia" w:ascii="方正黑体_GBK" w:hAnsi="方正黑体_GBK" w:eastAsia="方正黑体_GBK" w:cs="方正黑体_GBK"/>
          <w:b w:val="0"/>
          <w:color w:val="auto"/>
          <w:sz w:val="32"/>
          <w:szCs w:val="32"/>
          <w:highlight w:val="none"/>
        </w:rPr>
        <w:t>一、</w:t>
      </w:r>
      <w:bookmarkEnd w:id="9"/>
      <w:bookmarkEnd w:id="10"/>
      <w:r>
        <w:rPr>
          <w:rFonts w:hint="eastAsia" w:ascii="方正黑体_GBK" w:hAnsi="方正黑体_GBK" w:eastAsia="方正黑体_GBK" w:cs="方正黑体_GBK"/>
          <w:b w:val="0"/>
          <w:color w:val="auto"/>
          <w:sz w:val="32"/>
          <w:szCs w:val="32"/>
          <w:highlight w:val="none"/>
          <w:lang w:eastAsia="zh-CN"/>
        </w:rPr>
        <w:t>单位职责</w:t>
      </w:r>
      <w:bookmarkEnd w:id="11"/>
    </w:p>
    <w:p>
      <w:pPr>
        <w:pStyle w:val="8"/>
        <w:keepNext w:val="0"/>
        <w:keepLines w:val="0"/>
        <w:pageBreakBefore w:val="0"/>
        <w:widowControl w:val="0"/>
        <w:kinsoku/>
        <w:wordWrap/>
        <w:overflowPunct/>
        <w:topLinePunct w:val="0"/>
        <w:autoSpaceDE/>
        <w:autoSpaceDN/>
        <w:bidi w:val="0"/>
        <w:adjustRightInd/>
        <w:snapToGrid/>
        <w:spacing w:beforeLines="0" w:line="60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市委办公室是市委的综合办事机构，主要职能是：负责中央、省委和市委重要工作部署，领导重要指示批示的贯彻落实、统筹协调和督促办理；负责市委会议、重大活动的筹备和实施工作，以及市委领导公务活动的协调安排；负责市委重要文稿和市委主要领导文稿的起草、审核、修改和印制；围绕中央、省委和市委工作部署，开展调研、搜集信息、反映动态；负责党委信息、全市重要情况和重大经济信息的收集、整理、分析和上报；负责中央、省委文件的分发、管理，以及市委文件的制发、管理；负责市委规范性文件审查、解释、清理及报送省委备案工作，以及全市党内规范性文件备案审查；负责全市档案管理工作的监督、指导；研究制定公务服务管理工作的具体政策和管理制度并组织实施；对市直各部门及县（区）公务服务管理工作进行指导；负责市委政研室、市委保密机要局的人事党务、财务后勤、离退休人员管理等工作；完成市委交办的其他工作。</w:t>
      </w:r>
    </w:p>
    <w:p>
      <w:pPr>
        <w:pStyle w:val="6"/>
        <w:keepNext w:val="0"/>
        <w:keepLines w:val="0"/>
        <w:pageBreakBefore w:val="0"/>
        <w:widowControl w:val="0"/>
        <w:kinsoku/>
        <w:wordWrap/>
        <w:overflowPunct/>
        <w:topLinePunct w:val="0"/>
        <w:autoSpaceDE/>
        <w:autoSpaceDN/>
        <w:bidi w:val="0"/>
        <w:spacing w:before="0" w:after="0" w:line="600" w:lineRule="exact"/>
        <w:ind w:left="0" w:firstLine="640" w:firstLineChars="200"/>
        <w:jc w:val="both"/>
        <w:textAlignment w:val="auto"/>
        <w:rPr>
          <w:rFonts w:hint="default" w:ascii="方正黑体_GBK" w:hAnsi="方正黑体_GBK" w:eastAsia="方正黑体_GBK" w:cs="方正黑体_GBK"/>
          <w:b w:val="0"/>
          <w:color w:val="auto"/>
          <w:sz w:val="32"/>
          <w:szCs w:val="32"/>
          <w:highlight w:val="none"/>
        </w:rPr>
      </w:pPr>
      <w:bookmarkStart w:id="12" w:name="_Toc15396601"/>
      <w:bookmarkStart w:id="13" w:name="_Toc15377200"/>
      <w:bookmarkStart w:id="14" w:name="_Toc19367"/>
      <w:r>
        <w:rPr>
          <w:rFonts w:hint="default" w:ascii="方正黑体_GBK" w:hAnsi="方正黑体_GBK" w:eastAsia="方正黑体_GBK" w:cs="方正黑体_GBK"/>
          <w:b w:val="0"/>
          <w:color w:val="auto"/>
          <w:sz w:val="32"/>
          <w:szCs w:val="32"/>
          <w:highlight w:val="none"/>
        </w:rPr>
        <w:t>二、机构设置</w:t>
      </w:r>
      <w:bookmarkEnd w:id="12"/>
      <w:bookmarkEnd w:id="13"/>
      <w:bookmarkEnd w:id="14"/>
    </w:p>
    <w:p>
      <w:pPr>
        <w:pStyle w:val="8"/>
        <w:keepNext w:val="0"/>
        <w:keepLines w:val="0"/>
        <w:pageBreakBefore w:val="0"/>
        <w:widowControl w:val="0"/>
        <w:kinsoku/>
        <w:wordWrap/>
        <w:overflowPunct/>
        <w:topLinePunct w:val="0"/>
        <w:autoSpaceDE/>
        <w:autoSpaceDN/>
        <w:bidi w:val="0"/>
        <w:adjustRightInd w:val="0"/>
        <w:snapToGrid w:val="0"/>
        <w:spacing w:beforeLines="0"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纳入</w:t>
      </w:r>
      <w:r>
        <w:rPr>
          <w:rFonts w:hint="default" w:ascii="Times New Roman" w:hAnsi="Times New Roman" w:eastAsia="方正仿宋_GBK" w:cs="Times New Roman"/>
          <w:sz w:val="32"/>
          <w:szCs w:val="32"/>
          <w:lang w:eastAsia="zh-CN"/>
        </w:rPr>
        <w:t>市委办公室</w:t>
      </w:r>
      <w:r>
        <w:rPr>
          <w:rFonts w:hint="default" w:ascii="Times New Roman" w:hAnsi="Times New Roman" w:eastAsia="方正仿宋_GBK" w:cs="Times New Roman"/>
          <w:sz w:val="32"/>
          <w:szCs w:val="32"/>
        </w:rPr>
        <w:t>（本级）</w:t>
      </w: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w:t>
      </w:r>
      <w:r>
        <w:rPr>
          <w:rFonts w:hint="default" w:ascii="Times New Roman" w:hAnsi="Times New Roman" w:eastAsia="方正仿宋_GBK" w:cs="Times New Roman"/>
          <w:color w:val="auto"/>
          <w:sz w:val="32"/>
          <w:szCs w:val="32"/>
          <w:highlight w:val="none"/>
        </w:rPr>
        <w:t>部门决算编制范围</w:t>
      </w:r>
      <w:r>
        <w:rPr>
          <w:rFonts w:hint="default" w:ascii="Times New Roman" w:hAnsi="Times New Roman" w:eastAsia="方正仿宋_GBK" w:cs="Times New Roman"/>
          <w:color w:val="auto"/>
          <w:sz w:val="32"/>
          <w:szCs w:val="32"/>
          <w:highlight w:val="none"/>
          <w:lang w:eastAsia="zh-CN"/>
        </w:rPr>
        <w:t>未独立核算的</w:t>
      </w:r>
      <w:r>
        <w:rPr>
          <w:rFonts w:hint="default" w:ascii="Times New Roman" w:hAnsi="Times New Roman" w:eastAsia="方正仿宋_GBK" w:cs="Times New Roman"/>
          <w:color w:val="auto"/>
          <w:sz w:val="32"/>
          <w:szCs w:val="32"/>
          <w:highlight w:val="none"/>
        </w:rPr>
        <w:t>单位包括：</w:t>
      </w:r>
    </w:p>
    <w:p>
      <w:pPr>
        <w:pStyle w:val="8"/>
        <w:keepNext w:val="0"/>
        <w:keepLines w:val="0"/>
        <w:pageBreakBefore w:val="0"/>
        <w:widowControl w:val="0"/>
        <w:kinsoku/>
        <w:wordWrap/>
        <w:overflowPunct/>
        <w:topLinePunct w:val="0"/>
        <w:autoSpaceDE/>
        <w:autoSpaceDN/>
        <w:bidi w:val="0"/>
        <w:adjustRightInd w:val="0"/>
        <w:snapToGrid w:val="0"/>
        <w:spacing w:beforeLines="0"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市委政策研究室</w:t>
      </w:r>
    </w:p>
    <w:p>
      <w:pPr>
        <w:pStyle w:val="8"/>
        <w:keepNext w:val="0"/>
        <w:keepLines w:val="0"/>
        <w:pageBreakBefore w:val="0"/>
        <w:widowControl w:val="0"/>
        <w:numPr>
          <w:ilvl w:val="0"/>
          <w:numId w:val="0"/>
        </w:numPr>
        <w:kinsoku/>
        <w:wordWrap/>
        <w:overflowPunct/>
        <w:topLinePunct w:val="0"/>
        <w:autoSpaceDE/>
        <w:autoSpaceDN/>
        <w:bidi w:val="0"/>
        <w:adjustRightInd w:val="0"/>
        <w:snapToGrid w:val="0"/>
        <w:spacing w:beforeLines="0" w:line="600" w:lineRule="exact"/>
        <w:ind w:leftChars="0" w:firstLine="640" w:firstLineChars="200"/>
        <w:jc w:val="both"/>
        <w:textAlignment w:val="auto"/>
        <w:outlineLvl w:val="2"/>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sz w:val="32"/>
          <w:szCs w:val="32"/>
        </w:rPr>
        <w:t>市委保密机要局</w:t>
      </w:r>
    </w:p>
    <w:p>
      <w:pPr>
        <w:pStyle w:val="8"/>
        <w:keepNext w:val="0"/>
        <w:keepLines w:val="0"/>
        <w:pageBreakBefore w:val="0"/>
        <w:widowControl w:val="0"/>
        <w:numPr>
          <w:ilvl w:val="0"/>
          <w:numId w:val="0"/>
        </w:numPr>
        <w:kinsoku/>
        <w:wordWrap/>
        <w:overflowPunct/>
        <w:topLinePunct w:val="0"/>
        <w:autoSpaceDE/>
        <w:autoSpaceDN/>
        <w:bidi w:val="0"/>
        <w:adjustRightInd w:val="0"/>
        <w:snapToGrid w:val="0"/>
        <w:spacing w:beforeLines="0" w:line="600" w:lineRule="exact"/>
        <w:ind w:leftChars="0" w:firstLine="640" w:firstLineChars="200"/>
        <w:jc w:val="both"/>
        <w:textAlignment w:val="auto"/>
        <w:outlineLvl w:val="2"/>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市</w:t>
      </w:r>
      <w:r>
        <w:rPr>
          <w:rFonts w:hint="default" w:ascii="Times New Roman" w:hAnsi="Times New Roman" w:eastAsia="方正仿宋_GBK" w:cs="Times New Roman"/>
          <w:sz w:val="32"/>
          <w:szCs w:val="32"/>
          <w:lang w:eastAsia="zh-CN"/>
        </w:rPr>
        <w:t>党政</w:t>
      </w:r>
      <w:r>
        <w:rPr>
          <w:rFonts w:hint="default" w:ascii="Times New Roman" w:hAnsi="Times New Roman" w:eastAsia="方正仿宋_GBK" w:cs="Times New Roman"/>
          <w:sz w:val="32"/>
          <w:szCs w:val="32"/>
        </w:rPr>
        <w:t>内网服务中心</w:t>
      </w:r>
    </w:p>
    <w:p>
      <w:pPr>
        <w:pStyle w:val="8"/>
        <w:keepNext w:val="0"/>
        <w:keepLines w:val="0"/>
        <w:pageBreakBefore w:val="0"/>
        <w:widowControl w:val="0"/>
        <w:numPr>
          <w:ilvl w:val="0"/>
          <w:numId w:val="0"/>
        </w:numPr>
        <w:kinsoku/>
        <w:wordWrap/>
        <w:overflowPunct/>
        <w:topLinePunct w:val="0"/>
        <w:autoSpaceDE/>
        <w:autoSpaceDN/>
        <w:bidi w:val="0"/>
        <w:adjustRightInd w:val="0"/>
        <w:snapToGrid w:val="0"/>
        <w:spacing w:beforeLines="0" w:line="600" w:lineRule="exact"/>
        <w:ind w:leftChars="0" w:firstLine="640" w:firstLineChars="200"/>
        <w:jc w:val="both"/>
        <w:textAlignment w:val="auto"/>
        <w:outlineLvl w:val="2"/>
        <w:rPr>
          <w:rFonts w:ascii="Times New Roman" w:hAnsi="Times New Roman" w:eastAsia="仿宋"/>
          <w:color w:val="auto"/>
          <w:kern w:val="0"/>
          <w:sz w:val="32"/>
          <w:szCs w:val="32"/>
          <w:highlight w:val="none"/>
        </w:rPr>
      </w:pPr>
      <w:r>
        <w:rPr>
          <w:rFonts w:hint="default" w:ascii="Times New Roman" w:hAnsi="Times New Roman" w:eastAsia="方正仿宋_GBK" w:cs="Times New Roman"/>
          <w:sz w:val="32"/>
          <w:szCs w:val="32"/>
          <w:lang w:val="en-US" w:eastAsia="zh-CN"/>
        </w:rPr>
        <w:t>4.市委值班中心</w:t>
      </w:r>
      <w:r>
        <w:rPr>
          <w:rFonts w:ascii="Times New Roman" w:hAnsi="Times New Roman" w:eastAsia="仿宋"/>
          <w:color w:val="auto"/>
          <w:sz w:val="32"/>
          <w:szCs w:val="32"/>
          <w:highlight w:val="none"/>
        </w:rPr>
        <w:br w:type="page"/>
      </w:r>
    </w:p>
    <w:p>
      <w:pPr>
        <w:pStyle w:val="5"/>
        <w:pageBreakBefore w:val="0"/>
        <w:widowControl w:val="0"/>
        <w:kinsoku/>
        <w:wordWrap/>
        <w:overflowPunct/>
        <w:topLinePunct w:val="0"/>
        <w:autoSpaceDE/>
        <w:autoSpaceDN/>
        <w:bidi w:val="0"/>
        <w:adjustRightInd/>
        <w:snapToGrid/>
        <w:spacing w:line="600" w:lineRule="exact"/>
        <w:jc w:val="center"/>
        <w:textAlignment w:val="auto"/>
        <w:rPr>
          <w:rFonts w:ascii="Times New Roman" w:hAnsi="Times New Roman"/>
          <w:color w:val="auto"/>
          <w:highlight w:val="none"/>
        </w:rPr>
      </w:pPr>
      <w:bookmarkStart w:id="15" w:name="_Toc25354"/>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5"/>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outlineLvl w:val="1"/>
        <w:rPr>
          <w:rStyle w:val="29"/>
          <w:rFonts w:hint="eastAsia" w:ascii="方正黑体_GBK" w:hAnsi="方正黑体_GBK" w:eastAsia="方正黑体_GBK" w:cs="方正黑体_GBK"/>
          <w:b w:val="0"/>
          <w:color w:val="auto"/>
          <w:sz w:val="32"/>
          <w:szCs w:val="32"/>
          <w:highlight w:val="none"/>
        </w:rPr>
      </w:pPr>
      <w:bookmarkStart w:id="18" w:name="_Toc15377205"/>
      <w:bookmarkStart w:id="19" w:name="_Toc13744"/>
      <w:bookmarkStart w:id="20" w:name="_Toc15396603"/>
      <w:r>
        <w:rPr>
          <w:rFonts w:hint="eastAsia" w:ascii="方正黑体_GBK" w:hAnsi="方正黑体_GBK" w:eastAsia="方正黑体_GBK" w:cs="方正黑体_GBK"/>
          <w:color w:val="auto"/>
          <w:sz w:val="32"/>
          <w:szCs w:val="32"/>
          <w:highlight w:val="none"/>
          <w:lang w:eastAsia="zh-CN"/>
        </w:rPr>
        <w:t>一、</w:t>
      </w:r>
      <w:r>
        <w:rPr>
          <w:rFonts w:hint="eastAsia" w:ascii="方正黑体_GBK" w:hAnsi="方正黑体_GBK" w:eastAsia="方正黑体_GBK" w:cs="方正黑体_GBK"/>
          <w:color w:val="auto"/>
          <w:sz w:val="32"/>
          <w:szCs w:val="32"/>
          <w:highlight w:val="none"/>
        </w:rPr>
        <w:t>收</w:t>
      </w:r>
      <w:r>
        <w:rPr>
          <w:rStyle w:val="29"/>
          <w:rFonts w:hint="eastAsia" w:ascii="方正黑体_GBK" w:hAnsi="方正黑体_GBK" w:eastAsia="方正黑体_GBK" w:cs="方正黑体_GBK"/>
          <w:b w:val="0"/>
          <w:color w:val="auto"/>
          <w:sz w:val="32"/>
          <w:szCs w:val="32"/>
          <w:highlight w:val="none"/>
        </w:rPr>
        <w:t>入支出决算总体情况说明</w:t>
      </w:r>
      <w:bookmarkEnd w:id="18"/>
      <w:bookmarkEnd w:id="19"/>
      <w:bookmarkEnd w:id="20"/>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eastAsia="zh-CN"/>
        </w:rPr>
        <w:t>2025年度收入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w:t>
      </w:r>
      <w:r>
        <w:rPr>
          <w:rFonts w:hint="default" w:ascii="Times New Roman" w:hAnsi="Times New Roman" w:eastAsia="方正仿宋_GBK" w:cs="Times New Roman"/>
          <w:color w:val="auto"/>
          <w:sz w:val="32"/>
          <w:szCs w:val="32"/>
          <w:highlight w:val="none"/>
          <w:lang w:eastAsia="zh-CN"/>
        </w:rPr>
        <w:t>均为</w:t>
      </w:r>
      <w:r>
        <w:rPr>
          <w:rFonts w:hint="default" w:ascii="Times New Roman" w:hAnsi="Times New Roman" w:eastAsia="方正仿宋_GBK" w:cs="Times New Roman"/>
          <w:sz w:val="32"/>
          <w:szCs w:val="32"/>
        </w:rPr>
        <w:t>7</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796.66</w:t>
      </w:r>
      <w:r>
        <w:rPr>
          <w:rFonts w:hint="default" w:ascii="Times New Roman" w:hAnsi="Times New Roman" w:eastAsia="方正仿宋_GBK" w:cs="Times New Roman"/>
          <w:color w:val="auto"/>
          <w:sz w:val="32"/>
          <w:szCs w:val="32"/>
          <w:highlight w:val="none"/>
        </w:rPr>
        <w:t>万元。与</w:t>
      </w:r>
      <w:r>
        <w:rPr>
          <w:rFonts w:hint="default" w:ascii="Times New Roman" w:hAnsi="Times New Roman" w:eastAsia="方正仿宋_GBK" w:cs="Times New Roman"/>
          <w:color w:val="auto"/>
          <w:sz w:val="32"/>
          <w:szCs w:val="32"/>
          <w:highlight w:val="none"/>
          <w:lang w:eastAsia="zh-CN"/>
        </w:rPr>
        <w:t>上</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eastAsia="zh-CN"/>
        </w:rPr>
        <w:t>度</w:t>
      </w:r>
      <w:r>
        <w:rPr>
          <w:rFonts w:hint="default" w:ascii="Times New Roman" w:hAnsi="Times New Roman" w:eastAsia="方正仿宋_GBK" w:cs="Times New Roman"/>
          <w:color w:val="auto"/>
          <w:sz w:val="32"/>
          <w:szCs w:val="32"/>
          <w:highlight w:val="none"/>
        </w:rPr>
        <w:t>相比，</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总计各增加</w:t>
      </w:r>
      <w:r>
        <w:rPr>
          <w:rFonts w:hint="eastAsia" w:ascii="Times New Roman" w:hAnsi="Times New Roman" w:eastAsia="方正仿宋_GBK" w:cs="Times New Roman"/>
          <w:color w:val="auto"/>
          <w:sz w:val="32"/>
          <w:szCs w:val="32"/>
          <w:highlight w:val="none"/>
          <w:lang w:val="en-US" w:eastAsia="zh-CN"/>
        </w:rPr>
        <w:t>3</w:t>
      </w:r>
      <w:r>
        <w:rPr>
          <w:rFonts w:hint="eastAsia" w:ascii="Times New Roman" w:hAnsi="Times New Roman" w:eastAsia="方正仿宋_GBK" w:cs="Times New Roman"/>
          <w:sz w:val="32"/>
          <w:szCs w:val="32"/>
          <w:lang w:val="en-US" w:eastAsia="zh-CN"/>
        </w:rPr>
        <w:t>,</w:t>
      </w:r>
      <w:r>
        <w:rPr>
          <w:rFonts w:hint="eastAsia" w:ascii="Times New Roman" w:hAnsi="Times New Roman" w:eastAsia="方正仿宋_GBK" w:cs="Times New Roman"/>
          <w:color w:val="auto"/>
          <w:sz w:val="32"/>
          <w:szCs w:val="32"/>
          <w:highlight w:val="none"/>
          <w:lang w:val="en-US" w:eastAsia="zh-CN"/>
        </w:rPr>
        <w:t>822.27</w:t>
      </w:r>
      <w:r>
        <w:rPr>
          <w:rFonts w:hint="default" w:ascii="Times New Roman" w:hAnsi="Times New Roman" w:eastAsia="方正仿宋_GBK" w:cs="Times New Roman"/>
          <w:color w:val="auto"/>
          <w:sz w:val="32"/>
          <w:szCs w:val="32"/>
          <w:highlight w:val="none"/>
        </w:rPr>
        <w:t>万元，增长</w:t>
      </w:r>
      <w:r>
        <w:rPr>
          <w:rFonts w:hint="eastAsia" w:ascii="Times New Roman" w:hAnsi="Times New Roman" w:eastAsia="方正仿宋_GBK" w:cs="Times New Roman"/>
          <w:color w:val="auto"/>
          <w:sz w:val="32"/>
          <w:szCs w:val="32"/>
          <w:highlight w:val="none"/>
          <w:lang w:val="en-US" w:eastAsia="zh-CN"/>
        </w:rPr>
        <w:t>96.</w:t>
      </w:r>
      <w:r>
        <w:rPr>
          <w:rFonts w:hint="eastAsia"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rPr>
        <w:t>%。主要变动原因是</w:t>
      </w:r>
      <w:r>
        <w:rPr>
          <w:rFonts w:hint="eastAsia" w:ascii="Times New Roman" w:hAnsi="Times New Roman" w:eastAsia="方正仿宋_GBK" w:cs="Times New Roman"/>
          <w:color w:val="auto"/>
          <w:sz w:val="32"/>
          <w:szCs w:val="32"/>
          <w:highlight w:val="none"/>
          <w:lang w:eastAsia="zh-CN"/>
        </w:rPr>
        <w:t>：根据工作开展实际安排的项目支出较上年增加</w:t>
      </w:r>
      <w:r>
        <w:rPr>
          <w:rFonts w:hint="eastAsia" w:ascii="Times New Roman" w:hAnsi="Times New Roman" w:eastAsia="方正仿宋_GBK" w:cs="Times New Roman"/>
          <w:color w:val="auto"/>
          <w:sz w:val="32"/>
          <w:szCs w:val="32"/>
          <w:highlight w:val="none"/>
          <w:lang w:val="en-US"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（图1：</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color w:val="auto"/>
          <w:sz w:val="32"/>
          <w:szCs w:val="32"/>
          <w:highlight w:val="none"/>
        </w:rPr>
      </w:pPr>
      <w:r>
        <w:drawing>
          <wp:inline distT="0" distB="0" distL="114300" distR="114300">
            <wp:extent cx="3338830" cy="1897380"/>
            <wp:effectExtent l="0" t="0" r="13970" b="7620"/>
            <wp:docPr id="11"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
                    <pic:cNvPicPr>
                      <a:picLocks noChangeAspect="true"/>
                    </pic:cNvPicPr>
                  </pic:nvPicPr>
                  <pic:blipFill>
                    <a:blip r:embed="rId8"/>
                    <a:stretch>
                      <a:fillRect/>
                    </a:stretch>
                  </pic:blipFill>
                  <pic:spPr>
                    <a:xfrm>
                      <a:off x="0" y="0"/>
                      <a:ext cx="3338830" cy="1897380"/>
                    </a:xfrm>
                    <a:prstGeom prst="rect">
                      <a:avLst/>
                    </a:prstGeom>
                    <a:noFill/>
                    <a:ln>
                      <a:noFill/>
                    </a:ln>
                  </pic:spPr>
                </pic:pic>
              </a:graphicData>
            </a:graphic>
          </wp:inline>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outlineLvl w:val="1"/>
        <w:rPr>
          <w:rFonts w:hint="eastAsia" w:ascii="方正黑体_GBK" w:hAnsi="方正黑体_GBK" w:eastAsia="方正黑体_GBK" w:cs="方正黑体_GBK"/>
          <w:color w:val="auto"/>
          <w:sz w:val="32"/>
          <w:szCs w:val="32"/>
          <w:highlight w:val="none"/>
          <w:lang w:eastAsia="zh-CN"/>
        </w:rPr>
      </w:pPr>
      <w:bookmarkStart w:id="21" w:name="_Toc15377206"/>
      <w:bookmarkStart w:id="22" w:name="_Toc5760"/>
      <w:bookmarkStart w:id="23" w:name="_Toc15396604"/>
      <w:r>
        <w:rPr>
          <w:rFonts w:hint="eastAsia" w:ascii="方正黑体_GBK" w:hAnsi="方正黑体_GBK" w:eastAsia="方正黑体_GBK" w:cs="方正黑体_GBK"/>
          <w:color w:val="auto"/>
          <w:sz w:val="32"/>
          <w:szCs w:val="32"/>
          <w:highlight w:val="none"/>
          <w:lang w:eastAsia="zh-CN"/>
        </w:rPr>
        <w:t>二、收入决算情况说明</w:t>
      </w:r>
      <w:bookmarkEnd w:id="21"/>
      <w:bookmarkEnd w:id="22"/>
      <w:bookmarkEnd w:id="2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outlineLvl w:val="9"/>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2025年度本年收入合计</w:t>
      </w:r>
      <w:r>
        <w:rPr>
          <w:rFonts w:hint="default" w:ascii="Times New Roman" w:hAnsi="Times New Roman" w:eastAsia="方正仿宋_GBK" w:cs="Times New Roman"/>
          <w:sz w:val="32"/>
          <w:szCs w:val="32"/>
        </w:rPr>
        <w:t>7</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794.57</w:t>
      </w:r>
      <w:r>
        <w:rPr>
          <w:rFonts w:hint="default" w:ascii="Times New Roman" w:hAnsi="Times New Roman" w:eastAsia="方正仿宋_GBK" w:cs="Times New Roman"/>
          <w:color w:val="auto"/>
          <w:sz w:val="32"/>
          <w:szCs w:val="32"/>
          <w:highlight w:val="none"/>
          <w:lang w:eastAsia="zh-CN"/>
        </w:rPr>
        <w:t>万元，其中：一般公共预算财政拨款收入</w:t>
      </w:r>
      <w:r>
        <w:rPr>
          <w:rFonts w:hint="default" w:ascii="Times New Roman" w:hAnsi="Times New Roman" w:eastAsia="方正仿宋_GBK" w:cs="Times New Roman"/>
          <w:sz w:val="32"/>
          <w:szCs w:val="32"/>
        </w:rPr>
        <w:t>5</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414.39</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69.</w:t>
      </w:r>
      <w:r>
        <w:rPr>
          <w:rFonts w:hint="eastAsia" w:eastAsia="方正仿宋_GBK" w:cs="Times New Roman"/>
          <w:sz w:val="32"/>
          <w:szCs w:val="32"/>
          <w:lang w:val="en-US" w:eastAsia="zh-CN"/>
        </w:rPr>
        <w:t>5</w:t>
      </w:r>
      <w:r>
        <w:rPr>
          <w:rFonts w:hint="default" w:ascii="Times New Roman" w:hAnsi="Times New Roman" w:eastAsia="方正仿宋_GBK" w:cs="Times New Roman"/>
          <w:color w:val="auto"/>
          <w:sz w:val="32"/>
          <w:szCs w:val="32"/>
          <w:highlight w:val="none"/>
          <w:lang w:eastAsia="zh-CN"/>
        </w:rPr>
        <w:t>%；政府性基金预算财政拨款收入</w:t>
      </w:r>
      <w:r>
        <w:rPr>
          <w:rFonts w:hint="default" w:ascii="Times New Roman" w:hAnsi="Times New Roman" w:eastAsia="方正仿宋_GBK" w:cs="Times New Roman"/>
          <w:sz w:val="32"/>
          <w:szCs w:val="32"/>
        </w:rPr>
        <w:t>2</w:t>
      </w:r>
      <w:r>
        <w:rPr>
          <w:rFonts w:hint="eastAsia"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380.18</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30.5</w:t>
      </w:r>
      <w:r>
        <w:rPr>
          <w:rFonts w:hint="default" w:ascii="Times New Roman" w:hAnsi="Times New Roman" w:eastAsia="方正仿宋_GBK" w:cs="Times New Roman"/>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（图2：收入决算结构图）（饼状图）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color w:val="auto"/>
          <w:sz w:val="32"/>
          <w:szCs w:val="32"/>
          <w:highlight w:val="none"/>
          <w:lang w:eastAsia="zh-CN"/>
        </w:rPr>
      </w:pPr>
      <w:r>
        <w:drawing>
          <wp:inline distT="0" distB="0" distL="114300" distR="114300">
            <wp:extent cx="3281045" cy="1866265"/>
            <wp:effectExtent l="0" t="0" r="14605" b="635"/>
            <wp:docPr id="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true"/>
                    </pic:cNvPicPr>
                  </pic:nvPicPr>
                  <pic:blipFill>
                    <a:blip r:embed="rId9"/>
                    <a:stretch>
                      <a:fillRect/>
                    </a:stretch>
                  </pic:blipFill>
                  <pic:spPr>
                    <a:xfrm>
                      <a:off x="0" y="0"/>
                      <a:ext cx="3281045" cy="1866265"/>
                    </a:xfrm>
                    <a:prstGeom prst="rect">
                      <a:avLst/>
                    </a:prstGeom>
                    <a:noFill/>
                    <a:ln>
                      <a:noFill/>
                    </a:ln>
                  </pic:spPr>
                </pic:pic>
              </a:graphicData>
            </a:graphic>
          </wp:inline>
        </w:drawing>
      </w:r>
    </w:p>
    <w:p>
      <w:pPr>
        <w:pStyle w:val="6"/>
        <w:keepNext w:val="0"/>
        <w:keepLines w:val="0"/>
        <w:pageBreakBefore w:val="0"/>
        <w:widowControl w:val="0"/>
        <w:kinsoku/>
        <w:wordWrap/>
        <w:overflowPunct/>
        <w:topLinePunct w:val="0"/>
        <w:autoSpaceDE/>
        <w:autoSpaceDN/>
        <w:bidi w:val="0"/>
        <w:spacing w:before="0" w:after="0" w:line="600" w:lineRule="exact"/>
        <w:ind w:left="0" w:firstLine="640" w:firstLineChars="200"/>
        <w:jc w:val="both"/>
        <w:textAlignment w:val="auto"/>
        <w:rPr>
          <w:rFonts w:hint="default" w:ascii="方正黑体_GBK" w:hAnsi="方正黑体_GBK" w:eastAsia="方正黑体_GBK" w:cs="方正黑体_GBK"/>
          <w:b w:val="0"/>
          <w:color w:val="auto"/>
          <w:sz w:val="32"/>
          <w:szCs w:val="32"/>
          <w:highlight w:val="none"/>
        </w:rPr>
      </w:pPr>
      <w:bookmarkStart w:id="24" w:name="_Toc15396605"/>
      <w:bookmarkStart w:id="25" w:name="_Toc15377207"/>
      <w:bookmarkStart w:id="26" w:name="_Toc16439"/>
      <w:r>
        <w:rPr>
          <w:rFonts w:hint="default" w:ascii="方正黑体_GBK" w:hAnsi="方正黑体_GBK" w:eastAsia="方正黑体_GBK" w:cs="方正黑体_GBK"/>
          <w:b w:val="0"/>
          <w:color w:val="auto"/>
          <w:sz w:val="32"/>
          <w:szCs w:val="32"/>
          <w:highlight w:val="none"/>
          <w:lang w:eastAsia="zh-CN"/>
        </w:rPr>
        <w:t>三、</w:t>
      </w:r>
      <w:r>
        <w:rPr>
          <w:rFonts w:hint="default" w:ascii="方正黑体_GBK" w:hAnsi="方正黑体_GBK" w:eastAsia="方正黑体_GBK" w:cs="方正黑体_GBK"/>
          <w:b w:val="0"/>
          <w:color w:val="auto"/>
          <w:sz w:val="32"/>
          <w:szCs w:val="32"/>
          <w:highlight w:val="none"/>
        </w:rPr>
        <w:t>支出决算情况说明</w:t>
      </w:r>
      <w:bookmarkEnd w:id="24"/>
      <w:bookmarkEnd w:id="25"/>
      <w:bookmarkEnd w:id="26"/>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both"/>
        <w:textAlignment w:val="auto"/>
        <w:outlineLvl w:val="9"/>
        <w:rPr>
          <w:rFonts w:hint="default" w:ascii="Times New Roman" w:hAnsi="Times New Roman" w:eastAsia="方正仿宋_GBK" w:cs="Times New Roman"/>
          <w:b/>
          <w:bCs/>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2025年度本年支出合计</w:t>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765.51</w:t>
      </w:r>
      <w:r>
        <w:rPr>
          <w:rFonts w:hint="default" w:ascii="Times New Roman" w:hAnsi="Times New Roman" w:eastAsia="方正仿宋_GBK" w:cs="Times New Roman"/>
          <w:color w:val="auto"/>
          <w:sz w:val="32"/>
          <w:szCs w:val="32"/>
          <w:highlight w:val="none"/>
          <w:lang w:eastAsia="zh-CN"/>
        </w:rPr>
        <w:t>万元，其中：基本支出</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091.28</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39.8</w:t>
      </w:r>
      <w:r>
        <w:rPr>
          <w:rFonts w:hint="default" w:ascii="Times New Roman" w:hAnsi="Times New Roman" w:eastAsia="方正仿宋_GBK" w:cs="Times New Roman"/>
          <w:color w:val="auto"/>
          <w:sz w:val="32"/>
          <w:szCs w:val="32"/>
          <w:highlight w:val="none"/>
          <w:lang w:eastAsia="zh-CN"/>
        </w:rPr>
        <w:t>%；项目支出</w:t>
      </w: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674.23</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60.</w:t>
      </w:r>
      <w:r>
        <w:rPr>
          <w:rFonts w:hint="eastAsia" w:eastAsia="方正仿宋_GBK" w:cs="Times New Roman"/>
          <w:sz w:val="32"/>
          <w:szCs w:val="32"/>
          <w:lang w:val="en-US" w:eastAsia="zh-CN"/>
        </w:rPr>
        <w:t>2</w:t>
      </w:r>
      <w:r>
        <w:rPr>
          <w:rFonts w:hint="default" w:ascii="Times New Roman" w:hAnsi="Times New Roman" w:eastAsia="方正仿宋_GBK" w:cs="Times New Roman"/>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（图3：支出决算结构图）（饼状图）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方正仿宋_GBK" w:cs="Times New Roman"/>
          <w:color w:val="auto"/>
          <w:sz w:val="32"/>
          <w:szCs w:val="32"/>
          <w:highlight w:val="none"/>
          <w:lang w:eastAsia="zh-CN"/>
        </w:rPr>
      </w:pPr>
      <w:r>
        <w:drawing>
          <wp:inline distT="0" distB="0" distL="114300" distR="114300">
            <wp:extent cx="3470910" cy="2089785"/>
            <wp:effectExtent l="0" t="0" r="15240" b="5715"/>
            <wp:docPr id="5" name="图片 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true"/>
                    </pic:cNvPicPr>
                  </pic:nvPicPr>
                  <pic:blipFill>
                    <a:blip r:embed="rId10"/>
                    <a:stretch>
                      <a:fillRect/>
                    </a:stretch>
                  </pic:blipFill>
                  <pic:spPr>
                    <a:xfrm>
                      <a:off x="0" y="0"/>
                      <a:ext cx="3470910" cy="2089785"/>
                    </a:xfrm>
                    <a:prstGeom prst="rect">
                      <a:avLst/>
                    </a:prstGeom>
                    <a:noFill/>
                    <a:ln>
                      <a:noFill/>
                    </a:ln>
                  </pic:spPr>
                </pic:pic>
              </a:graphicData>
            </a:graphic>
          </wp:inline>
        </w:drawing>
      </w:r>
    </w:p>
    <w:p>
      <w:pPr>
        <w:pStyle w:val="6"/>
        <w:keepNext w:val="0"/>
        <w:keepLines w:val="0"/>
        <w:pageBreakBefore w:val="0"/>
        <w:widowControl w:val="0"/>
        <w:kinsoku/>
        <w:wordWrap/>
        <w:overflowPunct/>
        <w:topLinePunct w:val="0"/>
        <w:autoSpaceDE/>
        <w:autoSpaceDN/>
        <w:bidi w:val="0"/>
        <w:spacing w:before="0" w:after="0" w:line="600" w:lineRule="exact"/>
        <w:ind w:left="0" w:firstLine="640" w:firstLineChars="200"/>
        <w:jc w:val="both"/>
        <w:textAlignment w:val="auto"/>
        <w:rPr>
          <w:rFonts w:hint="default" w:ascii="方正黑体_GBK" w:hAnsi="方正黑体_GBK" w:eastAsia="方正黑体_GBK" w:cs="方正黑体_GBK"/>
          <w:b w:val="0"/>
          <w:color w:val="auto"/>
          <w:sz w:val="32"/>
          <w:szCs w:val="32"/>
          <w:highlight w:val="none"/>
          <w:lang w:eastAsia="zh-CN"/>
        </w:rPr>
      </w:pPr>
      <w:bookmarkStart w:id="27" w:name="_Toc6988"/>
      <w:bookmarkStart w:id="28" w:name="_Toc15396606"/>
      <w:bookmarkStart w:id="29" w:name="_Toc15377208"/>
      <w:r>
        <w:rPr>
          <w:rFonts w:hint="default" w:ascii="方正黑体_GBK" w:hAnsi="方正黑体_GBK" w:eastAsia="方正黑体_GBK" w:cs="方正黑体_GBK"/>
          <w:b w:val="0"/>
          <w:color w:val="auto"/>
          <w:sz w:val="32"/>
          <w:szCs w:val="32"/>
          <w:highlight w:val="none"/>
          <w:lang w:eastAsia="zh-CN"/>
        </w:rPr>
        <w:t>四、财政拨款收入支出决算总体情况说明</w:t>
      </w:r>
      <w:bookmarkEnd w:id="27"/>
      <w:bookmarkEnd w:id="28"/>
      <w:bookmarkEnd w:id="29"/>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2025年度财政拨款收入、支出总计均为</w:t>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794.57</w:t>
      </w:r>
      <w:r>
        <w:rPr>
          <w:rFonts w:hint="default" w:ascii="Times New Roman" w:hAnsi="Times New Roman" w:eastAsia="方正仿宋_GBK" w:cs="Times New Roman"/>
          <w:color w:val="auto"/>
          <w:kern w:val="2"/>
          <w:sz w:val="32"/>
          <w:szCs w:val="32"/>
          <w:highlight w:val="none"/>
          <w:lang w:val="en-US" w:eastAsia="zh-CN" w:bidi="ar-SA"/>
        </w:rPr>
        <w:t>万元。与上年度相比，财政拨款收入、支出总计各增加3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822.27万元，增长96.2%。主要变动原因是：</w:t>
      </w:r>
      <w:r>
        <w:rPr>
          <w:rFonts w:hint="default" w:ascii="Times New Roman" w:hAnsi="Times New Roman" w:eastAsia="方正仿宋_GBK" w:cs="Times New Roman"/>
          <w:color w:val="auto"/>
          <w:sz w:val="32"/>
          <w:szCs w:val="32"/>
          <w:highlight w:val="none"/>
          <w:lang w:eastAsia="zh-CN"/>
        </w:rPr>
        <w:t>根据工作开展实际安排的项目支出较上年增加</w:t>
      </w:r>
      <w:r>
        <w:rPr>
          <w:rFonts w:hint="default" w:ascii="Times New Roman" w:hAnsi="Times New Roman" w:eastAsia="方正仿宋_GBK"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（图4：财政拨款收、支决算总计变动情况）（柱状图）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2"/>
          <w:sz w:val="32"/>
          <w:szCs w:val="32"/>
          <w:highlight w:val="none"/>
          <w:lang w:val="en-US" w:eastAsia="zh-CN" w:bidi="ar-SA"/>
        </w:rPr>
      </w:pPr>
      <w:r>
        <w:drawing>
          <wp:inline distT="0" distB="0" distL="114300" distR="114300">
            <wp:extent cx="3641725" cy="2193290"/>
            <wp:effectExtent l="0" t="0" r="15875" b="16510"/>
            <wp:docPr id="13"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3"/>
                    <pic:cNvPicPr>
                      <a:picLocks noChangeAspect="true"/>
                    </pic:cNvPicPr>
                  </pic:nvPicPr>
                  <pic:blipFill>
                    <a:blip r:embed="rId11"/>
                    <a:stretch>
                      <a:fillRect/>
                    </a:stretch>
                  </pic:blipFill>
                  <pic:spPr>
                    <a:xfrm>
                      <a:off x="0" y="0"/>
                      <a:ext cx="3641725" cy="2193290"/>
                    </a:xfrm>
                    <a:prstGeom prst="rect">
                      <a:avLst/>
                    </a:prstGeom>
                    <a:noFill/>
                    <a:ln>
                      <a:noFill/>
                    </a:ln>
                  </pic:spPr>
                </pic:pic>
              </a:graphicData>
            </a:graphic>
          </wp:inline>
        </w:drawing>
      </w:r>
    </w:p>
    <w:p>
      <w:pPr>
        <w:pStyle w:val="6"/>
        <w:keepNext w:val="0"/>
        <w:keepLines w:val="0"/>
        <w:pageBreakBefore w:val="0"/>
        <w:widowControl w:val="0"/>
        <w:kinsoku/>
        <w:wordWrap/>
        <w:overflowPunct/>
        <w:topLinePunct w:val="0"/>
        <w:autoSpaceDE/>
        <w:autoSpaceDN/>
        <w:bidi w:val="0"/>
        <w:spacing w:before="0" w:after="0" w:line="600" w:lineRule="exact"/>
        <w:ind w:left="0" w:firstLine="640" w:firstLineChars="200"/>
        <w:jc w:val="both"/>
        <w:textAlignment w:val="auto"/>
        <w:rPr>
          <w:rFonts w:hint="default" w:ascii="方正黑体_GBK" w:hAnsi="方正黑体_GBK" w:eastAsia="方正黑体_GBK" w:cs="方正黑体_GBK"/>
          <w:b w:val="0"/>
          <w:color w:val="auto"/>
          <w:sz w:val="32"/>
          <w:szCs w:val="32"/>
          <w:highlight w:val="none"/>
          <w:lang w:eastAsia="zh-CN"/>
        </w:rPr>
      </w:pPr>
      <w:bookmarkStart w:id="30" w:name="_Toc15377209"/>
      <w:bookmarkStart w:id="31" w:name="_Toc2896"/>
      <w:bookmarkStart w:id="32" w:name="_Toc15396607"/>
      <w:r>
        <w:rPr>
          <w:rFonts w:hint="default" w:ascii="方正黑体_GBK" w:hAnsi="方正黑体_GBK" w:eastAsia="方正黑体_GBK" w:cs="方正黑体_GBK"/>
          <w:b w:val="0"/>
          <w:color w:val="auto"/>
          <w:sz w:val="32"/>
          <w:szCs w:val="32"/>
          <w:highlight w:val="none"/>
          <w:lang w:eastAsia="zh-CN"/>
        </w:rPr>
        <w:t>五、一般公共预算财政拨款支出决算情况说明</w:t>
      </w:r>
      <w:bookmarkEnd w:id="30"/>
      <w:bookmarkEnd w:id="31"/>
      <w:bookmarkEnd w:id="32"/>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33" w:name="_Toc15377210"/>
      <w:r>
        <w:rPr>
          <w:rFonts w:hint="eastAsia" w:ascii="方正楷体_GBK" w:hAnsi="方正楷体_GBK" w:eastAsia="方正楷体_GBK" w:cs="方正楷体_GBK"/>
          <w:b w:val="0"/>
          <w:bCs/>
          <w:color w:val="auto"/>
          <w:sz w:val="32"/>
          <w:szCs w:val="32"/>
          <w:highlight w:val="none"/>
        </w:rPr>
        <w:t>（一）一般公共预算财政拨款支出决算总体情况</w:t>
      </w:r>
      <w:bookmarkEnd w:id="33"/>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2025年度一般公共预算财政拨款支出</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383.24</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69.3</w:t>
      </w:r>
      <w:r>
        <w:rPr>
          <w:rFonts w:hint="default" w:ascii="Times New Roman" w:hAnsi="Times New Roman" w:eastAsia="方正仿宋_GBK" w:cs="Times New Roman"/>
          <w:color w:val="auto"/>
          <w:kern w:val="2"/>
          <w:sz w:val="32"/>
          <w:szCs w:val="32"/>
          <w:highlight w:val="none"/>
          <w:lang w:val="en-US" w:eastAsia="zh-CN" w:bidi="ar-SA"/>
        </w:rPr>
        <w:t>%。与上年度相比，一般公共预算财政拨款支出增加1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492.14万元，增长38.</w:t>
      </w:r>
      <w:r>
        <w:rPr>
          <w:rFonts w:hint="eastAsia"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%。主要变动原因是：</w:t>
      </w:r>
      <w:r>
        <w:rPr>
          <w:rFonts w:hint="default" w:ascii="Times New Roman" w:hAnsi="Times New Roman" w:eastAsia="方正仿宋_GBK" w:cs="Times New Roman"/>
          <w:color w:val="auto"/>
          <w:sz w:val="32"/>
          <w:szCs w:val="32"/>
          <w:highlight w:val="none"/>
          <w:lang w:eastAsia="zh-CN"/>
        </w:rPr>
        <w:t>根据工作开展实际安排的项目支出较上年增加</w:t>
      </w:r>
      <w:r>
        <w:rPr>
          <w:rFonts w:hint="default" w:ascii="Times New Roman" w:hAnsi="Times New Roman" w:eastAsia="方正仿宋_GBK"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（图5：一般公共预算财政拨款支出决算变动情况）（柱状图）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2"/>
          <w:sz w:val="32"/>
          <w:szCs w:val="32"/>
          <w:highlight w:val="none"/>
          <w:lang w:val="en-US" w:eastAsia="zh-CN" w:bidi="ar-SA"/>
        </w:rPr>
      </w:pPr>
      <w:r>
        <w:drawing>
          <wp:inline distT="0" distB="0" distL="114300" distR="114300">
            <wp:extent cx="3712845" cy="2235835"/>
            <wp:effectExtent l="0" t="0" r="1905" b="12065"/>
            <wp:docPr id="14"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true"/>
                    </pic:cNvPicPr>
                  </pic:nvPicPr>
                  <pic:blipFill>
                    <a:blip r:embed="rId12"/>
                    <a:stretch>
                      <a:fillRect/>
                    </a:stretch>
                  </pic:blipFill>
                  <pic:spPr>
                    <a:xfrm>
                      <a:off x="0" y="0"/>
                      <a:ext cx="3712845" cy="22358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34" w:name="_Toc15377211"/>
      <w:r>
        <w:rPr>
          <w:rFonts w:hint="eastAsia" w:ascii="方正楷体_GBK" w:hAnsi="方正楷体_GBK" w:eastAsia="方正楷体_GBK" w:cs="方正楷体_GBK"/>
          <w:b w:val="0"/>
          <w:bCs/>
          <w:color w:val="auto"/>
          <w:sz w:val="32"/>
          <w:szCs w:val="32"/>
          <w:highlight w:val="none"/>
        </w:rPr>
        <w:t>（二）一般公共预算财政拨款支出决算结构情况</w:t>
      </w:r>
      <w:bookmarkEnd w:id="34"/>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2025年度一般公共预算财政拨款支出</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383.24</w:t>
      </w:r>
      <w:r>
        <w:rPr>
          <w:rFonts w:hint="default" w:ascii="Times New Roman" w:hAnsi="Times New Roman" w:eastAsia="方正仿宋_GBK" w:cs="Times New Roman"/>
          <w:color w:val="auto"/>
          <w:kern w:val="2"/>
          <w:sz w:val="32"/>
          <w:szCs w:val="32"/>
          <w:highlight w:val="none"/>
          <w:lang w:val="en-US" w:eastAsia="zh-CN" w:bidi="ar-SA"/>
        </w:rPr>
        <w:t>万元，主要用于以下方面：一般公共服务支出2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778.64万元，占51.6%；社会保障和就业支出616.24万元，占11.</w:t>
      </w:r>
      <w:r>
        <w:rPr>
          <w:rFonts w:hint="eastAsia"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%；卫生健康支出138.4万元，占2.</w:t>
      </w:r>
      <w:r>
        <w:rPr>
          <w:rFonts w:hint="eastAsia" w:eastAsia="方正仿宋_GBK" w:cs="Times New Roman"/>
          <w:color w:val="auto"/>
          <w:kern w:val="2"/>
          <w:sz w:val="32"/>
          <w:szCs w:val="32"/>
          <w:highlight w:val="none"/>
          <w:lang w:val="en-US" w:eastAsia="zh-CN" w:bidi="ar-SA"/>
        </w:rPr>
        <w:t>6</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sz w:val="32"/>
          <w:szCs w:val="32"/>
        </w:rPr>
        <w:t>资源勘探工业信息等支出</w:t>
      </w:r>
      <w:r>
        <w:rPr>
          <w:rFonts w:hint="default" w:ascii="Times New Roman" w:hAnsi="Times New Roman" w:eastAsia="方正仿宋_GBK" w:cs="Times New Roman"/>
          <w:sz w:val="32"/>
          <w:szCs w:val="32"/>
          <w:lang w:val="en-US" w:eastAsia="zh-CN"/>
        </w:rPr>
        <w:t>1,660.56万元，占30.</w:t>
      </w:r>
      <w:r>
        <w:rPr>
          <w:rFonts w:hint="eastAsia" w:eastAsia="方正仿宋_GBK" w:cs="Times New Roman"/>
          <w:sz w:val="32"/>
          <w:szCs w:val="32"/>
          <w:lang w:val="en-US" w:eastAsia="zh-CN"/>
        </w:rPr>
        <w:t>8</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住房保障支出189.39万元，占3.5%。</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2"/>
          <w:sz w:val="32"/>
          <w:szCs w:val="32"/>
          <w:highlight w:val="none"/>
          <w:lang w:val="en-US" w:eastAsia="zh-CN" w:bidi="ar-SA"/>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（图6：一般公共预算财政拨款支出决算结构）（饼状图）</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方正仿宋_GBK" w:cs="Times New Roman"/>
          <w:color w:val="auto"/>
          <w:kern w:val="2"/>
          <w:sz w:val="32"/>
          <w:szCs w:val="32"/>
          <w:highlight w:val="none"/>
          <w:lang w:val="en-US" w:eastAsia="zh-CN" w:bidi="ar-SA"/>
        </w:rPr>
      </w:pPr>
      <w:r>
        <w:drawing>
          <wp:inline distT="0" distB="0" distL="114300" distR="114300">
            <wp:extent cx="3566160" cy="2146935"/>
            <wp:effectExtent l="0" t="0" r="15240" b="5715"/>
            <wp:docPr id="7"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true"/>
                    </pic:cNvPicPr>
                  </pic:nvPicPr>
                  <pic:blipFill>
                    <a:blip r:embed="rId13"/>
                    <a:stretch>
                      <a:fillRect/>
                    </a:stretch>
                  </pic:blipFill>
                  <pic:spPr>
                    <a:xfrm>
                      <a:off x="0" y="0"/>
                      <a:ext cx="3566160" cy="21469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2"/>
        <w:rPr>
          <w:rFonts w:hint="default" w:ascii="方正楷体_GBK" w:hAnsi="方正楷体_GBK" w:eastAsia="方正楷体_GBK" w:cs="方正楷体_GBK"/>
          <w:b w:val="0"/>
          <w:bCs/>
          <w:color w:val="auto"/>
          <w:sz w:val="32"/>
          <w:szCs w:val="32"/>
          <w:highlight w:val="none"/>
        </w:rPr>
      </w:pPr>
      <w:bookmarkStart w:id="35" w:name="_Toc15377212"/>
      <w:r>
        <w:rPr>
          <w:rFonts w:hint="default" w:ascii="方正楷体_GBK" w:hAnsi="方正楷体_GBK" w:eastAsia="方正楷体_GBK" w:cs="方正楷体_GBK"/>
          <w:b w:val="0"/>
          <w:bCs/>
          <w:color w:val="auto"/>
          <w:sz w:val="32"/>
          <w:szCs w:val="32"/>
          <w:highlight w:val="none"/>
        </w:rPr>
        <w:t>（三）一般公共预算财政拨款支出决算具体情况</w:t>
      </w:r>
      <w:bookmarkEnd w:id="35"/>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bookmarkStart w:id="36" w:name="_Toc15377213"/>
      <w:bookmarkStart w:id="37" w:name="_Toc15377444"/>
      <w:bookmarkStart w:id="38" w:name="_Toc15378460"/>
      <w:r>
        <w:rPr>
          <w:rFonts w:hint="default" w:ascii="Times New Roman" w:hAnsi="Times New Roman" w:eastAsia="方正仿宋_GBK" w:cs="Times New Roman"/>
          <w:color w:val="auto"/>
          <w:kern w:val="2"/>
          <w:sz w:val="32"/>
          <w:szCs w:val="32"/>
          <w:highlight w:val="none"/>
          <w:lang w:val="en-US" w:eastAsia="zh-CN" w:bidi="ar-SA"/>
        </w:rPr>
        <w:t>2025年度一般公共预算支出决算数为</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383.24</w:t>
      </w:r>
      <w:r>
        <w:rPr>
          <w:rFonts w:hint="default" w:ascii="Times New Roman" w:hAnsi="Times New Roman" w:eastAsia="方正仿宋_GBK" w:cs="Times New Roman"/>
          <w:color w:val="auto"/>
          <w:kern w:val="2"/>
          <w:sz w:val="32"/>
          <w:szCs w:val="32"/>
          <w:highlight w:val="none"/>
          <w:lang w:val="en-US" w:eastAsia="zh-CN" w:bidi="ar-SA"/>
        </w:rPr>
        <w:t>，完成预算99.4%。其中：</w:t>
      </w:r>
      <w:bookmarkEnd w:id="36"/>
      <w:bookmarkEnd w:id="37"/>
      <w:bookmarkEnd w:id="38"/>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1.一般公共服务（类）党委办公厅（室）及相关机构事务（款）行政运行（项）：支出决算为2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129.63万元，完成预算98.</w:t>
      </w:r>
      <w:r>
        <w:rPr>
          <w:rFonts w:hint="eastAsia" w:eastAsia="方正仿宋_GBK" w:cs="Times New Roman"/>
          <w:color w:val="auto"/>
          <w:kern w:val="2"/>
          <w:sz w:val="32"/>
          <w:szCs w:val="32"/>
          <w:highlight w:val="none"/>
          <w:lang w:val="en-US" w:eastAsia="zh-CN" w:bidi="ar-SA"/>
        </w:rPr>
        <w:t>6</w:t>
      </w:r>
      <w:r>
        <w:rPr>
          <w:rFonts w:hint="default" w:ascii="Times New Roman" w:hAnsi="Times New Roman" w:eastAsia="方正仿宋_GBK" w:cs="Times New Roman"/>
          <w:color w:val="auto"/>
          <w:kern w:val="2"/>
          <w:sz w:val="32"/>
          <w:szCs w:val="32"/>
          <w:highlight w:val="none"/>
          <w:lang w:val="en-US" w:eastAsia="zh-CN" w:bidi="ar-SA"/>
        </w:rPr>
        <w:t>%，决算数小于预算数的主要原因是：</w:t>
      </w:r>
      <w:r>
        <w:rPr>
          <w:rFonts w:hint="eastAsia" w:eastAsia="方正仿宋_GBK" w:cs="Times New Roman"/>
          <w:color w:val="auto"/>
          <w:kern w:val="2"/>
          <w:sz w:val="32"/>
          <w:szCs w:val="32"/>
          <w:highlight w:val="none"/>
          <w:lang w:val="en-US" w:eastAsia="zh-CN" w:bidi="ar-SA"/>
        </w:rPr>
        <w:t>根据相关要求及工作开展实际，部分支出结转至2026年</w:t>
      </w:r>
      <w:r>
        <w:rPr>
          <w:rFonts w:hint="default" w:ascii="Times New Roman" w:hAnsi="Times New Roman" w:eastAsia="方正仿宋_GBK"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2.一般公共服务（类）党委办公厅（室）及相关机构事务（款）一般行政管理事务（项）：支出决算为629.85万元，完成预算100%。</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kern w:val="2"/>
          <w:sz w:val="32"/>
          <w:szCs w:val="32"/>
          <w:highlight w:val="none"/>
          <w:lang w:val="en-US" w:eastAsia="zh-CN" w:bidi="ar-SA"/>
        </w:rPr>
        <w:t>3.一般公共服务（类）党委办公厅（室）及相关机构事务（款）事业运行（项）：支出决算为17.34万元，完成预算100%。</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kern w:val="2"/>
          <w:sz w:val="32"/>
          <w:szCs w:val="32"/>
          <w:highlight w:val="none"/>
          <w:lang w:val="en-US" w:eastAsia="zh-CN" w:bidi="ar-SA"/>
        </w:rPr>
        <w:t>4.一般公共服务（类）党委办公厅（室）及相关机构事务（款）其他党委办公厅（室）及相关机构事务支出（项）：支出决算为0.92万元，完成预算100%。</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5.一般公共服务（类）组织事务（款）其他组织事务支出（项）：支出决算为0.9万元，完成预算100%。</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color w:val="auto"/>
          <w:kern w:val="2"/>
          <w:sz w:val="32"/>
          <w:szCs w:val="32"/>
          <w:highlight w:val="none"/>
          <w:lang w:val="en-US" w:eastAsia="zh-CN" w:bidi="ar-SA"/>
        </w:rPr>
        <w:t>6.社会保障和就业支出（类）人力资源和社会保障管理事务（款）其他人力资源和社会保障管理事务支出（项）：支出决算为8万元，完成预算100%。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7.社会保障和就业支出（类）行政事业单位养老支出（款）行政单位离退休（项）：支出决算为273.5</w:t>
      </w:r>
      <w:r>
        <w:rPr>
          <w:rFonts w:hint="eastAsia"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8.社会保障和就业支出（类）行政事业单位养老支出（款）机关事业单位基本养老保险缴费支出（项）：支出决算为228.63万元，完成预算100%。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9.社会保障和就业支出（类）行政事业单位养老支出（款）机关事业单位职业年金缴费支出（项）：支出决算为34.17万元，完成预算100%。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10.社会保障和就业支出（类）抚恤（款）死亡抚恤（项）：支出决算为71.27万元，完成预算100%。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11.社会保障和就业支出（类）社会福利（款）儿童福利（项）：支出决算为0.63万元，完成预算100%。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12.卫生健康支出（类）行政事业单位医疗（款）行政单位医疗（项）：支出决算为124.</w:t>
      </w:r>
      <w:r>
        <w:rPr>
          <w:rFonts w:hint="eastAsia" w:eastAsia="方正仿宋_GBK" w:cs="Times New Roman"/>
          <w:color w:val="auto"/>
          <w:kern w:val="2"/>
          <w:sz w:val="32"/>
          <w:szCs w:val="32"/>
          <w:highlight w:val="none"/>
          <w:lang w:val="en-US" w:eastAsia="zh-CN" w:bidi="ar-SA"/>
        </w:rPr>
        <w:t>45</w:t>
      </w:r>
      <w:r>
        <w:rPr>
          <w:rFonts w:hint="default" w:ascii="Times New Roman" w:hAnsi="Times New Roman" w:eastAsia="方正仿宋_GBK" w:cs="Times New Roman"/>
          <w:color w:val="auto"/>
          <w:kern w:val="2"/>
          <w:sz w:val="32"/>
          <w:szCs w:val="32"/>
          <w:highlight w:val="none"/>
          <w:lang w:val="en-US" w:eastAsia="zh-CN" w:bidi="ar-SA"/>
        </w:rPr>
        <w:t>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13.卫生健康支出（类）行政事业单位医疗（款）事业单位医疗（项）：支出决算为1.54万元，完成预算100%。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14.卫生健康支出（类）行政事业单位医疗（款）公务员医疗补助（项）：支出决算为12.23万元，完成预算100%。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15.卫生健康支出（类）其他卫生健康支出（款）其他卫生健康支出（项）：支出决算为0.18万元，完成预算100%。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16.资源勘探工业信息等支出（类）其他资源勘探工业信息等支出（款）其他资源勘探工业信息等支出（项）：支出决算为1</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660.56万元，完成预算100%。</w:t>
      </w:r>
    </w:p>
    <w:p>
      <w:pPr>
        <w:pStyle w:val="2"/>
        <w:keepNext w:val="0"/>
        <w:keepLines w:val="0"/>
        <w:pageBreakBefore w:val="0"/>
        <w:widowControl w:val="0"/>
        <w:kinsoku/>
        <w:wordWrap/>
        <w:overflowPunct/>
        <w:topLinePunct w:val="0"/>
        <w:autoSpaceDE/>
        <w:autoSpaceDN/>
        <w:bidi w:val="0"/>
        <w:adjustRightInd/>
        <w:spacing w:line="600" w:lineRule="exact"/>
        <w:ind w:leftChars="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17.住房保障支出（类）住房改革支出（款）住房公积金（项）：支出决算为189.39万元，完成预算100%。</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9"/>
          <w:rFonts w:hint="eastAsia" w:ascii="方正黑体_GBK" w:hAnsi="方正黑体_GBK" w:eastAsia="方正黑体_GBK" w:cs="方正黑体_GBK"/>
          <w:color w:val="auto"/>
          <w:sz w:val="32"/>
          <w:szCs w:val="32"/>
          <w:highlight w:val="none"/>
        </w:rPr>
      </w:pPr>
      <w:bookmarkStart w:id="39" w:name="_Toc15396608"/>
      <w:bookmarkStart w:id="40" w:name="_Toc22956"/>
      <w:bookmarkStart w:id="41" w:name="_Toc15377214"/>
      <w:r>
        <w:rPr>
          <w:rFonts w:hint="eastAsia" w:ascii="方正黑体_GBK" w:hAnsi="方正黑体_GBK" w:eastAsia="方正黑体_GBK" w:cs="方正黑体_GBK"/>
          <w:color w:val="auto"/>
          <w:sz w:val="32"/>
          <w:szCs w:val="32"/>
          <w:highlight w:val="none"/>
        </w:rPr>
        <w:t>六</w:t>
      </w:r>
      <w:r>
        <w:rPr>
          <w:rFonts w:hint="eastAsia" w:ascii="方正黑体_GBK" w:hAnsi="方正黑体_GBK" w:eastAsia="方正黑体_GBK" w:cs="方正黑体_GBK"/>
          <w:b/>
          <w:color w:val="auto"/>
          <w:sz w:val="32"/>
          <w:szCs w:val="32"/>
          <w:highlight w:val="none"/>
        </w:rPr>
        <w:t>、一</w:t>
      </w:r>
      <w:r>
        <w:rPr>
          <w:rStyle w:val="29"/>
          <w:rFonts w:hint="eastAsia" w:ascii="方正黑体_GBK" w:hAnsi="方正黑体_GBK" w:eastAsia="方正黑体_GBK" w:cs="方正黑体_GBK"/>
          <w:b w:val="0"/>
          <w:color w:val="auto"/>
          <w:sz w:val="32"/>
          <w:szCs w:val="32"/>
          <w:highlight w:val="none"/>
        </w:rPr>
        <w:t>般公共预算财政拨款基本支出决算情况说明</w:t>
      </w:r>
      <w:bookmarkEnd w:id="39"/>
      <w:bookmarkEnd w:id="40"/>
      <w:bookmarkEnd w:id="41"/>
      <w:r>
        <w:rPr>
          <w:rStyle w:val="29"/>
          <w:rFonts w:hint="eastAsia" w:ascii="方正黑体_GBK" w:hAnsi="方正黑体_GBK" w:eastAsia="方正黑体_GBK" w:cs="方正黑体_GBK"/>
          <w:b w:val="0"/>
          <w:color w:val="auto"/>
          <w:sz w:val="32"/>
          <w:szCs w:val="32"/>
          <w:highlight w:val="none"/>
        </w:rPr>
        <w:tab/>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2025年度一般公共预算财政拨款基本支出</w:t>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091.28</w:t>
      </w:r>
      <w:r>
        <w:rPr>
          <w:rFonts w:hint="default" w:ascii="Times New Roman" w:hAnsi="Times New Roman" w:eastAsia="方正仿宋_GBK" w:cs="Times New Roman"/>
          <w:color w:val="auto"/>
          <w:kern w:val="2"/>
          <w:sz w:val="32"/>
          <w:szCs w:val="32"/>
          <w:highlight w:val="none"/>
          <w:lang w:val="en-US" w:eastAsia="zh-CN" w:bidi="ar-SA"/>
        </w:rPr>
        <w:t>万元，其中：</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人员经费</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726.67</w:t>
      </w:r>
      <w:r>
        <w:rPr>
          <w:rFonts w:hint="default" w:ascii="Times New Roman" w:hAnsi="Times New Roman" w:eastAsia="方正仿宋_GBK" w:cs="Times New Roman"/>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抚恤金、生活补助、医疗费补助、奖励金、住房公积金、其他对个人和家庭的补助支出等。</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公用经费</w:t>
      </w:r>
      <w:r>
        <w:rPr>
          <w:rFonts w:hint="default" w:ascii="Times New Roman" w:hAnsi="Times New Roman" w:eastAsia="方正仿宋_GBK" w:cs="Times New Roman"/>
          <w:sz w:val="32"/>
          <w:szCs w:val="32"/>
        </w:rPr>
        <w:t>364.61</w:t>
      </w:r>
      <w:r>
        <w:rPr>
          <w:rFonts w:hint="default" w:ascii="Times New Roman" w:hAnsi="Times New Roman" w:eastAsia="方正仿宋_GBK" w:cs="Times New Roman"/>
          <w:color w:val="auto"/>
          <w:kern w:val="2"/>
          <w:sz w:val="32"/>
          <w:szCs w:val="32"/>
          <w:highlight w:val="none"/>
          <w:lang w:val="en-US" w:eastAsia="zh-CN" w:bidi="ar-SA"/>
        </w:rPr>
        <w:t>万元，主要包括：办公费、水费、电费、邮电费、差旅费、培训费、公务接待费、工会经费、福利费、公务用车运行维护费、其他交通费、其他商品和服务支出等。</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Fonts w:hint="default" w:ascii="方正黑体_GBK" w:hAnsi="方正黑体_GBK" w:eastAsia="方正黑体_GBK" w:cs="方正黑体_GBK"/>
          <w:color w:val="auto"/>
          <w:sz w:val="32"/>
          <w:szCs w:val="32"/>
          <w:highlight w:val="none"/>
        </w:rPr>
      </w:pPr>
      <w:bookmarkStart w:id="42" w:name="_Toc15377215"/>
      <w:bookmarkStart w:id="43" w:name="_Toc27857"/>
      <w:bookmarkStart w:id="44" w:name="_Toc15396609"/>
      <w:r>
        <w:rPr>
          <w:rFonts w:hint="default" w:ascii="方正黑体_GBK" w:hAnsi="方正黑体_GBK" w:eastAsia="方正黑体_GBK" w:cs="方正黑体_GBK"/>
          <w:color w:val="auto"/>
          <w:sz w:val="32"/>
          <w:szCs w:val="32"/>
          <w:highlight w:val="none"/>
        </w:rPr>
        <w:t>七、财政拨款“三公”经费支出决算情况说明</w:t>
      </w:r>
      <w:bookmarkEnd w:id="42"/>
      <w:bookmarkEnd w:id="43"/>
      <w:bookmarkEnd w:id="44"/>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2"/>
        <w:rPr>
          <w:rFonts w:hint="eastAsia" w:ascii="方正楷体_GBK" w:hAnsi="方正楷体_GBK" w:eastAsia="方正楷体_GBK" w:cs="方正楷体_GBK"/>
          <w:b w:val="0"/>
          <w:bCs/>
          <w:color w:val="auto"/>
          <w:sz w:val="32"/>
          <w:szCs w:val="32"/>
          <w:highlight w:val="none"/>
        </w:rPr>
      </w:pPr>
      <w:bookmarkStart w:id="45" w:name="_Toc15377216"/>
      <w:r>
        <w:rPr>
          <w:rFonts w:hint="eastAsia" w:ascii="方正楷体_GBK" w:hAnsi="方正楷体_GBK" w:eastAsia="方正楷体_GBK" w:cs="方正楷体_GBK"/>
          <w:b w:val="0"/>
          <w:bCs/>
          <w:color w:val="auto"/>
          <w:sz w:val="32"/>
          <w:szCs w:val="32"/>
          <w:highlight w:val="none"/>
        </w:rPr>
        <w:t>（一）财政拨款“三公”经费支出决算总体情况说明</w:t>
      </w:r>
      <w:bookmarkEnd w:id="45"/>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2025年度财政拨款“三公”经费支出决算为</w:t>
      </w:r>
      <w:r>
        <w:rPr>
          <w:rFonts w:hint="default" w:ascii="Times New Roman" w:hAnsi="Times New Roman" w:eastAsia="方正仿宋_GBK" w:cs="Times New Roman"/>
          <w:sz w:val="32"/>
          <w:szCs w:val="32"/>
        </w:rPr>
        <w:t>52.34</w:t>
      </w:r>
      <w:r>
        <w:rPr>
          <w:rFonts w:hint="default" w:ascii="Times New Roman" w:hAnsi="Times New Roman" w:eastAsia="方正仿宋_GBK" w:cs="Times New Roman"/>
          <w:color w:val="auto"/>
          <w:kern w:val="2"/>
          <w:sz w:val="32"/>
          <w:szCs w:val="32"/>
          <w:highlight w:val="none"/>
          <w:lang w:val="en-US" w:eastAsia="zh-CN" w:bidi="ar-SA"/>
        </w:rPr>
        <w:t>万元，完成预算</w:t>
      </w:r>
      <w:r>
        <w:rPr>
          <w:rFonts w:hint="default" w:ascii="Times New Roman" w:hAnsi="Times New Roman" w:eastAsia="方正仿宋_GBK" w:cs="Times New Roman"/>
          <w:sz w:val="32"/>
          <w:szCs w:val="32"/>
        </w:rPr>
        <w:t>100</w:t>
      </w:r>
      <w:r>
        <w:rPr>
          <w:rFonts w:hint="default" w:ascii="Times New Roman" w:hAnsi="Times New Roman" w:eastAsia="方正仿宋_GBK" w:cs="Times New Roman"/>
          <w:color w:val="auto"/>
          <w:kern w:val="2"/>
          <w:sz w:val="32"/>
          <w:szCs w:val="32"/>
          <w:highlight w:val="none"/>
          <w:lang w:val="en-US" w:eastAsia="zh-CN" w:bidi="ar-SA"/>
        </w:rPr>
        <w:t>%，较上年度增加15.1万元，增长40.5%。决算数与预算数持平。</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outlineLvl w:val="2"/>
        <w:rPr>
          <w:rFonts w:hint="default" w:ascii="方正楷体_GBK" w:hAnsi="方正楷体_GBK" w:eastAsia="方正楷体_GBK" w:cs="方正楷体_GBK"/>
          <w:b w:val="0"/>
          <w:bCs/>
          <w:color w:val="auto"/>
          <w:sz w:val="32"/>
          <w:szCs w:val="32"/>
          <w:highlight w:val="none"/>
        </w:rPr>
      </w:pPr>
      <w:bookmarkStart w:id="46" w:name="_Toc15377217"/>
      <w:r>
        <w:rPr>
          <w:rFonts w:hint="default" w:ascii="方正楷体_GBK" w:hAnsi="方正楷体_GBK" w:eastAsia="方正楷体_GBK" w:cs="方正楷体_GBK"/>
          <w:b w:val="0"/>
          <w:bCs/>
          <w:color w:val="auto"/>
          <w:sz w:val="32"/>
          <w:szCs w:val="32"/>
          <w:highlight w:val="none"/>
        </w:rPr>
        <w:t>（二）财政拨款“三公”经费支出决算具体情况说明</w:t>
      </w:r>
      <w:bookmarkEnd w:id="46"/>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2025年度财政拨款“三公”经费支出决算中，公务用车购置及运行维护费支出决算</w:t>
      </w:r>
      <w:r>
        <w:rPr>
          <w:rFonts w:hint="default" w:ascii="Times New Roman" w:hAnsi="Times New Roman" w:eastAsia="方正仿宋_GBK" w:cs="Times New Roman"/>
          <w:sz w:val="32"/>
          <w:szCs w:val="32"/>
        </w:rPr>
        <w:t>51.4</w:t>
      </w:r>
      <w:r>
        <w:rPr>
          <w:rFonts w:hint="default" w:ascii="Times New Roman" w:hAnsi="Times New Roman" w:eastAsia="方正仿宋_GBK" w:cs="Times New Roman"/>
          <w:color w:val="auto"/>
          <w:kern w:val="2"/>
          <w:sz w:val="32"/>
          <w:szCs w:val="32"/>
          <w:highlight w:val="none"/>
          <w:lang w:val="en-US" w:eastAsia="zh-CN" w:bidi="ar-SA"/>
        </w:rPr>
        <w:t>万元，占98.2%；公务接待费支出决算</w:t>
      </w:r>
      <w:r>
        <w:rPr>
          <w:rFonts w:hint="default" w:ascii="Times New Roman" w:hAnsi="Times New Roman" w:eastAsia="方正仿宋_GBK" w:cs="Times New Roman"/>
          <w:sz w:val="32"/>
          <w:szCs w:val="32"/>
        </w:rPr>
        <w:t>0.94</w:t>
      </w:r>
      <w:r>
        <w:rPr>
          <w:rFonts w:hint="default" w:ascii="Times New Roman" w:hAnsi="Times New Roman" w:eastAsia="方正仿宋_GBK" w:cs="Times New Roman"/>
          <w:color w:val="auto"/>
          <w:kern w:val="2"/>
          <w:sz w:val="32"/>
          <w:szCs w:val="32"/>
          <w:highlight w:val="none"/>
          <w:lang w:val="en-US" w:eastAsia="zh-CN" w:bidi="ar-SA"/>
        </w:rPr>
        <w:t>万元，占0.8%。具体情况如下：</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（图7：财政拨款“三公”经费支出结构）（饼状图）</w:t>
      </w:r>
    </w:p>
    <w:p>
      <w:pPr>
        <w:pStyle w:val="2"/>
        <w:jc w:val="center"/>
        <w:rPr>
          <w:rFonts w:hint="default"/>
          <w:lang w:val="en-US" w:eastAsia="zh-CN"/>
        </w:rPr>
      </w:pPr>
      <w:r>
        <w:drawing>
          <wp:inline distT="0" distB="0" distL="114300" distR="114300">
            <wp:extent cx="3653155" cy="2199640"/>
            <wp:effectExtent l="0" t="0" r="4445" b="10160"/>
            <wp:docPr id="8" name="图片 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true"/>
                    </pic:cNvPicPr>
                  </pic:nvPicPr>
                  <pic:blipFill>
                    <a:blip r:embed="rId14"/>
                    <a:stretch>
                      <a:fillRect/>
                    </a:stretch>
                  </pic:blipFill>
                  <pic:spPr>
                    <a:xfrm>
                      <a:off x="0" y="0"/>
                      <a:ext cx="3653155" cy="21996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1.因公出国（境）经费支出</w:t>
      </w:r>
      <w:r>
        <w:rPr>
          <w:rFonts w:hint="default" w:ascii="Times New Roman" w:hAnsi="Times New Roman" w:eastAsia="方正仿宋_GBK" w:cs="Times New Roman"/>
          <w:b w:val="0"/>
          <w:bCs w:val="0"/>
          <w:sz w:val="32"/>
          <w:szCs w:val="32"/>
        </w:rPr>
        <w:t>0</w:t>
      </w:r>
      <w:r>
        <w:rPr>
          <w:rFonts w:hint="default" w:ascii="Times New Roman" w:hAnsi="Times New Roman" w:eastAsia="方正仿宋_GBK" w:cs="Times New Roman"/>
          <w:b w:val="0"/>
          <w:bCs w:val="0"/>
          <w:color w:val="auto"/>
          <w:kern w:val="2"/>
          <w:sz w:val="32"/>
          <w:szCs w:val="32"/>
          <w:highlight w:val="none"/>
          <w:lang w:val="en-US" w:eastAsia="zh-CN" w:bidi="ar-SA"/>
        </w:rPr>
        <w:t>万元，完成预算100%。</w:t>
      </w:r>
      <w:r>
        <w:rPr>
          <w:rFonts w:hint="default" w:ascii="Times New Roman" w:hAnsi="Times New Roman" w:eastAsia="方正仿宋_GBK" w:cs="Times New Roman"/>
          <w:color w:val="auto"/>
          <w:kern w:val="2"/>
          <w:sz w:val="32"/>
          <w:szCs w:val="32"/>
          <w:highlight w:val="none"/>
          <w:lang w:val="en-US" w:eastAsia="zh-CN" w:bidi="ar-SA"/>
        </w:rPr>
        <w:t>全年安排因公出国（境）团组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次，出国（境）</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人。因公出国（境）支出决算比上年度减少10.61万元，下降100%。主要原因是2025年无因公出国（境）团组（人员）。</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2.公务用车购置及运行维护费支出51.4万元，完成预算100%。</w:t>
      </w:r>
      <w:r>
        <w:rPr>
          <w:rFonts w:hint="default" w:ascii="Times New Roman" w:hAnsi="Times New Roman" w:eastAsia="方正仿宋_GBK" w:cs="Times New Roman"/>
          <w:color w:val="auto"/>
          <w:kern w:val="2"/>
          <w:sz w:val="32"/>
          <w:szCs w:val="32"/>
          <w:highlight w:val="none"/>
          <w:lang w:val="en-US" w:eastAsia="zh-CN" w:bidi="ar-SA"/>
        </w:rPr>
        <w:t>公务用车购置及运行维护费支出决算比上年度增加26.13万元，增长103.4%。主要原因是：按规定购置公务用车1辆，发生车辆购置相关支出26.13万元</w:t>
      </w:r>
      <w:r>
        <w:rPr>
          <w:rFonts w:hint="eastAsia" w:eastAsia="方正仿宋_GBK"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其中：公务用车购置支出</w:t>
      </w:r>
      <w:r>
        <w:rPr>
          <w:rFonts w:hint="default" w:ascii="Times New Roman" w:hAnsi="Times New Roman" w:eastAsia="方正仿宋_GBK" w:cs="Times New Roman"/>
          <w:sz w:val="32"/>
          <w:szCs w:val="32"/>
        </w:rPr>
        <w:t>26.13</w:t>
      </w:r>
      <w:r>
        <w:rPr>
          <w:rFonts w:hint="default" w:ascii="Times New Roman" w:hAnsi="Times New Roman" w:eastAsia="方正仿宋_GBK" w:cs="Times New Roman"/>
          <w:color w:val="auto"/>
          <w:kern w:val="2"/>
          <w:sz w:val="32"/>
          <w:szCs w:val="32"/>
          <w:highlight w:val="none"/>
          <w:lang w:val="en-US" w:eastAsia="zh-CN" w:bidi="ar-SA"/>
        </w:rPr>
        <w:t>万元。全年按规定更新购置公务用车1辆，其中：轿车1辆、金额26.13万元，用于保障公务出行。截至2025年12月31日，单位共有公务用车9辆，其中：轿车2辆、越野车7辆。</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公务用车运行维护费支出</w:t>
      </w:r>
      <w:r>
        <w:rPr>
          <w:rFonts w:hint="default" w:ascii="Times New Roman" w:hAnsi="Times New Roman" w:eastAsia="方正仿宋_GBK" w:cs="Times New Roman"/>
          <w:sz w:val="32"/>
          <w:szCs w:val="32"/>
        </w:rPr>
        <w:t>25.27</w:t>
      </w:r>
      <w:r>
        <w:rPr>
          <w:rFonts w:hint="default" w:ascii="Times New Roman" w:hAnsi="Times New Roman" w:eastAsia="方正仿宋_GBK" w:cs="Times New Roman"/>
          <w:color w:val="auto"/>
          <w:kern w:val="2"/>
          <w:sz w:val="32"/>
          <w:szCs w:val="32"/>
          <w:highlight w:val="none"/>
          <w:lang w:val="en-US" w:eastAsia="zh-CN" w:bidi="ar-SA"/>
        </w:rPr>
        <w:t>万元。主要用于公务出行所需的公务用车燃料费、维修费、过路过桥费、保险费等支出。</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val="0"/>
          <w:bCs w:val="0"/>
          <w:color w:val="auto"/>
          <w:kern w:val="2"/>
          <w:sz w:val="32"/>
          <w:szCs w:val="32"/>
          <w:highlight w:val="none"/>
          <w:lang w:val="en-US" w:eastAsia="zh-CN" w:bidi="ar-SA"/>
        </w:rPr>
        <w:t>3.公务接待费支出0.94万元，完成预算100%。</w:t>
      </w:r>
      <w:r>
        <w:rPr>
          <w:rFonts w:hint="default" w:ascii="Times New Roman" w:hAnsi="Times New Roman" w:eastAsia="方正仿宋_GBK" w:cs="Times New Roman"/>
          <w:color w:val="auto"/>
          <w:kern w:val="2"/>
          <w:sz w:val="32"/>
          <w:szCs w:val="32"/>
          <w:highlight w:val="none"/>
          <w:lang w:val="en-US" w:eastAsia="zh-CN" w:bidi="ar-SA"/>
        </w:rPr>
        <w:t>公务接待费</w:t>
      </w:r>
      <w:r>
        <w:rPr>
          <w:rFonts w:hint="default" w:ascii="Times New Roman" w:hAnsi="Times New Roman" w:eastAsia="方正仿宋_GBK" w:cs="Times New Roman"/>
          <w:b w:val="0"/>
          <w:bCs w:val="0"/>
          <w:color w:val="auto"/>
          <w:kern w:val="2"/>
          <w:sz w:val="32"/>
          <w:szCs w:val="32"/>
          <w:highlight w:val="none"/>
          <w:lang w:val="en-US" w:eastAsia="zh-CN" w:bidi="ar-SA"/>
        </w:rPr>
        <w:t>支出决算比上年度减少0.42万元，下降30.7%。主要原因是公务接待人次减少导致按规定开支的公务接待费相应减少。其中</w:t>
      </w:r>
      <w:r>
        <w:rPr>
          <w:rFonts w:hint="default" w:ascii="Times New Roman" w:hAnsi="Times New Roman" w:eastAsia="方正仿宋_GBK"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国内公务接待支出</w:t>
      </w:r>
      <w:r>
        <w:rPr>
          <w:rFonts w:hint="default" w:ascii="Times New Roman" w:hAnsi="Times New Roman" w:eastAsia="方正仿宋_GBK" w:cs="Times New Roman"/>
          <w:sz w:val="32"/>
          <w:szCs w:val="32"/>
          <w:highlight w:val="none"/>
        </w:rPr>
        <w:t>0.94</w:t>
      </w:r>
      <w:r>
        <w:rPr>
          <w:rFonts w:hint="default" w:ascii="Times New Roman" w:hAnsi="Times New Roman" w:eastAsia="方正仿宋_GBK" w:cs="Times New Roman"/>
          <w:color w:val="auto"/>
          <w:kern w:val="2"/>
          <w:sz w:val="32"/>
          <w:szCs w:val="32"/>
          <w:highlight w:val="none"/>
          <w:lang w:val="en-US" w:eastAsia="zh-CN" w:bidi="ar-SA"/>
        </w:rPr>
        <w:t>万元，主要用于执行公务、开展业务活动开支的用餐费。国内公务接待</w:t>
      </w:r>
      <w:r>
        <w:rPr>
          <w:rFonts w:hint="default" w:ascii="Times New Roman" w:hAnsi="Times New Roman" w:eastAsia="方正仿宋_GBK" w:cs="Times New Roman"/>
          <w:sz w:val="32"/>
          <w:szCs w:val="32"/>
          <w:highlight w:val="none"/>
        </w:rPr>
        <w:t>8</w:t>
      </w:r>
      <w:r>
        <w:rPr>
          <w:rFonts w:hint="default" w:ascii="Times New Roman" w:hAnsi="Times New Roman" w:eastAsia="方正仿宋_GBK" w:cs="Times New Roman"/>
          <w:color w:val="auto"/>
          <w:kern w:val="2"/>
          <w:sz w:val="32"/>
          <w:szCs w:val="32"/>
          <w:highlight w:val="none"/>
          <w:lang w:val="en-US" w:eastAsia="zh-CN" w:bidi="ar-SA"/>
        </w:rPr>
        <w:t>批次，</w:t>
      </w:r>
      <w:r>
        <w:rPr>
          <w:rFonts w:hint="default" w:ascii="Times New Roman" w:hAnsi="Times New Roman" w:eastAsia="方正仿宋_GBK" w:cs="Times New Roman"/>
          <w:sz w:val="32"/>
          <w:szCs w:val="32"/>
          <w:highlight w:val="none"/>
        </w:rPr>
        <w:t>62</w:t>
      </w:r>
      <w:r>
        <w:rPr>
          <w:rFonts w:hint="default" w:ascii="Times New Roman" w:hAnsi="Times New Roman" w:eastAsia="方正仿宋_GBK" w:cs="Times New Roman"/>
          <w:color w:val="auto"/>
          <w:kern w:val="2"/>
          <w:sz w:val="32"/>
          <w:szCs w:val="32"/>
          <w:highlight w:val="none"/>
          <w:lang w:val="en-US" w:eastAsia="zh-CN" w:bidi="ar-SA"/>
        </w:rPr>
        <w:t>人次（包括陪同人员），共计支出</w:t>
      </w:r>
      <w:r>
        <w:rPr>
          <w:rFonts w:hint="default" w:ascii="Times New Roman" w:hAnsi="Times New Roman" w:eastAsia="方正仿宋_GBK" w:cs="Times New Roman"/>
          <w:sz w:val="32"/>
          <w:szCs w:val="32"/>
          <w:highlight w:val="none"/>
        </w:rPr>
        <w:t>0.94</w:t>
      </w:r>
      <w:r>
        <w:rPr>
          <w:rFonts w:hint="default" w:ascii="Times New Roman" w:hAnsi="Times New Roman" w:eastAsia="方正仿宋_GBK" w:cs="Times New Roman"/>
          <w:color w:val="auto"/>
          <w:kern w:val="2"/>
          <w:sz w:val="32"/>
          <w:szCs w:val="32"/>
          <w:highlight w:val="none"/>
          <w:lang w:val="en-US" w:eastAsia="zh-CN" w:bidi="ar-SA"/>
        </w:rPr>
        <w:t>万元，具体内容包括：</w:t>
      </w:r>
      <w:r>
        <w:rPr>
          <w:rFonts w:hint="default" w:ascii="Times New Roman" w:hAnsi="Times New Roman" w:eastAsia="方正仿宋_GBK" w:cs="Times New Roman"/>
          <w:b w:val="0"/>
          <w:bCs/>
          <w:sz w:val="32"/>
          <w:szCs w:val="32"/>
          <w:highlight w:val="none"/>
        </w:rPr>
        <w:t>接待上级、其他地区人员来攀开展交流学习及考察调研等</w:t>
      </w:r>
      <w:r>
        <w:rPr>
          <w:rFonts w:hint="default" w:ascii="Times New Roman" w:hAnsi="Times New Roman" w:eastAsia="方正仿宋_GBK"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外事接待支出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1"/>
        <w:rPr>
          <w:rStyle w:val="29"/>
          <w:rFonts w:hint="eastAsia" w:ascii="方正黑体_GBK" w:hAnsi="方正黑体_GBK" w:eastAsia="方正黑体_GBK" w:cs="方正黑体_GBK"/>
          <w:color w:val="auto"/>
          <w:sz w:val="32"/>
          <w:szCs w:val="32"/>
          <w:highlight w:val="none"/>
        </w:rPr>
      </w:pPr>
      <w:bookmarkStart w:id="47" w:name="_Toc15396610"/>
      <w:bookmarkStart w:id="48" w:name="_Toc27750"/>
      <w:bookmarkStart w:id="49" w:name="_Toc15377218"/>
      <w:r>
        <w:rPr>
          <w:rFonts w:hint="eastAsia" w:ascii="方正黑体_GBK" w:hAnsi="方正黑体_GBK" w:eastAsia="方正黑体_GBK" w:cs="方正黑体_GBK"/>
          <w:color w:val="auto"/>
          <w:sz w:val="32"/>
          <w:szCs w:val="32"/>
          <w:highlight w:val="none"/>
        </w:rPr>
        <w:t>八、</w:t>
      </w:r>
      <w:r>
        <w:rPr>
          <w:rStyle w:val="29"/>
          <w:rFonts w:hint="eastAsia" w:ascii="方正黑体_GBK" w:hAnsi="方正黑体_GBK" w:eastAsia="方正黑体_GBK" w:cs="方正黑体_GBK"/>
          <w:b w:val="0"/>
          <w:color w:val="auto"/>
          <w:sz w:val="32"/>
          <w:szCs w:val="32"/>
          <w:highlight w:val="none"/>
        </w:rPr>
        <w:t>政府性基金预算支出决算情况说明</w:t>
      </w:r>
      <w:bookmarkEnd w:id="47"/>
      <w:bookmarkEnd w:id="48"/>
      <w:bookmarkEnd w:id="49"/>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2025年度政府性基金预算财政拨款支出</w:t>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rPr>
        <w:t>380.18</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30.</w:t>
      </w:r>
      <w:r>
        <w:rPr>
          <w:rFonts w:hint="eastAsia" w:eastAsia="方正仿宋_GBK" w:cs="Times New Roman"/>
          <w:sz w:val="32"/>
          <w:szCs w:val="32"/>
          <w:lang w:val="en-US" w:eastAsia="zh-CN"/>
        </w:rPr>
        <w:t>7</w:t>
      </w:r>
      <w:r>
        <w:rPr>
          <w:rFonts w:hint="default" w:ascii="Times New Roman" w:hAnsi="Times New Roman" w:eastAsia="方正仿宋_GBK" w:cs="Times New Roman"/>
          <w:color w:val="auto"/>
          <w:kern w:val="2"/>
          <w:sz w:val="32"/>
          <w:szCs w:val="32"/>
          <w:highlight w:val="none"/>
          <w:lang w:val="en-US" w:eastAsia="zh-CN" w:bidi="ar-SA"/>
        </w:rPr>
        <w:t>%。与上年度相比，政府性基金预算财政拨款支出增加2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298.98万元，增长2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831.</w:t>
      </w:r>
      <w:r>
        <w:rPr>
          <w:rFonts w:hint="eastAsia"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%。主要变动原因是：根据工作开展实际，安排专项债券资金2</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auto"/>
          <w:kern w:val="2"/>
          <w:sz w:val="32"/>
          <w:szCs w:val="32"/>
          <w:highlight w:val="none"/>
          <w:lang w:val="en-US" w:eastAsia="zh-CN" w:bidi="ar-SA"/>
        </w:rPr>
        <w:t>251.45万元用于相关项目支出。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Style w:val="29"/>
          <w:rFonts w:hint="eastAsia" w:ascii="方正黑体_GBK" w:hAnsi="方正黑体_GBK" w:eastAsia="方正黑体_GBK" w:cs="方正黑体_GBK"/>
          <w:b w:val="0"/>
          <w:color w:val="auto"/>
          <w:sz w:val="32"/>
          <w:szCs w:val="32"/>
          <w:highlight w:val="none"/>
        </w:rPr>
      </w:pPr>
      <w:bookmarkStart w:id="50" w:name="_Toc15396611"/>
      <w:bookmarkStart w:id="51" w:name="_Toc15377219"/>
      <w:bookmarkStart w:id="52" w:name="_Toc26505"/>
      <w:r>
        <w:rPr>
          <w:rStyle w:val="29"/>
          <w:rFonts w:hint="eastAsia" w:ascii="方正黑体_GBK" w:hAnsi="方正黑体_GBK" w:eastAsia="方正黑体_GBK" w:cs="方正黑体_GBK"/>
          <w:b w:val="0"/>
          <w:color w:val="auto"/>
          <w:sz w:val="32"/>
          <w:szCs w:val="32"/>
          <w:highlight w:val="none"/>
          <w:lang w:eastAsia="zh-CN"/>
        </w:rPr>
        <w:t>九、</w:t>
      </w:r>
      <w:r>
        <w:rPr>
          <w:rStyle w:val="29"/>
          <w:rFonts w:hint="eastAsia" w:ascii="方正黑体_GBK" w:hAnsi="方正黑体_GBK" w:eastAsia="方正黑体_GBK" w:cs="方正黑体_GBK"/>
          <w:b w:val="0"/>
          <w:color w:val="auto"/>
          <w:sz w:val="32"/>
          <w:szCs w:val="32"/>
          <w:highlight w:val="none"/>
        </w:rPr>
        <w:t>国有资本经营预算支出决算情况说明</w:t>
      </w:r>
      <w:bookmarkEnd w:id="50"/>
      <w:bookmarkEnd w:id="51"/>
      <w:bookmarkEnd w:id="52"/>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2025年度国有资本经营预算财政拨款支出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%。与上年度相比，国有资本经营预算财政拨款支出</w:t>
      </w:r>
      <w:r>
        <w:rPr>
          <w:rFonts w:hint="default" w:ascii="Times New Roman" w:hAnsi="Times New Roman" w:eastAsia="方正仿宋_GBK" w:cs="Times New Roman"/>
          <w:b w:val="0"/>
          <w:bCs w:val="0"/>
          <w:color w:val="auto"/>
          <w:kern w:val="2"/>
          <w:sz w:val="32"/>
          <w:szCs w:val="32"/>
          <w:highlight w:val="none"/>
          <w:lang w:val="en-US" w:eastAsia="zh-CN" w:bidi="ar-SA"/>
        </w:rPr>
        <w:t>与上年持平。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Style w:val="29"/>
          <w:rFonts w:hint="default" w:ascii="方正黑体_GBK" w:hAnsi="方正黑体_GBK" w:eastAsia="方正黑体_GBK" w:cs="方正黑体_GBK"/>
          <w:b w:val="0"/>
          <w:color w:val="auto"/>
          <w:sz w:val="32"/>
          <w:szCs w:val="32"/>
          <w:highlight w:val="none"/>
          <w:lang w:eastAsia="zh-CN"/>
        </w:rPr>
      </w:pPr>
      <w:bookmarkStart w:id="53" w:name="_Toc22952"/>
      <w:bookmarkStart w:id="54" w:name="_Toc15396612"/>
      <w:bookmarkStart w:id="55" w:name="_Toc15377221"/>
      <w:r>
        <w:rPr>
          <w:rStyle w:val="29"/>
          <w:rFonts w:hint="default" w:ascii="方正黑体_GBK" w:hAnsi="方正黑体_GBK" w:eastAsia="方正黑体_GBK" w:cs="方正黑体_GBK"/>
          <w:b w:val="0"/>
          <w:color w:val="auto"/>
          <w:sz w:val="32"/>
          <w:szCs w:val="32"/>
          <w:highlight w:val="none"/>
          <w:lang w:eastAsia="zh-CN"/>
        </w:rPr>
        <w:t>十、其他重要事项的情况说明</w:t>
      </w:r>
      <w:bookmarkEnd w:id="53"/>
      <w:bookmarkEnd w:id="54"/>
      <w:bookmarkEnd w:id="55"/>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56" w:name="_Toc15377222"/>
      <w:r>
        <w:rPr>
          <w:rFonts w:hint="eastAsia" w:ascii="方正楷体_GBK" w:hAnsi="方正楷体_GBK" w:eastAsia="方正楷体_GBK" w:cs="方正楷体_GBK"/>
          <w:b w:val="0"/>
          <w:bCs/>
          <w:color w:val="auto"/>
          <w:sz w:val="32"/>
          <w:szCs w:val="32"/>
          <w:highlight w:val="none"/>
        </w:rPr>
        <w:t>（一）机关运行经费支出情况</w:t>
      </w:r>
      <w:bookmarkEnd w:id="56"/>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w:t>
      </w:r>
      <w:r>
        <w:rPr>
          <w:rFonts w:hint="default" w:ascii="Times New Roman" w:hAnsi="Times New Roman" w:eastAsia="方正仿宋_GBK" w:cs="Times New Roman"/>
          <w:sz w:val="32"/>
          <w:szCs w:val="32"/>
          <w:lang w:eastAsia="zh-CN"/>
        </w:rPr>
        <w:t>市委</w:t>
      </w:r>
      <w:r>
        <w:rPr>
          <w:rFonts w:hint="default" w:ascii="Times New Roman" w:hAnsi="Times New Roman" w:eastAsia="方正仿宋_GBK" w:cs="Times New Roman"/>
          <w:sz w:val="32"/>
          <w:szCs w:val="32"/>
        </w:rPr>
        <w:t>办公室（本级）</w:t>
      </w:r>
      <w:r>
        <w:rPr>
          <w:rFonts w:hint="default" w:ascii="Times New Roman" w:hAnsi="Times New Roman" w:eastAsia="方正仿宋_GBK" w:cs="Times New Roman"/>
          <w:color w:val="auto"/>
          <w:kern w:val="2"/>
          <w:sz w:val="32"/>
          <w:szCs w:val="32"/>
          <w:highlight w:val="none"/>
          <w:lang w:val="en-US" w:eastAsia="zh-CN" w:bidi="ar-SA"/>
        </w:rPr>
        <w:t>机关运行</w:t>
      </w:r>
      <w:r>
        <w:rPr>
          <w:rFonts w:hint="default" w:ascii="Times New Roman" w:hAnsi="Times New Roman" w:eastAsia="方正仿宋_GBK" w:cs="Times New Roman"/>
          <w:sz w:val="32"/>
          <w:szCs w:val="32"/>
          <w:lang w:val="en-US" w:eastAsia="zh-CN"/>
        </w:rPr>
        <w:t>经费支出</w:t>
      </w:r>
      <w:r>
        <w:rPr>
          <w:rFonts w:hint="default" w:ascii="Times New Roman" w:hAnsi="Times New Roman" w:eastAsia="方正仿宋_GBK" w:cs="Times New Roman"/>
          <w:sz w:val="32"/>
          <w:szCs w:val="32"/>
        </w:rPr>
        <w:t>364.61</w:t>
      </w:r>
      <w:r>
        <w:rPr>
          <w:rFonts w:hint="default" w:ascii="Times New Roman" w:hAnsi="Times New Roman" w:eastAsia="方正仿宋_GBK" w:cs="Times New Roman"/>
          <w:sz w:val="32"/>
          <w:szCs w:val="32"/>
          <w:lang w:val="en-US" w:eastAsia="zh-CN"/>
        </w:rPr>
        <w:t>万元，比上年度减少44.61万元，下降10.9%。主要原因是：</w:t>
      </w:r>
      <w:r>
        <w:rPr>
          <w:rFonts w:hint="default" w:ascii="Times New Roman" w:hAnsi="Times New Roman" w:eastAsia="方正仿宋_GBK" w:cs="Times New Roman"/>
          <w:sz w:val="32"/>
          <w:szCs w:val="32"/>
        </w:rPr>
        <w:t>从2025年1月1日起，原与市委办公室一并核算的市委共富办独立核算</w:t>
      </w:r>
      <w:r>
        <w:rPr>
          <w:rFonts w:hint="default" w:ascii="Times New Roman" w:hAnsi="Times New Roman" w:eastAsia="方正仿宋_GBK" w:cs="Times New Roman"/>
          <w:sz w:val="32"/>
          <w:szCs w:val="32"/>
          <w:lang w:eastAsia="zh-CN"/>
        </w:rPr>
        <w:t>，其经费不再纳入市委办公室决算反映</w:t>
      </w:r>
      <w:r>
        <w:rPr>
          <w:rFonts w:hint="default" w:ascii="Times New Roman" w:hAnsi="Times New Roman" w:eastAsia="方正仿宋_GBK"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57" w:name="_Toc15377223"/>
      <w:r>
        <w:rPr>
          <w:rFonts w:hint="eastAsia" w:ascii="方正楷体_GBK" w:hAnsi="方正楷体_GBK" w:eastAsia="方正楷体_GBK" w:cs="方正楷体_GBK"/>
          <w:b w:val="0"/>
          <w:bCs/>
          <w:color w:val="auto"/>
          <w:sz w:val="32"/>
          <w:szCs w:val="32"/>
          <w:highlight w:val="none"/>
        </w:rPr>
        <w:t>（二）政府采购支出情况</w:t>
      </w:r>
      <w:bookmarkEnd w:id="57"/>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w:t>
      </w:r>
      <w:r>
        <w:rPr>
          <w:rFonts w:hint="eastAsia" w:eastAsia="方正仿宋_GBK" w:cs="Times New Roman"/>
          <w:sz w:val="32"/>
          <w:szCs w:val="32"/>
          <w:lang w:eastAsia="zh-CN"/>
        </w:rPr>
        <w:t>市委</w:t>
      </w:r>
      <w:r>
        <w:rPr>
          <w:rFonts w:hint="default" w:ascii="Times New Roman" w:hAnsi="Times New Roman" w:eastAsia="方正仿宋_GBK" w:cs="Times New Roman"/>
          <w:sz w:val="32"/>
          <w:szCs w:val="32"/>
        </w:rPr>
        <w:t>办公室（本级）</w:t>
      </w:r>
      <w:r>
        <w:rPr>
          <w:rFonts w:hint="default" w:ascii="Times New Roman" w:hAnsi="Times New Roman" w:eastAsia="方正仿宋_GBK" w:cs="Times New Roman"/>
          <w:color w:val="auto"/>
          <w:kern w:val="2"/>
          <w:sz w:val="32"/>
          <w:szCs w:val="32"/>
          <w:highlight w:val="none"/>
          <w:lang w:val="en-US" w:eastAsia="zh-CN" w:bidi="ar-SA"/>
        </w:rPr>
        <w:t>政府采购支出总额</w:t>
      </w:r>
      <w:r>
        <w:rPr>
          <w:rFonts w:hint="default" w:ascii="Times New Roman" w:hAnsi="Times New Roman" w:eastAsia="方正仿宋_GBK" w:cs="Times New Roman"/>
          <w:sz w:val="32"/>
          <w:szCs w:val="32"/>
        </w:rPr>
        <w:t>272.75</w:t>
      </w:r>
      <w:r>
        <w:rPr>
          <w:rFonts w:hint="default" w:ascii="Times New Roman" w:hAnsi="Times New Roman" w:eastAsia="方正仿宋_GBK" w:cs="Times New Roman"/>
          <w:color w:val="auto"/>
          <w:kern w:val="2"/>
          <w:sz w:val="32"/>
          <w:szCs w:val="32"/>
          <w:highlight w:val="none"/>
          <w:lang w:val="en-US" w:eastAsia="zh-CN" w:bidi="ar-SA"/>
        </w:rPr>
        <w:t>万元，其中：政府采购货物支出</w:t>
      </w:r>
      <w:r>
        <w:rPr>
          <w:rFonts w:hint="default" w:ascii="Times New Roman" w:hAnsi="Times New Roman" w:eastAsia="方正仿宋_GBK" w:cs="Times New Roman"/>
          <w:sz w:val="32"/>
          <w:szCs w:val="32"/>
        </w:rPr>
        <w:t>29.62</w:t>
      </w:r>
      <w:r>
        <w:rPr>
          <w:rFonts w:hint="default" w:ascii="Times New Roman" w:hAnsi="Times New Roman" w:eastAsia="方正仿宋_GBK" w:cs="Times New Roman"/>
          <w:color w:val="auto"/>
          <w:kern w:val="2"/>
          <w:sz w:val="32"/>
          <w:szCs w:val="32"/>
          <w:highlight w:val="none"/>
          <w:lang w:val="en-US" w:eastAsia="zh-CN" w:bidi="ar-SA"/>
        </w:rPr>
        <w:t>万元、政府采购工程支出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万元、政府采购服务支出</w:t>
      </w:r>
      <w:r>
        <w:rPr>
          <w:rFonts w:hint="default" w:ascii="Times New Roman" w:hAnsi="Times New Roman" w:eastAsia="方正仿宋_GBK" w:cs="Times New Roman"/>
          <w:sz w:val="32"/>
          <w:szCs w:val="32"/>
        </w:rPr>
        <w:t>243.12</w:t>
      </w:r>
      <w:r>
        <w:rPr>
          <w:rFonts w:hint="default" w:ascii="Times New Roman" w:hAnsi="Times New Roman" w:eastAsia="方正仿宋_GBK" w:cs="Times New Roman"/>
          <w:color w:val="auto"/>
          <w:kern w:val="2"/>
          <w:sz w:val="32"/>
          <w:szCs w:val="32"/>
          <w:highlight w:val="none"/>
          <w:lang w:val="en-US" w:eastAsia="zh-CN" w:bidi="ar-SA"/>
        </w:rPr>
        <w:t>万元。主要用于</w:t>
      </w:r>
      <w:r>
        <w:rPr>
          <w:rFonts w:hint="default" w:ascii="Times New Roman" w:hAnsi="Times New Roman" w:eastAsia="方正仿宋_GBK" w:cs="Times New Roman"/>
          <w:b w:val="0"/>
          <w:bCs/>
          <w:color w:val="auto"/>
          <w:kern w:val="2"/>
          <w:sz w:val="32"/>
          <w:szCs w:val="32"/>
          <w:highlight w:val="none"/>
          <w:lang w:val="en-US" w:eastAsia="zh-CN" w:bidi="ar-SA"/>
        </w:rPr>
        <w:t>打印机、复印纸、车辆加油及物业管理服务等采购支出</w:t>
      </w:r>
      <w:r>
        <w:rPr>
          <w:rFonts w:hint="default" w:ascii="Times New Roman" w:hAnsi="Times New Roman" w:eastAsia="方正仿宋_GBK" w:cs="Times New Roman"/>
          <w:color w:val="auto"/>
          <w:kern w:val="2"/>
          <w:sz w:val="32"/>
          <w:szCs w:val="32"/>
          <w:highlight w:val="none"/>
          <w:lang w:val="en-US" w:eastAsia="zh-CN" w:bidi="ar-SA"/>
        </w:rPr>
        <w:t>。授予中小企业合同金额</w:t>
      </w:r>
      <w:r>
        <w:rPr>
          <w:rFonts w:hint="default" w:ascii="Times New Roman" w:hAnsi="Times New Roman" w:eastAsia="方正仿宋_GBK" w:cs="Times New Roman"/>
          <w:sz w:val="32"/>
          <w:szCs w:val="32"/>
        </w:rPr>
        <w:t>266.75</w:t>
      </w:r>
      <w:r>
        <w:rPr>
          <w:rFonts w:hint="default" w:ascii="Times New Roman" w:hAnsi="Times New Roman" w:eastAsia="方正仿宋_GBK" w:cs="Times New Roman"/>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sz w:val="32"/>
          <w:szCs w:val="32"/>
        </w:rPr>
        <w:t>97.8</w:t>
      </w:r>
      <w:r>
        <w:rPr>
          <w:rFonts w:hint="default" w:ascii="Times New Roman" w:hAnsi="Times New Roman" w:eastAsia="方正仿宋_GBK" w:cs="Times New Roman"/>
          <w:color w:val="auto"/>
          <w:kern w:val="2"/>
          <w:sz w:val="32"/>
          <w:szCs w:val="32"/>
          <w:highlight w:val="none"/>
          <w:lang w:val="en-US" w:eastAsia="zh-CN" w:bidi="ar-SA"/>
        </w:rPr>
        <w:t>%，其中：授予小微企业合同金额</w:t>
      </w:r>
      <w:r>
        <w:rPr>
          <w:rFonts w:hint="default" w:ascii="Times New Roman" w:hAnsi="Times New Roman" w:eastAsia="方正仿宋_GBK" w:cs="Times New Roman"/>
          <w:sz w:val="32"/>
          <w:szCs w:val="32"/>
        </w:rPr>
        <w:t>101.75</w:t>
      </w:r>
      <w:r>
        <w:rPr>
          <w:rFonts w:hint="default" w:ascii="Times New Roman" w:hAnsi="Times New Roman" w:eastAsia="方正仿宋_GBK" w:cs="Times New Roman"/>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sz w:val="32"/>
          <w:szCs w:val="32"/>
        </w:rPr>
        <w:t>37.3</w:t>
      </w:r>
      <w:r>
        <w:rPr>
          <w:rFonts w:hint="default" w:ascii="Times New Roman" w:hAnsi="Times New Roman" w:eastAsia="方正仿宋_GBK" w:cs="Times New Roman"/>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bookmarkStart w:id="58" w:name="_Toc15377224"/>
      <w:r>
        <w:rPr>
          <w:rFonts w:hint="eastAsia" w:ascii="方正楷体_GBK" w:hAnsi="方正楷体_GBK" w:eastAsia="方正楷体_GBK" w:cs="方正楷体_GBK"/>
          <w:b w:val="0"/>
          <w:bCs/>
          <w:color w:val="auto"/>
          <w:sz w:val="32"/>
          <w:szCs w:val="32"/>
          <w:highlight w:val="none"/>
        </w:rPr>
        <w:t>（三）国有资产占有使用情况</w:t>
      </w:r>
      <w:bookmarkEnd w:id="58"/>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截至2025年12月31日，</w:t>
      </w:r>
      <w:r>
        <w:rPr>
          <w:rFonts w:hint="default" w:ascii="Times New Roman" w:hAnsi="Times New Roman" w:eastAsia="方正仿宋_GBK" w:cs="Times New Roman"/>
          <w:sz w:val="32"/>
          <w:szCs w:val="32"/>
          <w:lang w:eastAsia="zh-CN"/>
        </w:rPr>
        <w:t>市委</w:t>
      </w:r>
      <w:r>
        <w:rPr>
          <w:rFonts w:hint="default" w:ascii="Times New Roman" w:hAnsi="Times New Roman" w:eastAsia="方正仿宋_GBK" w:cs="Times New Roman"/>
          <w:sz w:val="32"/>
          <w:szCs w:val="32"/>
        </w:rPr>
        <w:t>办公室（本级）</w:t>
      </w:r>
      <w:r>
        <w:rPr>
          <w:rFonts w:hint="default" w:ascii="Times New Roman" w:hAnsi="Times New Roman" w:eastAsia="方正仿宋_GBK" w:cs="Times New Roman"/>
          <w:color w:val="auto"/>
          <w:kern w:val="2"/>
          <w:sz w:val="32"/>
          <w:szCs w:val="32"/>
          <w:highlight w:val="none"/>
          <w:lang w:val="en-US" w:eastAsia="zh-CN" w:bidi="ar-SA"/>
        </w:rPr>
        <w:t>共有车辆</w:t>
      </w:r>
      <w:r>
        <w:rPr>
          <w:rFonts w:hint="default" w:ascii="Times New Roman" w:hAnsi="Times New Roman" w:eastAsia="方正仿宋_GBK" w:cs="Times New Roman"/>
          <w:sz w:val="32"/>
          <w:szCs w:val="32"/>
        </w:rPr>
        <w:t>9</w:t>
      </w:r>
      <w:r>
        <w:rPr>
          <w:rFonts w:hint="default" w:ascii="Times New Roman" w:hAnsi="Times New Roman" w:eastAsia="方正仿宋_GBK" w:cs="Times New Roman"/>
          <w:color w:val="auto"/>
          <w:kern w:val="2"/>
          <w:sz w:val="32"/>
          <w:szCs w:val="32"/>
          <w:highlight w:val="none"/>
          <w:lang w:val="en-US" w:eastAsia="zh-CN" w:bidi="ar-SA"/>
        </w:rPr>
        <w:t>辆，其中：机要通信用车</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color w:val="auto"/>
          <w:kern w:val="2"/>
          <w:sz w:val="32"/>
          <w:szCs w:val="32"/>
          <w:highlight w:val="none"/>
          <w:lang w:val="en-US" w:eastAsia="zh-CN" w:bidi="ar-SA"/>
        </w:rPr>
        <w:t>辆、应急保障用车</w:t>
      </w:r>
      <w:r>
        <w:rPr>
          <w:rFonts w:hint="default" w:ascii="Times New Roman" w:hAnsi="Times New Roman" w:eastAsia="方正仿宋_GBK" w:cs="Times New Roman"/>
          <w:sz w:val="32"/>
          <w:szCs w:val="32"/>
        </w:rPr>
        <w:t>5</w:t>
      </w:r>
      <w:r>
        <w:rPr>
          <w:rFonts w:hint="default" w:ascii="Times New Roman" w:hAnsi="Times New Roman" w:eastAsia="方正仿宋_GBK" w:cs="Times New Roman"/>
          <w:color w:val="auto"/>
          <w:kern w:val="2"/>
          <w:sz w:val="32"/>
          <w:szCs w:val="32"/>
          <w:highlight w:val="none"/>
          <w:lang w:val="en-US" w:eastAsia="zh-CN" w:bidi="ar-SA"/>
        </w:rPr>
        <w:t>辆、其他用车</w:t>
      </w:r>
      <w:r>
        <w:rPr>
          <w:rFonts w:hint="default" w:ascii="Times New Roman" w:hAnsi="Times New Roman" w:eastAsia="方正仿宋_GBK" w:cs="Times New Roman"/>
          <w:sz w:val="32"/>
          <w:szCs w:val="32"/>
          <w:highlight w:val="none"/>
        </w:rPr>
        <w:t>3</w:t>
      </w:r>
      <w:r>
        <w:rPr>
          <w:rFonts w:hint="default" w:ascii="Times New Roman" w:hAnsi="Times New Roman" w:eastAsia="方正仿宋_GBK" w:cs="Times New Roman"/>
          <w:color w:val="auto"/>
          <w:kern w:val="2"/>
          <w:sz w:val="32"/>
          <w:szCs w:val="32"/>
          <w:highlight w:val="none"/>
          <w:lang w:val="en-US" w:eastAsia="zh-CN" w:bidi="ar-SA"/>
        </w:rPr>
        <w:t>辆，其他用车主要是</w:t>
      </w:r>
      <w:r>
        <w:rPr>
          <w:rFonts w:hint="default" w:ascii="Times New Roman" w:hAnsi="Times New Roman" w:eastAsia="方正仿宋_GBK" w:cs="Times New Roman"/>
          <w:b w:val="0"/>
          <w:bCs/>
          <w:sz w:val="32"/>
          <w:szCs w:val="32"/>
          <w:highlight w:val="none"/>
        </w:rPr>
        <w:t>保障调研等公务出行需要</w:t>
      </w:r>
      <w:r>
        <w:rPr>
          <w:rFonts w:hint="default" w:ascii="Times New Roman" w:hAnsi="Times New Roman" w:eastAsia="方正仿宋_GBK" w:cs="Times New Roman"/>
          <w:color w:val="auto"/>
          <w:kern w:val="2"/>
          <w:sz w:val="32"/>
          <w:szCs w:val="32"/>
          <w:highlight w:val="none"/>
          <w:lang w:val="en-US" w:eastAsia="zh-CN" w:bidi="ar-SA"/>
        </w:rPr>
        <w:t>。单价100万元（含）以上设备（不含车辆）</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台（套）。</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2"/>
        <w:rPr>
          <w:rFonts w:hint="eastAsia" w:ascii="方正楷体_GBK" w:hAnsi="方正楷体_GBK" w:eastAsia="方正楷体_GBK" w:cs="方正楷体_GBK"/>
          <w:b w:val="0"/>
          <w:bCs/>
          <w:color w:val="auto"/>
          <w:sz w:val="32"/>
          <w:szCs w:val="32"/>
          <w:highlight w:val="none"/>
        </w:rPr>
      </w:pPr>
      <w:r>
        <w:rPr>
          <w:rFonts w:hint="eastAsia" w:ascii="方正楷体_GBK" w:hAnsi="方正楷体_GBK" w:eastAsia="方正楷体_GBK" w:cs="方正楷体_GBK"/>
          <w:b w:val="0"/>
          <w:bCs/>
          <w:color w:val="auto"/>
          <w:sz w:val="32"/>
          <w:szCs w:val="32"/>
          <w:highlight w:val="none"/>
        </w:rPr>
        <w:t>（四）预算绩效管理情况</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根据预算绩效管理要求，市委办公室在2025年度组织对</w:t>
      </w:r>
      <w:r>
        <w:rPr>
          <w:rFonts w:hint="eastAsia" w:eastAsia="方正仿宋_GBK" w:cs="Times New Roman"/>
          <w:color w:val="auto"/>
          <w:kern w:val="2"/>
          <w:sz w:val="32"/>
          <w:szCs w:val="32"/>
          <w:highlight w:val="none"/>
          <w:lang w:val="en-US" w:eastAsia="zh-CN" w:bidi="ar-SA"/>
        </w:rPr>
        <w:t>12</w:t>
      </w:r>
      <w:r>
        <w:rPr>
          <w:rFonts w:hint="default" w:ascii="Times New Roman" w:hAnsi="Times New Roman" w:eastAsia="方正仿宋_GBK" w:cs="Times New Roman"/>
          <w:color w:val="auto"/>
          <w:kern w:val="2"/>
          <w:sz w:val="32"/>
          <w:szCs w:val="32"/>
          <w:highlight w:val="none"/>
          <w:lang w:val="en-US" w:eastAsia="zh-CN" w:bidi="ar-SA"/>
        </w:rPr>
        <w:t>个项目（除基本支出、涉密项目外）编制了绩效目标，预算执行过程中，选取</w:t>
      </w:r>
      <w:r>
        <w:rPr>
          <w:rFonts w:hint="eastAsia" w:eastAsia="方正仿宋_GBK" w:cs="Times New Roman"/>
          <w:color w:val="auto"/>
          <w:kern w:val="2"/>
          <w:sz w:val="32"/>
          <w:szCs w:val="32"/>
          <w:highlight w:val="none"/>
          <w:lang w:val="en-US" w:eastAsia="zh-CN" w:bidi="ar-SA"/>
        </w:rPr>
        <w:t>12</w:t>
      </w:r>
      <w:r>
        <w:rPr>
          <w:rFonts w:hint="default" w:ascii="Times New Roman" w:hAnsi="Times New Roman" w:eastAsia="方正仿宋_GBK" w:cs="Times New Roman"/>
          <w:color w:val="auto"/>
          <w:kern w:val="2"/>
          <w:sz w:val="32"/>
          <w:szCs w:val="32"/>
          <w:highlight w:val="none"/>
          <w:lang w:val="en-US" w:eastAsia="zh-CN" w:bidi="ar-SA"/>
        </w:rPr>
        <w:t>个项目开展绩效监控。</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仿宋_GBK" w:cs="Times New Roman"/>
          <w:color w:val="auto"/>
          <w:kern w:val="2"/>
          <w:sz w:val="32"/>
          <w:szCs w:val="32"/>
          <w:highlight w:val="yellow"/>
          <w:lang w:val="en-US" w:eastAsia="zh-CN" w:bidi="ar-SA"/>
        </w:rPr>
      </w:pPr>
    </w:p>
    <w:p>
      <w:pPr>
        <w:pStyle w:val="2"/>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ascii="Times New Roman" w:hAnsi="Times New Roman" w:eastAsia="方正仿宋_GBK" w:cs="Times New Roman"/>
          <w:color w:val="auto"/>
          <w:kern w:val="2"/>
          <w:sz w:val="32"/>
          <w:szCs w:val="32"/>
          <w:highlight w:val="yellow"/>
          <w:lang w:val="en-US" w:eastAsia="zh-CN" w:bidi="ar-SA"/>
        </w:rPr>
      </w:pPr>
    </w:p>
    <w:p>
      <w:pPr>
        <w:pStyle w:val="3"/>
        <w:rPr>
          <w:rFonts w:hint="default"/>
          <w:lang w:val="en-US" w:eastAsia="zh-CN"/>
        </w:rPr>
      </w:pPr>
    </w:p>
    <w:p>
      <w:pPr>
        <w:pStyle w:val="2"/>
        <w:rPr>
          <w:rFonts w:hint="default"/>
          <w:lang w:val="en-US" w:eastAsia="zh-CN"/>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方正小标宋_GBK" w:hAnsi="方正小标宋_GBK" w:eastAsia="方正小标宋_GBK" w:cs="方正小标宋_GBK"/>
          <w:color w:val="auto"/>
          <w:sz w:val="44"/>
          <w:szCs w:val="44"/>
          <w:highlight w:val="none"/>
        </w:rPr>
      </w:pPr>
      <w:bookmarkStart w:id="59" w:name="_Toc15377225"/>
      <w:bookmarkStart w:id="60" w:name="_Toc9507"/>
      <w:bookmarkStart w:id="61" w:name="_Toc15396613"/>
      <w:r>
        <w:rPr>
          <w:rFonts w:hint="eastAsia" w:ascii="方正小标宋_GBK" w:hAnsi="方正小标宋_GBK" w:eastAsia="方正小标宋_GBK" w:cs="方正小标宋_GBK"/>
          <w:color w:val="auto"/>
          <w:sz w:val="44"/>
          <w:szCs w:val="44"/>
          <w:highlight w:val="none"/>
        </w:rPr>
        <w:t>第</w:t>
      </w:r>
      <w:r>
        <w:rPr>
          <w:rFonts w:hint="eastAsia" w:ascii="方正小标宋_GBK" w:hAnsi="方正小标宋_GBK" w:eastAsia="方正小标宋_GBK" w:cs="方正小标宋_GBK"/>
          <w:color w:val="auto"/>
          <w:sz w:val="44"/>
          <w:szCs w:val="44"/>
          <w:highlight w:val="none"/>
          <w:lang w:eastAsia="zh-CN"/>
        </w:rPr>
        <w:t>三</w:t>
      </w:r>
      <w:r>
        <w:rPr>
          <w:rFonts w:hint="eastAsia" w:ascii="方正小标宋_GBK" w:hAnsi="方正小标宋_GBK" w:eastAsia="方正小标宋_GBK" w:cs="方正小标宋_GBK"/>
          <w:color w:val="auto"/>
          <w:sz w:val="44"/>
          <w:szCs w:val="44"/>
          <w:highlight w:val="none"/>
        </w:rPr>
        <w:t>部分</w:t>
      </w:r>
      <w:r>
        <w:rPr>
          <w:rFonts w:hint="eastAsia" w:ascii="方正小标宋_GBK" w:hAnsi="方正小标宋_GBK" w:eastAsia="方正小标宋_GBK" w:cs="方正小标宋_GBK"/>
          <w:color w:val="auto"/>
          <w:sz w:val="44"/>
          <w:szCs w:val="44"/>
          <w:highlight w:val="none"/>
          <w:lang w:val="en-US" w:eastAsia="zh-CN"/>
        </w:rPr>
        <w:t xml:space="preserve">  </w:t>
      </w:r>
      <w:r>
        <w:rPr>
          <w:rFonts w:hint="eastAsia" w:ascii="方正小标宋_GBK" w:hAnsi="方正小标宋_GBK" w:eastAsia="方正小标宋_GBK" w:cs="方正小标宋_GBK"/>
          <w:color w:val="auto"/>
          <w:sz w:val="44"/>
          <w:szCs w:val="44"/>
          <w:highlight w:val="none"/>
        </w:rPr>
        <w:t>名词解释</w:t>
      </w:r>
      <w:bookmarkEnd w:id="59"/>
      <w:bookmarkEnd w:id="60"/>
      <w:bookmarkEnd w:id="61"/>
    </w:p>
    <w:p>
      <w:pPr>
        <w:keepNext w:val="0"/>
        <w:keepLines w:val="0"/>
        <w:pageBreakBefore w:val="0"/>
        <w:widowControl w:val="0"/>
        <w:kinsoku/>
        <w:wordWrap/>
        <w:overflowPunct/>
        <w:topLinePunct w:val="0"/>
        <w:autoSpaceDE/>
        <w:autoSpaceDN/>
        <w:bidi w:val="0"/>
        <w:adjustRightInd/>
        <w:spacing w:line="600" w:lineRule="exact"/>
        <w:ind w:firstLine="642" w:firstLineChars="200"/>
        <w:jc w:val="both"/>
        <w:textAlignment w:val="auto"/>
        <w:rPr>
          <w:rFonts w:hint="default" w:ascii="Times New Roman" w:hAnsi="Times New Roman" w:eastAsia="方正仿宋_GBK" w:cs="Times New Roman"/>
          <w:b/>
          <w:color w:val="auto"/>
          <w:sz w:val="32"/>
          <w:szCs w:val="32"/>
          <w:highlight w:val="none"/>
        </w:rPr>
      </w:pP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1.财政拨款收入：指单位从同级财政部门取得的财政预算资金。</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2.年初结转和结余：指以前年度尚未完成、结转到本年按有关规定继续使用的资金。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3.年末结转和结余：指单位按有关规定结转到下年或以后年度继续使用的资金。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bidi="ar-SA"/>
        </w:rPr>
        <w:t>4.</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一般公共服务（类）党委办公厅（室）及相关机构事务（款）行政运行（项）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指行政单位（包括实行公务员管理的事业单位</w:t>
      </w:r>
      <w:r>
        <w:rPr>
          <w:rStyle w:val="17"/>
          <w:rFonts w:hint="default" w:ascii="Times New Roman" w:hAnsi="Times New Roman" w:eastAsia="方正仿宋_GBK" w:cs="Times New Roman"/>
          <w:b w:val="0"/>
          <w:bCs w:val="0"/>
          <w:sz w:val="32"/>
          <w:szCs w:val="32"/>
          <w:lang w:eastAsia="zh-CN"/>
        </w:rPr>
        <w:t>，下同</w:t>
      </w:r>
      <w:r>
        <w:rPr>
          <w:rStyle w:val="17"/>
          <w:rFonts w:hint="default" w:ascii="Times New Roman" w:hAnsi="Times New Roman" w:eastAsia="方正仿宋_GBK" w:cs="Times New Roman"/>
          <w:b w:val="0"/>
          <w:bCs w:val="0"/>
          <w:sz w:val="32"/>
          <w:szCs w:val="32"/>
        </w:rPr>
        <w:t>）的基本支出。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sz w:val="32"/>
          <w:szCs w:val="32"/>
        </w:rPr>
      </w:pPr>
      <w:r>
        <w:rPr>
          <w:rStyle w:val="17"/>
          <w:rFonts w:hint="default" w:ascii="Times New Roman" w:hAnsi="Times New Roman" w:eastAsia="方正仿宋_GBK" w:cs="Times New Roman"/>
          <w:b w:val="0"/>
          <w:bCs w:val="0"/>
          <w:color w:val="auto"/>
          <w:sz w:val="32"/>
          <w:szCs w:val="32"/>
          <w:highlight w:val="none"/>
          <w:lang w:val="en-US" w:eastAsia="zh-CN"/>
        </w:rPr>
        <w:t>5</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w:t>
      </w:r>
      <w:r>
        <w:rPr>
          <w:rStyle w:val="17"/>
          <w:rFonts w:hint="default" w:ascii="Times New Roman" w:hAnsi="Times New Roman" w:eastAsia="方正仿宋_GBK" w:cs="Times New Roman"/>
          <w:b w:val="0"/>
          <w:bCs w:val="0"/>
          <w:color w:val="auto"/>
          <w:sz w:val="32"/>
          <w:szCs w:val="32"/>
          <w:highlight w:val="none"/>
          <w:lang w:eastAsia="zh-CN"/>
        </w:rPr>
        <w:t>一般行政管理事务</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指行政单位未单独设置项级科目的其他项目支出。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6</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w:t>
      </w:r>
      <w:r>
        <w:rPr>
          <w:rStyle w:val="17"/>
          <w:rFonts w:hint="default" w:ascii="Times New Roman" w:hAnsi="Times New Roman" w:eastAsia="方正仿宋_GBK" w:cs="Times New Roman"/>
          <w:b w:val="0"/>
          <w:bCs w:val="0"/>
          <w:color w:val="auto"/>
          <w:sz w:val="32"/>
          <w:szCs w:val="32"/>
          <w:highlight w:val="none"/>
          <w:lang w:eastAsia="zh-CN"/>
        </w:rPr>
        <w:t>事业运行</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：指事业单位的基本支出，不包括行政单位后勤服务中心、医务室等附属事业单位。</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7</w:t>
      </w:r>
      <w:r>
        <w:rPr>
          <w:rStyle w:val="17"/>
          <w:rFonts w:hint="default" w:ascii="Times New Roman" w:hAnsi="Times New Roman" w:eastAsia="方正仿宋_GBK" w:cs="Times New Roman"/>
          <w:b w:val="0"/>
          <w:bCs w:val="0"/>
          <w:color w:val="auto"/>
          <w:sz w:val="32"/>
          <w:szCs w:val="32"/>
          <w:highlight w:val="none"/>
        </w:rPr>
        <w:t>.一般公共服务（类）党委办公厅（室）及相关机构事务（款）</w:t>
      </w:r>
      <w:r>
        <w:rPr>
          <w:rStyle w:val="17"/>
          <w:rFonts w:hint="default" w:ascii="Times New Roman" w:hAnsi="Times New Roman" w:eastAsia="方正仿宋_GBK" w:cs="Times New Roman"/>
          <w:b w:val="0"/>
          <w:bCs w:val="0"/>
          <w:color w:val="auto"/>
          <w:sz w:val="32"/>
          <w:szCs w:val="32"/>
          <w:highlight w:val="none"/>
          <w:lang w:eastAsia="zh-CN"/>
        </w:rPr>
        <w:t>其他</w:t>
      </w:r>
      <w:r>
        <w:rPr>
          <w:rStyle w:val="17"/>
          <w:rFonts w:hint="default" w:ascii="Times New Roman" w:hAnsi="Times New Roman" w:eastAsia="方正仿宋_GBK" w:cs="Times New Roman"/>
          <w:b w:val="0"/>
          <w:bCs w:val="0"/>
          <w:color w:val="auto"/>
          <w:sz w:val="32"/>
          <w:szCs w:val="32"/>
          <w:highlight w:val="none"/>
        </w:rPr>
        <w:t>党委办公厅（室）及相关机构事务</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：指其他用于党委办公厅（室）及相关机构事务支出。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8</w:t>
      </w:r>
      <w:r>
        <w:rPr>
          <w:rStyle w:val="17"/>
          <w:rFonts w:hint="default" w:ascii="Times New Roman" w:hAnsi="Times New Roman" w:eastAsia="方正仿宋_GBK" w:cs="Times New Roman"/>
          <w:b w:val="0"/>
          <w:bCs w:val="0"/>
          <w:color w:val="auto"/>
          <w:sz w:val="32"/>
          <w:szCs w:val="32"/>
          <w:highlight w:val="none"/>
        </w:rPr>
        <w:t>.一般公共服务（类）</w:t>
      </w:r>
      <w:r>
        <w:rPr>
          <w:rStyle w:val="17"/>
          <w:rFonts w:hint="default" w:ascii="Times New Roman" w:hAnsi="Times New Roman" w:eastAsia="方正仿宋_GBK" w:cs="Times New Roman"/>
          <w:b w:val="0"/>
          <w:bCs w:val="0"/>
          <w:color w:val="auto"/>
          <w:sz w:val="32"/>
          <w:szCs w:val="32"/>
          <w:highlight w:val="none"/>
          <w:lang w:eastAsia="zh-CN"/>
        </w:rPr>
        <w:t>组织</w:t>
      </w:r>
      <w:r>
        <w:rPr>
          <w:rStyle w:val="17"/>
          <w:rFonts w:hint="default" w:ascii="Times New Roman" w:hAnsi="Times New Roman" w:eastAsia="方正仿宋_GBK" w:cs="Times New Roman"/>
          <w:b w:val="0"/>
          <w:bCs w:val="0"/>
          <w:color w:val="auto"/>
          <w:sz w:val="32"/>
          <w:szCs w:val="32"/>
          <w:highlight w:val="none"/>
        </w:rPr>
        <w:t>事务（款）</w:t>
      </w:r>
      <w:r>
        <w:rPr>
          <w:rStyle w:val="17"/>
          <w:rFonts w:hint="default" w:ascii="Times New Roman" w:hAnsi="Times New Roman" w:eastAsia="方正仿宋_GBK" w:cs="Times New Roman"/>
          <w:b w:val="0"/>
          <w:bCs w:val="0"/>
          <w:color w:val="auto"/>
          <w:sz w:val="32"/>
          <w:szCs w:val="32"/>
          <w:highlight w:val="none"/>
          <w:lang w:eastAsia="zh-CN"/>
        </w:rPr>
        <w:t>其他组织事务支出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：指其他用于中国共产党组织部门的事务支出。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b w:val="0"/>
          <w:bCs w:val="0"/>
          <w:color w:val="auto"/>
          <w:sz w:val="32"/>
          <w:szCs w:val="32"/>
          <w:highlight w:val="yellow"/>
        </w:rPr>
      </w:pPr>
      <w:r>
        <w:rPr>
          <w:rStyle w:val="17"/>
          <w:rFonts w:hint="default" w:ascii="Times New Roman" w:hAnsi="Times New Roman" w:eastAsia="方正仿宋_GBK" w:cs="Times New Roman"/>
          <w:b w:val="0"/>
          <w:bCs w:val="0"/>
          <w:color w:val="auto"/>
          <w:sz w:val="32"/>
          <w:szCs w:val="32"/>
          <w:highlight w:val="none"/>
          <w:lang w:val="en-US" w:eastAsia="zh-CN"/>
        </w:rPr>
        <w:t>9</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人力资源和社会保障管理事务</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其他人力资源和社会保障管理事务</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highlight w:val="none"/>
        </w:rPr>
        <w:t>指</w:t>
      </w:r>
      <w:r>
        <w:rPr>
          <w:rStyle w:val="17"/>
          <w:rFonts w:hint="default" w:ascii="Times New Roman" w:hAnsi="Times New Roman" w:eastAsia="方正仿宋_GBK" w:cs="Times New Roman"/>
          <w:b w:val="0"/>
          <w:bCs w:val="0"/>
          <w:color w:val="auto"/>
          <w:sz w:val="32"/>
          <w:szCs w:val="32"/>
          <w:highlight w:val="none"/>
          <w:lang w:eastAsia="zh-CN"/>
        </w:rPr>
        <w:t>其他用于人力资源和社会保障管理事务方面的支出</w:t>
      </w:r>
      <w:r>
        <w:rPr>
          <w:rStyle w:val="17"/>
          <w:rFonts w:hint="default" w:ascii="Times New Roman" w:hAnsi="Times New Roman" w:eastAsia="方正仿宋_GBK" w:cs="Times New Roman"/>
          <w:b w:val="0"/>
          <w:bCs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10.</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（类）行政事业单位养老支出（款）行政单位离退休（项）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指行政单位开支的离退休经费。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11</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（类）行政事业单位养老支出（款）机关事业单位基本养老保险缴费支出（项）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指机关事业单位实施养老保险制度由单位缴纳的基本养老保险费支出。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12</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（类）行政事业单位养老支出（款）机关事业单位职业年金缴费支出（项）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指机关事业单位实施养老保险制度由单位</w:t>
      </w:r>
      <w:r>
        <w:rPr>
          <w:rStyle w:val="17"/>
          <w:rFonts w:hint="default" w:ascii="Times New Roman" w:hAnsi="Times New Roman" w:eastAsia="方正仿宋_GBK" w:cs="Times New Roman"/>
          <w:b w:val="0"/>
          <w:bCs w:val="0"/>
          <w:sz w:val="32"/>
          <w:szCs w:val="32"/>
          <w:lang w:eastAsia="zh-CN"/>
        </w:rPr>
        <w:t>实际</w:t>
      </w:r>
      <w:r>
        <w:rPr>
          <w:rStyle w:val="17"/>
          <w:rFonts w:hint="default" w:ascii="Times New Roman" w:hAnsi="Times New Roman" w:eastAsia="方正仿宋_GBK" w:cs="Times New Roman"/>
          <w:b w:val="0"/>
          <w:bCs w:val="0"/>
          <w:sz w:val="32"/>
          <w:szCs w:val="32"/>
        </w:rPr>
        <w:t>缴纳的</w:t>
      </w:r>
      <w:r>
        <w:rPr>
          <w:rStyle w:val="17"/>
          <w:rFonts w:hint="default" w:ascii="Times New Roman" w:hAnsi="Times New Roman" w:eastAsia="方正仿宋_GBK" w:cs="Times New Roman"/>
          <w:b w:val="0"/>
          <w:bCs w:val="0"/>
          <w:sz w:val="32"/>
          <w:szCs w:val="32"/>
          <w:lang w:eastAsia="zh-CN"/>
        </w:rPr>
        <w:t>职业年金</w:t>
      </w:r>
      <w:r>
        <w:rPr>
          <w:rStyle w:val="17"/>
          <w:rFonts w:hint="default" w:ascii="Times New Roman" w:hAnsi="Times New Roman" w:eastAsia="方正仿宋_GBK" w:cs="Times New Roman"/>
          <w:b w:val="0"/>
          <w:bCs w:val="0"/>
          <w:sz w:val="32"/>
          <w:szCs w:val="32"/>
        </w:rPr>
        <w:t>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13</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抚恤</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死亡抚恤</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指按规定用于烈士和牺牲、病故人员家属的一次性和定期抚恤金、丧葬补助费以及烈士褒扬金。</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14</w:t>
      </w:r>
      <w:r>
        <w:rPr>
          <w:rStyle w:val="17"/>
          <w:rFonts w:hint="default" w:ascii="Times New Roman" w:hAnsi="Times New Roman" w:eastAsia="方正仿宋_GBK" w:cs="Times New Roman"/>
          <w:b w:val="0"/>
          <w:bCs w:val="0"/>
          <w:color w:val="auto"/>
          <w:sz w:val="32"/>
          <w:szCs w:val="32"/>
          <w:highlight w:val="none"/>
        </w:rPr>
        <w:t>.社会保障和就业</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社会福利</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儿童福利</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指对儿童提供福利服务方面的支出。</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15</w:t>
      </w:r>
      <w:r>
        <w:rPr>
          <w:rStyle w:val="17"/>
          <w:rFonts w:hint="default" w:ascii="Times New Roman" w:hAnsi="Times New Roman" w:eastAsia="方正仿宋_GBK" w:cs="Times New Roman"/>
          <w:b w:val="0"/>
          <w:bCs w:val="0"/>
          <w:color w:val="auto"/>
          <w:sz w:val="32"/>
          <w:szCs w:val="32"/>
          <w:highlight w:val="none"/>
        </w:rPr>
        <w:t>.</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行政事业单位医疗</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行政单位医疗</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：指财政部门安排的行政单位基本医疗保险缴费经费。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rPr>
      </w:pPr>
      <w:r>
        <w:rPr>
          <w:rStyle w:val="17"/>
          <w:rFonts w:hint="default" w:ascii="Times New Roman" w:hAnsi="Times New Roman" w:eastAsia="方正仿宋_GBK" w:cs="Times New Roman"/>
          <w:b w:val="0"/>
          <w:bCs w:val="0"/>
          <w:color w:val="auto"/>
          <w:sz w:val="32"/>
          <w:szCs w:val="32"/>
          <w:highlight w:val="none"/>
          <w:lang w:val="en-US" w:eastAsia="zh-CN"/>
        </w:rPr>
        <w:t>16</w:t>
      </w:r>
      <w:r>
        <w:rPr>
          <w:rStyle w:val="17"/>
          <w:rFonts w:hint="default" w:ascii="Times New Roman" w:hAnsi="Times New Roman" w:eastAsia="方正仿宋_GBK" w:cs="Times New Roman"/>
          <w:b w:val="0"/>
          <w:bCs w:val="0"/>
          <w:color w:val="auto"/>
          <w:sz w:val="32"/>
          <w:szCs w:val="32"/>
          <w:highlight w:val="none"/>
        </w:rPr>
        <w:t>.</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行政事业单位医疗</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事业单位医疗</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：指财政部门安排的事业单位基本医疗保险缴费经费。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17</w:t>
      </w:r>
      <w:r>
        <w:rPr>
          <w:rStyle w:val="17"/>
          <w:rFonts w:hint="default" w:ascii="Times New Roman" w:hAnsi="Times New Roman" w:eastAsia="方正仿宋_GBK" w:cs="Times New Roman"/>
          <w:b w:val="0"/>
          <w:bCs w:val="0"/>
          <w:color w:val="auto"/>
          <w:sz w:val="32"/>
          <w:szCs w:val="32"/>
          <w:highlight w:val="none"/>
        </w:rPr>
        <w:t>.</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行政事业单位医疗</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公务员医疗补助</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：指财政部门安排的公务员医疗补助经费。</w:t>
      </w:r>
    </w:p>
    <w:p>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Style w:val="17"/>
          <w:rFonts w:hint="default" w:ascii="Times New Roman" w:hAnsi="Times New Roman" w:eastAsia="方正仿宋_GBK" w:cs="Times New Roman"/>
          <w:b w:val="0"/>
          <w:bCs w:val="0"/>
          <w:color w:val="auto"/>
          <w:sz w:val="32"/>
          <w:szCs w:val="32"/>
          <w:highlight w:val="none"/>
          <w:lang w:eastAsia="zh-CN"/>
        </w:rPr>
      </w:pPr>
      <w:r>
        <w:rPr>
          <w:rStyle w:val="17"/>
          <w:rFonts w:hint="default" w:ascii="Times New Roman" w:hAnsi="Times New Roman" w:eastAsia="方正仿宋_GBK" w:cs="Times New Roman"/>
          <w:b w:val="0"/>
          <w:bCs w:val="0"/>
          <w:color w:val="auto"/>
          <w:sz w:val="32"/>
          <w:szCs w:val="32"/>
          <w:highlight w:val="none"/>
          <w:lang w:val="en-US" w:eastAsia="zh-CN"/>
        </w:rPr>
        <w:t>18.</w:t>
      </w:r>
      <w:r>
        <w:rPr>
          <w:rStyle w:val="17"/>
          <w:rFonts w:hint="default" w:ascii="Times New Roman" w:hAnsi="Times New Roman" w:eastAsia="方正仿宋_GBK" w:cs="Times New Roman"/>
          <w:b w:val="0"/>
          <w:bCs w:val="0"/>
          <w:color w:val="auto"/>
          <w:sz w:val="32"/>
          <w:szCs w:val="32"/>
          <w:highlight w:val="none"/>
          <w:lang w:eastAsia="zh-CN"/>
        </w:rPr>
        <w:t>卫生健康支出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其他卫生健康支出</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其他卫生健康支出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：指其他用于卫生健康方面的支出。</w:t>
      </w:r>
    </w:p>
    <w:p>
      <w:pPr>
        <w:pStyle w:val="2"/>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both"/>
        <w:textAlignment w:val="auto"/>
        <w:rPr>
          <w:rStyle w:val="17"/>
          <w:rFonts w:hint="default" w:ascii="Times New Roman" w:hAnsi="Times New Roman" w:eastAsia="方正仿宋_GBK" w:cs="Times New Roman"/>
          <w:b w:val="0"/>
          <w:bCs w:val="0"/>
          <w:color w:val="auto"/>
          <w:kern w:val="2"/>
          <w:sz w:val="32"/>
          <w:szCs w:val="32"/>
          <w:highlight w:val="none"/>
          <w:lang w:val="en-US" w:eastAsia="zh-CN" w:bidi="ar-SA"/>
        </w:rPr>
      </w:pPr>
      <w:r>
        <w:rPr>
          <w:rStyle w:val="17"/>
          <w:rFonts w:hint="default" w:ascii="Times New Roman" w:hAnsi="Times New Roman" w:eastAsia="方正仿宋_GBK" w:cs="Times New Roman"/>
          <w:b w:val="0"/>
          <w:bCs w:val="0"/>
          <w:color w:val="auto"/>
          <w:kern w:val="2"/>
          <w:sz w:val="32"/>
          <w:szCs w:val="32"/>
          <w:highlight w:val="none"/>
          <w:lang w:val="en-US" w:eastAsia="zh-CN" w:bidi="ar-SA"/>
        </w:rPr>
        <w:t>19.资源勘探工业信息等支出（类）其他资源勘探工业信息等支出（款）其他资源勘探工业信息等支出（项）：指其他用于资源勘探工业信息等方面的支出。</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Style w:val="17"/>
          <w:rFonts w:hint="default" w:ascii="Times New Roman" w:hAnsi="Times New Roman" w:eastAsia="方正仿宋_GBK" w:cs="Times New Roman"/>
          <w:b w:val="0"/>
          <w:bCs w:val="0"/>
          <w:sz w:val="32"/>
          <w:szCs w:val="32"/>
        </w:rPr>
      </w:pPr>
      <w:r>
        <w:rPr>
          <w:rStyle w:val="17"/>
          <w:rFonts w:hint="default" w:ascii="Times New Roman" w:hAnsi="Times New Roman" w:eastAsia="方正仿宋_GBK" w:cs="Times New Roman"/>
          <w:b w:val="0"/>
          <w:bCs w:val="0"/>
          <w:color w:val="auto"/>
          <w:kern w:val="2"/>
          <w:sz w:val="32"/>
          <w:szCs w:val="32"/>
          <w:highlight w:val="none"/>
          <w:lang w:val="en-US" w:eastAsia="zh-CN" w:bidi="ar-SA"/>
        </w:rPr>
        <w:t>20.</w:t>
      </w:r>
      <w:r>
        <w:rPr>
          <w:rStyle w:val="17"/>
          <w:rFonts w:hint="default" w:ascii="Times New Roman" w:hAnsi="Times New Roman" w:eastAsia="方正仿宋_GBK" w:cs="Times New Roman"/>
          <w:b w:val="0"/>
          <w:bCs w:val="0"/>
          <w:color w:val="auto"/>
          <w:sz w:val="32"/>
          <w:szCs w:val="32"/>
          <w:highlight w:val="none"/>
          <w:lang w:eastAsia="zh-CN"/>
        </w:rPr>
        <w:t>住房保障支出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住房改革支出</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住房公积金</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Style w:val="17"/>
          <w:rFonts w:hint="default" w:ascii="Times New Roman" w:hAnsi="Times New Roman" w:eastAsia="方正仿宋_GBK" w:cs="Times New Roman"/>
          <w:b w:val="0"/>
          <w:bCs w:val="0"/>
          <w:sz w:val="32"/>
          <w:szCs w:val="32"/>
        </w:rPr>
      </w:pPr>
      <w:r>
        <w:rPr>
          <w:rStyle w:val="17"/>
          <w:rFonts w:hint="default" w:ascii="Times New Roman" w:hAnsi="Times New Roman" w:eastAsia="方正仿宋_GBK" w:cs="Times New Roman"/>
          <w:b w:val="0"/>
          <w:bCs w:val="0"/>
          <w:color w:val="auto"/>
          <w:kern w:val="2"/>
          <w:sz w:val="32"/>
          <w:szCs w:val="32"/>
          <w:highlight w:val="none"/>
          <w:lang w:val="en-US" w:eastAsia="zh-CN" w:bidi="ar-SA"/>
        </w:rPr>
        <w:t>2</w:t>
      </w:r>
      <w:r>
        <w:rPr>
          <w:rStyle w:val="17"/>
          <w:rFonts w:hint="eastAsia" w:eastAsia="方正仿宋_GBK" w:cs="Times New Roman"/>
          <w:b w:val="0"/>
          <w:bCs w:val="0"/>
          <w:color w:val="auto"/>
          <w:kern w:val="2"/>
          <w:sz w:val="32"/>
          <w:szCs w:val="32"/>
          <w:highlight w:val="none"/>
          <w:lang w:val="en-US" w:eastAsia="zh-CN" w:bidi="ar-SA"/>
        </w:rPr>
        <w:t>1</w:t>
      </w:r>
      <w:r>
        <w:rPr>
          <w:rStyle w:val="17"/>
          <w:rFonts w:hint="default" w:ascii="Times New Roman" w:hAnsi="Times New Roman" w:eastAsia="方正仿宋_GBK" w:cs="Times New Roman"/>
          <w:b w:val="0"/>
          <w:bCs w:val="0"/>
          <w:color w:val="auto"/>
          <w:kern w:val="2"/>
          <w:sz w:val="32"/>
          <w:szCs w:val="32"/>
          <w:highlight w:val="none"/>
          <w:lang w:val="en-US" w:eastAsia="zh-CN" w:bidi="ar-SA"/>
        </w:rPr>
        <w:t>.</w:t>
      </w:r>
      <w:r>
        <w:rPr>
          <w:rStyle w:val="17"/>
          <w:rFonts w:hint="eastAsia" w:ascii="Times New Roman" w:hAnsi="Times New Roman" w:eastAsia="方正仿宋_GBK" w:cs="Times New Roman"/>
          <w:b w:val="0"/>
          <w:bCs w:val="0"/>
          <w:color w:val="auto"/>
          <w:sz w:val="32"/>
          <w:szCs w:val="32"/>
          <w:highlight w:val="none"/>
          <w:lang w:eastAsia="zh-CN"/>
        </w:rPr>
        <w:t>其他</w:t>
      </w:r>
      <w:r>
        <w:rPr>
          <w:rStyle w:val="17"/>
          <w:rFonts w:hint="default" w:ascii="Times New Roman" w:hAnsi="Times New Roman" w:eastAsia="方正仿宋_GBK" w:cs="Times New Roman"/>
          <w:b w:val="0"/>
          <w:bCs w:val="0"/>
          <w:color w:val="auto"/>
          <w:sz w:val="32"/>
          <w:szCs w:val="32"/>
          <w:highlight w:val="none"/>
          <w:lang w:eastAsia="zh-CN"/>
        </w:rPr>
        <w:t>支出</w:t>
      </w:r>
      <w:r>
        <w:rPr>
          <w:rStyle w:val="17"/>
          <w:rFonts w:hint="default" w:ascii="Times New Roman" w:hAnsi="Times New Roman" w:eastAsia="方正仿宋_GBK" w:cs="Times New Roman"/>
          <w:b w:val="0"/>
          <w:bCs w:val="0"/>
          <w:color w:val="auto"/>
          <w:sz w:val="32"/>
          <w:szCs w:val="32"/>
          <w:highlight w:val="none"/>
        </w:rPr>
        <w:t>（类）</w:t>
      </w:r>
      <w:r>
        <w:rPr>
          <w:rStyle w:val="17"/>
          <w:rFonts w:hint="default" w:ascii="Times New Roman" w:hAnsi="Times New Roman" w:eastAsia="方正仿宋_GBK" w:cs="Times New Roman"/>
          <w:b w:val="0"/>
          <w:bCs w:val="0"/>
          <w:color w:val="auto"/>
          <w:sz w:val="32"/>
          <w:szCs w:val="32"/>
          <w:highlight w:val="none"/>
          <w:lang w:eastAsia="zh-CN"/>
        </w:rPr>
        <w:t>其他政府性基金及对应专项债务收入安排的支出</w:t>
      </w:r>
      <w:r>
        <w:rPr>
          <w:rStyle w:val="17"/>
          <w:rFonts w:hint="default" w:ascii="Times New Roman" w:hAnsi="Times New Roman" w:eastAsia="方正仿宋_GBK" w:cs="Times New Roman"/>
          <w:b w:val="0"/>
          <w:bCs w:val="0"/>
          <w:color w:val="auto"/>
          <w:sz w:val="32"/>
          <w:szCs w:val="32"/>
          <w:highlight w:val="none"/>
        </w:rPr>
        <w:t>（款）</w:t>
      </w:r>
      <w:r>
        <w:rPr>
          <w:rStyle w:val="17"/>
          <w:rFonts w:hint="default" w:ascii="Times New Roman" w:hAnsi="Times New Roman" w:eastAsia="方正仿宋_GBK" w:cs="Times New Roman"/>
          <w:b w:val="0"/>
          <w:bCs w:val="0"/>
          <w:color w:val="auto"/>
          <w:sz w:val="32"/>
          <w:szCs w:val="32"/>
          <w:highlight w:val="none"/>
          <w:lang w:eastAsia="zh-CN"/>
        </w:rPr>
        <w:t>其他政府性基金债务收入安排的支出</w:t>
      </w:r>
      <w:r>
        <w:rPr>
          <w:rStyle w:val="17"/>
          <w:rFonts w:hint="default" w:ascii="Times New Roman" w:hAnsi="Times New Roman" w:eastAsia="方正仿宋_GBK" w:cs="Times New Roman"/>
          <w:b w:val="0"/>
          <w:bCs w:val="0"/>
          <w:color w:val="auto"/>
          <w:sz w:val="32"/>
          <w:szCs w:val="32"/>
          <w:highlight w:val="none"/>
        </w:rPr>
        <w:t>（项）</w:t>
      </w:r>
      <w:r>
        <w:rPr>
          <w:rStyle w:val="17"/>
          <w:rFonts w:hint="default" w:ascii="Times New Roman" w:hAnsi="Times New Roman" w:eastAsia="方正仿宋_GBK" w:cs="Times New Roman"/>
          <w:b w:val="0"/>
          <w:bCs w:val="0"/>
          <w:color w:val="auto"/>
          <w:sz w:val="32"/>
          <w:szCs w:val="32"/>
          <w:highlight w:val="none"/>
          <w:lang w:eastAsia="zh-CN"/>
        </w:rPr>
        <w:t>：</w:t>
      </w:r>
      <w:r>
        <w:rPr>
          <w:rStyle w:val="17"/>
          <w:rFonts w:hint="default" w:ascii="Times New Roman" w:hAnsi="Times New Roman" w:eastAsia="方正仿宋_GBK" w:cs="Times New Roman"/>
          <w:b w:val="0"/>
          <w:bCs w:val="0"/>
          <w:sz w:val="32"/>
          <w:szCs w:val="32"/>
        </w:rPr>
        <w:t>指</w:t>
      </w:r>
      <w:r>
        <w:rPr>
          <w:rStyle w:val="17"/>
          <w:rFonts w:hint="eastAsia" w:ascii="Times New Roman" w:hAnsi="Times New Roman" w:eastAsia="方正仿宋_GBK" w:cs="Times New Roman"/>
          <w:b w:val="0"/>
          <w:bCs w:val="0"/>
          <w:sz w:val="32"/>
          <w:szCs w:val="32"/>
          <w:lang w:eastAsia="zh-CN"/>
        </w:rPr>
        <w:t>其他政府性基金对应专项债务收入安排的支出。</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w:t>
      </w:r>
      <w:r>
        <w:rPr>
          <w:rFonts w:hint="eastAsia" w:eastAsia="方正仿宋_GBK" w:cs="Times New Roman"/>
          <w:color w:val="auto"/>
          <w:kern w:val="2"/>
          <w:sz w:val="32"/>
          <w:szCs w:val="32"/>
          <w:highlight w:val="none"/>
          <w:lang w:val="en-US" w:eastAsia="zh-CN" w:bidi="ar-SA"/>
        </w:rPr>
        <w:t>2</w:t>
      </w:r>
      <w:r>
        <w:rPr>
          <w:rFonts w:hint="default" w:ascii="Times New Roman" w:hAnsi="Times New Roman" w:eastAsia="方正仿宋_GBK" w:cs="Times New Roman"/>
          <w:color w:val="auto"/>
          <w:kern w:val="2"/>
          <w:sz w:val="32"/>
          <w:szCs w:val="32"/>
          <w:highlight w:val="none"/>
          <w:lang w:val="en-US" w:eastAsia="zh-CN" w:bidi="ar-SA"/>
        </w:rPr>
        <w:t>.基本支出：指为保障机构正常运转、完成日常工作任务而发生的人员支出和公用支出。</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w:t>
      </w:r>
      <w:r>
        <w:rPr>
          <w:rFonts w:hint="eastAsia"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w:t>
      </w:r>
      <w:r>
        <w:rPr>
          <w:rFonts w:hint="eastAsia"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三公”经费：指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keepNext w:val="0"/>
        <w:keepLines w:val="0"/>
        <w:pageBreakBefore w:val="0"/>
        <w:widowControl w:val="0"/>
        <w:kinsoku/>
        <w:wordWrap/>
        <w:overflowPunct/>
        <w:topLinePunct w:val="0"/>
        <w:autoSpaceDE/>
        <w:autoSpaceDN/>
        <w:bidi w:val="0"/>
        <w:adjustRightInd/>
        <w:spacing w:line="600" w:lineRule="exact"/>
        <w:ind w:firstLine="640" w:firstLineChars="200"/>
        <w:jc w:val="both"/>
        <w:textAlignment w:val="auto"/>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w:t>
      </w:r>
      <w:r>
        <w:rPr>
          <w:rFonts w:hint="eastAsia"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pacing w:line="600" w:lineRule="exact"/>
        <w:jc w:val="center"/>
        <w:textAlignment w:val="auto"/>
        <w:outlineLvl w:val="0"/>
        <w:rPr>
          <w:rStyle w:val="28"/>
          <w:rFonts w:hint="eastAsia" w:ascii="Times New Roman" w:hAnsi="Times New Roman" w:eastAsia="黑体"/>
          <w:b w:val="0"/>
          <w:color w:val="auto"/>
          <w:highlight w:val="none"/>
          <w:lang w:eastAsia="zh-CN"/>
        </w:rPr>
      </w:pPr>
      <w:bookmarkStart w:id="62" w:name="_Toc15377226"/>
      <w:r>
        <w:rPr>
          <w:rFonts w:hint="default" w:ascii="Times New Roman" w:hAnsi="Times New Roman" w:eastAsia="方正仿宋_GBK" w:cs="Times New Roman"/>
          <w:color w:val="auto"/>
          <w:kern w:val="2"/>
          <w:sz w:val="32"/>
          <w:szCs w:val="32"/>
          <w:highlight w:val="none"/>
          <w:lang w:val="en-US" w:eastAsia="zh-CN" w:bidi="ar-SA"/>
        </w:rPr>
        <w:br w:type="page"/>
      </w:r>
      <w:bookmarkStart w:id="63" w:name="_Toc14302"/>
      <w:bookmarkStart w:id="64" w:name="_Toc15396614"/>
      <w:r>
        <w:rPr>
          <w:rFonts w:hint="eastAsia" w:ascii="方正小标宋_GBK" w:hAnsi="方正小标宋_GBK" w:eastAsia="方正小标宋_GBK" w:cs="方正小标宋_GBK"/>
          <w:color w:val="auto"/>
          <w:sz w:val="44"/>
          <w:szCs w:val="44"/>
          <w:highlight w:val="none"/>
        </w:rPr>
        <w:t>第四部分</w:t>
      </w:r>
      <w:r>
        <w:rPr>
          <w:rFonts w:hint="eastAsia" w:ascii="方正小标宋_GBK" w:hAnsi="方正小标宋_GBK" w:eastAsia="方正小标宋_GBK" w:cs="方正小标宋_GBK"/>
          <w:color w:val="auto"/>
          <w:sz w:val="44"/>
          <w:szCs w:val="44"/>
          <w:highlight w:val="none"/>
          <w:lang w:val="en-US" w:eastAsia="zh-CN"/>
        </w:rPr>
        <w:t xml:space="preserve"> </w:t>
      </w:r>
      <w:r>
        <w:rPr>
          <w:rFonts w:hint="eastAsia" w:ascii="方正小标宋_GBK" w:hAnsi="方正小标宋_GBK" w:eastAsia="方正小标宋_GBK" w:cs="方正小标宋_GBK"/>
          <w:color w:val="auto"/>
          <w:sz w:val="44"/>
          <w:szCs w:val="44"/>
          <w:highlight w:val="none"/>
        </w:rPr>
        <w:t xml:space="preserve"> 附件</w:t>
      </w:r>
      <w:bookmarkEnd w:id="63"/>
      <w:bookmarkEnd w:id="64"/>
    </w:p>
    <w:bookmarkEnd w:id="62"/>
    <w:p>
      <w:pPr>
        <w:keepNext w:val="0"/>
        <w:keepLines w:val="0"/>
        <w:pageBreakBefore w:val="0"/>
        <w:widowControl w:val="0"/>
        <w:kinsoku/>
        <w:wordWrap/>
        <w:overflowPunct/>
        <w:topLinePunct w:val="0"/>
        <w:autoSpaceDE/>
        <w:autoSpaceDN/>
        <w:bidi w:val="0"/>
        <w:spacing w:line="600" w:lineRule="exact"/>
        <w:ind w:left="0" w:leftChars="0" w:firstLine="660" w:firstLineChars="200"/>
        <w:jc w:val="both"/>
        <w:textAlignment w:val="auto"/>
        <w:outlineLvl w:val="9"/>
        <w:rPr>
          <w:rFonts w:hint="default" w:ascii="Times New Roman" w:hAnsi="Times New Roman" w:eastAsia="方正仿宋_GBK" w:cs="Times New Roman"/>
          <w:sz w:val="33"/>
          <w:szCs w:val="33"/>
          <w:highlight w:val="none"/>
          <w:lang w:val="en-US" w:eastAsia="zh-CN"/>
        </w:rPr>
      </w:pPr>
      <w:bookmarkStart w:id="65" w:name="_Toc15396619"/>
    </w:p>
    <w:p>
      <w:pPr>
        <w:keepNext w:val="0"/>
        <w:keepLines w:val="0"/>
        <w:pageBreakBefore w:val="0"/>
        <w:widowControl w:val="0"/>
        <w:kinsoku/>
        <w:wordWrap/>
        <w:overflowPunct/>
        <w:topLinePunct w:val="0"/>
        <w:autoSpaceDE/>
        <w:autoSpaceDN/>
        <w:bidi w:val="0"/>
        <w:spacing w:line="600" w:lineRule="exact"/>
        <w:ind w:left="0" w:leftChars="0" w:firstLine="660" w:firstLineChars="200"/>
        <w:jc w:val="both"/>
        <w:textAlignment w:val="auto"/>
        <w:outlineLvl w:val="9"/>
        <w:rPr>
          <w:rFonts w:hint="default" w:ascii="Times New Roman" w:hAnsi="Times New Roman" w:eastAsia="方正仿宋_GBK" w:cs="Times New Roman"/>
          <w:b w:val="0"/>
          <w:bCs w:val="0"/>
          <w:kern w:val="0"/>
          <w:position w:val="0"/>
          <w:sz w:val="33"/>
          <w:szCs w:val="33"/>
          <w:highlight w:val="none"/>
          <w:lang w:val="en-US" w:eastAsia="zh-CN" w:bidi="ar-SA"/>
        </w:rPr>
      </w:pPr>
      <w:r>
        <w:rPr>
          <w:rFonts w:hint="default" w:ascii="Times New Roman" w:hAnsi="Times New Roman" w:eastAsia="方正仿宋_GBK" w:cs="Times New Roman"/>
          <w:sz w:val="33"/>
          <w:szCs w:val="33"/>
          <w:highlight w:val="none"/>
          <w:lang w:val="en-US" w:eastAsia="zh-CN"/>
        </w:rPr>
        <w:t>部门预算项目支出绩效自评表（202</w:t>
      </w:r>
      <w:r>
        <w:rPr>
          <w:rFonts w:hint="eastAsia" w:ascii="Times New Roman" w:hAnsi="Times New Roman" w:eastAsia="方正仿宋_GBK" w:cs="Times New Roman"/>
          <w:sz w:val="33"/>
          <w:szCs w:val="33"/>
          <w:highlight w:val="none"/>
          <w:lang w:val="en-US" w:eastAsia="zh-CN"/>
        </w:rPr>
        <w:t>5</w:t>
      </w:r>
      <w:r>
        <w:rPr>
          <w:rFonts w:hint="default" w:ascii="Times New Roman" w:hAnsi="Times New Roman" w:eastAsia="方正仿宋_GBK" w:cs="Times New Roman"/>
          <w:sz w:val="33"/>
          <w:szCs w:val="33"/>
          <w:highlight w:val="none"/>
          <w:lang w:val="en-US" w:eastAsia="zh-CN"/>
        </w:rPr>
        <w:t>年度）见附件。</w:t>
      </w:r>
    </w:p>
    <w:p>
      <w:pPr>
        <w:rPr>
          <w:rFonts w:hint="eastAsia"/>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rPr>
          <w:rFonts w:hint="default" w:ascii="Times New Roman" w:hAnsi="Times New Roman" w:eastAsia="方正仿宋_GBK"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outlineLvl w:val="0"/>
        <w:rPr>
          <w:rFonts w:hint="eastAsia" w:ascii="方正小标宋_GBK" w:hAnsi="方正小标宋_GBK" w:eastAsia="方正小标宋_GBK" w:cs="方正小标宋_GBK"/>
          <w:b w:val="0"/>
          <w:color w:val="auto"/>
          <w:sz w:val="44"/>
          <w:szCs w:val="44"/>
          <w:highlight w:val="none"/>
        </w:rPr>
      </w:pPr>
      <w:bookmarkStart w:id="66" w:name="_Toc7950"/>
      <w:bookmarkStart w:id="67" w:name="_Toc20505"/>
      <w:r>
        <w:rPr>
          <w:rFonts w:hint="eastAsia" w:ascii="方正小标宋_GBK" w:hAnsi="方正小标宋_GBK" w:eastAsia="方正小标宋_GBK" w:cs="方正小标宋_GBK"/>
          <w:color w:val="auto"/>
          <w:sz w:val="44"/>
          <w:szCs w:val="44"/>
          <w:highlight w:val="none"/>
        </w:rPr>
        <w:t>第</w:t>
      </w:r>
      <w:r>
        <w:rPr>
          <w:rStyle w:val="28"/>
          <w:rFonts w:hint="eastAsia" w:ascii="方正小标宋_GBK" w:hAnsi="方正小标宋_GBK" w:eastAsia="方正小标宋_GBK" w:cs="方正小标宋_GBK"/>
          <w:b w:val="0"/>
          <w:color w:val="auto"/>
          <w:sz w:val="44"/>
          <w:szCs w:val="44"/>
          <w:highlight w:val="none"/>
        </w:rPr>
        <w:t xml:space="preserve">五部分 </w:t>
      </w:r>
      <w:r>
        <w:rPr>
          <w:rStyle w:val="28"/>
          <w:rFonts w:hint="eastAsia" w:ascii="方正小标宋_GBK" w:hAnsi="方正小标宋_GBK" w:eastAsia="方正小标宋_GBK" w:cs="方正小标宋_GBK"/>
          <w:b w:val="0"/>
          <w:color w:val="auto"/>
          <w:sz w:val="44"/>
          <w:szCs w:val="44"/>
          <w:highlight w:val="none"/>
          <w:lang w:val="en-US" w:eastAsia="zh-CN"/>
        </w:rPr>
        <w:t xml:space="preserve">  </w:t>
      </w:r>
      <w:r>
        <w:rPr>
          <w:rStyle w:val="28"/>
          <w:rFonts w:hint="eastAsia" w:ascii="方正小标宋_GBK" w:hAnsi="方正小标宋_GBK" w:eastAsia="方正小标宋_GBK" w:cs="方正小标宋_GBK"/>
          <w:b w:val="0"/>
          <w:color w:val="auto"/>
          <w:sz w:val="44"/>
          <w:szCs w:val="44"/>
          <w:highlight w:val="none"/>
        </w:rPr>
        <w:t>附表</w:t>
      </w:r>
      <w:bookmarkEnd w:id="66"/>
      <w:bookmarkEnd w:id="67"/>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0" w:firstLineChars="0"/>
        <w:jc w:val="both"/>
        <w:textAlignment w:val="auto"/>
        <w:rPr>
          <w:rFonts w:hint="default" w:ascii="Times New Roman" w:hAnsi="Times New Roman" w:eastAsia="方正仿宋_GBK" w:cs="Times New Roman"/>
          <w:color w:val="auto"/>
          <w:sz w:val="32"/>
          <w:szCs w:val="32"/>
          <w:highlight w:val="none"/>
        </w:rPr>
      </w:pPr>
    </w:p>
    <w:p>
      <w:pPr>
        <w:rPr>
          <w:rFonts w:hint="default"/>
        </w:rPr>
      </w:pPr>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68" w:name="_Toc17998"/>
      <w:r>
        <w:rPr>
          <w:rFonts w:hint="eastAsia" w:ascii="方正黑体_GBK" w:hAnsi="方正黑体_GBK" w:eastAsia="方正黑体_GBK" w:cs="方正黑体_GBK"/>
          <w:color w:val="auto"/>
          <w:sz w:val="32"/>
          <w:szCs w:val="32"/>
          <w:highlight w:val="none"/>
        </w:rPr>
        <w:t>一、收入支出决算总表</w:t>
      </w:r>
      <w:bookmarkEnd w:id="65"/>
      <w:bookmarkEnd w:id="68"/>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69" w:name="_Toc15396620"/>
      <w:bookmarkStart w:id="70" w:name="_Toc22129"/>
      <w:r>
        <w:rPr>
          <w:rFonts w:hint="eastAsia" w:ascii="方正黑体_GBK" w:hAnsi="方正黑体_GBK" w:eastAsia="方正黑体_GBK" w:cs="方正黑体_GBK"/>
          <w:color w:val="auto"/>
          <w:sz w:val="32"/>
          <w:szCs w:val="32"/>
          <w:highlight w:val="none"/>
        </w:rPr>
        <w:t>二、收入决算表</w:t>
      </w:r>
      <w:bookmarkEnd w:id="69"/>
      <w:bookmarkEnd w:id="70"/>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71" w:name="_Toc32629"/>
      <w:bookmarkStart w:id="72" w:name="_Toc15396621"/>
      <w:r>
        <w:rPr>
          <w:rFonts w:hint="eastAsia" w:ascii="方正黑体_GBK" w:hAnsi="方正黑体_GBK" w:eastAsia="方正黑体_GBK" w:cs="方正黑体_GBK"/>
          <w:color w:val="auto"/>
          <w:sz w:val="32"/>
          <w:szCs w:val="32"/>
          <w:highlight w:val="none"/>
        </w:rPr>
        <w:t>三、支出决算表</w:t>
      </w:r>
      <w:bookmarkEnd w:id="71"/>
      <w:bookmarkEnd w:id="72"/>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73" w:name="_Toc15396622"/>
      <w:bookmarkStart w:id="74" w:name="_Toc8974"/>
      <w:r>
        <w:rPr>
          <w:rFonts w:hint="eastAsia" w:ascii="方正黑体_GBK" w:hAnsi="方正黑体_GBK" w:eastAsia="方正黑体_GBK" w:cs="方正黑体_GBK"/>
          <w:color w:val="auto"/>
          <w:sz w:val="32"/>
          <w:szCs w:val="32"/>
          <w:highlight w:val="none"/>
        </w:rPr>
        <w:t>四、财政拨款收入支出决算总表</w:t>
      </w:r>
      <w:bookmarkEnd w:id="73"/>
      <w:bookmarkEnd w:id="74"/>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75" w:name="_Toc15396623"/>
      <w:bookmarkStart w:id="76" w:name="_Toc7042"/>
      <w:r>
        <w:rPr>
          <w:rFonts w:hint="eastAsia" w:ascii="方正黑体_GBK" w:hAnsi="方正黑体_GBK" w:eastAsia="方正黑体_GBK" w:cs="方正黑体_GBK"/>
          <w:color w:val="auto"/>
          <w:sz w:val="32"/>
          <w:szCs w:val="32"/>
          <w:highlight w:val="none"/>
        </w:rPr>
        <w:t>五、财政拨款支出决算明细表</w:t>
      </w:r>
      <w:bookmarkEnd w:id="75"/>
      <w:bookmarkEnd w:id="76"/>
      <w:bookmarkStart w:id="77" w:name="_Toc15396624"/>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78" w:name="_Toc2780"/>
      <w:r>
        <w:rPr>
          <w:rFonts w:hint="eastAsia" w:ascii="方正黑体_GBK" w:hAnsi="方正黑体_GBK" w:eastAsia="方正黑体_GBK" w:cs="方正黑体_GBK"/>
          <w:color w:val="auto"/>
          <w:sz w:val="32"/>
          <w:szCs w:val="32"/>
          <w:highlight w:val="none"/>
        </w:rPr>
        <w:t>六、一般公共预算财政拨款支出决算表</w:t>
      </w:r>
      <w:bookmarkEnd w:id="77"/>
      <w:bookmarkEnd w:id="78"/>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79" w:name="_Toc15396625"/>
      <w:bookmarkStart w:id="80" w:name="_Toc27482"/>
      <w:r>
        <w:rPr>
          <w:rFonts w:hint="eastAsia" w:ascii="方正黑体_GBK" w:hAnsi="方正黑体_GBK" w:eastAsia="方正黑体_GBK" w:cs="方正黑体_GBK"/>
          <w:color w:val="auto"/>
          <w:sz w:val="32"/>
          <w:szCs w:val="32"/>
          <w:highlight w:val="none"/>
        </w:rPr>
        <w:t>七、一般公共预算财政拨款支出决算明细表</w:t>
      </w:r>
      <w:bookmarkEnd w:id="79"/>
      <w:bookmarkEnd w:id="80"/>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81" w:name="_Toc21547"/>
      <w:bookmarkStart w:id="82" w:name="_Toc15396626"/>
      <w:r>
        <w:rPr>
          <w:rFonts w:hint="eastAsia" w:ascii="方正黑体_GBK" w:hAnsi="方正黑体_GBK" w:eastAsia="方正黑体_GBK" w:cs="方正黑体_GBK"/>
          <w:color w:val="auto"/>
          <w:sz w:val="32"/>
          <w:szCs w:val="32"/>
          <w:highlight w:val="none"/>
        </w:rPr>
        <w:t>八、一般公共预算财政拨款基本支出决算表</w:t>
      </w:r>
      <w:bookmarkEnd w:id="81"/>
      <w:bookmarkEnd w:id="82"/>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83" w:name="_Toc30986"/>
      <w:bookmarkStart w:id="84" w:name="_Toc15396627"/>
      <w:r>
        <w:rPr>
          <w:rFonts w:hint="eastAsia" w:ascii="方正黑体_GBK" w:hAnsi="方正黑体_GBK" w:eastAsia="方正黑体_GBK" w:cs="方正黑体_GBK"/>
          <w:color w:val="auto"/>
          <w:sz w:val="32"/>
          <w:szCs w:val="32"/>
          <w:highlight w:val="none"/>
        </w:rPr>
        <w:t>九、一般公共预算财政拨款项目支出决算表</w:t>
      </w:r>
      <w:bookmarkEnd w:id="83"/>
      <w:bookmarkEnd w:id="84"/>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85" w:name="_Toc15396628"/>
      <w:bookmarkStart w:id="86" w:name="_Toc12773"/>
      <w:r>
        <w:rPr>
          <w:rFonts w:hint="eastAsia" w:ascii="方正黑体_GBK" w:hAnsi="方正黑体_GBK" w:eastAsia="方正黑体_GBK" w:cs="方正黑体_GBK"/>
          <w:color w:val="auto"/>
          <w:sz w:val="32"/>
          <w:szCs w:val="32"/>
          <w:highlight w:val="none"/>
        </w:rPr>
        <w:t>十、</w:t>
      </w:r>
      <w:bookmarkEnd w:id="85"/>
      <w:r>
        <w:rPr>
          <w:rFonts w:hint="eastAsia" w:ascii="方正黑体_GBK" w:hAnsi="方正黑体_GBK" w:eastAsia="方正黑体_GBK" w:cs="方正黑体_GBK"/>
          <w:color w:val="auto"/>
          <w:sz w:val="32"/>
          <w:szCs w:val="32"/>
          <w:highlight w:val="none"/>
        </w:rPr>
        <w:t>政府性基金预算财政拨款收入支出决算表</w:t>
      </w:r>
      <w:bookmarkEnd w:id="86"/>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87" w:name="_Toc15396629"/>
      <w:bookmarkStart w:id="88" w:name="_Toc157"/>
      <w:r>
        <w:rPr>
          <w:rFonts w:hint="eastAsia" w:ascii="方正黑体_GBK" w:hAnsi="方正黑体_GBK" w:eastAsia="方正黑体_GBK" w:cs="方正黑体_GBK"/>
          <w:color w:val="auto"/>
          <w:sz w:val="32"/>
          <w:szCs w:val="32"/>
          <w:highlight w:val="none"/>
        </w:rPr>
        <w:t>十一、</w:t>
      </w:r>
      <w:bookmarkEnd w:id="87"/>
      <w:r>
        <w:rPr>
          <w:rFonts w:hint="eastAsia" w:ascii="方正黑体_GBK" w:hAnsi="方正黑体_GBK" w:eastAsia="方正黑体_GBK" w:cs="方正黑体_GBK"/>
          <w:color w:val="auto"/>
          <w:sz w:val="32"/>
          <w:szCs w:val="32"/>
          <w:highlight w:val="none"/>
        </w:rPr>
        <w:t>国有资本经营预算</w:t>
      </w:r>
      <w:r>
        <w:rPr>
          <w:rFonts w:hint="eastAsia" w:ascii="方正黑体_GBK" w:hAnsi="方正黑体_GBK" w:eastAsia="方正黑体_GBK" w:cs="方正黑体_GBK"/>
          <w:color w:val="auto"/>
          <w:sz w:val="32"/>
          <w:szCs w:val="32"/>
          <w:highlight w:val="none"/>
          <w:lang w:eastAsia="zh-CN"/>
        </w:rPr>
        <w:t>财政拨款收入</w:t>
      </w:r>
      <w:r>
        <w:rPr>
          <w:rFonts w:hint="eastAsia" w:ascii="方正黑体_GBK" w:hAnsi="方正黑体_GBK" w:eastAsia="方正黑体_GBK" w:cs="方正黑体_GBK"/>
          <w:color w:val="auto"/>
          <w:sz w:val="32"/>
          <w:szCs w:val="32"/>
          <w:highlight w:val="none"/>
        </w:rPr>
        <w:t>支出决算表</w:t>
      </w:r>
      <w:bookmarkEnd w:id="88"/>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color w:val="auto"/>
          <w:sz w:val="32"/>
          <w:szCs w:val="32"/>
          <w:highlight w:val="none"/>
        </w:rPr>
      </w:pPr>
      <w:bookmarkStart w:id="89" w:name="_Toc15396630"/>
      <w:bookmarkStart w:id="90" w:name="_Toc6541"/>
      <w:r>
        <w:rPr>
          <w:rFonts w:hint="eastAsia" w:ascii="方正黑体_GBK" w:hAnsi="方正黑体_GBK" w:eastAsia="方正黑体_GBK" w:cs="方正黑体_GBK"/>
          <w:color w:val="auto"/>
          <w:sz w:val="32"/>
          <w:szCs w:val="32"/>
          <w:highlight w:val="none"/>
        </w:rPr>
        <w:t>十二、</w:t>
      </w:r>
      <w:bookmarkEnd w:id="89"/>
      <w:r>
        <w:rPr>
          <w:rFonts w:hint="eastAsia" w:ascii="方正黑体_GBK" w:hAnsi="方正黑体_GBK" w:eastAsia="方正黑体_GBK" w:cs="方正黑体_GBK"/>
          <w:color w:val="auto"/>
          <w:sz w:val="32"/>
          <w:szCs w:val="32"/>
          <w:highlight w:val="none"/>
          <w:lang w:eastAsia="zh-CN"/>
        </w:rPr>
        <w:t>国有资本经营预算财政拨款支出决算表</w:t>
      </w:r>
      <w:bookmarkEnd w:id="90"/>
    </w:p>
    <w:p>
      <w:pPr>
        <w:pStyle w:val="14"/>
        <w:keepNext w:val="0"/>
        <w:keepLines w:val="0"/>
        <w:pageBreakBefore w:val="0"/>
        <w:widowControl w:val="0"/>
        <w:kinsoku/>
        <w:wordWrap/>
        <w:overflowPunct/>
        <w:topLinePunct w:val="0"/>
        <w:autoSpaceDE/>
        <w:autoSpaceDN/>
        <w:bidi w:val="0"/>
        <w:adjustRightInd w:val="0"/>
        <w:snapToGrid w:val="0"/>
        <w:spacing w:line="600" w:lineRule="exact"/>
        <w:ind w:left="0" w:leftChars="0" w:firstLine="640" w:firstLineChars="200"/>
        <w:jc w:val="both"/>
        <w:textAlignment w:val="auto"/>
        <w:outlineLvl w:val="1"/>
        <w:rPr>
          <w:rFonts w:hint="eastAsia" w:ascii="方正黑体_GBK" w:hAnsi="方正黑体_GBK" w:eastAsia="方正黑体_GBK" w:cs="方正黑体_GBK"/>
          <w:sz w:val="32"/>
          <w:szCs w:val="32"/>
          <w:lang w:eastAsia="zh-CN"/>
        </w:rPr>
      </w:pPr>
      <w:bookmarkStart w:id="91" w:name="_Toc15396631"/>
      <w:bookmarkStart w:id="92" w:name="_Toc11425"/>
      <w:r>
        <w:rPr>
          <w:rFonts w:hint="eastAsia" w:ascii="方正黑体_GBK" w:hAnsi="方正黑体_GBK" w:eastAsia="方正黑体_GBK" w:cs="方正黑体_GBK"/>
          <w:color w:val="auto"/>
          <w:sz w:val="32"/>
          <w:szCs w:val="32"/>
          <w:highlight w:val="none"/>
        </w:rPr>
        <w:t>十三、</w:t>
      </w:r>
      <w:bookmarkEnd w:id="91"/>
      <w:r>
        <w:rPr>
          <w:rFonts w:hint="eastAsia" w:ascii="方正黑体_GBK" w:hAnsi="方正黑体_GBK" w:eastAsia="方正黑体_GBK" w:cs="方正黑体_GBK"/>
          <w:color w:val="auto"/>
          <w:sz w:val="32"/>
          <w:szCs w:val="32"/>
          <w:highlight w:val="none"/>
          <w:lang w:eastAsia="zh-CN"/>
        </w:rPr>
        <w:t>财政拨款“三公”经费支出决算表</w:t>
      </w:r>
      <w:bookmarkEnd w:id="92"/>
    </w:p>
    <w:sectPr>
      <w:footerReference r:id="rId6" w:type="first"/>
      <w:footerReference r:id="rId5" w:type="default"/>
      <w:pgSz w:w="11906" w:h="16838"/>
      <w:pgMar w:top="1587" w:right="1531" w:bottom="1984" w:left="1474"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posOffset>2603500</wp:posOffset>
              </wp:positionH>
              <wp:positionV relativeFrom="paragraph">
                <wp:posOffset>0</wp:posOffset>
              </wp:positionV>
              <wp:extent cx="617855" cy="180340"/>
              <wp:effectExtent l="0" t="0" r="0" b="0"/>
              <wp:wrapNone/>
              <wp:docPr id="9" name="文本框 9"/>
              <wp:cNvGraphicFramePr/>
              <a:graphic xmlns:a="http://schemas.openxmlformats.org/drawingml/2006/main">
                <a:graphicData uri="http://schemas.microsoft.com/office/word/2010/wordprocessingShape">
                  <wps:wsp>
                    <wps:cNvSpPr txBox="true"/>
                    <wps:spPr>
                      <a:xfrm>
                        <a:off x="0" y="0"/>
                        <a:ext cx="617855" cy="1803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square" lIns="0" tIns="0" rIns="0" bIns="0" numCol="1" spcCol="0" rtlCol="0" fromWordArt="false" anchor="t" anchorCtr="false" forceAA="false" upright="false" compatLnSpc="true">
                      <a:noAutofit/>
                    </wps:bodyPr>
                  </wps:wsp>
                </a:graphicData>
              </a:graphic>
            </wp:anchor>
          </w:drawing>
        </mc:Choice>
        <mc:Fallback>
          <w:pict>
            <v:shape id="_x0000_s1026" o:spid="_x0000_s1026" o:spt="202" type="#_x0000_t202" style="position:absolute;left:0pt;margin-left:205pt;margin-top:0pt;height:14.2pt;width:48.65pt;mso-position-horizontal-relative:margin;z-index:251660288;mso-width-relative:page;mso-height-relative:page;" filled="f" stroked="f" coordsize="21600,21600" o:gfxdata="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FgAAAGRy&#10;cy9QSwECFAAUAAAACACHTuJANFhHJNcAAAAHAQAADwAAAAAAAAABACAAAAA4AAAAZHJzL2Rvd25y&#10;ZXYueG1sUEsBAhQAFAAAAAgAh07iQGdH4KgiAgAAKQQAAA4AAAAAAAAAAQAgAAAAPAEAAGRycy9l&#10;Mm9Eb2MueG1sUEsFBgAAAAAGAAYAWQEAANAFAAAAAA==&#10;">
              <v:fill on="f" focussize="0,0"/>
              <v:stroke on="f" weight="0.5pt"/>
              <v:imagedata o:title=""/>
              <o:lock v:ext="edit" aspectratio="f"/>
              <v:textbox inset="0mm,0mm,0mm,0mm">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MTkzODQ2NTc1MWI1YjYyYzlhZDIxMzI2NTRlNT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553237B"/>
    <w:rsid w:val="061E35DE"/>
    <w:rsid w:val="066E0107"/>
    <w:rsid w:val="072C54E4"/>
    <w:rsid w:val="07996F6E"/>
    <w:rsid w:val="07DFD8BA"/>
    <w:rsid w:val="08DB07E4"/>
    <w:rsid w:val="09867E8F"/>
    <w:rsid w:val="0A2032A3"/>
    <w:rsid w:val="0C6C4794"/>
    <w:rsid w:val="0CA8290A"/>
    <w:rsid w:val="0D35B1ED"/>
    <w:rsid w:val="0DE07E2B"/>
    <w:rsid w:val="0F98263C"/>
    <w:rsid w:val="101860EC"/>
    <w:rsid w:val="10C055FF"/>
    <w:rsid w:val="11772AA4"/>
    <w:rsid w:val="118107EC"/>
    <w:rsid w:val="12587B8A"/>
    <w:rsid w:val="12CC3D7D"/>
    <w:rsid w:val="13531F87"/>
    <w:rsid w:val="13957196"/>
    <w:rsid w:val="13D50BC4"/>
    <w:rsid w:val="14022904"/>
    <w:rsid w:val="150E6A0C"/>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0793F27"/>
    <w:rsid w:val="319F7F4E"/>
    <w:rsid w:val="321B2544"/>
    <w:rsid w:val="3304709D"/>
    <w:rsid w:val="34281836"/>
    <w:rsid w:val="348A4F89"/>
    <w:rsid w:val="349D6851"/>
    <w:rsid w:val="34E326BF"/>
    <w:rsid w:val="35BA6CAF"/>
    <w:rsid w:val="35D37231"/>
    <w:rsid w:val="36326C39"/>
    <w:rsid w:val="364D14C1"/>
    <w:rsid w:val="36AA5135"/>
    <w:rsid w:val="36BE0DA7"/>
    <w:rsid w:val="376B6AA6"/>
    <w:rsid w:val="376D39B2"/>
    <w:rsid w:val="37E16F03"/>
    <w:rsid w:val="37F53A3B"/>
    <w:rsid w:val="3823281C"/>
    <w:rsid w:val="389B6C89"/>
    <w:rsid w:val="38D469F0"/>
    <w:rsid w:val="39627CCD"/>
    <w:rsid w:val="397BAF1F"/>
    <w:rsid w:val="3AB79AF3"/>
    <w:rsid w:val="3B7EF35A"/>
    <w:rsid w:val="3B9FDB6C"/>
    <w:rsid w:val="3BA04B9F"/>
    <w:rsid w:val="3BF5BC2F"/>
    <w:rsid w:val="3CEBA265"/>
    <w:rsid w:val="3D98207C"/>
    <w:rsid w:val="3D9B0D99"/>
    <w:rsid w:val="3DEE7CF3"/>
    <w:rsid w:val="3DF02244"/>
    <w:rsid w:val="3E78745D"/>
    <w:rsid w:val="3FF4CAE0"/>
    <w:rsid w:val="3FF7B227"/>
    <w:rsid w:val="40E54C45"/>
    <w:rsid w:val="41313393"/>
    <w:rsid w:val="43A407DF"/>
    <w:rsid w:val="44515BEA"/>
    <w:rsid w:val="44852225"/>
    <w:rsid w:val="44E268DA"/>
    <w:rsid w:val="45393478"/>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080D50"/>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11F719D"/>
    <w:rsid w:val="62BF3928"/>
    <w:rsid w:val="63B25733"/>
    <w:rsid w:val="647F5392"/>
    <w:rsid w:val="66353AF8"/>
    <w:rsid w:val="664B1D71"/>
    <w:rsid w:val="67AA3209"/>
    <w:rsid w:val="681C4F0D"/>
    <w:rsid w:val="69046D0F"/>
    <w:rsid w:val="698D0931"/>
    <w:rsid w:val="6A993CED"/>
    <w:rsid w:val="6B053271"/>
    <w:rsid w:val="6BCE6674"/>
    <w:rsid w:val="6C4A05C8"/>
    <w:rsid w:val="6C5968E7"/>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7555C"/>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7B5FC5"/>
    <w:rsid w:val="76E3355F"/>
    <w:rsid w:val="76FF5125"/>
    <w:rsid w:val="776F6FFA"/>
    <w:rsid w:val="778769C8"/>
    <w:rsid w:val="77DC22F5"/>
    <w:rsid w:val="78CF3640"/>
    <w:rsid w:val="79086DAD"/>
    <w:rsid w:val="79974F09"/>
    <w:rsid w:val="79D7FD79"/>
    <w:rsid w:val="79EE5BA4"/>
    <w:rsid w:val="7A894339"/>
    <w:rsid w:val="7ACD1C5A"/>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5932BE"/>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imes New Roman" w:hAnsi="Times New Roman" w:eastAsia="宋体" w:cs="Times New Roman"/>
      <w:sz w:val="20"/>
      <w:szCs w:val="20"/>
    </w:rPr>
  </w:style>
  <w:style w:type="paragraph" w:customStyle="1" w:styleId="36">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21</Pages>
  <Words>1299</Words>
  <Characters>7410</Characters>
  <Lines>61</Lines>
  <Paragraphs>17</Paragraphs>
  <TotalTime>2</TotalTime>
  <ScaleCrop>false</ScaleCrop>
  <LinksUpToDate>false</LinksUpToDate>
  <CharactersWithSpaces>8692</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2026-08-31T15:44:00Z</cp:lastPrinted>
  <dcterms:modified xsi:type="dcterms:W3CDTF">2026-09-15T11:28:17Z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E3BC1301AD4A480FBC9C60FF44D6FE45_13</vt:lpwstr>
  </property>
</Properties>
</file>