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hint="eastAsia" w:ascii="Times New Roman" w:eastAsia="方正小标宋简体"/>
          <w:kern w:val="2"/>
          <w:sz w:val="72"/>
          <w:szCs w:val="72"/>
        </w:rPr>
      </w:pPr>
      <w:bookmarkStart w:id="0" w:name="_Toc15396475"/>
      <w:bookmarkStart w:id="1" w:name="_Toc15377425"/>
      <w:bookmarkStart w:id="2" w:name="_Toc15396597"/>
      <w:bookmarkStart w:id="3" w:name="_Toc15378441"/>
      <w:bookmarkStart w:id="4" w:name="_Toc15377193"/>
      <w:bookmarkStart w:id="5" w:name="_Toc15306267"/>
    </w:p>
    <w:p>
      <w:pPr>
        <w:pStyle w:val="8"/>
        <w:spacing w:before="93"/>
        <w:rPr>
          <w:rFonts w:ascii="Times New Roman" w:eastAsia="方正小标宋简体"/>
          <w:kern w:val="2"/>
          <w:sz w:val="72"/>
          <w:szCs w:val="72"/>
        </w:rPr>
      </w:pPr>
    </w:p>
    <w:p>
      <w:pPr>
        <w:pStyle w:val="8"/>
        <w:spacing w:before="93"/>
        <w:rPr>
          <w:rFonts w:hint="eastAsia" w:ascii="Times New Roman" w:eastAsia="方正小标宋简体"/>
          <w:kern w:val="2"/>
          <w:sz w:val="72"/>
          <w:szCs w:val="72"/>
        </w:rPr>
      </w:pP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盐边县人民法院</w:t>
      </w:r>
      <w:r>
        <w:rPr>
          <w:rFonts w:hint="eastAsia" w:ascii="Times New Roman" w:eastAsia="方正小标宋简体"/>
          <w:kern w:val="2"/>
          <w:sz w:val="44"/>
          <w:szCs w:val="44"/>
        </w:rPr>
        <w:t>2025年度部门决算</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hint="eastAsia" w:ascii="Times New Roman" w:eastAsia="方正小标宋简体"/>
          <w:kern w:val="2"/>
          <w:sz w:val="44"/>
          <w:szCs w:val="44"/>
          <w:lang w:val="en-US" w:eastAsia="zh-CN"/>
        </w:rPr>
      </w:pPr>
      <w:bookmarkStart w:id="6" w:name="_Toc15378442"/>
      <w:bookmarkStart w:id="7" w:name="_Toc15377426"/>
      <w:bookmarkStart w:id="8" w:name="_Toc15377194"/>
      <w:bookmarkStart w:id="9" w:name="_Toc15396476"/>
      <w:bookmarkStart w:id="10" w:name="_Toc15396598"/>
      <w:r>
        <w:rPr>
          <w:rFonts w:hint="eastAsia" w:ascii="Times New Roman" w:eastAsia="方正小标宋简体"/>
          <w:kern w:val="2"/>
          <w:sz w:val="44"/>
          <w:szCs w:val="44"/>
        </w:rPr>
        <w:t xml:space="preserve">2025年度攀枝花市 </w:t>
      </w:r>
      <w:bookmarkEnd w:id="5"/>
      <w:bookmarkStart w:id="11" w:name="_Toc15306268"/>
      <w:r>
        <w:rPr>
          <w:rFonts w:hint="eastAsia" w:ascii="Times New Roman" w:eastAsia="方正小标宋简体"/>
          <w:kern w:val="2"/>
          <w:sz w:val="44"/>
          <w:szCs w:val="44"/>
          <w:lang w:val="en-US" w:eastAsia="zh-CN"/>
        </w:rPr>
        <w:t>盐边县人民法院</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pPr>
        <w:pStyle w:val="14"/>
        <w:adjustRightInd w:val="0"/>
        <w:snapToGrid w:val="0"/>
        <w:spacing w:line="560" w:lineRule="exact"/>
        <w:jc w:val="left"/>
        <w:rPr>
          <w:rFonts w:eastAsia="仿宋_GB2312" w:cs="仿宋_GB2312"/>
          <w:sz w:val="32"/>
          <w:szCs w:val="32"/>
        </w:rPr>
      </w:pPr>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14</w:t>
      </w:r>
      <w:r>
        <w:rPr>
          <w:rFonts w:hint="eastAsia" w:ascii="Times New Roman" w:hAnsi="Times New Roman" w:eastAsia="仿宋_GB2312" w:cs="仿宋_GB2312"/>
          <w:sz w:val="32"/>
          <w:szCs w:val="32"/>
        </w:rPr>
        <w:t>日</w:t>
      </w:r>
    </w:p>
    <w:p/>
    <w:p>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一、部门职责</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第二部分 2025年度部门决算情况说明</w:t>
      </w:r>
      <w:r>
        <w:rPr>
          <w:rFonts w:hint="eastAsia" w:ascii="Times New Roman" w:hAnsi="Times New Roman"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..............2</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3</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...............4</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...................7</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.......................9</w:t>
      </w:r>
    </w:p>
    <w:p>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...........................................9</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.................................................................11</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.........................................................................15</w:t>
      </w:r>
    </w:p>
    <w:p>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.........................................................................21</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pPr>
        <w:pStyle w:val="14"/>
        <w:adjustRightInd w:val="0"/>
        <w:snapToGrid w:val="0"/>
        <w:spacing w:line="560" w:lineRule="exact"/>
        <w:ind w:left="0" w:leftChars="0" w:firstLine="643" w:firstLineChars="200"/>
        <w:jc w:val="left"/>
        <w:rPr>
          <w:rFonts w:eastAsia="仿宋_GB2312" w:cs="仿宋_GB2312"/>
          <w:b/>
          <w:bCs/>
          <w:sz w:val="32"/>
          <w:szCs w:val="32"/>
        </w:rPr>
      </w:pPr>
    </w:p>
    <w:p>
      <w:pPr>
        <w:pStyle w:val="5"/>
        <w:jc w:val="center"/>
        <w:rPr>
          <w:rFonts w:hint="eastAsia" w:eastAsia="方正小标宋简体" w:cs="方正小标宋简体"/>
          <w:b w:val="0"/>
        </w:rPr>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pPr>
        <w:pStyle w:val="5"/>
        <w:jc w:val="center"/>
        <w:rPr>
          <w:rFonts w:eastAsia="黑体"/>
          <w:sz w:val="32"/>
          <w:szCs w:val="32"/>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pPr>
        <w:pStyle w:val="6"/>
        <w:rPr>
          <w:rFonts w:hint="eastAsia" w:ascii="Times New Roman" w:hAnsi="Times New Roman" w:eastAsia="黑体"/>
          <w:b w:val="0"/>
        </w:rPr>
      </w:pPr>
      <w:bookmarkStart w:id="14" w:name="_Toc15396600"/>
      <w:bookmarkStart w:id="15" w:name="_Toc15377197"/>
      <w:r>
        <w:rPr>
          <w:rFonts w:hint="eastAsia" w:ascii="Times New Roman" w:hAnsi="Times New Roman" w:eastAsia="黑体"/>
          <w:b w:val="0"/>
        </w:rPr>
        <w:t>一、</w:t>
      </w:r>
      <w:bookmarkEnd w:id="14"/>
      <w:bookmarkEnd w:id="15"/>
      <w:r>
        <w:rPr>
          <w:rFonts w:hint="eastAsia" w:ascii="Times New Roman" w:hAnsi="Times New Roman" w:eastAsia="黑体"/>
          <w:b w:val="0"/>
        </w:rPr>
        <w:t>部门职责</w:t>
      </w:r>
    </w:p>
    <w:p>
      <w:pPr>
        <w:ind w:firstLine="640" w:firstLineChars="200"/>
      </w:pPr>
      <w:r>
        <w:rPr>
          <w:rFonts w:hint="eastAsia" w:eastAsia="仿宋_GB2312" w:cs="仿宋_GB2312"/>
          <w:sz w:val="32"/>
          <w:szCs w:val="32"/>
        </w:rPr>
        <w:t>盐边县人民法院属审判机关，主要负责案件审判工作，主要职责是：（一）审判法律规定、上级人民法院指定由县法院管辖以及县法院认为应当由自己审判的刑事、民事、行政等第一审案件。（二）审查处理不服本院判决各类申诉案。（三）监督指导人民法庭的审判工作。（四）依法行使司法执行权和司法决定权。（五）管理协调本院的审判和执行工作。（六）负责全院思想政治、教育培训工作，按照权限管理法官和其他人员，主管本院的监察工作；领导院直属单位和群团工作。（七）管理本法院的有关经费和物资装备。（八）结合审判工作宣传法制，教育公民遵守宪法和法律。（九）承办其他应由本院负责的工作。（十）派出机构及职责。派出法庭有四个，分别是红格法庭、渔门法庭、共和法庭、永兴法庭，依法审理和执行辖区内一般的民事案件、指导人民调解委员会工作及办理法庭审判工作有关的其他事项。</w:t>
      </w:r>
    </w:p>
    <w:p>
      <w:pPr>
        <w:pStyle w:val="6"/>
        <w:rPr>
          <w:rStyle w:val="29"/>
          <w:rFonts w:ascii="Times New Roman" w:hAnsi="Times New Roman"/>
          <w:b w:val="0"/>
          <w:bCs w:val="0"/>
        </w:rPr>
      </w:pPr>
      <w:bookmarkStart w:id="16" w:name="_Toc15396601"/>
      <w:bookmarkStart w:id="17"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6"/>
      <w:bookmarkEnd w:id="17"/>
    </w:p>
    <w:p>
      <w:pPr>
        <w:ind w:firstLine="800" w:firstLineChars="250"/>
        <w:rPr>
          <w:rFonts w:eastAsia="仿宋_GB2312" w:cs="仿宋_GB2312"/>
          <w:sz w:val="32"/>
          <w:szCs w:val="32"/>
        </w:rPr>
      </w:pPr>
      <w:r>
        <w:rPr>
          <w:rFonts w:hint="default" w:ascii="Times New Roman" w:hAnsi="Times New Roman" w:eastAsia="仿宋_GB2312" w:cs="Times New Roman"/>
          <w:color w:val="auto"/>
          <w:kern w:val="2"/>
          <w:sz w:val="32"/>
          <w:szCs w:val="32"/>
        </w:rPr>
        <w:t>盐边县人民法院</w:t>
      </w:r>
      <w:r>
        <w:rPr>
          <w:rFonts w:hint="eastAsia" w:eastAsia="仿宋_GB2312" w:cs="仿宋_GB2312"/>
          <w:sz w:val="32"/>
          <w:szCs w:val="32"/>
        </w:rPr>
        <w:t>下属二级预算单位</w:t>
      </w:r>
      <w:r>
        <w:rPr>
          <w:rFonts w:hint="eastAsia" w:eastAsia="仿宋_GB2312" w:cs="仿宋_GB2312"/>
          <w:sz w:val="32"/>
          <w:szCs w:val="32"/>
          <w:lang w:val="en-US" w:eastAsia="zh-CN"/>
        </w:rPr>
        <w:t>0</w:t>
      </w:r>
      <w:r>
        <w:rPr>
          <w:rFonts w:hint="eastAsia" w:eastAsia="仿宋_GB2312" w:cs="仿宋_GB2312"/>
          <w:sz w:val="32"/>
          <w:szCs w:val="32"/>
        </w:rPr>
        <w:t>个，其中行政单位</w:t>
      </w:r>
      <w:r>
        <w:rPr>
          <w:rFonts w:hint="eastAsia" w:eastAsia="仿宋_GB2312" w:cs="仿宋_GB2312"/>
          <w:sz w:val="32"/>
          <w:szCs w:val="32"/>
          <w:lang w:val="en-US" w:eastAsia="zh-CN"/>
        </w:rPr>
        <w:t>0</w:t>
      </w:r>
      <w:r>
        <w:rPr>
          <w:rFonts w:hint="eastAsia" w:eastAsia="仿宋_GB2312" w:cs="仿宋_GB2312"/>
          <w:sz w:val="32"/>
          <w:szCs w:val="32"/>
        </w:rPr>
        <w:t>个，参照公务员法管理的事业单位</w:t>
      </w:r>
      <w:r>
        <w:rPr>
          <w:rFonts w:hint="eastAsia" w:eastAsia="仿宋_GB2312" w:cs="仿宋_GB2312"/>
          <w:bCs/>
          <w:sz w:val="32"/>
          <w:szCs w:val="32"/>
          <w:lang w:val="en-US" w:eastAsia="zh-CN"/>
        </w:rPr>
        <w:t>0</w:t>
      </w:r>
      <w:r>
        <w:rPr>
          <w:rFonts w:hint="eastAsia" w:eastAsia="仿宋_GB2312" w:cs="仿宋_GB2312"/>
          <w:sz w:val="32"/>
          <w:szCs w:val="32"/>
        </w:rPr>
        <w:t>个，其他事业单位</w:t>
      </w:r>
      <w:r>
        <w:rPr>
          <w:rFonts w:hint="eastAsia" w:eastAsia="仿宋_GB2312" w:cs="仿宋_GB2312"/>
          <w:sz w:val="32"/>
          <w:szCs w:val="32"/>
          <w:lang w:val="en-US" w:eastAsia="zh-CN"/>
        </w:rPr>
        <w:t>0</w:t>
      </w:r>
      <w:r>
        <w:rPr>
          <w:rFonts w:hint="eastAsia" w:eastAsia="仿宋_GB2312" w:cs="仿宋_GB2312"/>
          <w:sz w:val="32"/>
          <w:szCs w:val="32"/>
        </w:rPr>
        <w:t>个。</w:t>
      </w:r>
    </w:p>
    <w:p>
      <w:pPr>
        <w:widowControl/>
        <w:jc w:val="left"/>
        <w:rPr>
          <w:rFonts w:eastAsia="仿宋"/>
          <w:kern w:val="0"/>
          <w:sz w:val="32"/>
          <w:szCs w:val="32"/>
        </w:rPr>
      </w:pPr>
      <w:r>
        <w:rPr>
          <w:rFonts w:eastAsia="仿宋"/>
          <w:sz w:val="32"/>
          <w:szCs w:val="32"/>
        </w:rPr>
        <w:br w:type="page"/>
      </w:r>
    </w:p>
    <w:p>
      <w:pPr>
        <w:pStyle w:val="5"/>
        <w:jc w:val="center"/>
        <w:rPr>
          <w:rFonts w:eastAsia="方正小标宋简体" w:cs="方正小标宋简体"/>
          <w:b w:val="0"/>
        </w:rPr>
      </w:pPr>
      <w:bookmarkStart w:id="18" w:name="_Toc15377204"/>
      <w:bookmarkStart w:id="19" w:name="_Toc15396602"/>
      <w:r>
        <w:rPr>
          <w:rFonts w:hint="eastAsia" w:eastAsia="方正小标宋简体" w:cs="方正小标宋简体"/>
          <w:b w:val="0"/>
        </w:rPr>
        <w:t>第二部分  2025年度部门决算情况说明</w:t>
      </w:r>
      <w:bookmarkEnd w:id="18"/>
      <w:bookmarkEnd w:id="19"/>
    </w:p>
    <w:p/>
    <w:p>
      <w:pPr>
        <w:pStyle w:val="27"/>
        <w:spacing w:line="600" w:lineRule="exact"/>
        <w:ind w:firstLine="640"/>
        <w:outlineLvl w:val="1"/>
        <w:rPr>
          <w:rStyle w:val="29"/>
          <w:rFonts w:ascii="Times New Roman" w:hAnsi="Times New Roman" w:eastAsia="黑体"/>
          <w:b w:val="0"/>
        </w:rPr>
      </w:pPr>
      <w:bookmarkStart w:id="20" w:name="_Toc15396603"/>
      <w:bookmarkStart w:id="21"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2025年度收入、支出总计均为2350.65万元。与上年度相比，收入、支出总计各增加</w:t>
      </w:r>
      <w:r>
        <w:rPr>
          <w:rFonts w:hint="eastAsia" w:eastAsia="仿宋_GB2312" w:cs="仿宋_GB2312"/>
          <w:sz w:val="32"/>
          <w:szCs w:val="32"/>
          <w:lang w:val="en-US" w:eastAsia="zh-CN"/>
        </w:rPr>
        <w:t>52.71</w:t>
      </w:r>
      <w:r>
        <w:rPr>
          <w:rFonts w:hint="eastAsia" w:eastAsia="仿宋_GB2312" w:cs="仿宋_GB2312"/>
          <w:sz w:val="32"/>
          <w:szCs w:val="32"/>
        </w:rPr>
        <w:t>万元，增长</w:t>
      </w:r>
      <w:r>
        <w:rPr>
          <w:rFonts w:hint="eastAsia" w:eastAsia="仿宋_GB2312" w:cs="仿宋_GB2312"/>
          <w:sz w:val="32"/>
          <w:szCs w:val="32"/>
          <w:lang w:val="en-US" w:eastAsia="zh-CN"/>
        </w:rPr>
        <w:t>2.3</w:t>
      </w:r>
      <w:r>
        <w:rPr>
          <w:rFonts w:hint="eastAsia" w:eastAsia="仿宋_GB2312" w:cs="仿宋_GB2312"/>
          <w:sz w:val="32"/>
          <w:szCs w:val="32"/>
        </w:rPr>
        <w:t>%。主要变动原因是</w:t>
      </w:r>
      <w:r>
        <w:rPr>
          <w:rFonts w:hint="eastAsia" w:eastAsia="仿宋_GB2312" w:cs="仿宋_GB2312"/>
          <w:sz w:val="32"/>
          <w:szCs w:val="32"/>
          <w:lang w:val="en-US" w:eastAsia="zh-CN"/>
        </w:rPr>
        <w:t>正常范围的</w:t>
      </w:r>
      <w:r>
        <w:rPr>
          <w:rFonts w:hint="eastAsia" w:eastAsia="仿宋_GB2312" w:cs="Times New Roman"/>
          <w:sz w:val="32"/>
          <w:szCs w:val="32"/>
          <w:lang w:val="en-US" w:eastAsia="zh-CN"/>
        </w:rPr>
        <w:t>人员经费、公用经费变动</w:t>
      </w:r>
    </w:p>
    <w:p>
      <w:pPr>
        <w:pStyle w:val="27"/>
        <w:spacing w:line="600" w:lineRule="exact"/>
        <w:ind w:firstLine="1280" w:firstLineChars="400"/>
        <w:outlineLvl w:val="1"/>
        <w:rPr>
          <w:rFonts w:eastAsia="仿宋_GB2312" w:cs="仿宋_GB2312"/>
          <w:sz w:val="32"/>
          <w:szCs w:val="32"/>
        </w:rPr>
      </w:pPr>
      <w:r>
        <w:rPr>
          <w:rFonts w:hint="eastAsia" w:eastAsia="仿宋_GB2312" w:cs="仿宋_GB2312"/>
          <w:sz w:val="32"/>
          <w:szCs w:val="32"/>
        </w:rPr>
        <w:t>图1：收入、支出决算总计变动情况图</w:t>
      </w:r>
    </w:p>
    <w:p>
      <w:pPr>
        <w:ind w:firstLine="420" w:firstLineChars="200"/>
        <w:rPr>
          <w:rFonts w:eastAsia="仿宋_GB2312" w:cs="仿宋_GB2312"/>
          <w:sz w:val="32"/>
          <w:szCs w:val="32"/>
        </w:rPr>
      </w:pPr>
      <w:r>
        <w:rPr>
          <w:rFonts w:hint="eastAsia"/>
        </w:rPr>
        <w:drawing>
          <wp:inline distT="0" distB="0" distL="114300" distR="114300">
            <wp:extent cx="4699000" cy="2734310"/>
            <wp:effectExtent l="4445" t="4445" r="20955" b="2349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7"/>
        <w:spacing w:line="600" w:lineRule="exact"/>
        <w:ind w:firstLine="640"/>
        <w:outlineLvl w:val="1"/>
        <w:rPr>
          <w:rFonts w:eastAsia="黑体"/>
          <w:sz w:val="32"/>
          <w:szCs w:val="32"/>
        </w:rPr>
      </w:pPr>
      <w:bookmarkStart w:id="22" w:name="_Toc15377206"/>
      <w:bookmarkStart w:id="23" w:name="_Toc15396604"/>
      <w:r>
        <w:rPr>
          <w:rFonts w:hint="eastAsia" w:eastAsia="黑体"/>
          <w:sz w:val="32"/>
          <w:szCs w:val="32"/>
        </w:rPr>
        <w:t>二、收入决算情况说明</w:t>
      </w:r>
      <w:bookmarkEnd w:id="22"/>
      <w:bookmarkEnd w:id="23"/>
    </w:p>
    <w:p>
      <w:pPr>
        <w:pStyle w:val="27"/>
        <w:spacing w:line="600" w:lineRule="exact"/>
        <w:ind w:firstLine="640"/>
        <w:outlineLvl w:val="1"/>
        <w:rPr>
          <w:rFonts w:eastAsia="仿宋_GB2312" w:cs="仿宋_GB2312"/>
          <w:b/>
          <w:bCs/>
          <w:sz w:val="32"/>
          <w:szCs w:val="32"/>
        </w:rPr>
      </w:pPr>
      <w:r>
        <w:rPr>
          <w:rFonts w:hint="eastAsia" w:eastAsia="仿宋_GB2312" w:cs="仿宋_GB2312"/>
          <w:sz w:val="32"/>
          <w:szCs w:val="32"/>
        </w:rPr>
        <w:t>2025年度本年收入合计2350.65万元，其中：一般公共预算财政拨款收入2044.81万元，占</w:t>
      </w:r>
      <w:r>
        <w:rPr>
          <w:rFonts w:hint="eastAsia" w:eastAsia="仿宋_GB2312" w:cs="仿宋_GB2312"/>
          <w:sz w:val="32"/>
          <w:szCs w:val="32"/>
          <w:lang w:val="en-US" w:eastAsia="zh-CN"/>
        </w:rPr>
        <w:t>87</w:t>
      </w:r>
      <w:r>
        <w:rPr>
          <w:rFonts w:hint="eastAsia" w:eastAsia="仿宋_GB2312" w:cs="仿宋_GB2312"/>
          <w:sz w:val="32"/>
          <w:szCs w:val="32"/>
        </w:rPr>
        <w:t>%；其他收入</w:t>
      </w:r>
      <w:r>
        <w:rPr>
          <w:rFonts w:hint="eastAsia" w:eastAsia="仿宋_GB2312" w:cs="仿宋_GB2312"/>
          <w:sz w:val="32"/>
          <w:szCs w:val="32"/>
          <w:lang w:val="en-US" w:eastAsia="zh-CN"/>
        </w:rPr>
        <w:t>305.84</w:t>
      </w:r>
      <w:r>
        <w:rPr>
          <w:rFonts w:hint="eastAsia" w:eastAsia="仿宋_GB2312" w:cs="仿宋_GB2312"/>
          <w:sz w:val="32"/>
          <w:szCs w:val="32"/>
        </w:rPr>
        <w:t>万元，占</w:t>
      </w:r>
      <w:r>
        <w:rPr>
          <w:rFonts w:hint="eastAsia" w:eastAsia="仿宋_GB2312" w:cs="仿宋_GB2312"/>
          <w:sz w:val="32"/>
          <w:szCs w:val="32"/>
          <w:lang w:val="en-US" w:eastAsia="zh-CN"/>
        </w:rPr>
        <w:t>13</w:t>
      </w:r>
      <w:r>
        <w:rPr>
          <w:rFonts w:hint="eastAsia" w:eastAsia="仿宋_GB2312" w:cs="仿宋_GB2312"/>
          <w:sz w:val="32"/>
          <w:szCs w:val="32"/>
        </w:rPr>
        <w:t>%。</w:t>
      </w:r>
    </w:p>
    <w:p>
      <w:pPr>
        <w:pStyle w:val="27"/>
        <w:spacing w:line="600" w:lineRule="exact"/>
        <w:ind w:firstLine="2240" w:firstLineChars="700"/>
        <w:outlineLvl w:val="1"/>
        <w:rPr>
          <w:rFonts w:eastAsia="仿宋_GB2312" w:cs="仿宋_GB2312"/>
          <w:sz w:val="32"/>
          <w:szCs w:val="32"/>
        </w:rPr>
      </w:pPr>
      <w:r>
        <w:rPr>
          <w:rFonts w:hint="eastAsia" w:eastAsia="仿宋_GB2312" w:cs="仿宋_GB2312"/>
          <w:sz w:val="32"/>
          <w:szCs w:val="32"/>
        </w:rPr>
        <w:t>图2：收入决算结构图</w:t>
      </w:r>
    </w:p>
    <w:p>
      <w:pPr>
        <w:ind w:firstLine="525" w:firstLineChars="250"/>
        <w:rPr>
          <w:rFonts w:eastAsia="仿宋_GB2312" w:cs="仿宋_GB2312"/>
          <w:sz w:val="32"/>
          <w:szCs w:val="32"/>
        </w:rPr>
      </w:pPr>
      <w:r>
        <w:rPr>
          <w:rFonts w:hint="eastAsia" w:eastAsia="仿宋"/>
        </w:rPr>
        <w:drawing>
          <wp:inline distT="0" distB="0" distL="114300" distR="114300">
            <wp:extent cx="4338320" cy="3019425"/>
            <wp:effectExtent l="47625" t="4445" r="52705" b="10033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7"/>
        <w:spacing w:line="600" w:lineRule="exact"/>
        <w:ind w:firstLine="640"/>
        <w:outlineLvl w:val="1"/>
        <w:rPr>
          <w:rStyle w:val="29"/>
          <w:rFonts w:ascii="Times New Roman" w:hAnsi="Times New Roman" w:eastAsia="黑体"/>
          <w:b w:val="0"/>
        </w:rPr>
      </w:pPr>
      <w:bookmarkStart w:id="24" w:name="_Toc15377207"/>
      <w:bookmarkStart w:id="25" w:name="_Toc15396605"/>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pPr>
        <w:pStyle w:val="27"/>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2025年度本年支出合计</w:t>
      </w:r>
      <w:r>
        <w:rPr>
          <w:rFonts w:hint="eastAsia" w:eastAsia="仿宋_GB2312" w:cs="仿宋_GB2312"/>
          <w:sz w:val="32"/>
          <w:szCs w:val="32"/>
          <w:lang w:val="en-US" w:eastAsia="zh-CN"/>
        </w:rPr>
        <w:t>2350.65</w:t>
      </w:r>
      <w:r>
        <w:rPr>
          <w:rFonts w:hint="eastAsia" w:eastAsia="仿宋_GB2312" w:cs="仿宋_GB2312"/>
          <w:sz w:val="32"/>
          <w:szCs w:val="32"/>
        </w:rPr>
        <w:t>万元，其中：基本支出1761.06万元，占</w:t>
      </w:r>
      <w:r>
        <w:rPr>
          <w:rFonts w:hint="eastAsia" w:eastAsia="仿宋_GB2312" w:cs="仿宋_GB2312"/>
          <w:sz w:val="32"/>
          <w:szCs w:val="32"/>
          <w:lang w:val="en-US" w:eastAsia="zh-CN"/>
        </w:rPr>
        <w:t>74.9</w:t>
      </w:r>
      <w:r>
        <w:rPr>
          <w:rFonts w:hint="eastAsia" w:eastAsia="仿宋_GB2312" w:cs="仿宋_GB2312"/>
          <w:sz w:val="32"/>
          <w:szCs w:val="32"/>
        </w:rPr>
        <w:t>%；项目支出589.6万元，占</w:t>
      </w:r>
      <w:r>
        <w:rPr>
          <w:rFonts w:hint="eastAsia" w:eastAsia="仿宋_GB2312" w:cs="仿宋_GB2312"/>
          <w:sz w:val="32"/>
          <w:szCs w:val="32"/>
          <w:lang w:val="en-US" w:eastAsia="zh-CN"/>
        </w:rPr>
        <w:t>25.1</w:t>
      </w:r>
      <w:r>
        <w:rPr>
          <w:rFonts w:hint="eastAsia" w:eastAsia="仿宋_GB2312" w:cs="仿宋_GB2312"/>
          <w:sz w:val="32"/>
          <w:szCs w:val="32"/>
        </w:rPr>
        <w:t>%</w:t>
      </w:r>
      <w:r>
        <w:rPr>
          <w:rFonts w:hint="eastAsia" w:eastAsia="仿宋_GB2312" w:cs="仿宋_GB2312"/>
          <w:sz w:val="32"/>
          <w:szCs w:val="32"/>
          <w:lang w:eastAsia="zh-CN"/>
        </w:rPr>
        <w:t>。</w:t>
      </w:r>
    </w:p>
    <w:p>
      <w:pPr>
        <w:pStyle w:val="27"/>
        <w:spacing w:line="600" w:lineRule="exact"/>
        <w:ind w:firstLine="2560" w:firstLineChars="800"/>
        <w:outlineLvl w:val="1"/>
        <w:rPr>
          <w:rFonts w:eastAsia="仿宋_GB2312" w:cs="仿宋_GB2312"/>
          <w:sz w:val="32"/>
          <w:szCs w:val="32"/>
        </w:rPr>
      </w:pPr>
      <w:r>
        <w:rPr>
          <w:rFonts w:hint="eastAsia" w:eastAsia="仿宋_GB2312" w:cs="仿宋_GB2312"/>
          <w:sz w:val="32"/>
          <w:szCs w:val="32"/>
        </w:rPr>
        <w:t>图3：支出决算结构图</w:t>
      </w:r>
    </w:p>
    <w:p>
      <w:pPr>
        <w:ind w:firstLine="525" w:firstLineChars="250"/>
        <w:rPr>
          <w:rFonts w:eastAsia="仿宋_GB2312" w:cs="仿宋_GB2312"/>
          <w:sz w:val="32"/>
          <w:szCs w:val="32"/>
        </w:rPr>
      </w:pPr>
      <w:r>
        <w:rPr>
          <w:rFonts w:hint="eastAsia" w:eastAsia="仿宋"/>
        </w:rPr>
        <w:drawing>
          <wp:inline distT="0" distB="0" distL="114300" distR="114300">
            <wp:extent cx="4423410" cy="2790825"/>
            <wp:effectExtent l="47625" t="9525" r="62865" b="9525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1"/>
        <w:rPr>
          <w:rStyle w:val="29"/>
          <w:rFonts w:ascii="Times New Roman" w:hAnsi="Times New Roman" w:eastAsia="黑体"/>
          <w:b w:val="0"/>
        </w:rPr>
      </w:pPr>
      <w:bookmarkStart w:id="26" w:name="_Toc15377208"/>
      <w:bookmarkStart w:id="27"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2044.81</w:t>
      </w:r>
      <w:r>
        <w:rPr>
          <w:rFonts w:hint="eastAsia" w:eastAsia="仿宋_GB2312" w:cs="仿宋_GB2312"/>
          <w:sz w:val="32"/>
          <w:szCs w:val="32"/>
        </w:rPr>
        <w:t>万元。与上年度相比，财政拨款收入、支出总计各增加</w:t>
      </w:r>
      <w:r>
        <w:rPr>
          <w:rFonts w:hint="eastAsia" w:eastAsia="仿宋_GB2312" w:cs="仿宋_GB2312"/>
          <w:sz w:val="32"/>
          <w:szCs w:val="32"/>
          <w:lang w:val="en-US" w:eastAsia="zh-CN"/>
        </w:rPr>
        <w:t>322.11</w:t>
      </w:r>
      <w:r>
        <w:rPr>
          <w:rFonts w:hint="eastAsia" w:eastAsia="仿宋_GB2312" w:cs="仿宋_GB2312"/>
          <w:sz w:val="32"/>
          <w:szCs w:val="32"/>
        </w:rPr>
        <w:t>万元，增长</w:t>
      </w:r>
      <w:r>
        <w:rPr>
          <w:rFonts w:hint="eastAsia" w:eastAsia="仿宋_GB2312" w:cs="仿宋_GB2312"/>
          <w:sz w:val="32"/>
          <w:szCs w:val="32"/>
          <w:lang w:val="en-US" w:eastAsia="zh-CN"/>
        </w:rPr>
        <w:t>18.7</w:t>
      </w:r>
      <w:r>
        <w:rPr>
          <w:rFonts w:hint="eastAsia" w:eastAsia="仿宋_GB2312" w:cs="仿宋_GB2312"/>
          <w:sz w:val="32"/>
          <w:szCs w:val="32"/>
        </w:rPr>
        <w:t>%。主要变动原因是</w:t>
      </w:r>
      <w:r>
        <w:rPr>
          <w:rFonts w:hint="eastAsia" w:eastAsia="仿宋_GB2312" w:cs="仿宋_GB2312"/>
          <w:sz w:val="32"/>
          <w:szCs w:val="32"/>
          <w:lang w:val="en-US" w:eastAsia="zh-CN"/>
        </w:rPr>
        <w:t>2025年度新入职7名干警，人员经费和公用经费随之增加；向省高院争取了事业发展项目。</w:t>
      </w:r>
    </w:p>
    <w:p>
      <w:pPr>
        <w:spacing w:line="600" w:lineRule="exact"/>
        <w:ind w:firstLine="1280" w:firstLineChars="400"/>
        <w:rPr>
          <w:rFonts w:eastAsia="仿宋_GB2312" w:cs="仿宋_GB2312"/>
          <w:sz w:val="32"/>
          <w:szCs w:val="32"/>
        </w:rPr>
      </w:pPr>
      <w:r>
        <w:rPr>
          <w:rFonts w:hint="eastAsia" w:eastAsia="仿宋_GB2312" w:cs="仿宋_GB2312"/>
          <w:sz w:val="32"/>
          <w:szCs w:val="32"/>
        </w:rPr>
        <w:t>图4：财政拨款收、支决算总计变动情况</w:t>
      </w:r>
    </w:p>
    <w:p>
      <w:pPr>
        <w:ind w:firstLine="525" w:firstLineChars="250"/>
        <w:rPr>
          <w:rFonts w:hint="eastAsia" w:eastAsia="仿宋"/>
        </w:rPr>
      </w:pPr>
      <w:r>
        <w:rPr>
          <w:rFonts w:hint="eastAsia" w:eastAsia="仿宋"/>
        </w:rPr>
        <w:drawing>
          <wp:inline distT="0" distB="0" distL="114300" distR="114300">
            <wp:extent cx="4423410" cy="2610485"/>
            <wp:effectExtent l="4445" t="5080" r="10795" b="1333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outlineLvl w:val="1"/>
        <w:rPr>
          <w:rStyle w:val="29"/>
          <w:rFonts w:ascii="Times New Roman" w:hAnsi="Times New Roman" w:eastAsia="黑体"/>
          <w:b w:val="0"/>
        </w:rPr>
      </w:pPr>
      <w:bookmarkStart w:id="28" w:name="_Toc15396607"/>
      <w:bookmarkStart w:id="29"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pPr>
        <w:spacing w:line="600" w:lineRule="exact"/>
        <w:ind w:firstLine="640"/>
        <w:rPr>
          <w:rFonts w:eastAsia="仿宋_GB2312" w:cs="仿宋_GB2312"/>
          <w:sz w:val="32"/>
          <w:szCs w:val="32"/>
        </w:rPr>
      </w:pPr>
      <w:bookmarkStart w:id="31" w:name="_Toc15377211"/>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2044.81</w:t>
      </w:r>
      <w:r>
        <w:rPr>
          <w:rFonts w:hint="eastAsia" w:eastAsia="仿宋_GB2312" w:cs="仿宋_GB2312"/>
          <w:sz w:val="32"/>
          <w:szCs w:val="32"/>
        </w:rPr>
        <w:t>万元，占本年支出合计的</w:t>
      </w:r>
      <w:r>
        <w:rPr>
          <w:rFonts w:hint="eastAsia" w:eastAsia="仿宋_GB2312" w:cs="仿宋_GB2312"/>
          <w:sz w:val="32"/>
          <w:szCs w:val="32"/>
          <w:lang w:val="en-US" w:eastAsia="zh-CN"/>
        </w:rPr>
        <w:t>87</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322.11</w:t>
      </w:r>
      <w:r>
        <w:rPr>
          <w:rFonts w:hint="eastAsia" w:eastAsia="仿宋_GB2312" w:cs="仿宋_GB2312"/>
          <w:sz w:val="32"/>
          <w:szCs w:val="32"/>
        </w:rPr>
        <w:t>万元，增长</w:t>
      </w:r>
      <w:r>
        <w:rPr>
          <w:rFonts w:hint="eastAsia" w:eastAsia="仿宋_GB2312" w:cs="仿宋_GB2312"/>
          <w:sz w:val="32"/>
          <w:szCs w:val="32"/>
          <w:lang w:val="en-US" w:eastAsia="zh-CN"/>
        </w:rPr>
        <w:t>18.7</w:t>
      </w:r>
      <w:r>
        <w:rPr>
          <w:rFonts w:hint="eastAsia" w:eastAsia="仿宋_GB2312" w:cs="仿宋_GB2312"/>
          <w:sz w:val="32"/>
          <w:szCs w:val="32"/>
        </w:rPr>
        <w:t>%。主要变动原因是</w:t>
      </w:r>
      <w:r>
        <w:rPr>
          <w:rFonts w:hint="eastAsia" w:eastAsia="仿宋_GB2312" w:cs="仿宋_GB2312"/>
          <w:sz w:val="32"/>
          <w:szCs w:val="32"/>
          <w:lang w:val="en-US" w:eastAsia="zh-CN"/>
        </w:rPr>
        <w:t>2025年度新入职7名干警，人员经费和公用经费随之增加；向省高院争取了事业发展项目。</w:t>
      </w:r>
    </w:p>
    <w:p>
      <w:pPr>
        <w:spacing w:line="600" w:lineRule="exact"/>
        <w:ind w:firstLine="960" w:firstLineChars="300"/>
        <w:rPr>
          <w:rFonts w:eastAsia="仿宋_GB2312" w:cs="仿宋_GB2312"/>
          <w:sz w:val="32"/>
          <w:szCs w:val="32"/>
        </w:rPr>
      </w:pPr>
      <w:r>
        <w:rPr>
          <w:rFonts w:hint="eastAsia" w:eastAsia="仿宋_GB2312" w:cs="仿宋_GB2312"/>
          <w:sz w:val="32"/>
          <w:szCs w:val="32"/>
        </w:rPr>
        <w:t>图5：一般公共预算财政拨款支出决算变动情况</w:t>
      </w:r>
    </w:p>
    <w:p>
      <w:pPr>
        <w:ind w:firstLine="525" w:firstLineChars="250"/>
        <w:rPr>
          <w:rFonts w:hint="default" w:eastAsia="仿宋"/>
          <w:lang w:val="en-US" w:eastAsia="zh-CN"/>
        </w:rPr>
      </w:pPr>
      <w:r>
        <w:rPr>
          <w:rFonts w:hint="eastAsia" w:eastAsia="仿宋"/>
        </w:rPr>
        <w:drawing>
          <wp:inline distT="0" distB="0" distL="114300" distR="114300">
            <wp:extent cx="4423410" cy="2610485"/>
            <wp:effectExtent l="4445" t="5080" r="10795" b="1333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（二）一般公共预算财政拨款支出决算结构情况</w:t>
      </w:r>
      <w:bookmarkEnd w:id="31"/>
    </w:p>
    <w:p>
      <w:pPr>
        <w:spacing w:line="600" w:lineRule="exact"/>
        <w:ind w:firstLine="640"/>
        <w:rPr>
          <w:rFonts w:eastAsia="仿宋_GB2312" w:cs="仿宋_GB2312"/>
          <w:b/>
          <w:bCs/>
          <w:sz w:val="32"/>
          <w:szCs w:val="32"/>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2044.81</w:t>
      </w:r>
      <w:r>
        <w:rPr>
          <w:rFonts w:hint="eastAsia" w:eastAsia="仿宋_GB2312" w:cs="仿宋_GB2312"/>
          <w:sz w:val="32"/>
          <w:szCs w:val="32"/>
        </w:rPr>
        <w:t>万元，主要用于以下方面：一般公共服务支出</w:t>
      </w:r>
      <w:r>
        <w:rPr>
          <w:rFonts w:hint="eastAsia" w:eastAsia="仿宋_GB2312" w:cs="仿宋_GB2312"/>
          <w:sz w:val="32"/>
          <w:szCs w:val="32"/>
          <w:lang w:val="en-US" w:eastAsia="zh-CN"/>
        </w:rPr>
        <w:t>1705.69</w:t>
      </w:r>
      <w:r>
        <w:rPr>
          <w:rFonts w:hint="eastAsia" w:eastAsia="仿宋_GB2312" w:cs="仿宋_GB2312"/>
          <w:sz w:val="32"/>
          <w:szCs w:val="32"/>
        </w:rPr>
        <w:t>万元，占</w:t>
      </w:r>
      <w:r>
        <w:rPr>
          <w:rFonts w:hint="eastAsia" w:eastAsia="仿宋_GB2312" w:cs="仿宋_GB2312"/>
          <w:sz w:val="32"/>
          <w:szCs w:val="32"/>
          <w:lang w:val="en-US" w:eastAsia="zh-CN"/>
        </w:rPr>
        <w:t>83.4</w:t>
      </w:r>
      <w:r>
        <w:rPr>
          <w:rFonts w:hint="eastAsia" w:eastAsia="仿宋_GB2312" w:cs="仿宋_GB2312"/>
          <w:sz w:val="32"/>
          <w:szCs w:val="32"/>
        </w:rPr>
        <w:t>%；社会保障和就业支出</w:t>
      </w:r>
      <w:r>
        <w:rPr>
          <w:rFonts w:hint="eastAsia" w:eastAsia="仿宋_GB2312" w:cs="仿宋_GB2312"/>
          <w:sz w:val="32"/>
          <w:szCs w:val="32"/>
          <w:lang w:val="en-US" w:eastAsia="zh-CN"/>
        </w:rPr>
        <w:t>140.69</w:t>
      </w:r>
      <w:r>
        <w:rPr>
          <w:rFonts w:hint="eastAsia" w:eastAsia="仿宋_GB2312" w:cs="仿宋_GB2312"/>
          <w:sz w:val="32"/>
          <w:szCs w:val="32"/>
        </w:rPr>
        <w:t>万元，占</w:t>
      </w:r>
      <w:r>
        <w:rPr>
          <w:rFonts w:hint="eastAsia" w:eastAsia="仿宋_GB2312" w:cs="仿宋_GB2312"/>
          <w:sz w:val="32"/>
          <w:szCs w:val="32"/>
          <w:lang w:val="en-US" w:eastAsia="zh-CN"/>
        </w:rPr>
        <w:t>6.9</w:t>
      </w:r>
      <w:r>
        <w:rPr>
          <w:rFonts w:hint="eastAsia" w:eastAsia="仿宋_GB2312" w:cs="仿宋_GB2312"/>
          <w:sz w:val="32"/>
          <w:szCs w:val="32"/>
        </w:rPr>
        <w:t>%；卫生健康支出</w:t>
      </w:r>
      <w:r>
        <w:rPr>
          <w:rFonts w:hint="eastAsia" w:eastAsia="仿宋_GB2312" w:cs="仿宋_GB2312"/>
          <w:sz w:val="32"/>
          <w:szCs w:val="32"/>
          <w:lang w:val="en-US" w:eastAsia="zh-CN"/>
        </w:rPr>
        <w:t>88.62</w:t>
      </w:r>
      <w:r>
        <w:rPr>
          <w:rFonts w:hint="eastAsia" w:eastAsia="仿宋_GB2312" w:cs="仿宋_GB2312"/>
          <w:sz w:val="32"/>
          <w:szCs w:val="32"/>
        </w:rPr>
        <w:t>万元，占</w:t>
      </w:r>
      <w:r>
        <w:rPr>
          <w:rFonts w:hint="eastAsia" w:eastAsia="仿宋_GB2312" w:cs="仿宋_GB2312"/>
          <w:sz w:val="32"/>
          <w:szCs w:val="32"/>
          <w:lang w:val="en-US" w:eastAsia="zh-CN"/>
        </w:rPr>
        <w:t>4.3</w:t>
      </w:r>
      <w:r>
        <w:rPr>
          <w:rFonts w:hint="eastAsia" w:eastAsia="仿宋_GB2312" w:cs="仿宋_GB2312"/>
          <w:sz w:val="32"/>
          <w:szCs w:val="32"/>
        </w:rPr>
        <w:t>%；住房保障支出</w:t>
      </w:r>
      <w:r>
        <w:rPr>
          <w:rFonts w:hint="eastAsia" w:eastAsia="仿宋_GB2312" w:cs="仿宋_GB2312"/>
          <w:sz w:val="32"/>
          <w:szCs w:val="32"/>
          <w:lang w:val="en-US" w:eastAsia="zh-CN"/>
        </w:rPr>
        <w:t>109.81</w:t>
      </w:r>
      <w:r>
        <w:rPr>
          <w:rFonts w:hint="eastAsia" w:eastAsia="仿宋_GB2312" w:cs="仿宋_GB2312"/>
          <w:sz w:val="32"/>
          <w:szCs w:val="32"/>
        </w:rPr>
        <w:t>万元，占</w:t>
      </w:r>
      <w:r>
        <w:rPr>
          <w:rFonts w:hint="eastAsia" w:eastAsia="仿宋_GB2312" w:cs="仿宋_GB2312"/>
          <w:sz w:val="32"/>
          <w:szCs w:val="32"/>
          <w:lang w:val="en-US" w:eastAsia="zh-CN"/>
        </w:rPr>
        <w:t>5.4</w:t>
      </w:r>
      <w:r>
        <w:rPr>
          <w:rFonts w:hint="eastAsia" w:eastAsia="仿宋_GB2312" w:cs="仿宋_GB2312"/>
          <w:sz w:val="32"/>
          <w:szCs w:val="32"/>
        </w:rPr>
        <w:t>%；</w:t>
      </w:r>
    </w:p>
    <w:p>
      <w:pPr>
        <w:spacing w:line="600" w:lineRule="exact"/>
        <w:ind w:firstLine="1292" w:firstLineChars="404"/>
        <w:rPr>
          <w:rFonts w:eastAsia="仿宋_GB2312" w:cs="仿宋_GB2312"/>
          <w:sz w:val="32"/>
          <w:szCs w:val="32"/>
        </w:rPr>
      </w:pPr>
      <w:r>
        <w:rPr>
          <w:rFonts w:hint="eastAsia" w:eastAsia="仿宋_GB2312" w:cs="仿宋_GB2312"/>
          <w:sz w:val="32"/>
          <w:szCs w:val="32"/>
        </w:rPr>
        <w:t>图6：一般公共预算财政拨款支出决算结构</w:t>
      </w:r>
    </w:p>
    <w:p>
      <w:pPr>
        <w:ind w:firstLine="525" w:firstLineChars="250"/>
        <w:rPr>
          <w:rFonts w:hint="eastAsia" w:eastAsia="仿宋"/>
        </w:rPr>
      </w:pPr>
      <w:r>
        <w:rPr>
          <w:rFonts w:hint="eastAsia" w:eastAsia="仿宋"/>
        </w:rPr>
        <w:drawing>
          <wp:inline distT="0" distB="0" distL="114300" distR="114300">
            <wp:extent cx="4784725" cy="2876550"/>
            <wp:effectExtent l="47625" t="9525" r="63500" b="857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pPr>
        <w:spacing w:line="600" w:lineRule="exact"/>
        <w:ind w:firstLine="640"/>
        <w:rPr>
          <w:rFonts w:eastAsia="仿宋_GB2312" w:cs="仿宋_GB2312"/>
          <w:sz w:val="32"/>
          <w:szCs w:val="32"/>
        </w:rPr>
      </w:pPr>
      <w:bookmarkStart w:id="33" w:name="_Toc15378460"/>
      <w:bookmarkStart w:id="34" w:name="_Toc15377444"/>
      <w:bookmarkStart w:id="35"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2044.81</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3"/>
      <w:bookmarkEnd w:id="34"/>
      <w:bookmarkEnd w:id="35"/>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1.一般公共服务（类）</w:t>
      </w:r>
      <w:r>
        <w:rPr>
          <w:rFonts w:hint="eastAsia" w:eastAsia="仿宋_GB2312" w:cs="仿宋_GB2312"/>
          <w:sz w:val="32"/>
          <w:szCs w:val="32"/>
          <w:lang w:val="en-US" w:eastAsia="zh-CN"/>
        </w:rPr>
        <w:t>法院</w:t>
      </w:r>
      <w:r>
        <w:rPr>
          <w:rFonts w:hint="eastAsia" w:eastAsia="仿宋_GB2312" w:cs="仿宋_GB2312"/>
          <w:sz w:val="32"/>
          <w:szCs w:val="32"/>
        </w:rPr>
        <w:t>（款）行政运行（项）：支出决算为</w:t>
      </w:r>
      <w:r>
        <w:rPr>
          <w:rFonts w:hint="eastAsia" w:eastAsia="仿宋_GB2312" w:cs="仿宋_GB2312"/>
          <w:sz w:val="32"/>
          <w:szCs w:val="32"/>
          <w:lang w:val="en-US" w:eastAsia="zh-CN"/>
        </w:rPr>
        <w:t>1116.1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2.一般公共服务（类）</w:t>
      </w:r>
      <w:r>
        <w:rPr>
          <w:rFonts w:hint="eastAsia" w:eastAsia="仿宋_GB2312" w:cs="仿宋_GB2312"/>
          <w:sz w:val="32"/>
          <w:szCs w:val="32"/>
          <w:lang w:val="en-US" w:eastAsia="zh-CN"/>
        </w:rPr>
        <w:t>法院</w:t>
      </w:r>
      <w:r>
        <w:rPr>
          <w:rFonts w:hint="eastAsia" w:eastAsia="仿宋_GB2312" w:cs="仿宋_GB2312"/>
          <w:sz w:val="32"/>
          <w:szCs w:val="32"/>
        </w:rPr>
        <w:t>（款）一般行政管理事务（项）：支出决算为</w:t>
      </w:r>
      <w:r>
        <w:rPr>
          <w:rFonts w:hint="eastAsia" w:eastAsia="仿宋_GB2312" w:cs="仿宋_GB2312"/>
          <w:sz w:val="32"/>
          <w:szCs w:val="32"/>
          <w:lang w:val="en-US" w:eastAsia="zh-CN"/>
        </w:rPr>
        <w:t>24.88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3.一般公共服务（类）</w:t>
      </w:r>
      <w:r>
        <w:rPr>
          <w:rFonts w:hint="eastAsia" w:eastAsia="仿宋_GB2312" w:cs="仿宋_GB2312"/>
          <w:sz w:val="32"/>
          <w:szCs w:val="32"/>
          <w:lang w:val="en-US" w:eastAsia="zh-CN"/>
        </w:rPr>
        <w:t>法院</w:t>
      </w:r>
      <w:r>
        <w:rPr>
          <w:rFonts w:hint="eastAsia" w:eastAsia="仿宋_GB2312" w:cs="仿宋_GB2312"/>
          <w:sz w:val="32"/>
          <w:szCs w:val="32"/>
        </w:rPr>
        <w:t>（款）其他法院支出（项）：支出决算为</w:t>
      </w:r>
      <w:r>
        <w:rPr>
          <w:rFonts w:hint="eastAsia" w:eastAsia="仿宋_GB2312" w:cs="仿宋_GB2312"/>
          <w:sz w:val="32"/>
          <w:szCs w:val="32"/>
          <w:lang w:val="en-US" w:eastAsia="zh-CN"/>
        </w:rPr>
        <w:t>564.71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4.社会保障和就业（类）行政事业单位养老支出（款）机关事业单位基本养老保险缴费支出（项）：支出决算为</w:t>
      </w:r>
      <w:r>
        <w:rPr>
          <w:rFonts w:hint="eastAsia" w:eastAsia="仿宋_GB2312" w:cs="仿宋_GB2312"/>
          <w:sz w:val="32"/>
          <w:szCs w:val="32"/>
          <w:lang w:val="en-US" w:eastAsia="zh-CN"/>
        </w:rPr>
        <w:t>119.62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5.社会保障和就业（类）行政事业单位养老支出（款）机关事业单位职业年金缴费支出（项）：支出决算为</w:t>
      </w:r>
      <w:r>
        <w:rPr>
          <w:rFonts w:hint="eastAsia" w:eastAsia="仿宋_GB2312" w:cs="仿宋_GB2312"/>
          <w:sz w:val="32"/>
          <w:szCs w:val="32"/>
          <w:lang w:val="en-US" w:eastAsia="zh-CN"/>
        </w:rPr>
        <w:t>21.07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6.卫生健康（类）行政事业单位医疗（款）行政单位医疗（项）：支出决算为</w:t>
      </w:r>
      <w:r>
        <w:rPr>
          <w:rFonts w:hint="eastAsia" w:eastAsia="仿宋_GB2312" w:cs="仿宋_GB2312"/>
          <w:sz w:val="32"/>
          <w:szCs w:val="32"/>
          <w:lang w:val="en-US" w:eastAsia="zh-CN"/>
        </w:rPr>
        <w:t>69.45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卫生健康（类）行政事业单位医疗（款）公务员医疗补助（项）：支出决算为</w:t>
      </w:r>
      <w:r>
        <w:rPr>
          <w:rFonts w:hint="eastAsia" w:eastAsia="仿宋_GB2312" w:cs="仿宋_GB2312"/>
          <w:sz w:val="32"/>
          <w:szCs w:val="32"/>
          <w:lang w:val="en-US" w:eastAsia="zh-CN"/>
        </w:rPr>
        <w:t>6.85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8.</w:t>
      </w:r>
      <w:r>
        <w:rPr>
          <w:rFonts w:hint="eastAsia" w:eastAsia="仿宋_GB2312" w:cs="仿宋_GB2312"/>
          <w:sz w:val="32"/>
          <w:szCs w:val="32"/>
        </w:rPr>
        <w:t>卫生健康（类）行政事业单位医疗（款）其他行政事业单位医疗支出（项）：支出决算为</w:t>
      </w:r>
      <w:r>
        <w:rPr>
          <w:rFonts w:hint="eastAsia" w:eastAsia="仿宋_GB2312" w:cs="仿宋_GB2312"/>
          <w:sz w:val="32"/>
          <w:szCs w:val="32"/>
          <w:lang w:val="en-US" w:eastAsia="zh-CN"/>
        </w:rPr>
        <w:t>12.32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住房保障支出（类）住房改革支出（款）住房公积金（项）：支出决算为</w:t>
      </w:r>
      <w:r>
        <w:rPr>
          <w:rFonts w:hint="eastAsia" w:eastAsia="仿宋_GB2312" w:cs="仿宋_GB2312"/>
          <w:sz w:val="32"/>
          <w:szCs w:val="32"/>
          <w:lang w:val="en-US" w:eastAsia="zh-CN"/>
        </w:rPr>
        <w:t>109.81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%，决算数等于预算数</w:t>
      </w:r>
      <w:r>
        <w:rPr>
          <w:rFonts w:hint="eastAsia" w:eastAsia="仿宋_GB2312" w:cs="仿宋_GB2312"/>
          <w:sz w:val="32"/>
          <w:szCs w:val="32"/>
          <w:lang w:eastAsia="zh-CN"/>
        </w:rPr>
        <w:t>。</w:t>
      </w:r>
    </w:p>
    <w:p>
      <w:pPr>
        <w:tabs>
          <w:tab w:val="right" w:pos="8306"/>
        </w:tabs>
        <w:spacing w:line="600" w:lineRule="exact"/>
        <w:ind w:firstLine="640"/>
        <w:outlineLvl w:val="1"/>
        <w:rPr>
          <w:rStyle w:val="29"/>
          <w:rFonts w:ascii="Times New Roman" w:hAnsi="Times New Roman"/>
        </w:rPr>
      </w:pPr>
      <w:bookmarkStart w:id="36" w:name="_Toc15396608"/>
      <w:bookmarkStart w:id="3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1455.22</w:t>
      </w:r>
      <w:r>
        <w:rPr>
          <w:rFonts w:hint="eastAsia" w:eastAsia="仿宋_GB2312" w:cs="仿宋_GB2312"/>
          <w:sz w:val="32"/>
          <w:szCs w:val="32"/>
        </w:rPr>
        <w:t>万元，其中：</w:t>
      </w:r>
    </w:p>
    <w:p>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1313.41</w:t>
      </w:r>
      <w:r>
        <w:rPr>
          <w:rFonts w:hint="eastAsia" w:eastAsia="仿宋_GB2312" w:cs="仿宋_GB2312"/>
          <w:sz w:val="32"/>
          <w:szCs w:val="32"/>
        </w:rPr>
        <w:t>万元，主要包括：基本工资、津贴补贴、奖金、机关事业单位基本养老保险缴费、职业年金缴费、职工基本医疗保险缴费</w:t>
      </w:r>
      <w:r>
        <w:rPr>
          <w:rFonts w:hint="eastAsia" w:eastAsia="仿宋_GB2312" w:cs="仿宋_GB2312"/>
          <w:sz w:val="32"/>
          <w:szCs w:val="32"/>
          <w:lang w:eastAsia="zh-CN"/>
        </w:rPr>
        <w:t>、公务员医疗补助缴费、</w:t>
      </w:r>
      <w:r>
        <w:rPr>
          <w:rFonts w:hint="eastAsia" w:eastAsia="仿宋_GB2312" w:cs="仿宋_GB2312"/>
          <w:sz w:val="32"/>
          <w:szCs w:val="32"/>
        </w:rPr>
        <w:t>其他社会保障缴费、住房公积金</w:t>
      </w:r>
      <w:r>
        <w:rPr>
          <w:rFonts w:hint="eastAsia" w:eastAsia="仿宋_GB2312" w:cs="仿宋_GB2312"/>
          <w:sz w:val="32"/>
          <w:szCs w:val="32"/>
          <w:lang w:eastAsia="zh-CN"/>
        </w:rPr>
        <w:t>、</w:t>
      </w:r>
      <w:r>
        <w:rPr>
          <w:rFonts w:hint="eastAsia" w:eastAsia="仿宋_GB2312" w:cs="仿宋_GB2312"/>
          <w:sz w:val="32"/>
          <w:szCs w:val="32"/>
        </w:rPr>
        <w:t>其他工资福利支出、生活补助</w:t>
      </w:r>
      <w:r>
        <w:rPr>
          <w:rFonts w:hint="eastAsia" w:eastAsia="仿宋_GB2312" w:cs="仿宋_GB2312"/>
          <w:sz w:val="32"/>
          <w:szCs w:val="32"/>
          <w:lang w:eastAsia="zh-CN"/>
        </w:rPr>
        <w:t>、奖励金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141.81</w:t>
      </w:r>
      <w:r>
        <w:rPr>
          <w:rFonts w:hint="eastAsia" w:eastAsia="仿宋_GB2312" w:cs="仿宋_GB2312"/>
          <w:sz w:val="32"/>
          <w:szCs w:val="32"/>
        </w:rPr>
        <w:t>万元，主要包括：办公费、水费、电费、邮电费、差旅费、维修（护）费、公务接待费、劳务费、工会经费、福利费、公务用车运行维护费、其他交通费、其他商品和服务支出。</w:t>
      </w:r>
    </w:p>
    <w:p>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12.17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0.29</w:t>
      </w:r>
      <w:r>
        <w:rPr>
          <w:rFonts w:hint="eastAsia" w:eastAsia="仿宋_GB2312" w:cs="仿宋_GB2312"/>
          <w:sz w:val="32"/>
          <w:szCs w:val="32"/>
        </w:rPr>
        <w:t>万元，下降</w:t>
      </w:r>
      <w:r>
        <w:rPr>
          <w:rFonts w:hint="eastAsia" w:eastAsia="仿宋_GB2312" w:cs="仿宋_GB2312"/>
          <w:sz w:val="32"/>
          <w:szCs w:val="32"/>
          <w:lang w:val="en-US" w:eastAsia="zh-CN"/>
        </w:rPr>
        <w:t>2.3</w:t>
      </w:r>
      <w:r>
        <w:rPr>
          <w:rFonts w:hint="eastAsia" w:eastAsia="仿宋_GB2312" w:cs="仿宋_GB2312"/>
          <w:sz w:val="32"/>
          <w:szCs w:val="32"/>
        </w:rPr>
        <w:t>%。决算数小于预算数的主要原因是</w:t>
      </w:r>
      <w:r>
        <w:rPr>
          <w:rFonts w:hint="eastAsia" w:eastAsia="仿宋_GB2312" w:cs="仿宋_GB2312"/>
          <w:sz w:val="32"/>
          <w:szCs w:val="32"/>
          <w:lang w:val="en-US" w:eastAsia="zh-CN"/>
        </w:rPr>
        <w:t>2025年度公务接待较上年度有所减少。</w:t>
      </w:r>
    </w:p>
    <w:p>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11.18</w:t>
      </w:r>
      <w:r>
        <w:rPr>
          <w:rFonts w:hint="eastAsia" w:eastAsia="仿宋_GB2312" w:cs="仿宋_GB2312"/>
          <w:sz w:val="32"/>
          <w:szCs w:val="32"/>
        </w:rPr>
        <w:t>万元，占</w:t>
      </w:r>
      <w:r>
        <w:rPr>
          <w:rFonts w:hint="eastAsia" w:eastAsia="仿宋_GB2312" w:cs="仿宋_GB2312"/>
          <w:sz w:val="32"/>
          <w:szCs w:val="32"/>
          <w:lang w:val="en-US" w:eastAsia="zh-CN"/>
        </w:rPr>
        <w:t>91.8</w:t>
      </w:r>
      <w:r>
        <w:rPr>
          <w:rFonts w:hint="eastAsia" w:eastAsia="仿宋_GB2312" w:cs="仿宋_GB2312"/>
          <w:sz w:val="32"/>
          <w:szCs w:val="32"/>
        </w:rPr>
        <w:t>%；公务接待费支出决算</w:t>
      </w:r>
      <w:r>
        <w:rPr>
          <w:rFonts w:hint="eastAsia" w:eastAsia="仿宋_GB2312" w:cs="仿宋_GB2312"/>
          <w:sz w:val="32"/>
          <w:szCs w:val="32"/>
          <w:lang w:val="en-US" w:eastAsia="zh-CN"/>
        </w:rPr>
        <w:t>1</w:t>
      </w:r>
      <w:r>
        <w:rPr>
          <w:rFonts w:hint="eastAsia" w:eastAsia="仿宋_GB2312" w:cs="仿宋_GB2312"/>
          <w:sz w:val="32"/>
          <w:szCs w:val="32"/>
        </w:rPr>
        <w:t>万元，占</w:t>
      </w:r>
      <w:r>
        <w:rPr>
          <w:rFonts w:hint="eastAsia" w:eastAsia="仿宋_GB2312" w:cs="仿宋_GB2312"/>
          <w:sz w:val="32"/>
          <w:szCs w:val="32"/>
          <w:lang w:val="en-US" w:eastAsia="zh-CN"/>
        </w:rPr>
        <w:t>8.2</w:t>
      </w:r>
      <w:r>
        <w:rPr>
          <w:rFonts w:hint="eastAsia" w:eastAsia="仿宋_GB2312" w:cs="仿宋_GB2312"/>
          <w:sz w:val="32"/>
          <w:szCs w:val="32"/>
        </w:rPr>
        <w:t>%。具体情况如下：</w:t>
      </w:r>
    </w:p>
    <w:p>
      <w:pPr>
        <w:spacing w:line="600" w:lineRule="exact"/>
        <w:ind w:firstLine="1292" w:firstLineChars="404"/>
        <w:rPr>
          <w:rFonts w:hint="eastAsia" w:eastAsia="仿宋_GB2312" w:cs="仿宋_GB2312"/>
          <w:sz w:val="32"/>
          <w:szCs w:val="32"/>
        </w:rPr>
      </w:pPr>
      <w:r>
        <w:rPr>
          <w:rFonts w:hint="eastAsia" w:eastAsia="仿宋_GB2312" w:cs="仿宋_GB2312"/>
          <w:sz w:val="32"/>
          <w:szCs w:val="32"/>
        </w:rPr>
        <w:t>图7：财政拨款“三公”经费支出结构</w:t>
      </w:r>
    </w:p>
    <w:p>
      <w:pPr>
        <w:spacing w:line="240" w:lineRule="auto"/>
        <w:ind w:firstLine="640"/>
        <w:rPr>
          <w:rFonts w:eastAsia="仿宋_GB2312" w:cs="仿宋_GB2312"/>
          <w:sz w:val="32"/>
          <w:szCs w:val="32"/>
        </w:rPr>
      </w:pPr>
      <w:r>
        <w:rPr>
          <w:rFonts w:hint="eastAsia" w:eastAsia="仿宋"/>
        </w:rPr>
        <w:drawing>
          <wp:inline distT="0" distB="0" distL="114300" distR="114300">
            <wp:extent cx="4861560" cy="3524885"/>
            <wp:effectExtent l="74295" t="20955" r="36195" b="9271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人。因公出国（境）支出决算</w:t>
      </w:r>
      <w:r>
        <w:rPr>
          <w:rFonts w:hint="eastAsia" w:eastAsia="仿宋_GB2312" w:cs="仿宋_GB2312"/>
          <w:sz w:val="32"/>
          <w:szCs w:val="32"/>
          <w:lang w:val="en-US" w:eastAsia="zh-CN"/>
        </w:rPr>
        <w:t>与</w:t>
      </w:r>
      <w:r>
        <w:rPr>
          <w:rFonts w:hint="eastAsia" w:eastAsia="仿宋_GB2312" w:cs="仿宋_GB2312"/>
          <w:sz w:val="32"/>
          <w:szCs w:val="32"/>
        </w:rPr>
        <w:t>上年度</w:t>
      </w:r>
      <w:r>
        <w:rPr>
          <w:rFonts w:hint="eastAsia" w:eastAsia="仿宋_GB2312" w:cs="仿宋_GB2312"/>
          <w:sz w:val="32"/>
          <w:szCs w:val="32"/>
          <w:lang w:val="en-US" w:eastAsia="zh-CN"/>
        </w:rPr>
        <w:t>持平。</w:t>
      </w:r>
    </w:p>
    <w:p>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11.18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与</w:t>
      </w:r>
      <w:r>
        <w:rPr>
          <w:rFonts w:hint="eastAsia" w:eastAsia="仿宋_GB2312" w:cs="仿宋_GB2312"/>
          <w:sz w:val="32"/>
          <w:szCs w:val="32"/>
        </w:rPr>
        <w:t>上年度</w:t>
      </w:r>
      <w:r>
        <w:rPr>
          <w:rFonts w:hint="eastAsia" w:eastAsia="仿宋_GB2312" w:cs="仿宋_GB2312"/>
          <w:sz w:val="32"/>
          <w:szCs w:val="32"/>
          <w:lang w:val="en-US" w:eastAsia="zh-CN"/>
        </w:rPr>
        <w:t>持平。</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11</w:t>
      </w:r>
      <w:r>
        <w:rPr>
          <w:rFonts w:hint="eastAsia" w:eastAsia="仿宋_GB2312" w:cs="仿宋_GB2312"/>
          <w:sz w:val="32"/>
          <w:szCs w:val="32"/>
        </w:rPr>
        <w:t>辆，其中：轿车</w:t>
      </w:r>
      <w:r>
        <w:rPr>
          <w:rFonts w:hint="eastAsia" w:eastAsia="仿宋_GB2312" w:cs="仿宋_GB2312"/>
          <w:sz w:val="32"/>
          <w:szCs w:val="32"/>
          <w:lang w:val="en-US" w:eastAsia="zh-CN"/>
        </w:rPr>
        <w:t>1</w:t>
      </w:r>
      <w:r>
        <w:rPr>
          <w:rFonts w:hint="eastAsia" w:eastAsia="仿宋_GB2312" w:cs="仿宋_GB2312"/>
          <w:sz w:val="32"/>
          <w:szCs w:val="32"/>
        </w:rPr>
        <w:t>辆、越野车</w:t>
      </w:r>
      <w:r>
        <w:rPr>
          <w:rFonts w:hint="eastAsia" w:eastAsia="仿宋_GB2312" w:cs="仿宋_GB2312"/>
          <w:sz w:val="32"/>
          <w:szCs w:val="32"/>
          <w:lang w:val="en-US" w:eastAsia="zh-CN"/>
        </w:rPr>
        <w:t>10</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11.18</w:t>
      </w:r>
      <w:r>
        <w:rPr>
          <w:rFonts w:hint="eastAsia" w:eastAsia="仿宋_GB2312" w:cs="仿宋_GB2312"/>
          <w:sz w:val="32"/>
          <w:szCs w:val="32"/>
        </w:rPr>
        <w:t>万元。主要用于</w:t>
      </w:r>
      <w:r>
        <w:rPr>
          <w:rFonts w:hint="eastAsia" w:eastAsia="仿宋_GB2312" w:cs="仿宋_GB2312"/>
          <w:sz w:val="32"/>
          <w:szCs w:val="32"/>
          <w:lang w:val="en-US" w:eastAsia="zh-CN"/>
        </w:rPr>
        <w:t>法院审判、执行、案件调查、文书送达、外出开庭等</w:t>
      </w:r>
      <w:r>
        <w:rPr>
          <w:rFonts w:hint="eastAsia"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w:t>
      </w:r>
      <w:bookmarkStart w:id="42" w:name="_Toc15377218"/>
      <w:bookmarkStart w:id="43" w:name="_Toc15396610"/>
      <w:r>
        <w:rPr>
          <w:rFonts w:hint="eastAsia" w:eastAsia="仿宋_GB2312" w:cs="仿宋_GB2312"/>
          <w:b/>
          <w:bCs/>
          <w:sz w:val="32"/>
          <w:szCs w:val="32"/>
        </w:rPr>
        <w:t>公务接待费支出</w:t>
      </w:r>
      <w:r>
        <w:rPr>
          <w:rFonts w:hint="eastAsia" w:eastAsia="仿宋_GB2312" w:cs="仿宋_GB2312"/>
          <w:b/>
          <w:bCs/>
          <w:sz w:val="32"/>
          <w:szCs w:val="32"/>
          <w:lang w:val="en-US" w:eastAsia="zh-CN"/>
        </w:rPr>
        <w:t>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0.32</w:t>
      </w:r>
      <w:r>
        <w:rPr>
          <w:rFonts w:hint="eastAsia" w:eastAsia="仿宋_GB2312" w:cs="仿宋_GB2312"/>
          <w:sz w:val="32"/>
          <w:szCs w:val="32"/>
        </w:rPr>
        <w:t>万元，下降</w:t>
      </w:r>
      <w:r>
        <w:rPr>
          <w:rFonts w:hint="eastAsia" w:eastAsia="仿宋_GB2312" w:cs="仿宋_GB2312"/>
          <w:sz w:val="32"/>
          <w:szCs w:val="32"/>
          <w:lang w:val="en-US" w:eastAsia="zh-CN"/>
        </w:rPr>
        <w:t>24.2</w:t>
      </w:r>
      <w:r>
        <w:rPr>
          <w:rFonts w:hint="eastAsia" w:eastAsia="仿宋_GB2312" w:cs="仿宋_GB2312"/>
          <w:sz w:val="32"/>
          <w:szCs w:val="32"/>
        </w:rPr>
        <w:t>%。主要原因是</w:t>
      </w:r>
      <w:r>
        <w:rPr>
          <w:rFonts w:hint="eastAsia" w:eastAsia="仿宋_GB2312" w:cs="仿宋_GB2312"/>
          <w:sz w:val="32"/>
          <w:szCs w:val="32"/>
          <w:lang w:val="en-US" w:eastAsia="zh-CN"/>
        </w:rPr>
        <w:t>2025年度较上一年度接待工作减少</w:t>
      </w:r>
      <w:r>
        <w:rPr>
          <w:rFonts w:hint="eastAsia" w:eastAsia="仿宋_GB2312" w:cs="仿宋_GB2312"/>
          <w:sz w:val="32"/>
          <w:szCs w:val="32"/>
        </w:rPr>
        <w:t>。其中：</w:t>
      </w:r>
    </w:p>
    <w:p>
      <w:pPr>
        <w:spacing w:line="600" w:lineRule="exact"/>
        <w:ind w:firstLine="640"/>
        <w:rPr>
          <w:rFonts w:hint="eastAsia"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1</w:t>
      </w:r>
      <w:r>
        <w:rPr>
          <w:rFonts w:hint="eastAsia" w:eastAsia="仿宋_GB2312" w:cs="仿宋_GB2312"/>
          <w:sz w:val="32"/>
          <w:szCs w:val="32"/>
        </w:rPr>
        <w:t>万元，主要用于</w:t>
      </w:r>
      <w:r>
        <w:rPr>
          <w:rFonts w:hint="default" w:ascii="Times New Roman" w:hAnsi="Times New Roman" w:eastAsia="仿宋_GB2312" w:cs="Times New Roman"/>
          <w:sz w:val="32"/>
          <w:szCs w:val="32"/>
        </w:rPr>
        <w:t>执行公务、开展业务活动</w:t>
      </w:r>
      <w:r>
        <w:rPr>
          <w:rFonts w:hint="eastAsia" w:eastAsia="仿宋_GB2312" w:cs="Times New Roman"/>
          <w:sz w:val="32"/>
          <w:szCs w:val="32"/>
          <w:lang w:eastAsia="zh-CN"/>
        </w:rPr>
        <w:t>、</w:t>
      </w:r>
      <w:r>
        <w:rPr>
          <w:rFonts w:hint="eastAsia" w:eastAsia="仿宋_GB2312" w:cs="Times New Roman"/>
          <w:sz w:val="32"/>
          <w:szCs w:val="32"/>
          <w:lang w:val="en-US" w:eastAsia="zh-CN"/>
        </w:rPr>
        <w:t>调研学习等</w:t>
      </w:r>
      <w:r>
        <w:rPr>
          <w:rFonts w:hint="default" w:ascii="Times New Roman" w:hAnsi="Times New Roman" w:eastAsia="仿宋_GB2312" w:cs="Times New Roman"/>
          <w:sz w:val="32"/>
          <w:szCs w:val="32"/>
        </w:rPr>
        <w:t>开支的</w:t>
      </w:r>
      <w:r>
        <w:rPr>
          <w:rFonts w:hint="eastAsia" w:ascii="仿宋" w:hAnsi="仿宋" w:eastAsia="仿宋"/>
          <w:kern w:val="0"/>
          <w:sz w:val="32"/>
          <w:szCs w:val="32"/>
        </w:rPr>
        <w:t>用餐费等</w:t>
      </w:r>
      <w:r>
        <w:rPr>
          <w:rFonts w:hint="eastAsia" w:eastAsia="仿宋_GB2312" w:cs="仿宋_GB2312"/>
          <w:sz w:val="32"/>
          <w:szCs w:val="32"/>
        </w:rPr>
        <w:t>。国内公务接待</w:t>
      </w:r>
      <w:r>
        <w:rPr>
          <w:rFonts w:hint="eastAsia" w:eastAsia="仿宋_GB2312" w:cs="仿宋_GB2312"/>
          <w:sz w:val="32"/>
          <w:szCs w:val="32"/>
          <w:lang w:val="en-US" w:eastAsia="zh-CN"/>
        </w:rPr>
        <w:t>9</w:t>
      </w:r>
      <w:r>
        <w:rPr>
          <w:rFonts w:hint="eastAsia" w:eastAsia="仿宋_GB2312" w:cs="仿宋_GB2312"/>
          <w:sz w:val="32"/>
          <w:szCs w:val="32"/>
        </w:rPr>
        <w:t>批次，</w:t>
      </w:r>
      <w:r>
        <w:rPr>
          <w:rFonts w:hint="eastAsia" w:eastAsia="仿宋_GB2312" w:cs="仿宋_GB2312"/>
          <w:sz w:val="32"/>
          <w:szCs w:val="32"/>
          <w:lang w:val="en-US" w:eastAsia="zh-CN"/>
        </w:rPr>
        <w:t>75</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1</w:t>
      </w:r>
      <w:r>
        <w:rPr>
          <w:rFonts w:hint="eastAsia" w:eastAsia="仿宋_GB2312" w:cs="仿宋_GB2312"/>
          <w:sz w:val="32"/>
          <w:szCs w:val="32"/>
        </w:rPr>
        <w:t>万元，具体内容包括：</w:t>
      </w:r>
      <w:r>
        <w:rPr>
          <w:rFonts w:hint="eastAsia" w:eastAsia="仿宋_GB2312" w:cs="仿宋_GB2312"/>
          <w:sz w:val="32"/>
          <w:szCs w:val="32"/>
          <w:lang w:val="en-US" w:eastAsia="zh-CN"/>
        </w:rPr>
        <w:t>接待省高院调研3次分别0.09万元、0.11万元、0.09万元；接待省高院与市中院调研0.14万元；接待遂宁法院开展警务保障工作0.1万元；接待市中院调研2次分别0.12万元、0.12万元；接待</w:t>
      </w:r>
      <w:r>
        <w:rPr>
          <w:rFonts w:hint="eastAsia" w:eastAsia="仿宋_GB2312" w:cs="仿宋_GB2312"/>
          <w:sz w:val="32"/>
          <w:szCs w:val="32"/>
        </w:rPr>
        <w:t>武胜法院交流</w:t>
      </w:r>
      <w:r>
        <w:rPr>
          <w:rFonts w:hint="eastAsia" w:eastAsia="仿宋_GB2312" w:cs="仿宋_GB2312"/>
          <w:sz w:val="32"/>
          <w:szCs w:val="32"/>
          <w:lang w:val="en-US" w:eastAsia="zh-CN"/>
        </w:rPr>
        <w:t>学习0.09万元；接待楚雄中院调研学习0.14万元</w:t>
      </w:r>
      <w:r>
        <w:rPr>
          <w:rFonts w:hint="eastAsia" w:eastAsia="仿宋_GB2312" w:cs="仿宋_GB2312"/>
          <w:sz w:val="32"/>
          <w:szCs w:val="32"/>
        </w:rPr>
        <w:t>。</w:t>
      </w:r>
    </w:p>
    <w:p>
      <w:pPr>
        <w:spacing w:line="600" w:lineRule="exact"/>
        <w:ind w:firstLine="640"/>
        <w:outlineLvl w:val="1"/>
        <w:rPr>
          <w:rFonts w:hint="eastAsia"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pPr>
        <w:spacing w:line="600" w:lineRule="exact"/>
        <w:ind w:firstLine="640"/>
        <w:rPr>
          <w:rFonts w:hint="eastAsia" w:eastAsia="仿宋_GB2312" w:cs="仿宋_GB2312"/>
          <w:sz w:val="32"/>
          <w:szCs w:val="32"/>
          <w:lang w:val="en-US" w:eastAsia="zh-CN"/>
        </w:rPr>
      </w:pPr>
      <w:bookmarkStart w:id="44" w:name="_Toc15377219"/>
      <w:bookmarkStart w:id="45" w:name="_Toc15396611"/>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w:t>
      </w: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九、国有资本经营预算支出决算情况说明</w:t>
      </w:r>
      <w:bookmarkEnd w:id="44"/>
      <w:bookmarkEnd w:id="45"/>
    </w:p>
    <w:p>
      <w:pPr>
        <w:spacing w:line="600" w:lineRule="exact"/>
        <w:ind w:left="630"/>
        <w:outlineLvl w:val="1"/>
        <w:rPr>
          <w:rFonts w:hint="eastAsia" w:eastAsia="仿宋_GB2312" w:cs="仿宋_GB2312"/>
          <w:sz w:val="32"/>
          <w:szCs w:val="32"/>
          <w:lang w:eastAsia="zh-CN"/>
        </w:rPr>
      </w:pPr>
      <w:bookmarkStart w:id="46" w:name="_Toc15377221"/>
      <w:bookmarkStart w:id="47" w:name="_Toc15396612"/>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eastAsia="zh-CN"/>
        </w:rPr>
        <w:t>。</w:t>
      </w:r>
    </w:p>
    <w:p>
      <w:pPr>
        <w:spacing w:line="600" w:lineRule="exact"/>
        <w:ind w:left="630"/>
        <w:outlineLvl w:val="1"/>
        <w:rPr>
          <w:rStyle w:val="29"/>
          <w:rFonts w:ascii="Times New Roman" w:hAnsi="Times New Roman" w:eastAsia="黑体"/>
          <w:b w:val="0"/>
        </w:rPr>
      </w:pPr>
      <w:r>
        <w:rPr>
          <w:rStyle w:val="29"/>
          <w:rFonts w:hint="eastAsia" w:ascii="Times New Roman" w:hAnsi="Times New Roman" w:eastAsia="黑体"/>
          <w:b w:val="0"/>
        </w:rPr>
        <w:t>十、其他重要事项的情况说明</w:t>
      </w:r>
      <w:bookmarkEnd w:id="46"/>
      <w:bookmarkEnd w:id="47"/>
    </w:p>
    <w:p>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2025年度，</w:t>
      </w:r>
      <w:r>
        <w:rPr>
          <w:rFonts w:hint="eastAsia" w:eastAsia="仿宋_GB2312" w:cs="仿宋_GB2312"/>
          <w:sz w:val="32"/>
          <w:szCs w:val="32"/>
          <w:lang w:val="en-US" w:eastAsia="zh-CN"/>
        </w:rPr>
        <w:t>盐边县人民法院</w:t>
      </w:r>
      <w:r>
        <w:rPr>
          <w:rFonts w:hint="eastAsia" w:eastAsia="仿宋_GB2312" w:cs="仿宋_GB2312"/>
          <w:sz w:val="32"/>
          <w:szCs w:val="32"/>
        </w:rPr>
        <w:t>机关运行经费支出141.81万元，比上年度减少</w:t>
      </w:r>
      <w:r>
        <w:rPr>
          <w:rFonts w:hint="eastAsia" w:eastAsia="仿宋_GB2312" w:cs="仿宋_GB2312"/>
          <w:sz w:val="32"/>
          <w:szCs w:val="32"/>
          <w:lang w:val="en-US" w:eastAsia="zh-CN"/>
        </w:rPr>
        <w:t>23.63</w:t>
      </w:r>
      <w:r>
        <w:rPr>
          <w:rFonts w:hint="eastAsia" w:eastAsia="仿宋_GB2312" w:cs="仿宋_GB2312"/>
          <w:sz w:val="32"/>
          <w:szCs w:val="32"/>
        </w:rPr>
        <w:t>万元，下降</w:t>
      </w:r>
      <w:r>
        <w:rPr>
          <w:rFonts w:hint="eastAsia" w:eastAsia="仿宋_GB2312" w:cs="仿宋_GB2312"/>
          <w:sz w:val="32"/>
          <w:szCs w:val="32"/>
          <w:lang w:val="en-US" w:eastAsia="zh-CN"/>
        </w:rPr>
        <w:t>14.3</w:t>
      </w:r>
      <w:r>
        <w:rPr>
          <w:rFonts w:hint="eastAsia" w:eastAsia="仿宋_GB2312" w:cs="仿宋_GB2312"/>
          <w:sz w:val="32"/>
          <w:szCs w:val="32"/>
        </w:rPr>
        <w:t>%。主要原因是</w:t>
      </w:r>
      <w:r>
        <w:rPr>
          <w:rFonts w:hint="eastAsia" w:eastAsia="仿宋_GB2312" w:cs="仿宋_GB2312"/>
          <w:sz w:val="32"/>
          <w:szCs w:val="32"/>
          <w:lang w:val="en-US" w:eastAsia="zh-CN"/>
        </w:rPr>
        <w:t>落实党政机关“过紧日子”的要求，厉行勤俭节约，严控办公费、差旅费、其他商品和服务支出等开支。</w:t>
      </w:r>
    </w:p>
    <w:p>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盐边县人民法院</w:t>
      </w:r>
      <w:r>
        <w:rPr>
          <w:rFonts w:hint="eastAsia" w:eastAsia="仿宋_GB2312" w:cs="仿宋_GB2312"/>
          <w:sz w:val="32"/>
          <w:szCs w:val="32"/>
        </w:rPr>
        <w:t>政府采购支出总额</w:t>
      </w:r>
      <w:r>
        <w:rPr>
          <w:rFonts w:hint="eastAsia" w:eastAsia="仿宋_GB2312" w:cs="仿宋_GB2312"/>
          <w:sz w:val="32"/>
          <w:szCs w:val="32"/>
          <w:lang w:val="en-US" w:eastAsia="zh-CN"/>
        </w:rPr>
        <w:t>61.88</w:t>
      </w:r>
      <w:r>
        <w:rPr>
          <w:rFonts w:hint="eastAsia" w:eastAsia="仿宋_GB2312" w:cs="仿宋_GB2312"/>
          <w:sz w:val="32"/>
          <w:szCs w:val="32"/>
        </w:rPr>
        <w:t>万元，其中：政府采购货物支出</w:t>
      </w:r>
      <w:r>
        <w:rPr>
          <w:rFonts w:hint="eastAsia" w:eastAsia="仿宋_GB2312" w:cs="仿宋_GB2312"/>
          <w:sz w:val="32"/>
          <w:szCs w:val="32"/>
          <w:lang w:val="en-US" w:eastAsia="zh-CN"/>
        </w:rPr>
        <w:t>22.48</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10.64</w:t>
      </w:r>
      <w:r>
        <w:rPr>
          <w:rFonts w:hint="eastAsia" w:eastAsia="仿宋_GB2312" w:cs="仿宋_GB2312"/>
          <w:sz w:val="32"/>
          <w:szCs w:val="32"/>
        </w:rPr>
        <w:t>万元。主要用于</w:t>
      </w:r>
      <w:r>
        <w:rPr>
          <w:rFonts w:hint="eastAsia" w:eastAsia="仿宋_GB2312" w:cs="仿宋_GB2312"/>
          <w:sz w:val="32"/>
          <w:szCs w:val="32"/>
          <w:lang w:val="en-US" w:eastAsia="zh-CN"/>
        </w:rPr>
        <w:t>业务装备采购、公务用车维修保险加油等</w:t>
      </w:r>
      <w:r>
        <w:rPr>
          <w:rFonts w:hint="eastAsia" w:eastAsia="仿宋_GB2312" w:cs="仿宋_GB2312"/>
          <w:sz w:val="32"/>
          <w:szCs w:val="32"/>
        </w:rPr>
        <w:t>。授予中小企业合同金</w:t>
      </w:r>
      <w:bookmarkStart w:id="70" w:name="_GoBack"/>
      <w:bookmarkEnd w:id="70"/>
      <w:r>
        <w:rPr>
          <w:rFonts w:hint="eastAsia" w:eastAsia="仿宋_GB2312" w:cs="仿宋_GB2312"/>
          <w:sz w:val="32"/>
          <w:szCs w:val="32"/>
        </w:rPr>
        <w:t>额</w:t>
      </w:r>
      <w:r>
        <w:rPr>
          <w:rFonts w:hint="eastAsia" w:eastAsia="仿宋_GB2312" w:cs="仿宋_GB2312"/>
          <w:sz w:val="32"/>
          <w:szCs w:val="32"/>
          <w:lang w:val="en-US" w:eastAsia="zh-CN"/>
        </w:rPr>
        <w:t>28.76</w:t>
      </w:r>
      <w:r>
        <w:rPr>
          <w:rFonts w:hint="eastAsia" w:eastAsia="仿宋_GB2312" w:cs="仿宋_GB2312"/>
          <w:sz w:val="32"/>
          <w:szCs w:val="32"/>
        </w:rPr>
        <w:t>万元，占政府采购支出总额的</w:t>
      </w:r>
      <w:r>
        <w:rPr>
          <w:rFonts w:hint="eastAsia" w:eastAsia="仿宋_GB2312" w:cs="仿宋_GB2312"/>
          <w:sz w:val="32"/>
          <w:szCs w:val="32"/>
          <w:lang w:val="en-US" w:eastAsia="zh-CN"/>
        </w:rPr>
        <w:t>46.5</w:t>
      </w:r>
      <w:r>
        <w:rPr>
          <w:rFonts w:hint="eastAsia" w:eastAsia="仿宋_GB2312" w:cs="仿宋_GB2312"/>
          <w:sz w:val="32"/>
          <w:szCs w:val="32"/>
        </w:rPr>
        <w:t>%，其中：授予小微企业合同金额</w:t>
      </w:r>
      <w:r>
        <w:rPr>
          <w:rFonts w:hint="eastAsia" w:eastAsia="仿宋_GB2312" w:cs="仿宋_GB2312"/>
          <w:sz w:val="32"/>
          <w:szCs w:val="32"/>
          <w:lang w:val="en-US" w:eastAsia="zh-CN"/>
        </w:rPr>
        <w:t>4.04</w:t>
      </w:r>
      <w:r>
        <w:rPr>
          <w:rFonts w:hint="eastAsia" w:eastAsia="仿宋_GB2312" w:cs="仿宋_GB2312"/>
          <w:sz w:val="32"/>
          <w:szCs w:val="32"/>
        </w:rPr>
        <w:t>万元，占政府采购支出总额的</w:t>
      </w:r>
      <w:r>
        <w:rPr>
          <w:rFonts w:hint="eastAsia" w:eastAsia="仿宋_GB2312" w:cs="仿宋_GB2312"/>
          <w:sz w:val="32"/>
          <w:szCs w:val="32"/>
          <w:lang w:val="en-US" w:eastAsia="zh-CN"/>
        </w:rPr>
        <w:t>6.5</w:t>
      </w:r>
      <w:r>
        <w:rPr>
          <w:rFonts w:hint="eastAsia" w:eastAsia="仿宋_GB2312" w:cs="仿宋_GB2312"/>
          <w:sz w:val="32"/>
          <w:szCs w:val="32"/>
        </w:rPr>
        <w:t>%。</w:t>
      </w:r>
    </w:p>
    <w:p>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盐边县人民法院</w:t>
      </w:r>
      <w:r>
        <w:rPr>
          <w:rFonts w:hint="eastAsia" w:eastAsia="仿宋_GB2312" w:cs="仿宋_GB2312"/>
          <w:sz w:val="32"/>
          <w:szCs w:val="32"/>
        </w:rPr>
        <w:t>共有车辆</w:t>
      </w:r>
      <w:r>
        <w:rPr>
          <w:rFonts w:hint="eastAsia" w:eastAsia="仿宋_GB2312" w:cs="仿宋_GB2312"/>
          <w:sz w:val="32"/>
          <w:szCs w:val="32"/>
          <w:lang w:val="en-US" w:eastAsia="zh-CN"/>
        </w:rPr>
        <w:t>11</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8</w:t>
      </w:r>
      <w:r>
        <w:rPr>
          <w:rFonts w:hint="eastAsia" w:eastAsia="仿宋_GB2312" w:cs="仿宋_GB2312"/>
          <w:sz w:val="32"/>
          <w:szCs w:val="32"/>
        </w:rPr>
        <w:t>辆、特种专业技术用车</w:t>
      </w:r>
      <w:r>
        <w:rPr>
          <w:rFonts w:hint="eastAsia" w:eastAsia="仿宋_GB2312" w:cs="仿宋_GB2312"/>
          <w:sz w:val="32"/>
          <w:szCs w:val="32"/>
          <w:lang w:val="en-US" w:eastAsia="zh-CN"/>
        </w:rPr>
        <w:t>3</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val="en-US" w:eastAsia="zh-CN"/>
        </w:rPr>
        <w:t>盐边县人民法院</w:t>
      </w:r>
      <w:r>
        <w:rPr>
          <w:rFonts w:hint="eastAsia" w:eastAsia="仿宋_GB2312" w:cs="仿宋_GB2312"/>
          <w:sz w:val="32"/>
          <w:szCs w:val="32"/>
        </w:rPr>
        <w:t>在2025年度，组织对</w:t>
      </w:r>
      <w:r>
        <w:rPr>
          <w:rFonts w:hint="eastAsia" w:eastAsia="仿宋_GB2312" w:cs="仿宋_GB2312"/>
          <w:sz w:val="32"/>
          <w:szCs w:val="32"/>
          <w:lang w:val="en-US" w:eastAsia="zh-CN"/>
        </w:rPr>
        <w:t>办案经费</w:t>
      </w:r>
      <w:r>
        <w:rPr>
          <w:rFonts w:hint="eastAsia" w:eastAsia="仿宋_GB2312" w:cs="仿宋_GB2312"/>
          <w:sz w:val="32"/>
          <w:szCs w:val="32"/>
        </w:rPr>
        <w:t>等</w:t>
      </w:r>
      <w:r>
        <w:rPr>
          <w:rFonts w:hint="eastAsia" w:eastAsia="仿宋_GB2312" w:cs="仿宋_GB2312"/>
          <w:sz w:val="32"/>
          <w:szCs w:val="32"/>
          <w:lang w:val="en-US" w:eastAsia="zh-CN"/>
        </w:rPr>
        <w:t>4</w:t>
      </w:r>
      <w:r>
        <w:rPr>
          <w:rFonts w:hint="eastAsia" w:eastAsia="仿宋_GB2312" w:cs="仿宋_GB2312"/>
          <w:sz w:val="32"/>
          <w:szCs w:val="32"/>
        </w:rPr>
        <w:t>个项目涉及金额</w:t>
      </w:r>
      <w:r>
        <w:rPr>
          <w:rFonts w:hint="eastAsia" w:eastAsia="仿宋_GB2312" w:cs="仿宋_GB2312"/>
          <w:sz w:val="32"/>
          <w:szCs w:val="32"/>
          <w:lang w:val="en-US" w:eastAsia="zh-CN"/>
        </w:rPr>
        <w:t>589.6</w:t>
      </w:r>
      <w:r>
        <w:rPr>
          <w:rFonts w:hint="eastAsia" w:eastAsia="仿宋_GB2312" w:cs="仿宋_GB2312"/>
          <w:sz w:val="32"/>
          <w:szCs w:val="32"/>
        </w:rPr>
        <w:t>万元开展了事前绩效评估，对</w:t>
      </w:r>
      <w:r>
        <w:rPr>
          <w:rFonts w:hint="eastAsia" w:eastAsia="仿宋_GB2312" w:cs="仿宋_GB2312"/>
          <w:sz w:val="32"/>
          <w:szCs w:val="32"/>
          <w:lang w:val="en-US" w:eastAsia="zh-CN"/>
        </w:rPr>
        <w:t>4</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4</w:t>
      </w:r>
      <w:r>
        <w:rPr>
          <w:rFonts w:hint="eastAsia" w:eastAsia="仿宋_GB2312" w:cs="仿宋_GB2312"/>
          <w:sz w:val="32"/>
          <w:szCs w:val="32"/>
        </w:rPr>
        <w:t>个项目开展绩效监控</w:t>
      </w:r>
      <w:r>
        <w:rPr>
          <w:rFonts w:hint="eastAsia" w:eastAsia="仿宋_GB2312" w:cs="仿宋_GB2312"/>
          <w:sz w:val="32"/>
          <w:szCs w:val="32"/>
          <w:lang w:eastAsia="zh-CN"/>
        </w:rPr>
        <w:t>。</w:t>
      </w:r>
      <w:r>
        <w:rPr>
          <w:rFonts w:hint="default" w:ascii="Times New Roman" w:hAnsi="Times New Roman" w:eastAsia="仿宋_GB2312" w:cs="Times New Roman"/>
          <w:sz w:val="32"/>
          <w:szCs w:val="32"/>
        </w:rPr>
        <w:t>由于</w:t>
      </w:r>
      <w:r>
        <w:rPr>
          <w:rFonts w:hint="eastAsia" w:eastAsia="仿宋_GB2312" w:cs="Times New Roman"/>
          <w:sz w:val="32"/>
          <w:szCs w:val="32"/>
          <w:lang w:val="en-US" w:eastAsia="zh-CN"/>
        </w:rPr>
        <w:t>其中2个</w:t>
      </w:r>
      <w:r>
        <w:rPr>
          <w:rFonts w:hint="default" w:ascii="Times New Roman" w:hAnsi="Times New Roman" w:eastAsia="仿宋_GB2312" w:cs="Times New Roman"/>
          <w:sz w:val="32"/>
          <w:szCs w:val="32"/>
        </w:rPr>
        <w:t>项目存在涉密情况，所以组织对</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个项目</w:t>
      </w:r>
      <w:r>
        <w:rPr>
          <w:rFonts w:hint="eastAsia" w:eastAsia="仿宋_GB2312" w:cs="Times New Roman"/>
          <w:sz w:val="32"/>
          <w:szCs w:val="32"/>
          <w:lang w:val="en-US" w:eastAsia="zh-CN"/>
        </w:rPr>
        <w:t>公开</w:t>
      </w:r>
      <w:r>
        <w:rPr>
          <w:rFonts w:hint="default" w:ascii="Times New Roman" w:hAnsi="Times New Roman" w:eastAsia="仿宋_GB2312" w:cs="Times New Roman"/>
          <w:sz w:val="32"/>
          <w:szCs w:val="32"/>
        </w:rPr>
        <w:t>绩效</w:t>
      </w:r>
      <w:r>
        <w:rPr>
          <w:rFonts w:hint="eastAsia" w:eastAsia="仿宋_GB2312" w:cs="Times New Roman"/>
          <w:sz w:val="32"/>
          <w:szCs w:val="32"/>
          <w:lang w:val="en-US" w:eastAsia="zh-CN"/>
        </w:rPr>
        <w:t>评价</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组织对2025年度一般公共预算全面开展绩效自评，形成</w:t>
      </w:r>
      <w:r>
        <w:rPr>
          <w:rFonts w:hint="eastAsia" w:eastAsia="仿宋_GB2312" w:cs="仿宋_GB2312"/>
          <w:sz w:val="32"/>
          <w:szCs w:val="32"/>
          <w:lang w:val="en-US" w:eastAsia="zh-CN"/>
        </w:rPr>
        <w:t>盐边县人民法院</w:t>
      </w:r>
      <w:r>
        <w:rPr>
          <w:rFonts w:hint="eastAsia" w:eastAsia="仿宋_GB2312" w:cs="仿宋_GB2312"/>
          <w:sz w:val="32"/>
          <w:szCs w:val="32"/>
        </w:rPr>
        <w:t>部门预算（含部门预算项目）绩效自评报告，其中，</w:t>
      </w:r>
      <w:r>
        <w:rPr>
          <w:rFonts w:hint="eastAsia" w:eastAsia="仿宋_GB2312" w:cs="仿宋_GB2312"/>
          <w:sz w:val="32"/>
          <w:szCs w:val="32"/>
          <w:lang w:val="en-US" w:eastAsia="zh-CN"/>
        </w:rPr>
        <w:t>盐边县人民法院</w:t>
      </w:r>
      <w:r>
        <w:rPr>
          <w:rFonts w:hint="eastAsia" w:eastAsia="仿宋_GB2312" w:cs="仿宋_GB2312"/>
          <w:sz w:val="32"/>
          <w:szCs w:val="32"/>
        </w:rPr>
        <w:t>部门预算（含部门预算项目）绩效自评得分为</w:t>
      </w:r>
      <w:r>
        <w:rPr>
          <w:rFonts w:hint="eastAsia" w:eastAsia="仿宋_GB2312" w:cs="仿宋_GB2312"/>
          <w:sz w:val="32"/>
          <w:szCs w:val="32"/>
          <w:lang w:val="en-US" w:eastAsia="zh-CN"/>
        </w:rPr>
        <w:t>96.52</w:t>
      </w:r>
      <w:r>
        <w:rPr>
          <w:rFonts w:hint="eastAsia" w:eastAsia="仿宋_GB2312" w:cs="仿宋_GB2312"/>
          <w:sz w:val="32"/>
          <w:szCs w:val="32"/>
        </w:rPr>
        <w:t>分，</w:t>
      </w:r>
      <w:r>
        <w:rPr>
          <w:rFonts w:hint="eastAsia" w:eastAsia="仿宋_GB2312" w:cs="仿宋_GB2312"/>
          <w:sz w:val="32"/>
          <w:szCs w:val="32"/>
          <w:lang w:val="en-US" w:eastAsia="zh-CN"/>
        </w:rPr>
        <w:t>结果良好，</w:t>
      </w:r>
      <w:r>
        <w:rPr>
          <w:rFonts w:hint="eastAsia" w:eastAsia="仿宋_GB2312" w:cs="Times New Roman"/>
          <w:sz w:val="32"/>
          <w:szCs w:val="32"/>
          <w:lang w:eastAsia="zh-CN"/>
        </w:rPr>
        <w:t>202</w:t>
      </w:r>
      <w:r>
        <w:rPr>
          <w:rFonts w:hint="eastAsia" w:eastAsia="仿宋_GB2312" w:cs="Times New Roman"/>
          <w:sz w:val="32"/>
          <w:szCs w:val="32"/>
          <w:lang w:val="en-US" w:eastAsia="zh-CN"/>
        </w:rPr>
        <w:t>5年度</w:t>
      </w:r>
      <w:r>
        <w:rPr>
          <w:rFonts w:hint="eastAsia" w:eastAsia="仿宋_GB2312" w:cs="Times New Roman"/>
          <w:sz w:val="32"/>
          <w:szCs w:val="32"/>
          <w:lang w:eastAsia="zh-CN"/>
        </w:rPr>
        <w:t>整体支出在年初预算范围内，项目均严格按照财政下拨数合理安排使用，无超标准、超预算等情况发生，预算完成情况良好，</w:t>
      </w:r>
      <w:r>
        <w:rPr>
          <w:rFonts w:hint="default" w:ascii="Times New Roman" w:hAnsi="Times New Roman" w:eastAsia="仿宋_GB2312" w:cs="Times New Roman"/>
          <w:sz w:val="32"/>
          <w:szCs w:val="32"/>
        </w:rPr>
        <w:t>为</w:t>
      </w:r>
      <w:r>
        <w:rPr>
          <w:rFonts w:hint="eastAsia" w:eastAsia="仿宋_GB2312" w:cs="Times New Roman"/>
          <w:sz w:val="32"/>
          <w:szCs w:val="32"/>
          <w:lang w:eastAsia="zh-CN"/>
        </w:rPr>
        <w:t>我</w:t>
      </w:r>
      <w:r>
        <w:rPr>
          <w:rFonts w:hint="default" w:ascii="Times New Roman" w:hAnsi="Times New Roman" w:eastAsia="仿宋_GB2312" w:cs="Times New Roman"/>
          <w:sz w:val="32"/>
          <w:szCs w:val="32"/>
        </w:rPr>
        <w:t>院的审判</w:t>
      </w:r>
      <w:r>
        <w:rPr>
          <w:rFonts w:hint="eastAsia" w:eastAsia="仿宋_GB2312" w:cs="Times New Roman"/>
          <w:sz w:val="32"/>
          <w:szCs w:val="32"/>
          <w:lang w:eastAsia="zh-CN"/>
        </w:rPr>
        <w:t>、</w:t>
      </w:r>
      <w:r>
        <w:rPr>
          <w:rFonts w:hint="eastAsia" w:eastAsia="仿宋_GB2312" w:cs="Times New Roman"/>
          <w:sz w:val="32"/>
          <w:szCs w:val="32"/>
          <w:lang w:val="en-US" w:eastAsia="zh-CN"/>
        </w:rPr>
        <w:t>执行、办案等</w:t>
      </w:r>
      <w:r>
        <w:rPr>
          <w:rFonts w:hint="default" w:ascii="Times New Roman" w:hAnsi="Times New Roman" w:eastAsia="仿宋_GB2312" w:cs="Times New Roman"/>
          <w:sz w:val="32"/>
          <w:szCs w:val="32"/>
        </w:rPr>
        <w:t>工作提供了有力保障</w:t>
      </w:r>
      <w:r>
        <w:rPr>
          <w:rFonts w:hint="eastAsia" w:eastAsia="仿宋_GB2312" w:cs="仿宋_GB2312"/>
          <w:sz w:val="32"/>
          <w:szCs w:val="32"/>
          <w:lang w:val="en-US" w:eastAsia="zh-CN"/>
        </w:rPr>
        <w:t>。</w:t>
      </w:r>
    </w:p>
    <w:p>
      <w:pPr>
        <w:spacing w:line="600" w:lineRule="exact"/>
        <w:ind w:firstLine="640"/>
        <w:rPr>
          <w:rFonts w:eastAsia="仿宋_GB2312" w:cs="仿宋_GB2312"/>
          <w:sz w:val="32"/>
          <w:szCs w:val="32"/>
        </w:rPr>
      </w:pPr>
    </w:p>
    <w:p>
      <w:pPr>
        <w:spacing w:line="600" w:lineRule="exact"/>
        <w:jc w:val="center"/>
        <w:outlineLvl w:val="0"/>
        <w:rPr>
          <w:rFonts w:eastAsia="黑体"/>
          <w:sz w:val="44"/>
          <w:szCs w:val="44"/>
        </w:rPr>
      </w:pPr>
      <w:bookmarkStart w:id="51" w:name="_Toc15396613"/>
      <w:bookmarkStart w:id="52" w:name="_Toc15377225"/>
      <w:r>
        <w:rPr>
          <w:rFonts w:hint="eastAsia" w:eastAsia="黑体"/>
          <w:sz w:val="44"/>
          <w:szCs w:val="44"/>
        </w:rPr>
        <w:t>第三部分  名词解释</w:t>
      </w:r>
      <w:bookmarkEnd w:id="51"/>
      <w:bookmarkEnd w:id="52"/>
    </w:p>
    <w:p>
      <w:pPr>
        <w:spacing w:line="600" w:lineRule="exact"/>
        <w:jc w:val="left"/>
        <w:rPr>
          <w:b/>
          <w:sz w:val="44"/>
          <w:szCs w:val="44"/>
        </w:rPr>
      </w:pP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1.财政拨款收入：指单位从同级财政部门取得的财政预算资金。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2.其他收入：指单位取得的除上述收入以外的各项收入。主要是银行存款利息等。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3.年初结转和结余：指以前年度尚未完成、结转到本年按有关规定继续使用的资金。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4.结余分配：指事业单位按照会计制度规定缴纳的所得税、提取的专用结余以及转入非财政拨款结余的金额等。</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5.一般公共服务支出（类）民族事务（款）民族工作专项（项）：指用于民族事务管理方面的专项支出。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6.一般公共服务支出（类）其他一般公共服务支出（款）其他一般公共服务支出（项）：指上述项目未包括的一般公共服务支出。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7.公共安全支出（类）法院（款）行政运行（项）：指法院（包括各专门法院）的基本支出。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8.公共安全支出（类）法院（款）一般行政管理事务（项）：指法院（包括各专门法院）未单独设置项级科目的其他项目支出。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9.公共安全支出（类）法院（款）其他法院支出（项）：指除上述项目以外其他用于法院方面的支出。。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10.公共安全支出（类）其他公共安全支出（款）其他公共安全支出（项）：指除上述项目以外其他用于公共安全方面的支出。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11.社会保障和就业支出（类）行政事业单位养老支出（款）行政单位离退休（项）：指行政单位（包括实行公务员管理的事业单位）开支的离退休经费。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12.社会保障和就业支出（类）行政事业单位养老支出（款）机关事业单位基本养老保险缴费支出（项）：指机关事业单位实施养老保险制度由单位缴纳的基本养老保险费支出。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13.社会保障和就业支出（类）行政事业单位养老支出（款）机关事业单位职业年金缴费支出（项）：指机关事业单位实施养老保险制度由单位实际缴纳的职业年金支出。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14.社会保障和就业支出（类）抚恤（款）死亡抚恤（项）：指按规定用于烈士和牺牲、病故人员家属的一次性和定期抚恤金、丧葬补助费以及烈士褒奖金。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15.卫生健康支出（类）行政事业单位医疗（款）行政单位医疗（项）：指财政部门安排的行政单位（包括实行公务员管理的事业单位，下同）基本医疗保险缴费经费，未参加医疗保险的行政单位的公费医疗经费，按国家规定享受离休人员、红军老战士待遇的医疗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16.卫生健康支出（类）行政事业单位医疗（款）公务员医疗补助（项）：指反映财政部门安排的公务员医疗补助经费。</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17.住房保障支出（类）住房改革支出（款）住房公积金（项）：指行政事业单位按人力资源和社会保障部、财政部规定的基本工资和津贴补贴以及规定比例为职工缴纳的住房公积金。</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18.基本支出：指为保障机构正常运转、完成日常工作任务而发生的人员支出和公用支出。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 xml:space="preserve">19.项目支出：指在基本支出之外为完成特定行政任务和事业发展目标所发生的支出。 </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20.经营支出：指事业单位在专业业务活动及其辅助活动之外开展非独立核算经营活动发生的支出。</w:t>
      </w:r>
    </w:p>
    <w:p>
      <w:pPr>
        <w:pStyle w:val="8"/>
        <w:pageBreakBefore w:val="0"/>
        <w:kinsoku/>
        <w:wordWrap/>
        <w:overflowPunct/>
        <w:topLinePunct w:val="0"/>
        <w:bidi w:val="0"/>
        <w:adjustRightInd w:val="0"/>
        <w:snapToGrid w:val="0"/>
        <w:spacing w:before="93" w:line="600" w:lineRule="exact"/>
        <w:ind w:firstLine="640" w:firstLineChars="200"/>
        <w:textAlignment w:val="auto"/>
        <w:outlineLvl w:val="2"/>
        <w:rPr>
          <w:rFonts w:ascii="仿宋" w:hAnsi="仿宋" w:eastAsia="仿宋"/>
          <w:sz w:val="32"/>
          <w:szCs w:val="32"/>
        </w:rPr>
      </w:pPr>
      <w:r>
        <w:rPr>
          <w:rFonts w:hint="eastAsia" w:ascii="仿宋" w:hAnsi="仿宋" w:eastAsia="仿宋"/>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hint="eastAsia" w:ascii="仿宋" w:hAnsi="仿宋" w:eastAsia="仿宋"/>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sz w:val="32"/>
          <w:szCs w:val="32"/>
        </w:rPr>
        <w:t>。</w:t>
      </w:r>
    </w:p>
    <w:p>
      <w:pPr>
        <w:spacing w:line="600" w:lineRule="exact"/>
        <w:jc w:val="center"/>
        <w:rPr>
          <w:rStyle w:val="28"/>
          <w:rFonts w:eastAsia="黑体"/>
          <w:b w:val="0"/>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pPr>
        <w:spacing w:line="572" w:lineRule="exact"/>
        <w:jc w:val="left"/>
        <w:outlineLvl w:val="0"/>
        <w:rPr>
          <w:rFonts w:eastAsia="黑体" w:cs="黑体"/>
          <w:color w:val="FF0000"/>
          <w:sz w:val="32"/>
          <w:szCs w:val="32"/>
        </w:rPr>
      </w:pPr>
    </w:p>
    <w:p>
      <w:pPr>
        <w:pStyle w:val="2"/>
      </w:pPr>
    </w:p>
    <w:p>
      <w:pPr>
        <w:widowControl/>
        <w:spacing w:line="578" w:lineRule="exact"/>
        <w:contextualSpacing/>
        <w:jc w:val="center"/>
        <w:rPr>
          <w:rFonts w:eastAsia="方正小标宋简体"/>
          <w:bCs/>
          <w:sz w:val="44"/>
          <w:szCs w:val="44"/>
          <w:shd w:val="clear" w:color="auto" w:fill="FFFFFF"/>
        </w:rPr>
      </w:pPr>
    </w:p>
    <w:p>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2025年盐边县人民法院</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pPr>
        <w:widowControl/>
        <w:adjustRightInd w:val="0"/>
        <w:snapToGrid w:val="0"/>
        <w:spacing w:line="578" w:lineRule="exact"/>
        <w:ind w:firstLine="643" w:firstLineChars="200"/>
        <w:contextualSpacing/>
        <w:jc w:val="left"/>
        <w:rPr>
          <w:rFonts w:eastAsia="楷体_GB2312" w:cs="楷体_GB2312"/>
          <w:b/>
          <w:sz w:val="32"/>
          <w:szCs w:val="32"/>
          <w:lang w:val="zh-CN"/>
        </w:rPr>
      </w:pPr>
      <w:r>
        <w:rPr>
          <w:rFonts w:hint="eastAsia" w:eastAsia="楷体_GB2312" w:cs="楷体_GB2312"/>
          <w:b/>
          <w:sz w:val="32"/>
          <w:szCs w:val="32"/>
          <w:lang w:val="zh-CN"/>
        </w:rPr>
        <w:t>（一）</w:t>
      </w:r>
      <w:r>
        <w:rPr>
          <w:rFonts w:eastAsia="楷体_GB2312" w:cs="楷体_GB2312"/>
          <w:b/>
          <w:sz w:val="32"/>
          <w:szCs w:val="32"/>
          <w:lang w:val="zh-CN"/>
        </w:rPr>
        <w:t>机构组成。</w:t>
      </w:r>
    </w:p>
    <w:p>
      <w:pPr>
        <w:widowControl/>
        <w:adjustRightInd w:val="0"/>
        <w:snapToGrid w:val="0"/>
        <w:spacing w:line="578" w:lineRule="exact"/>
        <w:ind w:firstLine="640" w:firstLineChars="200"/>
        <w:contextualSpacing/>
        <w:jc w:val="left"/>
        <w:rPr>
          <w:szCs w:val="32"/>
        </w:rPr>
      </w:pPr>
      <w:r>
        <w:rPr>
          <w:rFonts w:hint="eastAsia" w:eastAsia="仿宋_GB2312" w:cs="Times New Roman"/>
          <w:sz w:val="32"/>
          <w:szCs w:val="32"/>
          <w:lang w:val="en-US" w:eastAsia="zh-CN"/>
        </w:rPr>
        <w:t>盐边县人民法院</w:t>
      </w:r>
      <w:r>
        <w:rPr>
          <w:rFonts w:hint="default" w:ascii="Times New Roman" w:hAnsi="Times New Roman" w:eastAsia="仿宋_GB2312" w:cs="Times New Roman"/>
          <w:sz w:val="32"/>
          <w:szCs w:val="32"/>
        </w:rPr>
        <w:t>属基层人民法院，县院设</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rPr>
        <w:t>个内设庭室，4个派出法庭</w:t>
      </w:r>
      <w:r>
        <w:rPr>
          <w:rFonts w:eastAsia="仿宋_GB2312" w:cs="仿宋_GB2312"/>
          <w:sz w:val="32"/>
          <w:szCs w:val="32"/>
        </w:rPr>
        <w:t>。</w:t>
      </w:r>
    </w:p>
    <w:p>
      <w:pPr>
        <w:widowControl/>
        <w:adjustRightInd w:val="0"/>
        <w:snapToGrid w:val="0"/>
        <w:spacing w:line="578" w:lineRule="exact"/>
        <w:ind w:firstLine="643" w:firstLineChars="200"/>
        <w:contextualSpacing/>
        <w:jc w:val="left"/>
        <w:rPr>
          <w:rFonts w:hint="eastAsia"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盐边县人民法院是国家审判机关，依法独立行使审判权，对县人民代表大会及其常务委员会负责并报告工作。其主要职责如下:</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（1）审理法律规定由本院管辖的刑事、民事、经济、行政等一审案件。</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（2）审理中级人民法院指令再审和发回重审的案件。</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（3）受理和审判各类告诉、申诉及再审案件，搞好本院审判监督。</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（4）做好执行工作，保证本院发生法律效力的判决、裁定、调解协议的执行。</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（5）负责本院执行政策，法律情况的调查研究，总结审判工作经验，做好司法统计与分析工作。</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（6）管理本院有关经费、物资装备计划、文秘、资料、档案、法庭建设等行政事务和后勤服务。</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（7）加强政治思想工作、抓好干部教育、干部管理、干部培训，提高队伍素质。</w:t>
      </w:r>
    </w:p>
    <w:p>
      <w:pPr>
        <w:widowControl/>
        <w:adjustRightInd w:val="0"/>
        <w:snapToGrid w:val="0"/>
        <w:spacing w:line="578" w:lineRule="exact"/>
        <w:ind w:firstLine="640" w:firstLineChars="200"/>
        <w:contextualSpacing/>
        <w:jc w:val="left"/>
        <w:rPr>
          <w:rFonts w:hint="eastAsia" w:eastAsia="仿宋_GB2312" w:cs="仿宋_GB2312"/>
          <w:sz w:val="32"/>
          <w:szCs w:val="32"/>
        </w:rPr>
      </w:pPr>
      <w:r>
        <w:rPr>
          <w:rFonts w:hint="eastAsia" w:eastAsia="仿宋_GB2312" w:cs="仿宋_GB2312"/>
          <w:sz w:val="32"/>
          <w:szCs w:val="32"/>
        </w:rPr>
        <w:t>（8）加强廉政建设，抓好对干警的教育、检查、监督、查处、促进严肃执法。</w:t>
      </w:r>
    </w:p>
    <w:p>
      <w:pPr>
        <w:widowControl/>
        <w:adjustRightInd w:val="0"/>
        <w:snapToGrid w:val="0"/>
        <w:spacing w:line="578" w:lineRule="exact"/>
        <w:ind w:firstLine="640" w:firstLineChars="200"/>
        <w:contextualSpacing/>
        <w:jc w:val="left"/>
        <w:rPr>
          <w:rFonts w:eastAsia="楷体_GB2312"/>
          <w:b/>
          <w:bCs/>
          <w:color w:val="000000"/>
          <w:kern w:val="0"/>
          <w:szCs w:val="32"/>
          <w:shd w:val="clear" w:color="auto" w:fill="FFFFFF"/>
          <w:lang w:val="zh-CN"/>
        </w:rPr>
      </w:pPr>
      <w:r>
        <w:rPr>
          <w:rFonts w:hint="eastAsia" w:eastAsia="仿宋_GB2312" w:cs="仿宋_GB2312"/>
          <w:sz w:val="32"/>
          <w:szCs w:val="32"/>
        </w:rPr>
        <w:t>（9）参与社会治安综合治理</w:t>
      </w:r>
      <w:r>
        <w:rPr>
          <w:rFonts w:hint="eastAsia" w:eastAsia="仿宋_GB2312"/>
          <w:sz w:val="32"/>
          <w:szCs w:val="32"/>
        </w:rPr>
        <w:t>。</w:t>
      </w:r>
    </w:p>
    <w:p>
      <w:pPr>
        <w:spacing w:line="600" w:lineRule="exact"/>
        <w:ind w:firstLine="643" w:firstLineChars="200"/>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p>
    <w:p>
      <w:pPr>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eastAsia" w:eastAsia="仿宋_GB2312"/>
          <w:sz w:val="32"/>
          <w:szCs w:val="32"/>
        </w:rPr>
      </w:pP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lang w:val="en-US" w:eastAsia="zh-CN"/>
        </w:rPr>
        <w:t>盐边县人民法院</w:t>
      </w:r>
      <w:r>
        <w:rPr>
          <w:rFonts w:eastAsia="仿宋_GB2312"/>
          <w:sz w:val="32"/>
          <w:szCs w:val="32"/>
        </w:rPr>
        <w:t>年末</w:t>
      </w:r>
      <w:r>
        <w:rPr>
          <w:rFonts w:hint="eastAsia" w:eastAsia="仿宋_GB2312"/>
          <w:sz w:val="32"/>
          <w:szCs w:val="32"/>
          <w:lang w:val="en-US" w:eastAsia="zh-CN"/>
        </w:rPr>
        <w:t>共有在编干警62人，均为政法编制，2025年全年新进人员7人，外单位调入1人，退休1人，调至外单位1人</w:t>
      </w:r>
      <w:r>
        <w:rPr>
          <w:rFonts w:hint="eastAsia" w:eastAsia="仿宋_GB2312"/>
          <w:sz w:val="32"/>
          <w:szCs w:val="32"/>
        </w:rPr>
        <w:t>。</w:t>
      </w:r>
    </w:p>
    <w:p>
      <w:pPr>
        <w:pStyle w:val="2"/>
        <w:keepNext w:val="0"/>
        <w:keepLines w:val="0"/>
        <w:pageBreakBefore w:val="0"/>
        <w:widowControl w:val="0"/>
        <w:kinsoku/>
        <w:wordWrap/>
        <w:overflowPunct/>
        <w:topLinePunct w:val="0"/>
        <w:autoSpaceDE/>
        <w:autoSpaceDN/>
        <w:bidi w:val="0"/>
        <w:adjustRightInd/>
        <w:spacing w:line="578" w:lineRule="exact"/>
        <w:ind w:firstLine="640" w:firstLineChars="200"/>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2025年末其他人员情况：聘用制书记员23人，聘用制审判辅助人员17人，退休人员21人，遗属人员2人。</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p>
    <w:p>
      <w:pPr>
        <w:widowControl/>
        <w:adjustRightInd w:val="0"/>
        <w:snapToGrid w:val="0"/>
        <w:spacing w:line="578" w:lineRule="exact"/>
        <w:ind w:firstLine="640" w:firstLineChars="200"/>
        <w:contextualSpacing/>
        <w:jc w:val="left"/>
        <w:rPr>
          <w:rFonts w:hint="default" w:eastAsia="仿宋_GB2312"/>
          <w:b/>
          <w:bCs/>
          <w:color w:val="000000"/>
          <w:kern w:val="0"/>
          <w:szCs w:val="32"/>
          <w:shd w:val="clear" w:color="auto" w:fill="FFFFFF"/>
          <w:lang w:val="en-US" w:eastAsia="zh-CN"/>
        </w:rPr>
      </w:pPr>
      <w:r>
        <w:rPr>
          <w:rFonts w:hint="eastAsia" w:eastAsia="仿宋_GB2312" w:cs="仿宋_GB2312"/>
          <w:sz w:val="32"/>
          <w:szCs w:val="32"/>
          <w:lang w:val="en-US" w:eastAsia="zh-CN"/>
        </w:rPr>
        <w:t>盐边县人民法院</w:t>
      </w:r>
      <w:r>
        <w:rPr>
          <w:rFonts w:hint="eastAsia" w:eastAsia="仿宋_GB2312"/>
          <w:sz w:val="32"/>
          <w:szCs w:val="32"/>
        </w:rPr>
        <w:t>2025年年初预算收入</w:t>
      </w:r>
      <w:r>
        <w:rPr>
          <w:rFonts w:hint="eastAsia" w:eastAsia="仿宋_GB2312"/>
          <w:sz w:val="32"/>
          <w:szCs w:val="32"/>
          <w:lang w:val="en-US" w:eastAsia="zh-CN"/>
        </w:rPr>
        <w:t>及决算报表收入均为2350.65万元，较上年增加52.71万元，增加了2.3%</w:t>
      </w:r>
      <w:r>
        <w:rPr>
          <w:rFonts w:hint="eastAsia" w:eastAsia="仿宋_GB2312"/>
          <w:sz w:val="32"/>
          <w:szCs w:val="32"/>
        </w:rPr>
        <w:t>。</w:t>
      </w:r>
      <w:r>
        <w:rPr>
          <w:rFonts w:hint="eastAsia" w:eastAsia="仿宋_GB2312"/>
          <w:sz w:val="32"/>
          <w:szCs w:val="32"/>
          <w:lang w:val="en-US" w:eastAsia="zh-CN"/>
        </w:rPr>
        <w:t>其中一般公共预算财政拨款收入2044.81万元，其他收入305.84万元。</w:t>
      </w:r>
    </w:p>
    <w:p>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p>
    <w:p>
      <w:pPr>
        <w:widowControl/>
        <w:adjustRightInd w:val="0"/>
        <w:snapToGrid w:val="0"/>
        <w:spacing w:line="578" w:lineRule="exact"/>
        <w:ind w:firstLine="640" w:firstLineChars="200"/>
        <w:contextualSpacing/>
        <w:jc w:val="left"/>
        <w:rPr>
          <w:rFonts w:hint="default" w:eastAsia="仿宋_GB2312"/>
          <w:szCs w:val="32"/>
          <w:lang w:val="en-US" w:eastAsia="zh-CN"/>
        </w:rPr>
      </w:pPr>
      <w:r>
        <w:rPr>
          <w:rFonts w:hint="eastAsia" w:eastAsia="仿宋_GB2312" w:cs="仿宋_GB2312"/>
          <w:sz w:val="32"/>
          <w:szCs w:val="32"/>
          <w:lang w:val="en-US" w:eastAsia="zh-CN"/>
        </w:rPr>
        <w:t>盐边县人民法院</w:t>
      </w:r>
      <w:r>
        <w:rPr>
          <w:rFonts w:hint="eastAsia" w:eastAsia="仿宋_GB2312"/>
          <w:sz w:val="32"/>
          <w:szCs w:val="32"/>
        </w:rPr>
        <w:t>2025年年初预算支出</w:t>
      </w:r>
      <w:r>
        <w:rPr>
          <w:rFonts w:hint="eastAsia" w:eastAsia="仿宋_GB2312"/>
          <w:sz w:val="32"/>
          <w:szCs w:val="32"/>
          <w:lang w:val="en-US" w:eastAsia="zh-CN"/>
        </w:rPr>
        <w:t>及</w:t>
      </w:r>
      <w:r>
        <w:rPr>
          <w:rFonts w:hint="eastAsia" w:eastAsia="仿宋_GB2312"/>
          <w:sz w:val="32"/>
          <w:szCs w:val="32"/>
        </w:rPr>
        <w:t>决算报表支出</w:t>
      </w:r>
      <w:r>
        <w:rPr>
          <w:rFonts w:hint="eastAsia" w:eastAsia="仿宋_GB2312"/>
          <w:sz w:val="32"/>
          <w:szCs w:val="32"/>
          <w:lang w:val="en-US" w:eastAsia="zh-CN"/>
        </w:rPr>
        <w:t>均为2350.65万元，较上年增加52.71万元，增加了2.3%</w:t>
      </w:r>
      <w:r>
        <w:rPr>
          <w:rFonts w:hint="eastAsia" w:eastAsia="仿宋_GB2312"/>
          <w:sz w:val="32"/>
          <w:szCs w:val="32"/>
        </w:rPr>
        <w:t>。</w:t>
      </w:r>
      <w:r>
        <w:rPr>
          <w:rFonts w:hint="eastAsia" w:eastAsia="仿宋_GB2312"/>
          <w:sz w:val="32"/>
          <w:szCs w:val="32"/>
          <w:lang w:val="en-US" w:eastAsia="zh-CN"/>
        </w:rPr>
        <w:t>其中公共安全支出1972.59万元，社会保障和就业支出179.63万元，卫生健康支出88.62万元，住房保障支出109.81万元。</w:t>
      </w:r>
    </w:p>
    <w:p>
      <w:pPr>
        <w:widowControl/>
        <w:adjustRightInd w:val="0"/>
        <w:snapToGrid w:val="0"/>
        <w:spacing w:line="578" w:lineRule="exact"/>
        <w:ind w:firstLine="643" w:firstLineChars="200"/>
        <w:contextualSpacing/>
        <w:jc w:val="left"/>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p>
    <w:p>
      <w:pPr>
        <w:widowControl/>
        <w:adjustRightInd w:val="0"/>
        <w:snapToGrid w:val="0"/>
        <w:spacing w:line="578" w:lineRule="exact"/>
        <w:ind w:firstLine="640" w:firstLineChars="200"/>
        <w:contextualSpacing/>
        <w:jc w:val="left"/>
        <w:rPr>
          <w:rFonts w:eastAsia="仿宋_GB2312"/>
          <w:color w:val="000000"/>
          <w:kern w:val="0"/>
          <w:szCs w:val="32"/>
          <w:shd w:val="clear" w:color="auto" w:fill="FFFFFF"/>
          <w:lang w:val="zh-CN"/>
        </w:rPr>
      </w:pPr>
      <w:r>
        <w:rPr>
          <w:rFonts w:hint="eastAsia" w:eastAsia="仿宋_GB2312" w:cs="Times New Roman"/>
          <w:sz w:val="32"/>
          <w:szCs w:val="32"/>
          <w:lang w:val="en-US" w:eastAsia="zh-CN"/>
        </w:rPr>
        <w:t>盐边县人民法院</w:t>
      </w:r>
      <w:r>
        <w:rPr>
          <w:rFonts w:hint="default" w:ascii="Times New Roman" w:hAnsi="Times New Roman" w:eastAsia="仿宋_GB2312" w:cs="Times New Roman"/>
          <w:sz w:val="32"/>
          <w:szCs w:val="32"/>
        </w:rPr>
        <w:t>部门2024年无结余分配和结转结余情况</w:t>
      </w:r>
      <w:r>
        <w:rPr>
          <w:rFonts w:eastAsia="仿宋_GB2312"/>
          <w:sz w:val="32"/>
          <w:szCs w:val="32"/>
        </w:rPr>
        <w:t>。</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adjustRightInd w:val="0"/>
        <w:snapToGrid w:val="0"/>
        <w:spacing w:line="578" w:lineRule="exact"/>
        <w:ind w:firstLine="643"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履职效能。一是开展法制宣传履职效果：盐边县人民法院2025年深入重点企业开展“订单式”法律宣传15次，发布涉民生、经济领域以案释法文章25篇，普法栏目宣传视频15期，深入开展坝坝宣传、送法进校园、巡回审判等普法宣传40余次，覆盖群众3500余人次，推动法治精神浸润人心；二是审判管辖案件履职效果：我院全年受理各类案件4570件，审、执结4397件，分别同比上升18.30%、20.47%，法官人均办案207.68件、同比增加32.09件，审判质效指标达标率100%；三是优化司法便民履职效果：全面运用好全国法院“一张网”，推广24小时自助法院和“人民法院在线服务平台”小程序，网上立案1459件，集约化送达法律文书1.8万件次，“指尖诉讼”基本实现。</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。202</w:t>
      </w:r>
      <w:r>
        <w:rPr>
          <w:rFonts w:hint="eastAsia" w:eastAsia="仿宋_GB2312" w:cs="仿宋_GB2312"/>
          <w:sz w:val="32"/>
          <w:szCs w:val="32"/>
          <w:lang w:val="en-US" w:eastAsia="zh-CN"/>
        </w:rPr>
        <w:t>5</w:t>
      </w:r>
      <w:r>
        <w:rPr>
          <w:rFonts w:hint="eastAsia" w:eastAsia="仿宋_GB2312" w:cs="仿宋_GB2312"/>
          <w:sz w:val="32"/>
          <w:szCs w:val="32"/>
          <w:lang w:val="zh-CN"/>
        </w:rPr>
        <w:t>年度我院按时保质地完成了预算编制工作，根据单位每年各项支出统筹细化科目，及时申请计划、录入支付，在市财政保障的支付额度中尽量提升支出执行进度，年末无结余，严控“三公经费”等支出围绕预算编制质量、单位收入统筹、支出执行进度、预算年终结余、严控一般性支出进行绩效分析。</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我院严格遵守财务管理制度，分别设置行政经费出纳、案款诉讼费出纳及会计三个财务岗位，根据《盐边县机关事业单位差旅费管理办法》、《四川省基层工会经费收支管理实施办法》、《盐边县机关事业单位国内公务接待管理办法》等相关制度严格审核报销，规范使用资金。</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。我院严格控制人均资产变化率和资产利用率，县审判大楼及四家基层法庭对院内资产做到了较高的利用率和盘活率。</w:t>
      </w:r>
    </w:p>
    <w:p>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。我院严格按照固定资产采购程序及要求完成采购工作，流程规范，做到最大程度的支持中小企业发展，采购执行率2.3分，部分采购款由于市财政给予的额度不够待次年支付。</w:t>
      </w:r>
    </w:p>
    <w:p>
      <w:pPr>
        <w:adjustRightInd w:val="0"/>
        <w:snapToGrid w:val="0"/>
        <w:spacing w:line="578" w:lineRule="exact"/>
        <w:ind w:firstLine="643"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hint="eastAsia" w:eastAsia="仿宋_GB2312" w:cs="仿宋_GB2312"/>
          <w:sz w:val="32"/>
          <w:szCs w:val="32"/>
          <w:lang w:val="en-US" w:eastAsia="zh-CN"/>
        </w:rPr>
        <w:t>2</w:t>
      </w:r>
      <w:r>
        <w:rPr>
          <w:rFonts w:eastAsia="仿宋_GB2312" w:cs="仿宋_GB2312"/>
          <w:sz w:val="32"/>
          <w:szCs w:val="32"/>
          <w:lang w:val="zh-CN"/>
        </w:rPr>
        <w:t>个，涉及预算总金额</w:t>
      </w:r>
      <w:r>
        <w:rPr>
          <w:rFonts w:hint="eastAsia" w:eastAsia="仿宋_GB2312" w:cs="仿宋_GB2312"/>
          <w:sz w:val="32"/>
          <w:szCs w:val="32"/>
          <w:lang w:val="en-US" w:eastAsia="zh-CN"/>
        </w:rPr>
        <w:t>40</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lang w:val="en-US" w:eastAsia="zh-CN"/>
        </w:rPr>
        <w:t>100</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lang w:val="en-US" w:eastAsia="zh-CN"/>
        </w:rPr>
        <w:t>0</w:t>
      </w:r>
      <w:r>
        <w:rPr>
          <w:rFonts w:eastAsia="仿宋_GB2312" w:cs="仿宋_GB2312"/>
          <w:sz w:val="32"/>
          <w:szCs w:val="32"/>
          <w:lang w:val="zh-CN"/>
        </w:rPr>
        <w:t>个。</w:t>
      </w:r>
    </w:p>
    <w:p>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阶段</w:t>
      </w:r>
      <w:r>
        <w:rPr>
          <w:rFonts w:hint="eastAsia" w:eastAsia="仿宋_GB2312" w:cs="仿宋_GB2312"/>
          <w:sz w:val="32"/>
          <w:szCs w:val="32"/>
        </w:rPr>
        <w:t>（</w:t>
      </w:r>
      <w:r>
        <w:rPr>
          <w:rFonts w:eastAsia="仿宋_GB2312" w:cs="仿宋_GB2312"/>
          <w:sz w:val="32"/>
          <w:szCs w:val="32"/>
        </w:rPr>
        <w:t>一次性</w:t>
      </w:r>
      <w:r>
        <w:rPr>
          <w:rFonts w:hint="eastAsia" w:eastAsia="仿宋_GB2312" w:cs="仿宋_GB2312"/>
          <w:sz w:val="32"/>
          <w:szCs w:val="32"/>
        </w:rPr>
        <w:t>）</w:t>
      </w:r>
      <w:r>
        <w:rPr>
          <w:rFonts w:eastAsia="仿宋_GB2312" w:cs="仿宋_GB2312"/>
          <w:sz w:val="32"/>
          <w:szCs w:val="32"/>
        </w:rPr>
        <w:t>项目绩效分析。</w:t>
      </w:r>
      <w:r>
        <w:rPr>
          <w:rFonts w:eastAsia="仿宋_GB2312" w:cs="仿宋_GB2312"/>
          <w:sz w:val="32"/>
          <w:szCs w:val="32"/>
          <w:lang w:val="zh-CN"/>
        </w:rPr>
        <w:t>该类项目总数</w:t>
      </w:r>
      <w:r>
        <w:rPr>
          <w:rFonts w:hint="eastAsia" w:eastAsia="仿宋_GB2312" w:cs="仿宋_GB2312"/>
          <w:sz w:val="32"/>
          <w:szCs w:val="32"/>
          <w:lang w:val="en-US" w:eastAsia="zh-CN"/>
        </w:rPr>
        <w:t>0</w:t>
      </w:r>
      <w:r>
        <w:rPr>
          <w:rFonts w:eastAsia="仿宋_GB2312" w:cs="仿宋_GB2312"/>
          <w:sz w:val="32"/>
          <w:szCs w:val="32"/>
          <w:lang w:val="zh-CN"/>
        </w:rPr>
        <w:t>个，涉及预算总金额</w:t>
      </w:r>
      <w:r>
        <w:rPr>
          <w:rFonts w:hint="eastAsia" w:eastAsia="仿宋_GB2312" w:cs="仿宋_GB2312"/>
          <w:sz w:val="32"/>
          <w:szCs w:val="32"/>
          <w:lang w:val="en-US" w:eastAsia="zh-CN"/>
        </w:rPr>
        <w:t>0</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lang w:val="en-US" w:eastAsia="zh-CN"/>
        </w:rPr>
        <w:t>0</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lang w:val="en-US" w:eastAsia="zh-CN"/>
        </w:rPr>
        <w:t>0</w:t>
      </w:r>
      <w:r>
        <w:rPr>
          <w:rFonts w:eastAsia="仿宋_GB2312" w:cs="仿宋_GB2312"/>
          <w:sz w:val="32"/>
          <w:szCs w:val="32"/>
          <w:lang w:val="zh-CN"/>
        </w:rPr>
        <w:t>个。</w:t>
      </w:r>
    </w:p>
    <w:p>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项目决策。常年项目根据我院每年使用情况向市财政局上报申请，根据市财政局最终下发金额进行预算申请，在预算一体化平台对项目进行入库，并于每月末对项目进行部门自行监控。</w:t>
      </w:r>
    </w:p>
    <w:p>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2.项目执行</w:t>
      </w:r>
      <w:r>
        <w:rPr>
          <w:rFonts w:hint="eastAsia" w:eastAsia="仿宋_GB2312" w:cs="仿宋_GB2312"/>
          <w:sz w:val="32"/>
          <w:szCs w:val="32"/>
          <w:lang w:val="zh-CN"/>
        </w:rPr>
        <w:t>。严格按照预算项目进行资金使用，并采用事前、事中、事后评价方式，长期监控绩效情况，保障目标绩效均能在资金范围内按时间节点完成，使用期间未出现对项目的调整，最终在规定时间内执行率达到100%。</w:t>
      </w:r>
    </w:p>
    <w:p>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3.</w:t>
      </w:r>
      <w:r>
        <w:rPr>
          <w:rFonts w:hint="eastAsia" w:eastAsia="仿宋_GB2312" w:cs="仿宋_GB2312"/>
          <w:sz w:val="32"/>
          <w:szCs w:val="32"/>
          <w:lang w:val="zh-CN"/>
        </w:rPr>
        <w:t>目标实现。项目资金能在年度内完成司法救助及办案业务的保障，未出现目标偏离的情况，达到了年初预算所设定的效果。</w:t>
      </w:r>
    </w:p>
    <w:p>
      <w:pPr>
        <w:adjustRightInd w:val="0"/>
        <w:snapToGrid w:val="0"/>
        <w:spacing w:line="578" w:lineRule="exact"/>
        <w:ind w:firstLine="640" w:firstLineChars="200"/>
        <w:contextualSpacing/>
        <w:rPr>
          <w:rFonts w:eastAsia="仿宋_GB2312" w:cs="仿宋_GB2312"/>
          <w:sz w:val="32"/>
          <w:szCs w:val="32"/>
        </w:rPr>
      </w:pPr>
      <w:r>
        <w:rPr>
          <w:rFonts w:hint="eastAsia" w:eastAsia="仿宋_GB2312" w:cs="仿宋_GB2312"/>
          <w:sz w:val="32"/>
          <w:szCs w:val="32"/>
          <w:lang w:val="en-US" w:eastAsia="zh-CN"/>
        </w:rPr>
        <w:t>我</w:t>
      </w:r>
      <w:r>
        <w:rPr>
          <w:rFonts w:hint="eastAsia" w:eastAsia="仿宋_GB2312" w:cs="仿宋_GB2312"/>
          <w:sz w:val="32"/>
          <w:szCs w:val="32"/>
        </w:rPr>
        <w:t>院对2025年度一般公共预算项目进行了事前评估、事中监督、事后评价的方式，按时保质完成了绩效目标，全年无低效无效使用项目资金的情况，无违规记录。</w:t>
      </w:r>
    </w:p>
    <w:p>
      <w:pPr>
        <w:adjustRightInd w:val="0"/>
        <w:snapToGrid w:val="0"/>
        <w:spacing w:line="578" w:lineRule="exact"/>
        <w:ind w:firstLine="643"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lang w:val="zh-CN"/>
        </w:rPr>
        <w:t>围绕内部应用情况、</w:t>
      </w:r>
      <w:r>
        <w:rPr>
          <w:rFonts w:eastAsia="仿宋_GB2312" w:cs="仿宋_GB2312"/>
          <w:sz w:val="32"/>
          <w:szCs w:val="32"/>
          <w:lang w:val="zh-CN"/>
        </w:rPr>
        <w:t>信息公开情况</w:t>
      </w:r>
      <w:r>
        <w:rPr>
          <w:rFonts w:hint="eastAsia" w:eastAsia="仿宋_GB2312" w:cs="仿宋_GB2312"/>
          <w:sz w:val="32"/>
          <w:szCs w:val="32"/>
          <w:lang w:val="zh-CN"/>
        </w:rPr>
        <w:t>、</w:t>
      </w:r>
      <w:r>
        <w:rPr>
          <w:rFonts w:eastAsia="仿宋_GB2312" w:cs="仿宋_GB2312"/>
          <w:sz w:val="32"/>
          <w:szCs w:val="32"/>
          <w:lang w:val="zh-CN"/>
        </w:rPr>
        <w:t>整改反馈情况</w:t>
      </w:r>
      <w:r>
        <w:rPr>
          <w:rFonts w:hint="eastAsia" w:eastAsia="仿宋_GB2312" w:cs="仿宋_GB2312"/>
          <w:sz w:val="32"/>
          <w:szCs w:val="32"/>
          <w:lang w:val="zh-CN"/>
        </w:rPr>
        <w:t>进行分析。</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widowControl/>
        <w:adjustRightInd w:val="0"/>
        <w:snapToGrid w:val="0"/>
        <w:spacing w:line="578" w:lineRule="exact"/>
        <w:ind w:firstLine="643" w:firstLineChars="200"/>
        <w:contextualSpacing/>
        <w:jc w:val="left"/>
        <w:rPr>
          <w:rFonts w:eastAsia="仿宋_GB2312"/>
          <w:sz w:val="32"/>
          <w:szCs w:val="32"/>
          <w:lang w:bidi="ar"/>
        </w:rPr>
      </w:pPr>
      <w:r>
        <w:rPr>
          <w:rFonts w:eastAsia="楷体_GB2312"/>
          <w:b/>
          <w:bCs/>
          <w:color w:val="000000"/>
          <w:kern w:val="0"/>
          <w:sz w:val="32"/>
          <w:szCs w:val="32"/>
          <w:shd w:val="clear" w:color="auto" w:fill="FFFFFF"/>
          <w:lang w:val="zh-CN"/>
        </w:rPr>
        <w:t>（一）评价结论。</w:t>
      </w:r>
      <w:r>
        <w:rPr>
          <w:rFonts w:hint="eastAsia" w:eastAsia="仿宋_GB2312"/>
          <w:sz w:val="32"/>
          <w:szCs w:val="32"/>
          <w:lang w:bidi="ar"/>
        </w:rPr>
        <w:t>根据财政下发的2025年度部门预算绩效评价指标体系，逐条进行评价打分，自评总体结论良好，目标绩效均能在资金预算范围内按时间节点完成，自评得分96.52分。</w:t>
      </w:r>
    </w:p>
    <w:p>
      <w:pPr>
        <w:widowControl/>
        <w:adjustRightInd w:val="0"/>
        <w:snapToGrid w:val="0"/>
        <w:spacing w:line="578" w:lineRule="exact"/>
        <w:ind w:firstLine="643" w:firstLineChars="200"/>
        <w:contextualSpacing/>
        <w:jc w:val="left"/>
        <w:rPr>
          <w:rFonts w:eastAsia="仿宋_GB2312"/>
          <w:sz w:val="32"/>
          <w:szCs w:val="32"/>
          <w:lang w:bidi="ar"/>
        </w:rPr>
      </w:pPr>
      <w:r>
        <w:rPr>
          <w:rFonts w:eastAsia="楷体_GB2312"/>
          <w:b/>
          <w:bCs/>
          <w:color w:val="000000"/>
          <w:kern w:val="0"/>
          <w:sz w:val="32"/>
          <w:szCs w:val="32"/>
          <w:shd w:val="clear" w:color="auto" w:fill="FFFFFF"/>
          <w:lang w:val="zh-CN"/>
        </w:rPr>
        <w:t>（二）存在问题。</w:t>
      </w:r>
      <w:r>
        <w:rPr>
          <w:rFonts w:hint="eastAsia" w:eastAsia="仿宋_GB2312"/>
          <w:sz w:val="32"/>
          <w:szCs w:val="32"/>
          <w:lang w:bidi="ar"/>
        </w:rPr>
        <w:t>一是政法转移支付资金及公用经费支付进度滞后，执行率较低（由于政法转移支付资金属于涉密资金，因此未进行绩效分析）；二是部分资金存在当年财政未支付的情况，导致资金年末被收回后占用次年经费。</w:t>
      </w:r>
    </w:p>
    <w:p>
      <w:pPr>
        <w:widowControl/>
        <w:adjustRightInd w:val="0"/>
        <w:snapToGrid w:val="0"/>
        <w:spacing w:line="578" w:lineRule="exact"/>
        <w:ind w:firstLine="643" w:firstLineChars="200"/>
        <w:contextualSpacing/>
        <w:jc w:val="left"/>
        <w:rPr>
          <w:rFonts w:eastAsia="仿宋_GB2312"/>
          <w:sz w:val="32"/>
          <w:szCs w:val="32"/>
          <w:lang w:val="en" w:bidi="ar"/>
        </w:rPr>
      </w:pPr>
      <w:r>
        <w:rPr>
          <w:rFonts w:eastAsia="楷体_GB2312"/>
          <w:b/>
          <w:bCs/>
          <w:color w:val="000000"/>
          <w:kern w:val="0"/>
          <w:sz w:val="32"/>
          <w:szCs w:val="32"/>
          <w:shd w:val="clear" w:color="auto" w:fill="FFFFFF"/>
          <w:lang w:val="zh-CN"/>
        </w:rPr>
        <w:t>（三）改进建议。</w:t>
      </w:r>
      <w:bookmarkStart w:id="55" w:name="_Hlk110546638"/>
      <w:r>
        <w:rPr>
          <w:rFonts w:hint="eastAsia" w:eastAsia="仿宋_GB2312"/>
          <w:sz w:val="32"/>
          <w:szCs w:val="32"/>
          <w:lang w:bidi="ar"/>
        </w:rPr>
        <w:t>进一步加强资金管理，实现项目申报、实施、拨付、评价全流程监督与控制，规范专项资金管理，提高专项资金的使用效率，同时加强与市财政局的沟通，提高资金执行率。</w:t>
      </w:r>
    </w:p>
    <w:bookmarkEnd w:id="55"/>
    <w:p>
      <w:pPr>
        <w:pStyle w:val="3"/>
        <w:spacing w:line="560" w:lineRule="exact"/>
        <w:ind w:left="0" w:leftChars="0" w:firstLine="640"/>
        <w:rPr>
          <w:rFonts w:ascii="Times New Roman" w:eastAsia="仿宋_GB2312"/>
          <w:sz w:val="32"/>
          <w:lang w:val="zh-CN" w:bidi="ar"/>
        </w:rPr>
      </w:pPr>
    </w:p>
    <w:p>
      <w:pPr>
        <w:pStyle w:val="3"/>
        <w:spacing w:line="560" w:lineRule="exact"/>
        <w:ind w:left="0" w:leftChars="0" w:firstLine="640"/>
        <w:rPr>
          <w:rFonts w:ascii="Times New Roman" w:eastAsia="仿宋_GB2312"/>
          <w:sz w:val="32"/>
          <w:lang w:val="zh-CN" w:bidi="ar"/>
        </w:rPr>
      </w:pPr>
      <w:r>
        <w:rPr>
          <w:rFonts w:hint="eastAsia" w:ascii="Times New Roman" w:eastAsia="仿宋_GB2312"/>
          <w:sz w:val="32"/>
          <w:lang w:val="zh-CN" w:bidi="ar"/>
        </w:rPr>
        <w:t>附表：</w:t>
      </w:r>
      <w:r>
        <w:rPr>
          <w:rFonts w:hint="eastAsia" w:ascii="Times New Roman" w:eastAsia="仿宋_GB2312"/>
          <w:sz w:val="32"/>
          <w:lang w:bidi="ar"/>
        </w:rPr>
        <w:t>2025年度部门预算项目支出绩效自评表</w:t>
      </w:r>
    </w:p>
    <w:p>
      <w:pPr>
        <w:pStyle w:val="3"/>
        <w:spacing w:line="560" w:lineRule="exact"/>
        <w:ind w:left="0" w:leftChars="0" w:firstLine="0" w:firstLineChars="0"/>
        <w:rPr>
          <w:rFonts w:ascii="Times New Roman"/>
          <w:sz w:val="32"/>
          <w:highlight w:val="yellow"/>
          <w:lang w:val="zh-CN"/>
        </w:rPr>
      </w:pPr>
    </w:p>
    <w:p>
      <w:pPr>
        <w:pStyle w:val="8"/>
        <w:spacing w:before="93"/>
        <w:rPr>
          <w:rFonts w:ascii="Times New Roman" w:cs="宋体"/>
          <w:color w:val="FF0000"/>
          <w:sz w:val="32"/>
          <w:szCs w:val="32"/>
          <w:highlight w:val="yellow"/>
          <w:shd w:val="clear" w:color="auto" w:fill="FFFFFF"/>
          <w:lang w:val="zh-CN"/>
        </w:rPr>
      </w:pPr>
    </w:p>
    <w:p>
      <w:pPr>
        <w:rPr>
          <w:rFonts w:eastAsia="仿宋_GB2312" w:cs="仿宋_GB2312"/>
          <w:kern w:val="0"/>
          <w:sz w:val="32"/>
          <w:szCs w:val="32"/>
        </w:rPr>
      </w:pPr>
      <w:r>
        <w:rPr>
          <w:rFonts w:hint="eastAsia" w:eastAsia="黑体" w:cs="黑体"/>
          <w:kern w:val="0"/>
          <w:sz w:val="32"/>
          <w:szCs w:val="32"/>
          <w:shd w:val="clear" w:color="auto" w:fill="FFFFFF"/>
          <w:lang w:val="zh-CN"/>
        </w:rPr>
        <w:br w:type="page"/>
      </w:r>
      <w:bookmarkStart w:id="56" w:name="_Toc15396618"/>
    </w:p>
    <w:p>
      <w:pPr>
        <w:widowControl/>
        <w:jc w:val="center"/>
        <w:rPr>
          <w:rFonts w:eastAsia="仿宋"/>
        </w:rPr>
      </w:pPr>
      <w:r>
        <w:rPr>
          <w:rFonts w:hint="eastAsia" w:eastAsia="黑体"/>
          <w:sz w:val="44"/>
          <w:szCs w:val="44"/>
        </w:rPr>
        <w:t>第</w:t>
      </w:r>
      <w:r>
        <w:rPr>
          <w:rStyle w:val="28"/>
          <w:rFonts w:hint="eastAsia" w:eastAsia="黑体"/>
          <w:b w:val="0"/>
        </w:rPr>
        <w:t>五部分 附表</w:t>
      </w:r>
      <w:bookmarkEnd w:id="53"/>
      <w:bookmarkEnd w:id="56"/>
      <w:bookmarkStart w:id="57"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p/>
    <w:sectPr>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OTkxYmI3NDM1YjhiMGQ3NjdjYzI2OWY2YWRhY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4A61D91"/>
    <w:rsid w:val="260F557C"/>
    <w:rsid w:val="281408E2"/>
    <w:rsid w:val="29FD04D3"/>
    <w:rsid w:val="2BD636FE"/>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6201E2"/>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C06D76"/>
    <w:rsid w:val="53F74C96"/>
    <w:rsid w:val="56E47B74"/>
    <w:rsid w:val="57BD3DD4"/>
    <w:rsid w:val="5998155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69629F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收、支总计（万元）</a:t>
            </a:r>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Sheet1!$B$2:$C$2</c:f>
              <c:numCache>
                <c:formatCode>General</c:formatCode>
                <c:ptCount val="2"/>
                <c:pt idx="0">
                  <c:v>2297.94</c:v>
                </c:pt>
                <c:pt idx="1">
                  <c:v>2297.94</c:v>
                </c:pt>
              </c:numCache>
            </c:numRef>
          </c:val>
        </c:ser>
        <c:ser>
          <c:idx val="1"/>
          <c:order val="1"/>
          <c:tx>
            <c:strRef>
              <c:f>Sheet1!$A$3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收入</c:v>
                </c:pt>
                <c:pt idx="1">
                  <c:v>支出</c:v>
                </c:pt>
              </c:strCache>
            </c:strRef>
          </c:cat>
          <c:val>
            <c:numRef>
              <c:f>Sheet1!$B$3:$C$3</c:f>
              <c:numCache>
                <c:formatCode>General</c:formatCode>
                <c:ptCount val="2"/>
                <c:pt idx="0">
                  <c:v>2350.65</c:v>
                </c:pt>
                <c:pt idx="1">
                  <c:v>2350.65</c:v>
                </c:pt>
              </c:numCache>
            </c:numRef>
          </c:val>
        </c:ser>
        <c:dLbls>
          <c:showLegendKey val="0"/>
          <c:showVal val="1"/>
          <c:showCatName val="0"/>
          <c:showSerName val="0"/>
          <c:showPercent val="0"/>
          <c:showBubbleSize val="0"/>
        </c:dLbls>
        <c:gapWidth val="219"/>
        <c:overlap val="-27"/>
        <c:axId val="984422710"/>
        <c:axId val="164716823"/>
      </c:barChart>
      <c:catAx>
        <c:axId val="9844227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716823"/>
        <c:crosses val="autoZero"/>
        <c:auto val="1"/>
        <c:lblAlgn val="ctr"/>
        <c:lblOffset val="100"/>
        <c:noMultiLvlLbl val="0"/>
      </c:catAx>
      <c:valAx>
        <c:axId val="1647168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4227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收入决算结构</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0.0528097494922139"/>
                  <c:y val="-0.020289855072463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13653686482089"/>
                  <c:y val="-0.10701386411741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a:outerShdw blurRad="50800" dist="38100" dir="5400000" algn="t"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2044.81</c:v>
                </c:pt>
                <c:pt idx="1">
                  <c:v>305.84</c:v>
                </c:pt>
              </c:numCache>
            </c:numRef>
          </c:val>
        </c:ser>
        <c:dLbls>
          <c:showLegendKey val="0"/>
          <c:showVal val="1"/>
          <c:showCatName val="0"/>
          <c:showSerName val="0"/>
          <c:showPercent val="0"/>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50800" dir="5400000" algn="ctr" rotWithShape="0">
        <a:schemeClr val="tx1">
          <a:alpha val="100000"/>
        </a:schemeClr>
      </a:outerShdw>
    </a:effectLst>
  </c:spPr>
  <c:txPr>
    <a:bodyPr/>
    <a:lstStyle/>
    <a:p>
      <a:pPr>
        <a:defRPr lang="zh-CN">
          <a:solidFill>
            <a:schemeClr val="tx1"/>
          </a:solidFill>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56388171116853"/>
          <c:y val="0.213788395904437"/>
          <c:w val="0.82441573356302"/>
          <c:h val="0.592673492605233"/>
        </c:manualLayout>
      </c:layout>
      <c:pie3DChart>
        <c:varyColors val="1"/>
        <c:ser>
          <c:idx val="0"/>
          <c:order val="0"/>
          <c:tx>
            <c:strRef>
              <c:f>Sheet1!$B$1</c:f>
              <c:strCache>
                <c:ptCount val="1"/>
                <c:pt idx="0">
                  <c:v>支出决算结构</c:v>
                </c:pt>
              </c:strCache>
            </c:strRef>
          </c:tx>
          <c:spPr>
            <a:effectLst>
              <a:outerShdw blurRad="50800" dist="38100" dir="2700000" algn="tl" rotWithShape="0">
                <a:prstClr val="black">
                  <a:alpha val="40000"/>
                </a:prstClr>
              </a:outerShdw>
            </a:effectLst>
          </c:spPr>
          <c:explosion val="0"/>
          <c:dPt>
            <c:idx val="0"/>
            <c:bubble3D val="0"/>
            <c:spPr>
              <a:solidFill>
                <a:schemeClr val="accent1"/>
              </a:solidFill>
              <a:ln w="25400">
                <a:solidFill>
                  <a:schemeClr val="lt1"/>
                </a:solidFill>
              </a:ln>
              <a:effectLst>
                <a:outerShdw blurRad="50800" dist="38100" dir="2700000" algn="tl" rotWithShape="0">
                  <a:prstClr val="black">
                    <a:alpha val="40000"/>
                  </a:prstClr>
                </a:outerShdw>
              </a:effectLst>
            </c:spPr>
          </c:dPt>
          <c:dPt>
            <c:idx val="1"/>
            <c:bubble3D val="0"/>
            <c:spPr>
              <a:solidFill>
                <a:schemeClr val="accent2"/>
              </a:solidFill>
              <a:ln w="25400">
                <a:solidFill>
                  <a:schemeClr val="lt1"/>
                </a:solidFill>
              </a:ln>
              <a:effectLst>
                <a:outerShdw blurRad="50800" dist="38100" dir="2700000" algn="tl" rotWithShape="0">
                  <a:prstClr val="black">
                    <a:alpha val="40000"/>
                  </a:prstClr>
                </a:outerShdw>
              </a:effectLst>
            </c:spPr>
          </c:dPt>
          <c:dLbls>
            <c:dLbl>
              <c:idx val="0"/>
              <c:layout>
                <c:manualLayout>
                  <c:x val="0.123434995240453"/>
                  <c:y val="-0.10355962259753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36923305147604"/>
                      <c:h val="0.119973776223776"/>
                    </c:manualLayout>
                  </c15:layout>
                </c:ext>
              </c:extLst>
            </c:dLbl>
            <c:dLbl>
              <c:idx val="1"/>
              <c:layout>
                <c:manualLayout>
                  <c:x val="-0.0105094722013363"/>
                  <c:y val="-0.0419811639899294"/>
                </c:manualLayout>
              </c:layout>
              <c:numFmt formatCode="General" sourceLinked="1"/>
              <c:spPr>
                <a:no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94333184987391"/>
                      <c:h val="0.13286713286713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1761.06</c:v>
                </c:pt>
                <c:pt idx="1">
                  <c:v>589.6</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1722.7</c:v>
                </c:pt>
                <c:pt idx="1">
                  <c:v>2044.81</c:v>
                </c:pt>
              </c:numCache>
            </c:numRef>
          </c:val>
        </c:ser>
        <c:dLbls>
          <c:showLegendKey val="0"/>
          <c:showVal val="1"/>
          <c:showCatName val="0"/>
          <c:showSerName val="0"/>
          <c:showPercent val="0"/>
          <c:showBubbleSize val="0"/>
        </c:dLbls>
        <c:gapWidth val="219"/>
        <c:overlap val="-27"/>
        <c:axId val="869440715"/>
        <c:axId val="527927611"/>
      </c:barChart>
      <c:catAx>
        <c:axId val="8694407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927611"/>
        <c:crosses val="autoZero"/>
        <c:auto val="1"/>
        <c:lblAlgn val="ctr"/>
        <c:lblOffset val="100"/>
        <c:noMultiLvlLbl val="0"/>
      </c:catAx>
      <c:valAx>
        <c:axId val="5279276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4407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1722.7</c:v>
                </c:pt>
                <c:pt idx="1">
                  <c:v>2044.81</c:v>
                </c:pt>
              </c:numCache>
            </c:numRef>
          </c:val>
        </c:ser>
        <c:dLbls>
          <c:showLegendKey val="0"/>
          <c:showVal val="1"/>
          <c:showCatName val="0"/>
          <c:showSerName val="0"/>
          <c:showPercent val="0"/>
          <c:showBubbleSize val="0"/>
        </c:dLbls>
        <c:gapWidth val="219"/>
        <c:overlap val="-27"/>
        <c:axId val="869440715"/>
        <c:axId val="527927611"/>
      </c:barChart>
      <c:catAx>
        <c:axId val="8694407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927611"/>
        <c:crosses val="autoZero"/>
        <c:auto val="1"/>
        <c:lblAlgn val="ctr"/>
        <c:lblOffset val="100"/>
        <c:noMultiLvlLbl val="0"/>
      </c:catAx>
      <c:valAx>
        <c:axId val="5279276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4407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一般公共预算财政拨款支出决算结构</c:v>
                </c:pt>
              </c:strCache>
            </c:strRef>
          </c:tx>
          <c:explosion val="0"/>
          <c:dPt>
            <c:idx val="0"/>
            <c:bubble3D val="0"/>
            <c:spPr>
              <a:solidFill>
                <a:schemeClr val="accent1"/>
              </a:solidFill>
              <a:ln w="25400">
                <a:solidFill>
                  <a:schemeClr val="lt1"/>
                </a:solidFill>
              </a:ln>
              <a:effectLst>
                <a:innerShdw blurRad="63500" dist="50800" dir="13500000">
                  <a:prstClr val="black">
                    <a:alpha val="50000"/>
                  </a:prstClr>
                </a:innerShdw>
              </a:effectLst>
            </c:spPr>
          </c:dPt>
          <c:dPt>
            <c:idx val="1"/>
            <c:bubble3D val="0"/>
            <c:spPr>
              <a:solidFill>
                <a:schemeClr val="accent2"/>
              </a:solidFill>
              <a:ln w="25400">
                <a:solidFill>
                  <a:schemeClr val="lt1"/>
                </a:solidFill>
              </a:ln>
              <a:effectLst/>
            </c:spPr>
          </c:dPt>
          <c:dPt>
            <c:idx val="2"/>
            <c:bubble3D val="0"/>
            <c:spPr>
              <a:solidFill>
                <a:schemeClr val="accent3"/>
              </a:solidFill>
              <a:ln w="25400">
                <a:solidFill>
                  <a:schemeClr val="lt1"/>
                </a:solidFill>
              </a:ln>
              <a:effectLst/>
            </c:spPr>
          </c:dPt>
          <c:dPt>
            <c:idx val="3"/>
            <c:bubble3D val="0"/>
            <c:spPr>
              <a:solidFill>
                <a:schemeClr val="accent4"/>
              </a:solidFill>
              <a:ln w="25400">
                <a:solidFill>
                  <a:schemeClr val="lt1"/>
                </a:solidFill>
              </a:ln>
              <a:effectLst/>
            </c:spPr>
          </c:dPt>
          <c:dLbls>
            <c:dLbl>
              <c:idx val="0"/>
              <c:layout>
                <c:manualLayout>
                  <c:x val="0.0761014686248331"/>
                  <c:y val="-0.024384579656293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12550066755674"/>
                      <c:h val="0.144681839294008"/>
                    </c:manualLayout>
                  </c15:layout>
                </c:ext>
              </c:extLst>
            </c:dLbl>
            <c:dLbl>
              <c:idx val="1"/>
              <c:layout>
                <c:manualLayout>
                  <c:x val="-0.0440587449933244"/>
                  <c:y val="0.076637250348351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41255006675567"/>
                      <c:h val="0.267069205759405"/>
                    </c:manualLayout>
                  </c15:layout>
                </c:ext>
              </c:extLst>
            </c:dLbl>
            <c:dLbl>
              <c:idx val="2"/>
              <c:layout>
                <c:manualLayout>
                  <c:x val="0.0440587449933244"/>
                  <c:y val="-0.080120761727821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66088117489987"/>
                      <c:h val="0.142823966558291"/>
                    </c:manualLayout>
                  </c15:layout>
                </c:ext>
              </c:extLst>
            </c:dLbl>
            <c:dLbl>
              <c:idx val="3"/>
              <c:layout>
                <c:manualLayout>
                  <c:x val="0.164218958611482"/>
                  <c:y val="-0.017417556897352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67022696929239"/>
                      <c:h val="0.155829075708314"/>
                    </c:manualLayout>
                  </c15:layout>
                </c:ext>
              </c:extLst>
            </c:dLbl>
            <c:spPr>
              <a:noFill/>
              <a:ln>
                <a:noFill/>
              </a:ln>
              <a:effectLst>
                <a:outerShdw blurRad="50800" dist="38100" algn="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1705.69</c:v>
                </c:pt>
                <c:pt idx="1">
                  <c:v>140.69</c:v>
                </c:pt>
                <c:pt idx="2">
                  <c:v>88.62</c:v>
                </c:pt>
                <c:pt idx="3">
                  <c:v>109.81</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5400000" algn="t" rotWithShape="0">
        <a:prstClr val="black">
          <a:alpha val="40000"/>
        </a:prstClr>
      </a:outerShdw>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财政拨款“三公”经费支出</c:v>
                </c:pt>
              </c:strCache>
            </c:strRef>
          </c:tx>
          <c:explosion val="0"/>
          <c:dPt>
            <c:idx val="0"/>
            <c:bubble3D val="0"/>
            <c:spPr>
              <a:solidFill>
                <a:schemeClr val="accent1">
                  <a:shade val="65000"/>
                </a:schemeClr>
              </a:solidFill>
              <a:ln w="25400">
                <a:solidFill>
                  <a:schemeClr val="lt1"/>
                </a:solidFill>
              </a:ln>
              <a:effectLst/>
            </c:spPr>
          </c:dPt>
          <c:dPt>
            <c:idx val="1"/>
            <c:bubble3D val="0"/>
            <c:spPr>
              <a:solidFill>
                <a:schemeClr val="accent1"/>
              </a:solidFill>
              <a:ln w="25400">
                <a:solidFill>
                  <a:schemeClr val="lt1"/>
                </a:solidFill>
              </a:ln>
              <a:effectLst/>
            </c:spPr>
          </c:dPt>
          <c:dPt>
            <c:idx val="2"/>
            <c:bubble3D val="0"/>
            <c:spPr>
              <a:solidFill>
                <a:schemeClr val="accent1">
                  <a:tint val="65000"/>
                </a:schemeClr>
              </a:solidFill>
              <a:ln w="25400">
                <a:solidFill>
                  <a:schemeClr val="lt1"/>
                </a:solidFill>
              </a:ln>
              <a:effectLst/>
            </c:spPr>
          </c:dPt>
          <c:dLbls>
            <c:dLbl>
              <c:idx val="0"/>
              <c:layout>
                <c:manualLayout>
                  <c:x val="0.136875"/>
                  <c:y val="-0.0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74609196658781"/>
                  <c:y val="-0.075046575722351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170625"/>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a:outerShdw blurRad="50800" dist="38100" algn="l" rotWithShape="0">
                  <a:prstClr val="black">
                    <a:alpha val="40000"/>
                  </a:prstClr>
                </a:outerShdw>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11.18</c:v>
                </c:pt>
                <c:pt idx="2">
                  <c:v>1</c:v>
                </c:pt>
              </c:numCache>
            </c:numRef>
          </c:val>
        </c:ser>
        <c:dLbls>
          <c:showLegendKey val="0"/>
          <c:showVal val="0"/>
          <c:showCatName val="1"/>
          <c:showSerName val="0"/>
          <c:showPercent val="1"/>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a:outerShdw blurRad="50800" dist="38100" dir="8100000" algn="tr" rotWithShape="0">
        <a:prstClr val="black">
          <a:alpha val="40000"/>
        </a:prstClr>
      </a:out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7837</Words>
  <Characters>8486</Characters>
  <Lines>63</Lines>
  <Paragraphs>17</Paragraphs>
  <TotalTime>0</TotalTime>
  <ScaleCrop>false</ScaleCrop>
  <LinksUpToDate>false</LinksUpToDate>
  <CharactersWithSpaces>8511</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黄雪倩</cp:lastModifiedBy>
  <cp:lastPrinted>2026-08-27T00:27:00Z</cp:lastPrinted>
  <dcterms:modified xsi:type="dcterms:W3CDTF">2026-09-11T03:18:00Z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3BF536824C220DA3E40E8B68BA118B1C_42</vt:lpwstr>
  </property>
</Properties>
</file>