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93"/>
        <w:rPr>
          <w:rFonts w:hint="eastAsia" w:ascii="Times New Roman" w:eastAsia="方正小标宋简体"/>
          <w:kern w:val="2"/>
          <w:sz w:val="72"/>
          <w:szCs w:val="72"/>
        </w:rPr>
      </w:pPr>
      <w:bookmarkStart w:id="0" w:name="_Toc15396475"/>
      <w:bookmarkStart w:id="1" w:name="_Toc15377193"/>
      <w:bookmarkStart w:id="2" w:name="_Toc15396597"/>
      <w:bookmarkStart w:id="3" w:name="_Toc15377425"/>
      <w:bookmarkStart w:id="4" w:name="_Toc15378441"/>
      <w:bookmarkStart w:id="5" w:name="_Toc15306267"/>
    </w:p>
    <w:p>
      <w:pPr>
        <w:pStyle w:val="8"/>
        <w:spacing w:before="93"/>
        <w:rPr>
          <w:rFonts w:ascii="Times New Roman" w:eastAsia="方正小标宋简体"/>
          <w:kern w:val="2"/>
          <w:sz w:val="72"/>
          <w:szCs w:val="72"/>
        </w:rPr>
      </w:pPr>
    </w:p>
    <w:p>
      <w:pPr>
        <w:pStyle w:val="8"/>
        <w:spacing w:before="93"/>
        <w:rPr>
          <w:rFonts w:hint="eastAsia" w:ascii="Times New Roman" w:eastAsia="方正小标宋简体"/>
          <w:kern w:val="2"/>
          <w:sz w:val="72"/>
          <w:szCs w:val="72"/>
        </w:rPr>
      </w:pPr>
    </w:p>
    <w:p>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lang w:val="en-US" w:eastAsia="zh-CN"/>
        </w:rPr>
        <w:t>盐边县人民法院</w:t>
      </w:r>
      <w:r>
        <w:rPr>
          <w:rFonts w:hint="eastAsia" w:ascii="Times New Roman" w:eastAsia="方正小标宋简体"/>
          <w:kern w:val="2"/>
          <w:sz w:val="44"/>
          <w:szCs w:val="44"/>
        </w:rPr>
        <w:t>2025年度单位决算</w:t>
      </w:r>
    </w:p>
    <w:p>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公开编制说明</w:t>
      </w:r>
    </w:p>
    <w:p>
      <w:pPr>
        <w:spacing w:line="600" w:lineRule="exact"/>
        <w:jc w:val="center"/>
        <w:outlineLvl w:val="0"/>
        <w:rPr>
          <w:rFonts w:eastAsia="方正小标宋简体"/>
          <w:sz w:val="72"/>
          <w:szCs w:val="72"/>
        </w:rPr>
      </w:pPr>
    </w:p>
    <w:p>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bookmarkEnd w:id="0"/>
    <w:bookmarkEnd w:id="1"/>
    <w:bookmarkEnd w:id="2"/>
    <w:bookmarkEnd w:id="3"/>
    <w:bookmarkEnd w:id="4"/>
    <w:p>
      <w:pPr>
        <w:pStyle w:val="8"/>
        <w:spacing w:before="93"/>
        <w:jc w:val="center"/>
        <w:rPr>
          <w:rFonts w:hint="eastAsia" w:ascii="Times New Roman" w:eastAsia="方正小标宋简体"/>
          <w:kern w:val="2"/>
          <w:sz w:val="44"/>
          <w:szCs w:val="44"/>
        </w:rPr>
      </w:pPr>
      <w:bookmarkStart w:id="6" w:name="_Toc15396598"/>
      <w:bookmarkStart w:id="7" w:name="_Toc15377426"/>
      <w:bookmarkStart w:id="8" w:name="_Toc15377194"/>
      <w:bookmarkStart w:id="9" w:name="_Toc15378442"/>
      <w:bookmarkStart w:id="10" w:name="_Toc15396476"/>
      <w:r>
        <w:rPr>
          <w:rFonts w:hint="eastAsia" w:ascii="Times New Roman" w:eastAsia="方正小标宋简体"/>
          <w:kern w:val="2"/>
          <w:sz w:val="44"/>
          <w:szCs w:val="44"/>
        </w:rPr>
        <w:t xml:space="preserve">2025年度攀枝花市 </w:t>
      </w:r>
      <w:bookmarkEnd w:id="5"/>
      <w:bookmarkStart w:id="11" w:name="_Toc15306268"/>
      <w:r>
        <w:rPr>
          <w:rFonts w:hint="eastAsia" w:ascii="Times New Roman" w:eastAsia="方正小标宋简体"/>
          <w:kern w:val="2"/>
          <w:sz w:val="44"/>
          <w:szCs w:val="44"/>
        </w:rPr>
        <w:t>盐边县人民法院</w:t>
      </w:r>
    </w:p>
    <w:p>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lang w:val="en-US" w:eastAsia="zh-CN"/>
        </w:rPr>
        <w:t>单位</w:t>
      </w:r>
      <w:r>
        <w:rPr>
          <w:rFonts w:hint="eastAsia" w:ascii="Times New Roman" w:eastAsia="方正小标宋简体"/>
          <w:kern w:val="2"/>
          <w:sz w:val="44"/>
          <w:szCs w:val="44"/>
        </w:rPr>
        <w:t>决算</w:t>
      </w:r>
      <w:bookmarkEnd w:id="6"/>
      <w:bookmarkEnd w:id="7"/>
      <w:bookmarkEnd w:id="8"/>
      <w:bookmarkEnd w:id="9"/>
      <w:bookmarkEnd w:id="10"/>
      <w:bookmarkEnd w:id="11"/>
    </w:p>
    <w:p>
      <w:pPr>
        <w:widowControl/>
        <w:jc w:val="center"/>
        <w:rPr>
          <w:rFonts w:hint="eastAsia" w:eastAsia="黑体"/>
          <w:sz w:val="48"/>
          <w:szCs w:val="48"/>
        </w:rPr>
      </w:pPr>
    </w:p>
    <w:p>
      <w:pPr>
        <w:widowControl/>
        <w:jc w:val="center"/>
        <w:rPr>
          <w:rFonts w:hint="eastAsia" w:eastAsia="黑体"/>
          <w:sz w:val="48"/>
          <w:szCs w:val="48"/>
        </w:rPr>
      </w:pPr>
    </w:p>
    <w:p>
      <w:pPr>
        <w:widowControl/>
        <w:jc w:val="center"/>
        <w:rPr>
          <w:rFonts w:hint="eastAsia" w:eastAsia="黑体"/>
          <w:sz w:val="48"/>
          <w:szCs w:val="48"/>
        </w:rPr>
      </w:pPr>
    </w:p>
    <w:p>
      <w:pPr>
        <w:widowControl/>
        <w:jc w:val="center"/>
        <w:rPr>
          <w:rFonts w:hint="eastAsia" w:eastAsia="黑体"/>
          <w:sz w:val="48"/>
          <w:szCs w:val="48"/>
        </w:rPr>
      </w:pPr>
    </w:p>
    <w:p>
      <w:pPr>
        <w:widowControl/>
        <w:jc w:val="center"/>
        <w:rPr>
          <w:rFonts w:hint="eastAsia" w:eastAsia="黑体"/>
          <w:sz w:val="48"/>
          <w:szCs w:val="48"/>
        </w:rPr>
      </w:pPr>
    </w:p>
    <w:p>
      <w:pPr>
        <w:widowControl/>
        <w:jc w:val="center"/>
        <w:rPr>
          <w:rFonts w:hint="eastAsia" w:eastAsia="黑体"/>
          <w:sz w:val="48"/>
          <w:szCs w:val="48"/>
        </w:rPr>
      </w:pPr>
    </w:p>
    <w:p>
      <w:pPr>
        <w:widowControl/>
        <w:jc w:val="center"/>
        <w:rPr>
          <w:rFonts w:hint="eastAsia" w:eastAsia="黑体"/>
          <w:sz w:val="48"/>
          <w:szCs w:val="48"/>
        </w:rPr>
      </w:pPr>
    </w:p>
    <w:p>
      <w:pPr>
        <w:widowControl/>
        <w:jc w:val="center"/>
        <w:rPr>
          <w:rFonts w:hint="eastAsia" w:eastAsia="黑体"/>
          <w:sz w:val="48"/>
          <w:szCs w:val="48"/>
        </w:rPr>
      </w:pPr>
    </w:p>
    <w:p>
      <w:pPr>
        <w:widowControl/>
        <w:jc w:val="center"/>
        <w:rPr>
          <w:rFonts w:hint="eastAsia" w:eastAsia="黑体"/>
          <w:sz w:val="48"/>
          <w:szCs w:val="48"/>
        </w:rPr>
      </w:pPr>
    </w:p>
    <w:p>
      <w:pPr>
        <w:widowControl/>
        <w:jc w:val="center"/>
        <w:rPr>
          <w:rFonts w:hint="eastAsia" w:eastAsia="黑体"/>
          <w:sz w:val="48"/>
          <w:szCs w:val="48"/>
        </w:rPr>
      </w:pPr>
    </w:p>
    <w:p>
      <w:pPr>
        <w:widowControl/>
        <w:jc w:val="center"/>
        <w:rPr>
          <w:rFonts w:hint="eastAsia" w:eastAsia="黑体"/>
          <w:sz w:val="48"/>
          <w:szCs w:val="48"/>
        </w:rPr>
      </w:pPr>
    </w:p>
    <w:p>
      <w:pPr>
        <w:widowControl/>
        <w:jc w:val="center"/>
        <w:rPr>
          <w:rFonts w:hint="eastAsia" w:eastAsia="黑体"/>
          <w:sz w:val="48"/>
          <w:szCs w:val="48"/>
        </w:rPr>
      </w:pPr>
    </w:p>
    <w:p>
      <w:pPr>
        <w:widowControl/>
        <w:jc w:val="center"/>
        <w:rPr>
          <w:rFonts w:hint="eastAsia" w:eastAsia="黑体"/>
          <w:sz w:val="48"/>
          <w:szCs w:val="48"/>
        </w:rPr>
      </w:pPr>
    </w:p>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14</w:t>
      </w:r>
      <w:r>
        <w:rPr>
          <w:rFonts w:hint="eastAsia" w:ascii="Times New Roman" w:hAnsi="Times New Roman" w:eastAsia="仿宋_GB2312" w:cs="仿宋_GB2312"/>
          <w:sz w:val="32"/>
          <w:szCs w:val="32"/>
        </w:rPr>
        <w:t>日</w:t>
      </w:r>
    </w:p>
    <w:p/>
    <w:p>
      <w:pPr>
        <w:pStyle w:val="13"/>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 xml:space="preserve">第一部分 </w:t>
      </w:r>
      <w:r>
        <w:rPr>
          <w:rFonts w:hint="eastAsia" w:ascii="Times New Roman" w:hAnsi="Times New Roman" w:eastAsia="黑体" w:cs="黑体"/>
          <w:sz w:val="32"/>
          <w:szCs w:val="32"/>
          <w:lang w:val="en-US" w:eastAsia="zh-CN"/>
        </w:rPr>
        <w:t>单位</w:t>
      </w:r>
      <w:r>
        <w:rPr>
          <w:rFonts w:hint="eastAsia" w:ascii="Times New Roman" w:hAnsi="Times New Roman" w:eastAsia="黑体" w:cs="黑体"/>
          <w:sz w:val="32"/>
          <w:szCs w:val="32"/>
        </w:rPr>
        <w:t>概况</w:t>
      </w:r>
      <w:r>
        <w:rPr>
          <w:rFonts w:hint="eastAsia" w:ascii="Times New Roman" w:hAnsi="Times New Roman" w:eastAsia="黑体" w:cs="黑体"/>
          <w:sz w:val="32"/>
          <w:szCs w:val="32"/>
          <w:lang w:val="en-US" w:eastAsia="zh-CN"/>
        </w:rPr>
        <w:t>...................................................................1</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w:t>
      </w:r>
      <w:r>
        <w:rPr>
          <w:rFonts w:hint="eastAsia" w:eastAsia="仿宋_GB2312" w:cs="仿宋_GB2312"/>
          <w:sz w:val="32"/>
          <w:szCs w:val="32"/>
          <w:lang w:val="en-US" w:eastAsia="zh-CN"/>
        </w:rPr>
        <w:t>单位</w:t>
      </w:r>
      <w:r>
        <w:rPr>
          <w:rFonts w:hint="eastAsia" w:eastAsia="仿宋_GB2312" w:cs="仿宋_GB2312"/>
          <w:sz w:val="32"/>
          <w:szCs w:val="32"/>
        </w:rPr>
        <w:t>职责</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二、机构设置</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w:t>
      </w:r>
    </w:p>
    <w:p>
      <w:pPr>
        <w:pStyle w:val="13"/>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第二部分 2025年度</w:t>
      </w:r>
      <w:r>
        <w:rPr>
          <w:rFonts w:hint="eastAsia" w:ascii="Times New Roman" w:hAnsi="Times New Roman" w:eastAsia="黑体" w:cs="黑体"/>
          <w:sz w:val="32"/>
          <w:szCs w:val="32"/>
          <w:lang w:val="en-US" w:eastAsia="zh-CN"/>
        </w:rPr>
        <w:t>单位</w:t>
      </w:r>
      <w:r>
        <w:rPr>
          <w:rFonts w:hint="eastAsia" w:ascii="Times New Roman" w:hAnsi="Times New Roman" w:eastAsia="黑体" w:cs="黑体"/>
          <w:sz w:val="32"/>
          <w:szCs w:val="32"/>
        </w:rPr>
        <w:t>决算情况说明</w:t>
      </w:r>
      <w:r>
        <w:rPr>
          <w:rFonts w:hint="eastAsia" w:ascii="Times New Roman" w:hAnsi="Times New Roman" w:eastAsia="黑体" w:cs="黑体"/>
          <w:sz w:val="32"/>
          <w:szCs w:val="32"/>
          <w:lang w:val="en-US" w:eastAsia="zh-CN"/>
        </w:rPr>
        <w:t>...................................2</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一、收入支出决算总体情况说明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...2</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二、收入决算情况说明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.2</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三、支出决算情况说明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四、财政拨款收入支出决算总体情况说明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w:t>
      </w:r>
    </w:p>
    <w:p>
      <w:pPr>
        <w:pStyle w:val="14"/>
        <w:adjustRightInd w:val="0"/>
        <w:snapToGrid w:val="0"/>
        <w:spacing w:line="560" w:lineRule="exact"/>
        <w:ind w:left="0" w:leftChars="0" w:firstLine="640" w:firstLineChars="200"/>
        <w:jc w:val="left"/>
        <w:rPr>
          <w:rFonts w:hint="default" w:ascii="Times New Roman" w:hAnsi="Times New Roman" w:eastAsia="黑体" w:cs="黑体"/>
          <w:sz w:val="32"/>
          <w:szCs w:val="32"/>
          <w:lang w:val="en-US" w:eastAsia="zh-CN"/>
        </w:rPr>
      </w:pPr>
      <w:r>
        <w:rPr>
          <w:rFonts w:hint="eastAsia" w:eastAsia="仿宋_GB2312" w:cs="仿宋_GB2312"/>
          <w:sz w:val="32"/>
          <w:szCs w:val="32"/>
        </w:rPr>
        <w:t>五、一般公共预算财政拨款支出决算情况说明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.4</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六、一般公共预算财政拨款基本支出决算情况说明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7</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七、财政拨款“三公”经费支出决算情况说明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.7</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八、政府性基金预算支出决算情况说明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九、国有资本经营预算支出决算情况说明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十、其他重要事项的情况说明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9</w:t>
      </w:r>
    </w:p>
    <w:p>
      <w:pPr>
        <w:pStyle w:val="13"/>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lang w:val="en-US" w:eastAsia="zh-CN"/>
        </w:rPr>
        <w:t>.................................................................11</w:t>
      </w:r>
    </w:p>
    <w:p>
      <w:pPr>
        <w:pStyle w:val="13"/>
        <w:adjustRightInd w:val="0"/>
        <w:snapToGrid w:val="0"/>
        <w:spacing w:before="0" w:line="560" w:lineRule="exact"/>
        <w:jc w:val="left"/>
        <w:rPr>
          <w:rFonts w:hint="default" w:eastAsia="黑体" w:cs="黑体"/>
          <w:sz w:val="32"/>
          <w:szCs w:val="32"/>
          <w:lang w:val="en-US" w:eastAsia="zh-CN"/>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lang w:val="en-US" w:eastAsia="zh-CN"/>
        </w:rPr>
        <w:t>.........................................................................15</w:t>
      </w:r>
    </w:p>
    <w:p>
      <w:pPr>
        <w:pStyle w:val="13"/>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lang w:val="en-US" w:eastAsia="zh-CN"/>
        </w:rPr>
        <w:t>.........................................................................16</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pPr>
        <w:pStyle w:val="14"/>
        <w:adjustRightInd w:val="0"/>
        <w:snapToGrid w:val="0"/>
        <w:spacing w:line="560" w:lineRule="exact"/>
        <w:ind w:left="0" w:leftChars="0" w:firstLine="640" w:firstLineChars="200"/>
        <w:jc w:val="left"/>
        <w:rPr>
          <w:rFonts w:hint="eastAsia" w:eastAsia="仿宋_GB2312" w:cs="仿宋_GB2312"/>
          <w:sz w:val="32"/>
          <w:szCs w:val="32"/>
        </w:rPr>
      </w:pPr>
      <w:r>
        <w:rPr>
          <w:rFonts w:hint="eastAsia" w:eastAsia="仿宋_GB2312" w:cs="仿宋_GB2312"/>
          <w:sz w:val="32"/>
          <w:szCs w:val="32"/>
        </w:rPr>
        <w:t>十二、国有资本经营预算财政拨款支出决算表</w:t>
      </w:r>
    </w:p>
    <w:p>
      <w:pPr>
        <w:pStyle w:val="14"/>
        <w:adjustRightInd w:val="0"/>
        <w:snapToGrid w:val="0"/>
        <w:spacing w:line="560" w:lineRule="exact"/>
        <w:ind w:left="0" w:leftChars="0" w:firstLine="640" w:firstLineChars="200"/>
        <w:jc w:val="left"/>
        <w:rPr>
          <w:rFonts w:hint="eastAsia" w:eastAsia="仿宋_GB2312" w:cs="仿宋_GB2312"/>
          <w:sz w:val="32"/>
          <w:szCs w:val="32"/>
        </w:rPr>
      </w:pPr>
      <w:r>
        <w:rPr>
          <w:rFonts w:hint="eastAsia" w:eastAsia="仿宋_GB2312" w:cs="仿宋_GB2312"/>
          <w:sz w:val="32"/>
          <w:szCs w:val="32"/>
        </w:rPr>
        <w:t>十三、财政拨款“三公”经费支出决算表</w:t>
      </w:r>
    </w:p>
    <w:p>
      <w:pPr>
        <w:rPr>
          <w:rFonts w:hint="eastAsia" w:eastAsia="仿宋_GB2312" w:cs="仿宋_GB2312"/>
          <w:sz w:val="32"/>
          <w:szCs w:val="32"/>
        </w:rPr>
      </w:pPr>
    </w:p>
    <w:p>
      <w:pPr>
        <w:pStyle w:val="2"/>
        <w:rPr>
          <w:rFonts w:hint="eastAsia" w:eastAsia="仿宋_GB2312" w:cs="仿宋_GB2312"/>
          <w:sz w:val="32"/>
          <w:szCs w:val="32"/>
        </w:rPr>
      </w:pPr>
    </w:p>
    <w:p>
      <w:pPr>
        <w:pStyle w:val="3"/>
        <w:rPr>
          <w:rFonts w:hint="eastAsia" w:eastAsia="仿宋_GB2312" w:cs="仿宋_GB2312"/>
          <w:sz w:val="32"/>
          <w:szCs w:val="32"/>
        </w:rPr>
      </w:pPr>
    </w:p>
    <w:p>
      <w:pPr>
        <w:rPr>
          <w:rFonts w:hint="eastAsia" w:eastAsia="仿宋_GB2312" w:cs="仿宋_GB2312"/>
          <w:sz w:val="32"/>
          <w:szCs w:val="32"/>
        </w:rPr>
      </w:pPr>
    </w:p>
    <w:p>
      <w:pPr>
        <w:pStyle w:val="2"/>
        <w:rPr>
          <w:rFonts w:hint="eastAsia" w:eastAsia="仿宋_GB2312" w:cs="仿宋_GB2312"/>
          <w:sz w:val="32"/>
          <w:szCs w:val="32"/>
        </w:rPr>
      </w:pPr>
    </w:p>
    <w:p>
      <w:pPr>
        <w:pStyle w:val="3"/>
        <w:rPr>
          <w:rFonts w:hint="eastAsia" w:eastAsia="仿宋_GB2312" w:cs="仿宋_GB2312"/>
          <w:sz w:val="32"/>
          <w:szCs w:val="32"/>
        </w:rPr>
      </w:pPr>
    </w:p>
    <w:p>
      <w:pPr>
        <w:rPr>
          <w:rFonts w:hint="eastAsia" w:eastAsia="仿宋_GB2312" w:cs="仿宋_GB2312"/>
          <w:sz w:val="32"/>
          <w:szCs w:val="32"/>
        </w:rPr>
      </w:pPr>
    </w:p>
    <w:p>
      <w:pPr>
        <w:pStyle w:val="2"/>
        <w:rPr>
          <w:rFonts w:hint="eastAsia" w:eastAsia="仿宋_GB2312" w:cs="仿宋_GB2312"/>
          <w:sz w:val="32"/>
          <w:szCs w:val="32"/>
        </w:rPr>
      </w:pPr>
    </w:p>
    <w:p>
      <w:pPr>
        <w:pStyle w:val="3"/>
        <w:rPr>
          <w:rFonts w:hint="eastAsia" w:eastAsia="仿宋_GB2312" w:cs="仿宋_GB2312"/>
          <w:sz w:val="32"/>
          <w:szCs w:val="32"/>
        </w:rPr>
      </w:pPr>
    </w:p>
    <w:p>
      <w:pPr>
        <w:rPr>
          <w:rFonts w:hint="eastAsia" w:eastAsia="仿宋_GB2312" w:cs="仿宋_GB2312"/>
          <w:sz w:val="32"/>
          <w:szCs w:val="32"/>
        </w:rPr>
      </w:pPr>
    </w:p>
    <w:p>
      <w:pPr>
        <w:pStyle w:val="2"/>
      </w:pPr>
    </w:p>
    <w:p>
      <w:pPr>
        <w:pStyle w:val="5"/>
        <w:jc w:val="center"/>
        <w:rPr>
          <w:rFonts w:hint="eastAsia" w:eastAsia="方正小标宋简体" w:cs="方正小标宋简体"/>
          <w:b w:val="0"/>
        </w:rPr>
        <w:sectPr>
          <w:footerReference r:id="rId5" w:type="default"/>
          <w:pgSz w:w="11906" w:h="16838"/>
          <w:pgMar w:top="1440" w:right="1800" w:bottom="1440" w:left="1800" w:header="851" w:footer="992" w:gutter="0"/>
          <w:pgNumType w:fmt="decimal" w:start="1"/>
          <w:cols w:space="425" w:num="1"/>
          <w:docGrid w:type="lines" w:linePitch="312" w:charSpace="0"/>
        </w:sectPr>
      </w:pPr>
      <w:bookmarkStart w:id="12" w:name="_Toc15377196"/>
      <w:bookmarkStart w:id="13" w:name="_Toc15396599"/>
    </w:p>
    <w:p>
      <w:pPr>
        <w:pStyle w:val="5"/>
        <w:jc w:val="center"/>
        <w:rPr>
          <w:rFonts w:eastAsia="黑体"/>
          <w:sz w:val="32"/>
          <w:szCs w:val="32"/>
        </w:rPr>
      </w:pPr>
      <w:r>
        <w:rPr>
          <w:rFonts w:hint="eastAsia" w:eastAsia="方正小标宋简体" w:cs="方正小标宋简体"/>
          <w:b w:val="0"/>
        </w:rPr>
        <w:t xml:space="preserve">第一部分  </w:t>
      </w:r>
      <w:r>
        <w:rPr>
          <w:rStyle w:val="28"/>
          <w:rFonts w:hint="eastAsia" w:eastAsia="方正小标宋简体" w:cs="方正小标宋简体"/>
          <w:b w:val="0"/>
          <w:bCs w:val="0"/>
          <w:lang w:val="en-US" w:eastAsia="zh-CN"/>
        </w:rPr>
        <w:t>单位</w:t>
      </w:r>
      <w:r>
        <w:rPr>
          <w:rStyle w:val="28"/>
          <w:rFonts w:hint="eastAsia" w:eastAsia="方正小标宋简体" w:cs="方正小标宋简体"/>
          <w:b w:val="0"/>
          <w:bCs w:val="0"/>
        </w:rPr>
        <w:t>概况</w:t>
      </w:r>
      <w:bookmarkEnd w:id="12"/>
      <w:bookmarkEnd w:id="13"/>
    </w:p>
    <w:p>
      <w:pPr>
        <w:pStyle w:val="6"/>
        <w:rPr>
          <w:rFonts w:hint="eastAsia" w:ascii="Times New Roman" w:hAnsi="Times New Roman" w:eastAsia="黑体"/>
          <w:b w:val="0"/>
        </w:rPr>
      </w:pPr>
      <w:bookmarkStart w:id="14" w:name="_Toc15396600"/>
      <w:bookmarkStart w:id="15" w:name="_Toc15377197"/>
      <w:r>
        <w:rPr>
          <w:rFonts w:hint="eastAsia" w:ascii="Times New Roman" w:hAnsi="Times New Roman" w:eastAsia="黑体"/>
          <w:b w:val="0"/>
        </w:rPr>
        <w:t>一、</w:t>
      </w:r>
      <w:bookmarkEnd w:id="14"/>
      <w:bookmarkEnd w:id="15"/>
      <w:r>
        <w:rPr>
          <w:rFonts w:hint="eastAsia" w:ascii="Times New Roman" w:hAnsi="Times New Roman" w:eastAsia="黑体"/>
          <w:b w:val="0"/>
          <w:lang w:val="en-US" w:eastAsia="zh-CN"/>
        </w:rPr>
        <w:t>单位</w:t>
      </w:r>
      <w:r>
        <w:rPr>
          <w:rFonts w:hint="eastAsia" w:ascii="Times New Roman" w:hAnsi="Times New Roman" w:eastAsia="黑体"/>
          <w:b w:val="0"/>
        </w:rPr>
        <w:t>职责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盐边县人民法院属审判机关，主要负责案件审判工作，主要职责是：（一）审判法律规定、上级人民法院指定由县法院管辖以及县法院认为应当由自己审判的刑事、民事、行政等第一审案件。（二）审查处理不服本院判决各类申诉案。（三）监督指导人民法庭的审判工作。（四）依法行使司法执行权和司法决定权。（五）管理协调本院的审判和执行工作。（六）负责全院思想政治、教育培训工作，按照权限管理法官和其他人员，主管本院的监察工作；领导院直属单位和群团工作。（七）管理本法院的有关经费和物资装备。（八）结合审判工作宣传法制，教育公民遵守宪法和法律。（九）承办其他应由本院负责的工作。（十）派出机构及职责。派出法庭有四个，分别是红格法庭、渔门法庭、共和法庭、永兴法庭，依法审理和执行辖区内一般的民事案件、指导人民调解委员会工作及办理法庭审判工作有关的其他事项。</w:t>
      </w:r>
    </w:p>
    <w:p>
      <w:pPr>
        <w:pStyle w:val="6"/>
        <w:rPr>
          <w:rStyle w:val="29"/>
          <w:rFonts w:ascii="Times New Roman" w:hAnsi="Times New Roman"/>
          <w:b w:val="0"/>
          <w:bCs w:val="0"/>
        </w:rPr>
      </w:pPr>
      <w:bookmarkStart w:id="16" w:name="_Toc15396601"/>
      <w:bookmarkStart w:id="17" w:name="_Toc15377200"/>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6"/>
      <w:bookmarkEnd w:id="17"/>
    </w:p>
    <w:p>
      <w:pPr>
        <w:ind w:firstLine="800" w:firstLineChars="250"/>
        <w:rPr>
          <w:rFonts w:eastAsia="仿宋"/>
          <w:kern w:val="0"/>
          <w:sz w:val="32"/>
          <w:szCs w:val="32"/>
        </w:rPr>
      </w:pPr>
      <w:r>
        <w:rPr>
          <w:rFonts w:hint="default" w:ascii="Times New Roman" w:hAnsi="Times New Roman" w:eastAsia="仿宋_GB2312" w:cs="Times New Roman"/>
          <w:color w:val="auto"/>
          <w:kern w:val="2"/>
          <w:sz w:val="32"/>
          <w:szCs w:val="32"/>
        </w:rPr>
        <w:t>盐边县人民法院</w:t>
      </w:r>
      <w:r>
        <w:rPr>
          <w:rFonts w:hint="eastAsia" w:eastAsia="仿宋_GB2312" w:cs="仿宋_GB2312"/>
          <w:sz w:val="32"/>
          <w:szCs w:val="32"/>
        </w:rPr>
        <w:t>下属二级预算单位</w:t>
      </w:r>
      <w:r>
        <w:rPr>
          <w:rFonts w:hint="eastAsia" w:eastAsia="仿宋_GB2312" w:cs="仿宋_GB2312"/>
          <w:sz w:val="32"/>
          <w:szCs w:val="32"/>
          <w:lang w:val="en-US" w:eastAsia="zh-CN"/>
        </w:rPr>
        <w:t>0</w:t>
      </w:r>
      <w:r>
        <w:rPr>
          <w:rFonts w:hint="eastAsia" w:eastAsia="仿宋_GB2312" w:cs="仿宋_GB2312"/>
          <w:sz w:val="32"/>
          <w:szCs w:val="32"/>
        </w:rPr>
        <w:t>个，其中行政单位</w:t>
      </w:r>
      <w:r>
        <w:rPr>
          <w:rFonts w:hint="eastAsia" w:eastAsia="仿宋_GB2312" w:cs="仿宋_GB2312"/>
          <w:sz w:val="32"/>
          <w:szCs w:val="32"/>
          <w:lang w:val="en-US" w:eastAsia="zh-CN"/>
        </w:rPr>
        <w:t>0</w:t>
      </w:r>
      <w:r>
        <w:rPr>
          <w:rFonts w:hint="eastAsia" w:eastAsia="仿宋_GB2312" w:cs="仿宋_GB2312"/>
          <w:sz w:val="32"/>
          <w:szCs w:val="32"/>
        </w:rPr>
        <w:t>个，参照公务员法管理的事业单位</w:t>
      </w:r>
      <w:r>
        <w:rPr>
          <w:rFonts w:hint="eastAsia" w:eastAsia="仿宋_GB2312" w:cs="仿宋_GB2312"/>
          <w:bCs/>
          <w:sz w:val="32"/>
          <w:szCs w:val="32"/>
          <w:lang w:val="en-US" w:eastAsia="zh-CN"/>
        </w:rPr>
        <w:t>0</w:t>
      </w:r>
      <w:r>
        <w:rPr>
          <w:rFonts w:hint="eastAsia" w:eastAsia="仿宋_GB2312" w:cs="仿宋_GB2312"/>
          <w:sz w:val="32"/>
          <w:szCs w:val="32"/>
        </w:rPr>
        <w:t>个，其他事业单位</w:t>
      </w:r>
      <w:r>
        <w:rPr>
          <w:rFonts w:hint="eastAsia" w:eastAsia="仿宋_GB2312" w:cs="仿宋_GB2312"/>
          <w:sz w:val="32"/>
          <w:szCs w:val="32"/>
          <w:lang w:val="en-US" w:eastAsia="zh-CN"/>
        </w:rPr>
        <w:t>0</w:t>
      </w:r>
      <w:r>
        <w:rPr>
          <w:rFonts w:hint="eastAsia" w:eastAsia="仿宋_GB2312" w:cs="仿宋_GB2312"/>
          <w:sz w:val="32"/>
          <w:szCs w:val="32"/>
        </w:rPr>
        <w:t>个。</w:t>
      </w:r>
    </w:p>
    <w:p>
      <w:pPr>
        <w:pStyle w:val="5"/>
        <w:jc w:val="center"/>
        <w:rPr>
          <w:rFonts w:eastAsia="方正小标宋简体" w:cs="方正小标宋简体"/>
          <w:b w:val="0"/>
        </w:rPr>
      </w:pPr>
      <w:bookmarkStart w:id="18" w:name="_Toc15377204"/>
      <w:bookmarkStart w:id="19" w:name="_Toc15396602"/>
      <w:r>
        <w:rPr>
          <w:rFonts w:hint="eastAsia" w:eastAsia="方正小标宋简体" w:cs="方正小标宋简体"/>
          <w:b w:val="0"/>
        </w:rPr>
        <w:t>第二部分  2025年度</w:t>
      </w:r>
      <w:r>
        <w:rPr>
          <w:rFonts w:hint="eastAsia" w:eastAsia="方正小标宋简体" w:cs="方正小标宋简体"/>
          <w:b w:val="0"/>
          <w:lang w:val="en-US" w:eastAsia="zh-CN"/>
        </w:rPr>
        <w:t>单位</w:t>
      </w:r>
      <w:r>
        <w:rPr>
          <w:rFonts w:hint="eastAsia" w:eastAsia="方正小标宋简体" w:cs="方正小标宋简体"/>
          <w:b w:val="0"/>
        </w:rPr>
        <w:t>决算情况说明</w:t>
      </w:r>
      <w:bookmarkEnd w:id="18"/>
      <w:bookmarkEnd w:id="19"/>
    </w:p>
    <w:p/>
    <w:p>
      <w:pPr>
        <w:pStyle w:val="27"/>
        <w:spacing w:line="600" w:lineRule="exact"/>
        <w:ind w:firstLine="640"/>
        <w:outlineLvl w:val="1"/>
        <w:rPr>
          <w:rStyle w:val="29"/>
          <w:rFonts w:ascii="Times New Roman" w:hAnsi="Times New Roman" w:eastAsia="黑体"/>
          <w:b w:val="0"/>
        </w:rPr>
      </w:pPr>
      <w:bookmarkStart w:id="20" w:name="_Toc15377205"/>
      <w:bookmarkStart w:id="21"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20"/>
      <w:bookmarkEnd w:id="21"/>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2025年度收入、支出总计均为2350.65万元。与上年度相比，收入、支出总计各增加</w:t>
      </w:r>
      <w:r>
        <w:rPr>
          <w:rFonts w:hint="eastAsia" w:eastAsia="仿宋_GB2312" w:cs="仿宋_GB2312"/>
          <w:sz w:val="32"/>
          <w:szCs w:val="32"/>
          <w:lang w:val="en-US" w:eastAsia="zh-CN"/>
        </w:rPr>
        <w:t>52.71</w:t>
      </w:r>
      <w:r>
        <w:rPr>
          <w:rFonts w:hint="eastAsia" w:eastAsia="仿宋_GB2312" w:cs="仿宋_GB2312"/>
          <w:sz w:val="32"/>
          <w:szCs w:val="32"/>
        </w:rPr>
        <w:t>万元，增长</w:t>
      </w:r>
      <w:r>
        <w:rPr>
          <w:rFonts w:hint="eastAsia" w:eastAsia="仿宋_GB2312" w:cs="仿宋_GB2312"/>
          <w:sz w:val="32"/>
          <w:szCs w:val="32"/>
          <w:lang w:val="en-US" w:eastAsia="zh-CN"/>
        </w:rPr>
        <w:t>2.3</w:t>
      </w:r>
      <w:r>
        <w:rPr>
          <w:rFonts w:hint="eastAsia" w:eastAsia="仿宋_GB2312" w:cs="仿宋_GB2312"/>
          <w:sz w:val="32"/>
          <w:szCs w:val="32"/>
        </w:rPr>
        <w:t>%。主要变动原因是</w:t>
      </w:r>
      <w:r>
        <w:rPr>
          <w:rFonts w:hint="eastAsia" w:eastAsia="仿宋_GB2312" w:cs="仿宋_GB2312"/>
          <w:sz w:val="32"/>
          <w:szCs w:val="32"/>
          <w:lang w:val="en-US" w:eastAsia="zh-CN"/>
        </w:rPr>
        <w:t>正常范围的</w:t>
      </w:r>
      <w:r>
        <w:rPr>
          <w:rFonts w:hint="eastAsia" w:eastAsia="仿宋_GB2312" w:cs="Times New Roman"/>
          <w:sz w:val="32"/>
          <w:szCs w:val="32"/>
          <w:lang w:val="en-US" w:eastAsia="zh-CN"/>
        </w:rPr>
        <w:t>人员经费、公用经费变动。</w:t>
      </w:r>
    </w:p>
    <w:p>
      <w:pPr>
        <w:pStyle w:val="27"/>
        <w:spacing w:line="600" w:lineRule="exact"/>
        <w:ind w:firstLine="1280" w:firstLineChars="400"/>
        <w:outlineLvl w:val="1"/>
        <w:rPr>
          <w:rFonts w:eastAsia="仿宋_GB2312" w:cs="仿宋_GB2312"/>
          <w:sz w:val="32"/>
          <w:szCs w:val="32"/>
        </w:rPr>
      </w:pPr>
      <w:r>
        <w:rPr>
          <w:rFonts w:hint="eastAsia" w:eastAsia="仿宋_GB2312" w:cs="仿宋_GB2312"/>
          <w:sz w:val="32"/>
          <w:szCs w:val="32"/>
        </w:rPr>
        <w:t>图1：收入、支出决算总计变动情况图</w:t>
      </w:r>
    </w:p>
    <w:p>
      <w:pPr>
        <w:ind w:firstLine="420" w:firstLineChars="200"/>
        <w:rPr>
          <w:rFonts w:eastAsia="仿宋_GB2312" w:cs="仿宋_GB2312"/>
          <w:sz w:val="32"/>
          <w:szCs w:val="32"/>
        </w:rPr>
      </w:pPr>
      <w:r>
        <w:rPr>
          <w:rFonts w:hint="eastAsia"/>
        </w:rPr>
        <w:drawing>
          <wp:inline distT="0" distB="0" distL="114300" distR="114300">
            <wp:extent cx="4699000" cy="2734310"/>
            <wp:effectExtent l="4445" t="4445" r="20955" b="2349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7"/>
        <w:spacing w:line="600" w:lineRule="exact"/>
        <w:ind w:firstLine="640"/>
        <w:outlineLvl w:val="1"/>
        <w:rPr>
          <w:rFonts w:eastAsia="黑体"/>
          <w:sz w:val="32"/>
          <w:szCs w:val="32"/>
        </w:rPr>
      </w:pPr>
      <w:bookmarkStart w:id="22" w:name="_Toc15396604"/>
      <w:bookmarkStart w:id="23" w:name="_Toc15377206"/>
      <w:r>
        <w:rPr>
          <w:rFonts w:hint="eastAsia" w:eastAsia="黑体"/>
          <w:sz w:val="32"/>
          <w:szCs w:val="32"/>
        </w:rPr>
        <w:t>二、收入决算情况说明</w:t>
      </w:r>
      <w:bookmarkEnd w:id="22"/>
      <w:bookmarkEnd w:id="23"/>
    </w:p>
    <w:p>
      <w:pPr>
        <w:pStyle w:val="27"/>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2025年度本年收入合计2350.65万元，其中：一般公共预算财政拨款收入2044.81万元，占</w:t>
      </w:r>
      <w:r>
        <w:rPr>
          <w:rFonts w:hint="eastAsia" w:eastAsia="仿宋_GB2312" w:cs="仿宋_GB2312"/>
          <w:sz w:val="32"/>
          <w:szCs w:val="32"/>
          <w:lang w:val="en-US" w:eastAsia="zh-CN"/>
        </w:rPr>
        <w:t>87</w:t>
      </w:r>
      <w:r>
        <w:rPr>
          <w:rFonts w:hint="eastAsia" w:eastAsia="仿宋_GB2312" w:cs="仿宋_GB2312"/>
          <w:sz w:val="32"/>
          <w:szCs w:val="32"/>
        </w:rPr>
        <w:t>%；其他收入</w:t>
      </w:r>
      <w:r>
        <w:rPr>
          <w:rFonts w:hint="eastAsia" w:eastAsia="仿宋_GB2312" w:cs="仿宋_GB2312"/>
          <w:sz w:val="32"/>
          <w:szCs w:val="32"/>
          <w:lang w:val="en-US" w:eastAsia="zh-CN"/>
        </w:rPr>
        <w:t>305.84</w:t>
      </w:r>
      <w:r>
        <w:rPr>
          <w:rFonts w:hint="eastAsia" w:eastAsia="仿宋_GB2312" w:cs="仿宋_GB2312"/>
          <w:sz w:val="32"/>
          <w:szCs w:val="32"/>
        </w:rPr>
        <w:t>万元，占</w:t>
      </w:r>
      <w:r>
        <w:rPr>
          <w:rFonts w:hint="eastAsia" w:eastAsia="仿宋_GB2312" w:cs="仿宋_GB2312"/>
          <w:sz w:val="32"/>
          <w:szCs w:val="32"/>
          <w:lang w:val="en-US" w:eastAsia="zh-CN"/>
        </w:rPr>
        <w:t>13</w:t>
      </w:r>
      <w:r>
        <w:rPr>
          <w:rFonts w:hint="eastAsia" w:eastAsia="仿宋_GB2312" w:cs="仿宋_GB2312"/>
          <w:sz w:val="32"/>
          <w:szCs w:val="32"/>
        </w:rPr>
        <w:t>%。</w:t>
      </w:r>
    </w:p>
    <w:p>
      <w:pPr>
        <w:pStyle w:val="27"/>
        <w:spacing w:line="600" w:lineRule="exact"/>
        <w:ind w:firstLine="2240" w:firstLineChars="700"/>
        <w:outlineLvl w:val="1"/>
        <w:rPr>
          <w:rFonts w:eastAsia="仿宋_GB2312" w:cs="仿宋_GB2312"/>
          <w:sz w:val="32"/>
          <w:szCs w:val="32"/>
        </w:rPr>
      </w:pPr>
      <w:r>
        <w:rPr>
          <w:rFonts w:hint="eastAsia" w:eastAsia="仿宋_GB2312" w:cs="仿宋_GB2312"/>
          <w:sz w:val="32"/>
          <w:szCs w:val="32"/>
        </w:rPr>
        <w:t>图2：收入决算结构图</w:t>
      </w:r>
    </w:p>
    <w:p>
      <w:pPr>
        <w:ind w:firstLine="525" w:firstLineChars="250"/>
        <w:rPr>
          <w:rFonts w:eastAsia="仿宋_GB2312" w:cs="仿宋_GB2312"/>
          <w:sz w:val="32"/>
          <w:szCs w:val="32"/>
        </w:rPr>
      </w:pPr>
      <w:r>
        <w:rPr>
          <w:rFonts w:hint="eastAsia" w:eastAsia="仿宋"/>
        </w:rPr>
        <w:drawing>
          <wp:inline distT="0" distB="0" distL="114300" distR="114300">
            <wp:extent cx="4338320" cy="3019425"/>
            <wp:effectExtent l="47625" t="4445" r="52705" b="10033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27"/>
        <w:spacing w:line="600" w:lineRule="exact"/>
        <w:ind w:firstLine="640"/>
        <w:outlineLvl w:val="1"/>
        <w:rPr>
          <w:rStyle w:val="29"/>
          <w:rFonts w:ascii="Times New Roman" w:hAnsi="Times New Roman" w:eastAsia="黑体"/>
          <w:b w:val="0"/>
        </w:rPr>
      </w:pPr>
      <w:bookmarkStart w:id="24" w:name="_Toc15377207"/>
      <w:bookmarkStart w:id="25" w:name="_Toc15396605"/>
      <w:r>
        <w:rPr>
          <w:rFonts w:hint="eastAsia" w:eastAsia="黑体"/>
          <w:sz w:val="32"/>
          <w:szCs w:val="32"/>
        </w:rPr>
        <w:t>三、支</w:t>
      </w:r>
      <w:r>
        <w:rPr>
          <w:rStyle w:val="29"/>
          <w:rFonts w:hint="eastAsia" w:ascii="Times New Roman" w:hAnsi="Times New Roman" w:eastAsia="黑体"/>
          <w:b w:val="0"/>
        </w:rPr>
        <w:t>出决算情况说明</w:t>
      </w:r>
      <w:bookmarkEnd w:id="24"/>
      <w:bookmarkEnd w:id="25"/>
    </w:p>
    <w:p>
      <w:pPr>
        <w:pStyle w:val="27"/>
        <w:spacing w:line="600" w:lineRule="exact"/>
        <w:ind w:firstLine="640"/>
        <w:outlineLvl w:val="1"/>
        <w:rPr>
          <w:rFonts w:hint="eastAsia" w:eastAsia="仿宋_GB2312" w:cs="仿宋_GB2312"/>
          <w:sz w:val="32"/>
          <w:szCs w:val="32"/>
          <w:lang w:eastAsia="zh-CN"/>
        </w:rPr>
      </w:pPr>
      <w:r>
        <w:rPr>
          <w:rFonts w:hint="eastAsia" w:eastAsia="仿宋_GB2312" w:cs="仿宋_GB2312"/>
          <w:sz w:val="32"/>
          <w:szCs w:val="32"/>
        </w:rPr>
        <w:t>2025年度本年支出合计</w:t>
      </w:r>
      <w:r>
        <w:rPr>
          <w:rFonts w:hint="eastAsia" w:eastAsia="仿宋_GB2312" w:cs="仿宋_GB2312"/>
          <w:sz w:val="32"/>
          <w:szCs w:val="32"/>
          <w:lang w:val="en-US" w:eastAsia="zh-CN"/>
        </w:rPr>
        <w:t>2350.65</w:t>
      </w:r>
      <w:r>
        <w:rPr>
          <w:rFonts w:hint="eastAsia" w:eastAsia="仿宋_GB2312" w:cs="仿宋_GB2312"/>
          <w:sz w:val="32"/>
          <w:szCs w:val="32"/>
        </w:rPr>
        <w:t>万元，其中：基本支出1761.06万元，占</w:t>
      </w:r>
      <w:r>
        <w:rPr>
          <w:rFonts w:hint="eastAsia" w:eastAsia="仿宋_GB2312" w:cs="仿宋_GB2312"/>
          <w:sz w:val="32"/>
          <w:szCs w:val="32"/>
          <w:lang w:val="en-US" w:eastAsia="zh-CN"/>
        </w:rPr>
        <w:t>74.9</w:t>
      </w:r>
      <w:r>
        <w:rPr>
          <w:rFonts w:hint="eastAsia" w:eastAsia="仿宋_GB2312" w:cs="仿宋_GB2312"/>
          <w:sz w:val="32"/>
          <w:szCs w:val="32"/>
        </w:rPr>
        <w:t>%；项目支出589.6万元，占</w:t>
      </w:r>
      <w:r>
        <w:rPr>
          <w:rFonts w:hint="eastAsia" w:eastAsia="仿宋_GB2312" w:cs="仿宋_GB2312"/>
          <w:sz w:val="32"/>
          <w:szCs w:val="32"/>
          <w:lang w:val="en-US" w:eastAsia="zh-CN"/>
        </w:rPr>
        <w:t>25.1</w:t>
      </w:r>
      <w:r>
        <w:rPr>
          <w:rFonts w:hint="eastAsia" w:eastAsia="仿宋_GB2312" w:cs="仿宋_GB2312"/>
          <w:sz w:val="32"/>
          <w:szCs w:val="32"/>
        </w:rPr>
        <w:t>%</w:t>
      </w:r>
      <w:r>
        <w:rPr>
          <w:rFonts w:hint="eastAsia" w:eastAsia="仿宋_GB2312" w:cs="仿宋_GB2312"/>
          <w:sz w:val="32"/>
          <w:szCs w:val="32"/>
          <w:lang w:eastAsia="zh-CN"/>
        </w:rPr>
        <w:t>。</w:t>
      </w:r>
    </w:p>
    <w:p>
      <w:pPr>
        <w:pStyle w:val="27"/>
        <w:spacing w:line="600" w:lineRule="exact"/>
        <w:ind w:firstLine="2560" w:firstLineChars="800"/>
        <w:outlineLvl w:val="1"/>
        <w:rPr>
          <w:rFonts w:eastAsia="仿宋_GB2312" w:cs="仿宋_GB2312"/>
          <w:sz w:val="32"/>
          <w:szCs w:val="32"/>
        </w:rPr>
      </w:pPr>
      <w:r>
        <w:rPr>
          <w:rFonts w:hint="eastAsia" w:eastAsia="仿宋_GB2312" w:cs="仿宋_GB2312"/>
          <w:sz w:val="32"/>
          <w:szCs w:val="32"/>
        </w:rPr>
        <w:t>图3：支出决算结构图</w:t>
      </w:r>
    </w:p>
    <w:p>
      <w:pPr>
        <w:ind w:firstLine="525" w:firstLineChars="250"/>
        <w:rPr>
          <w:rFonts w:eastAsia="仿宋_GB2312" w:cs="仿宋_GB2312"/>
          <w:sz w:val="32"/>
          <w:szCs w:val="32"/>
        </w:rPr>
      </w:pPr>
      <w:r>
        <w:rPr>
          <w:rFonts w:hint="eastAsia" w:eastAsia="仿宋"/>
        </w:rPr>
        <w:drawing>
          <wp:inline distT="0" distB="0" distL="114300" distR="114300">
            <wp:extent cx="4423410" cy="2790825"/>
            <wp:effectExtent l="47625" t="9525" r="62865" b="9525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0" w:firstLineChars="200"/>
        <w:outlineLvl w:val="1"/>
        <w:rPr>
          <w:rStyle w:val="29"/>
          <w:rFonts w:ascii="Times New Roman" w:hAnsi="Times New Roman" w:eastAsia="黑体"/>
          <w:b w:val="0"/>
        </w:rPr>
      </w:pPr>
      <w:bookmarkStart w:id="26" w:name="_Toc15396606"/>
      <w:bookmarkStart w:id="27"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26"/>
      <w:bookmarkEnd w:id="27"/>
    </w:p>
    <w:p>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2044.81</w:t>
      </w:r>
      <w:r>
        <w:rPr>
          <w:rFonts w:hint="eastAsia" w:eastAsia="仿宋_GB2312" w:cs="仿宋_GB2312"/>
          <w:sz w:val="32"/>
          <w:szCs w:val="32"/>
        </w:rPr>
        <w:t>万元。与上年度相比，财政拨款收入、支出总计各增加</w:t>
      </w:r>
      <w:r>
        <w:rPr>
          <w:rFonts w:hint="eastAsia" w:eastAsia="仿宋_GB2312" w:cs="仿宋_GB2312"/>
          <w:sz w:val="32"/>
          <w:szCs w:val="32"/>
          <w:lang w:val="en-US" w:eastAsia="zh-CN"/>
        </w:rPr>
        <w:t>322.11</w:t>
      </w:r>
      <w:r>
        <w:rPr>
          <w:rFonts w:hint="eastAsia" w:eastAsia="仿宋_GB2312" w:cs="仿宋_GB2312"/>
          <w:sz w:val="32"/>
          <w:szCs w:val="32"/>
        </w:rPr>
        <w:t>万元，增长</w:t>
      </w:r>
      <w:r>
        <w:rPr>
          <w:rFonts w:hint="eastAsia" w:eastAsia="仿宋_GB2312" w:cs="仿宋_GB2312"/>
          <w:sz w:val="32"/>
          <w:szCs w:val="32"/>
          <w:lang w:val="en-US" w:eastAsia="zh-CN"/>
        </w:rPr>
        <w:t>18.7</w:t>
      </w:r>
      <w:r>
        <w:rPr>
          <w:rFonts w:hint="eastAsia" w:eastAsia="仿宋_GB2312" w:cs="仿宋_GB2312"/>
          <w:sz w:val="32"/>
          <w:szCs w:val="32"/>
        </w:rPr>
        <w:t>%。主要变动原因是</w:t>
      </w:r>
      <w:r>
        <w:rPr>
          <w:rFonts w:hint="eastAsia" w:eastAsia="仿宋_GB2312" w:cs="仿宋_GB2312"/>
          <w:sz w:val="32"/>
          <w:szCs w:val="32"/>
          <w:lang w:val="en-US" w:eastAsia="zh-CN"/>
        </w:rPr>
        <w:t>2025年度新入职7名干警，人员经费和公用经费随之增加；向省高院争取了事业发展项目。</w:t>
      </w:r>
    </w:p>
    <w:p>
      <w:pPr>
        <w:spacing w:line="600" w:lineRule="exact"/>
        <w:ind w:firstLine="1280" w:firstLineChars="400"/>
        <w:rPr>
          <w:rFonts w:eastAsia="仿宋_GB2312" w:cs="仿宋_GB2312"/>
          <w:sz w:val="32"/>
          <w:szCs w:val="32"/>
        </w:rPr>
      </w:pPr>
      <w:r>
        <w:rPr>
          <w:rFonts w:hint="eastAsia" w:eastAsia="仿宋_GB2312" w:cs="仿宋_GB2312"/>
          <w:sz w:val="32"/>
          <w:szCs w:val="32"/>
        </w:rPr>
        <w:t>图4：财政拨款收、支决算总计变动情况</w:t>
      </w:r>
    </w:p>
    <w:p>
      <w:pPr>
        <w:ind w:firstLine="525" w:firstLineChars="250"/>
        <w:rPr>
          <w:rFonts w:hint="eastAsia" w:eastAsia="仿宋"/>
        </w:rPr>
      </w:pPr>
      <w:r>
        <w:rPr>
          <w:rFonts w:hint="eastAsia" w:eastAsia="仿宋"/>
        </w:rPr>
        <w:drawing>
          <wp:inline distT="0" distB="0" distL="114300" distR="114300">
            <wp:extent cx="4423410" cy="2610485"/>
            <wp:effectExtent l="4445" t="5080" r="10795" b="1333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0" w:firstLineChars="200"/>
        <w:outlineLvl w:val="1"/>
        <w:rPr>
          <w:rStyle w:val="29"/>
          <w:rFonts w:ascii="Times New Roman" w:hAnsi="Times New Roman" w:eastAsia="黑体"/>
          <w:b w:val="0"/>
        </w:rPr>
      </w:pPr>
      <w:bookmarkStart w:id="28" w:name="_Toc15377209"/>
      <w:bookmarkStart w:id="29" w:name="_Toc15396607"/>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8"/>
      <w:bookmarkEnd w:id="29"/>
    </w:p>
    <w:p>
      <w:pPr>
        <w:spacing w:line="600" w:lineRule="exact"/>
        <w:ind w:firstLine="643" w:firstLineChars="200"/>
        <w:outlineLvl w:val="2"/>
        <w:rPr>
          <w:rFonts w:eastAsia="楷体_GB2312" w:cs="楷体_GB2312"/>
          <w:b/>
          <w:sz w:val="32"/>
          <w:szCs w:val="32"/>
        </w:rPr>
      </w:pPr>
      <w:bookmarkStart w:id="30" w:name="_Toc15377210"/>
      <w:r>
        <w:rPr>
          <w:rFonts w:hint="eastAsia" w:eastAsia="楷体_GB2312" w:cs="楷体_GB2312"/>
          <w:b/>
          <w:sz w:val="32"/>
          <w:szCs w:val="32"/>
        </w:rPr>
        <w:t>（一）一般公共预算财政拨款支出决算总体情况</w:t>
      </w:r>
      <w:bookmarkEnd w:id="30"/>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2044.81</w:t>
      </w:r>
      <w:r>
        <w:rPr>
          <w:rFonts w:hint="eastAsia" w:eastAsia="仿宋_GB2312" w:cs="仿宋_GB2312"/>
          <w:sz w:val="32"/>
          <w:szCs w:val="32"/>
        </w:rPr>
        <w:t>万元，占本年支出合计的</w:t>
      </w:r>
      <w:r>
        <w:rPr>
          <w:rFonts w:hint="eastAsia" w:eastAsia="仿宋_GB2312" w:cs="仿宋_GB2312"/>
          <w:sz w:val="32"/>
          <w:szCs w:val="32"/>
          <w:lang w:val="en-US" w:eastAsia="zh-CN"/>
        </w:rPr>
        <w:t>87</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322.11</w:t>
      </w:r>
      <w:r>
        <w:rPr>
          <w:rFonts w:hint="eastAsia" w:eastAsia="仿宋_GB2312" w:cs="仿宋_GB2312"/>
          <w:sz w:val="32"/>
          <w:szCs w:val="32"/>
        </w:rPr>
        <w:t>万元，增长</w:t>
      </w:r>
      <w:r>
        <w:rPr>
          <w:rFonts w:hint="eastAsia" w:eastAsia="仿宋_GB2312" w:cs="仿宋_GB2312"/>
          <w:sz w:val="32"/>
          <w:szCs w:val="32"/>
          <w:lang w:val="en-US" w:eastAsia="zh-CN"/>
        </w:rPr>
        <w:t>18.7</w:t>
      </w:r>
      <w:r>
        <w:rPr>
          <w:rFonts w:hint="eastAsia" w:eastAsia="仿宋_GB2312" w:cs="仿宋_GB2312"/>
          <w:sz w:val="32"/>
          <w:szCs w:val="32"/>
        </w:rPr>
        <w:t>%。主要变动原因是</w:t>
      </w:r>
      <w:r>
        <w:rPr>
          <w:rFonts w:hint="eastAsia" w:eastAsia="仿宋_GB2312" w:cs="仿宋_GB2312"/>
          <w:sz w:val="32"/>
          <w:szCs w:val="32"/>
          <w:lang w:val="en-US" w:eastAsia="zh-CN"/>
        </w:rPr>
        <w:t>2025年度新入职7名干警，人员经费和公用经费随之增加；向省高院争取了事业发展项目。</w:t>
      </w:r>
    </w:p>
    <w:p>
      <w:pPr>
        <w:spacing w:line="600" w:lineRule="exact"/>
        <w:ind w:firstLine="960" w:firstLineChars="300"/>
        <w:rPr>
          <w:rFonts w:eastAsia="仿宋_GB2312" w:cs="仿宋_GB2312"/>
          <w:sz w:val="32"/>
          <w:szCs w:val="32"/>
        </w:rPr>
      </w:pPr>
      <w:r>
        <w:rPr>
          <w:rFonts w:hint="eastAsia" w:eastAsia="仿宋_GB2312" w:cs="仿宋_GB2312"/>
          <w:sz w:val="32"/>
          <w:szCs w:val="32"/>
        </w:rPr>
        <w:t>图5：一般公共预算财政拨款支出决算变动情况</w:t>
      </w:r>
    </w:p>
    <w:p>
      <w:pPr>
        <w:ind w:firstLine="525" w:firstLineChars="250"/>
        <w:rPr>
          <w:rFonts w:hint="eastAsia" w:eastAsia="仿宋"/>
        </w:rPr>
      </w:pPr>
      <w:r>
        <w:rPr>
          <w:rFonts w:hint="eastAsia" w:eastAsia="仿宋"/>
        </w:rPr>
        <w:drawing>
          <wp:inline distT="0" distB="0" distL="114300" distR="114300">
            <wp:extent cx="4423410" cy="2610485"/>
            <wp:effectExtent l="4445" t="5080" r="10795" b="1333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3" w:firstLineChars="200"/>
        <w:outlineLvl w:val="2"/>
        <w:rPr>
          <w:rFonts w:eastAsia="楷体_GB2312" w:cs="楷体_GB2312"/>
          <w:b/>
          <w:sz w:val="32"/>
          <w:szCs w:val="32"/>
        </w:rPr>
      </w:pPr>
      <w:bookmarkStart w:id="31" w:name="_Toc15377211"/>
      <w:r>
        <w:rPr>
          <w:rFonts w:hint="eastAsia" w:eastAsia="楷体_GB2312" w:cs="楷体_GB2312"/>
          <w:b/>
          <w:sz w:val="32"/>
          <w:szCs w:val="32"/>
        </w:rPr>
        <w:t>（二）一般公共预算财政拨款支出决算结构情况</w:t>
      </w:r>
      <w:bookmarkEnd w:id="31"/>
    </w:p>
    <w:p>
      <w:pPr>
        <w:spacing w:line="600" w:lineRule="exact"/>
        <w:ind w:firstLine="640"/>
        <w:rPr>
          <w:rFonts w:eastAsia="仿宋_GB2312" w:cs="仿宋_GB2312"/>
          <w:b/>
          <w:bCs/>
          <w:sz w:val="32"/>
          <w:szCs w:val="32"/>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2044.81</w:t>
      </w:r>
      <w:r>
        <w:rPr>
          <w:rFonts w:hint="eastAsia" w:eastAsia="仿宋_GB2312" w:cs="仿宋_GB2312"/>
          <w:sz w:val="32"/>
          <w:szCs w:val="32"/>
        </w:rPr>
        <w:t>万元，主要用于以下方面：一般公共服务支出</w:t>
      </w:r>
      <w:r>
        <w:rPr>
          <w:rFonts w:hint="eastAsia" w:eastAsia="仿宋_GB2312" w:cs="仿宋_GB2312"/>
          <w:sz w:val="32"/>
          <w:szCs w:val="32"/>
          <w:lang w:val="en-US" w:eastAsia="zh-CN"/>
        </w:rPr>
        <w:t>1705.69</w:t>
      </w:r>
      <w:r>
        <w:rPr>
          <w:rFonts w:hint="eastAsia" w:eastAsia="仿宋_GB2312" w:cs="仿宋_GB2312"/>
          <w:sz w:val="32"/>
          <w:szCs w:val="32"/>
        </w:rPr>
        <w:t>万元，占</w:t>
      </w:r>
      <w:r>
        <w:rPr>
          <w:rFonts w:hint="eastAsia" w:eastAsia="仿宋_GB2312" w:cs="仿宋_GB2312"/>
          <w:sz w:val="32"/>
          <w:szCs w:val="32"/>
          <w:lang w:val="en-US" w:eastAsia="zh-CN"/>
        </w:rPr>
        <w:t>83.4</w:t>
      </w:r>
      <w:r>
        <w:rPr>
          <w:rFonts w:hint="eastAsia" w:eastAsia="仿宋_GB2312" w:cs="仿宋_GB2312"/>
          <w:sz w:val="32"/>
          <w:szCs w:val="32"/>
        </w:rPr>
        <w:t>%；社会保障和就业支出</w:t>
      </w:r>
      <w:r>
        <w:rPr>
          <w:rFonts w:hint="eastAsia" w:eastAsia="仿宋_GB2312" w:cs="仿宋_GB2312"/>
          <w:sz w:val="32"/>
          <w:szCs w:val="32"/>
          <w:lang w:val="en-US" w:eastAsia="zh-CN"/>
        </w:rPr>
        <w:t>140.69</w:t>
      </w:r>
      <w:r>
        <w:rPr>
          <w:rFonts w:hint="eastAsia" w:eastAsia="仿宋_GB2312" w:cs="仿宋_GB2312"/>
          <w:sz w:val="32"/>
          <w:szCs w:val="32"/>
        </w:rPr>
        <w:t>万元，占</w:t>
      </w:r>
      <w:r>
        <w:rPr>
          <w:rFonts w:hint="eastAsia" w:eastAsia="仿宋_GB2312" w:cs="仿宋_GB2312"/>
          <w:sz w:val="32"/>
          <w:szCs w:val="32"/>
          <w:lang w:val="en-US" w:eastAsia="zh-CN"/>
        </w:rPr>
        <w:t>6.9</w:t>
      </w:r>
      <w:r>
        <w:rPr>
          <w:rFonts w:hint="eastAsia" w:eastAsia="仿宋_GB2312" w:cs="仿宋_GB2312"/>
          <w:sz w:val="32"/>
          <w:szCs w:val="32"/>
        </w:rPr>
        <w:t>%；卫生健康支出</w:t>
      </w:r>
      <w:r>
        <w:rPr>
          <w:rFonts w:hint="eastAsia" w:eastAsia="仿宋_GB2312" w:cs="仿宋_GB2312"/>
          <w:sz w:val="32"/>
          <w:szCs w:val="32"/>
          <w:lang w:val="en-US" w:eastAsia="zh-CN"/>
        </w:rPr>
        <w:t>88.62</w:t>
      </w:r>
      <w:r>
        <w:rPr>
          <w:rFonts w:hint="eastAsia" w:eastAsia="仿宋_GB2312" w:cs="仿宋_GB2312"/>
          <w:sz w:val="32"/>
          <w:szCs w:val="32"/>
        </w:rPr>
        <w:t>万元，占</w:t>
      </w:r>
      <w:r>
        <w:rPr>
          <w:rFonts w:hint="eastAsia" w:eastAsia="仿宋_GB2312" w:cs="仿宋_GB2312"/>
          <w:sz w:val="32"/>
          <w:szCs w:val="32"/>
          <w:lang w:val="en-US" w:eastAsia="zh-CN"/>
        </w:rPr>
        <w:t>4.3</w:t>
      </w:r>
      <w:r>
        <w:rPr>
          <w:rFonts w:hint="eastAsia" w:eastAsia="仿宋_GB2312" w:cs="仿宋_GB2312"/>
          <w:sz w:val="32"/>
          <w:szCs w:val="32"/>
        </w:rPr>
        <w:t>%；住房保障支出</w:t>
      </w:r>
      <w:r>
        <w:rPr>
          <w:rFonts w:hint="eastAsia" w:eastAsia="仿宋_GB2312" w:cs="仿宋_GB2312"/>
          <w:sz w:val="32"/>
          <w:szCs w:val="32"/>
          <w:lang w:val="en-US" w:eastAsia="zh-CN"/>
        </w:rPr>
        <w:t>109.81</w:t>
      </w:r>
      <w:r>
        <w:rPr>
          <w:rFonts w:hint="eastAsia" w:eastAsia="仿宋_GB2312" w:cs="仿宋_GB2312"/>
          <w:sz w:val="32"/>
          <w:szCs w:val="32"/>
        </w:rPr>
        <w:t>万元，占</w:t>
      </w:r>
      <w:r>
        <w:rPr>
          <w:rFonts w:hint="eastAsia" w:eastAsia="仿宋_GB2312" w:cs="仿宋_GB2312"/>
          <w:sz w:val="32"/>
          <w:szCs w:val="32"/>
          <w:lang w:val="en-US" w:eastAsia="zh-CN"/>
        </w:rPr>
        <w:t>5.4</w:t>
      </w:r>
      <w:r>
        <w:rPr>
          <w:rFonts w:hint="eastAsia" w:eastAsia="仿宋_GB2312" w:cs="仿宋_GB2312"/>
          <w:sz w:val="32"/>
          <w:szCs w:val="32"/>
        </w:rPr>
        <w:t>%；</w:t>
      </w:r>
    </w:p>
    <w:p>
      <w:pPr>
        <w:spacing w:line="600" w:lineRule="exact"/>
        <w:ind w:firstLine="1292" w:firstLineChars="404"/>
        <w:rPr>
          <w:rFonts w:eastAsia="仿宋_GB2312" w:cs="仿宋_GB2312"/>
          <w:sz w:val="32"/>
          <w:szCs w:val="32"/>
        </w:rPr>
      </w:pPr>
      <w:r>
        <w:rPr>
          <w:rFonts w:hint="eastAsia" w:eastAsia="仿宋_GB2312" w:cs="仿宋_GB2312"/>
          <w:sz w:val="32"/>
          <w:szCs w:val="32"/>
        </w:rPr>
        <w:t>图6：一般公共预算财政拨款支出决算结构</w:t>
      </w:r>
    </w:p>
    <w:p>
      <w:pPr>
        <w:ind w:firstLine="525" w:firstLineChars="250"/>
        <w:rPr>
          <w:rFonts w:hint="eastAsia" w:eastAsia="仿宋"/>
        </w:rPr>
      </w:pPr>
      <w:r>
        <w:rPr>
          <w:rFonts w:hint="eastAsia" w:eastAsia="仿宋"/>
        </w:rPr>
        <w:drawing>
          <wp:inline distT="0" distB="0" distL="114300" distR="114300">
            <wp:extent cx="4784725" cy="2876550"/>
            <wp:effectExtent l="47625" t="9525" r="63500" b="8572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3" w:firstLineChars="200"/>
        <w:outlineLvl w:val="2"/>
        <w:rPr>
          <w:rFonts w:eastAsia="楷体_GB2312" w:cs="楷体_GB2312"/>
          <w:b/>
          <w:sz w:val="32"/>
          <w:szCs w:val="32"/>
        </w:rPr>
      </w:pPr>
      <w:bookmarkStart w:id="32" w:name="_Toc15377212"/>
      <w:r>
        <w:rPr>
          <w:rFonts w:hint="eastAsia" w:eastAsia="楷体_GB2312" w:cs="楷体_GB2312"/>
          <w:b/>
          <w:sz w:val="32"/>
          <w:szCs w:val="32"/>
        </w:rPr>
        <w:t>（三）一般公共预算财政拨款支出决算具体情况</w:t>
      </w:r>
      <w:bookmarkEnd w:id="32"/>
    </w:p>
    <w:p>
      <w:pPr>
        <w:spacing w:line="600" w:lineRule="exact"/>
        <w:ind w:firstLine="640"/>
        <w:rPr>
          <w:rFonts w:eastAsia="仿宋_GB2312" w:cs="仿宋_GB2312"/>
          <w:sz w:val="32"/>
          <w:szCs w:val="32"/>
        </w:rPr>
      </w:pPr>
      <w:bookmarkStart w:id="33" w:name="_Toc15377213"/>
      <w:bookmarkStart w:id="34" w:name="_Toc15378460"/>
      <w:bookmarkStart w:id="35" w:name="_Toc15377444"/>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2044.81</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33"/>
      <w:bookmarkEnd w:id="34"/>
      <w:bookmarkEnd w:id="35"/>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1.一般公共服务（类）</w:t>
      </w:r>
      <w:r>
        <w:rPr>
          <w:rFonts w:hint="eastAsia" w:eastAsia="仿宋_GB2312" w:cs="仿宋_GB2312"/>
          <w:sz w:val="32"/>
          <w:szCs w:val="32"/>
          <w:lang w:val="en-US" w:eastAsia="zh-CN"/>
        </w:rPr>
        <w:t>法院</w:t>
      </w:r>
      <w:r>
        <w:rPr>
          <w:rFonts w:hint="eastAsia" w:eastAsia="仿宋_GB2312" w:cs="仿宋_GB2312"/>
          <w:sz w:val="32"/>
          <w:szCs w:val="32"/>
        </w:rPr>
        <w:t>（款）行政运行（项）：支出决算为</w:t>
      </w:r>
      <w:r>
        <w:rPr>
          <w:rFonts w:hint="eastAsia" w:eastAsia="仿宋_GB2312" w:cs="仿宋_GB2312"/>
          <w:sz w:val="32"/>
          <w:szCs w:val="32"/>
          <w:lang w:val="en-US" w:eastAsia="zh-CN"/>
        </w:rPr>
        <w:t>1116.1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2.一般公共服务（类）</w:t>
      </w:r>
      <w:r>
        <w:rPr>
          <w:rFonts w:hint="eastAsia" w:eastAsia="仿宋_GB2312" w:cs="仿宋_GB2312"/>
          <w:sz w:val="32"/>
          <w:szCs w:val="32"/>
          <w:lang w:val="en-US" w:eastAsia="zh-CN"/>
        </w:rPr>
        <w:t>法院</w:t>
      </w:r>
      <w:r>
        <w:rPr>
          <w:rFonts w:hint="eastAsia" w:eastAsia="仿宋_GB2312" w:cs="仿宋_GB2312"/>
          <w:sz w:val="32"/>
          <w:szCs w:val="32"/>
        </w:rPr>
        <w:t>（款）一般行政管理事务（项）：支出决算为</w:t>
      </w:r>
      <w:r>
        <w:rPr>
          <w:rFonts w:hint="eastAsia" w:eastAsia="仿宋_GB2312" w:cs="仿宋_GB2312"/>
          <w:sz w:val="32"/>
          <w:szCs w:val="32"/>
          <w:lang w:val="en-US" w:eastAsia="zh-CN"/>
        </w:rPr>
        <w:t>24.88</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3.一般公共服务（类）</w:t>
      </w:r>
      <w:r>
        <w:rPr>
          <w:rFonts w:hint="eastAsia" w:eastAsia="仿宋_GB2312" w:cs="仿宋_GB2312"/>
          <w:sz w:val="32"/>
          <w:szCs w:val="32"/>
          <w:lang w:val="en-US" w:eastAsia="zh-CN"/>
        </w:rPr>
        <w:t>法院</w:t>
      </w:r>
      <w:r>
        <w:rPr>
          <w:rFonts w:hint="eastAsia" w:eastAsia="仿宋_GB2312" w:cs="仿宋_GB2312"/>
          <w:sz w:val="32"/>
          <w:szCs w:val="32"/>
        </w:rPr>
        <w:t>（款）其他法院支出（项）：支出决算为</w:t>
      </w:r>
      <w:r>
        <w:rPr>
          <w:rFonts w:hint="eastAsia" w:eastAsia="仿宋_GB2312" w:cs="仿宋_GB2312"/>
          <w:sz w:val="32"/>
          <w:szCs w:val="32"/>
          <w:lang w:val="en-US" w:eastAsia="zh-CN"/>
        </w:rPr>
        <w:t>564.71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4.社会保障和就业（类）行政事业单位养老支出（款）机关事业单位基本养老保险缴费支出（项）：支出决算为</w:t>
      </w:r>
      <w:r>
        <w:rPr>
          <w:rFonts w:hint="eastAsia" w:eastAsia="仿宋_GB2312" w:cs="仿宋_GB2312"/>
          <w:sz w:val="32"/>
          <w:szCs w:val="32"/>
          <w:lang w:val="en-US" w:eastAsia="zh-CN"/>
        </w:rPr>
        <w:t>119.62</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5.社会保障和就业（类）行政事业单位养老支出（款）机关事业单位职业年金缴费支出（项）：支出决算为</w:t>
      </w:r>
      <w:r>
        <w:rPr>
          <w:rFonts w:hint="eastAsia" w:eastAsia="仿宋_GB2312" w:cs="仿宋_GB2312"/>
          <w:sz w:val="32"/>
          <w:szCs w:val="32"/>
          <w:lang w:val="en-US" w:eastAsia="zh-CN"/>
        </w:rPr>
        <w:t>21.07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6.卫生健康（类）行政事业单位医疗（款）行政单位医疗（项）：支出决算为</w:t>
      </w:r>
      <w:r>
        <w:rPr>
          <w:rFonts w:hint="eastAsia" w:eastAsia="仿宋_GB2312" w:cs="仿宋_GB2312"/>
          <w:sz w:val="32"/>
          <w:szCs w:val="32"/>
          <w:lang w:val="en-US" w:eastAsia="zh-CN"/>
        </w:rPr>
        <w:t>69.45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7.</w:t>
      </w:r>
      <w:r>
        <w:rPr>
          <w:rFonts w:hint="eastAsia" w:eastAsia="仿宋_GB2312" w:cs="仿宋_GB2312"/>
          <w:sz w:val="32"/>
          <w:szCs w:val="32"/>
        </w:rPr>
        <w:t>卫生健康（类）行政事业单位医疗（款）公务员医疗补助（项）：支出决算为</w:t>
      </w:r>
      <w:r>
        <w:rPr>
          <w:rFonts w:hint="eastAsia" w:eastAsia="仿宋_GB2312" w:cs="仿宋_GB2312"/>
          <w:sz w:val="32"/>
          <w:szCs w:val="32"/>
          <w:lang w:val="en-US" w:eastAsia="zh-CN"/>
        </w:rPr>
        <w:t>6.85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8.</w:t>
      </w:r>
      <w:r>
        <w:rPr>
          <w:rFonts w:hint="eastAsia" w:eastAsia="仿宋_GB2312" w:cs="仿宋_GB2312"/>
          <w:sz w:val="32"/>
          <w:szCs w:val="32"/>
        </w:rPr>
        <w:t>卫生健康（类）行政事业单位医疗（款）其他行政事业单位医疗支出（项）：支出决算为</w:t>
      </w:r>
      <w:r>
        <w:rPr>
          <w:rFonts w:hint="eastAsia" w:eastAsia="仿宋_GB2312" w:cs="仿宋_GB2312"/>
          <w:sz w:val="32"/>
          <w:szCs w:val="32"/>
          <w:lang w:val="en-US" w:eastAsia="zh-CN"/>
        </w:rPr>
        <w:t>12.32</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eastAsia="仿宋_GB2312" w:cs="仿宋_GB2312"/>
          <w:sz w:val="32"/>
          <w:szCs w:val="32"/>
        </w:rPr>
      </w:pPr>
      <w:r>
        <w:rPr>
          <w:rFonts w:hint="eastAsia" w:eastAsia="仿宋_GB2312" w:cs="仿宋_GB2312"/>
          <w:sz w:val="32"/>
          <w:szCs w:val="32"/>
          <w:lang w:val="en-US" w:eastAsia="zh-CN"/>
        </w:rPr>
        <w:t>9.</w:t>
      </w:r>
      <w:r>
        <w:rPr>
          <w:rFonts w:hint="eastAsia" w:eastAsia="仿宋_GB2312" w:cs="仿宋_GB2312"/>
          <w:sz w:val="32"/>
          <w:szCs w:val="32"/>
        </w:rPr>
        <w:t>住房保障支出（类）住房改革支出（款）住房公积金（项）：支出决算为</w:t>
      </w:r>
      <w:r>
        <w:rPr>
          <w:rFonts w:hint="eastAsia" w:eastAsia="仿宋_GB2312" w:cs="仿宋_GB2312"/>
          <w:sz w:val="32"/>
          <w:szCs w:val="32"/>
          <w:lang w:val="en-US" w:eastAsia="zh-CN"/>
        </w:rPr>
        <w:t>109.81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tabs>
          <w:tab w:val="right" w:pos="8306"/>
        </w:tabs>
        <w:spacing w:line="600" w:lineRule="exact"/>
        <w:ind w:firstLine="640"/>
        <w:outlineLvl w:val="1"/>
        <w:rPr>
          <w:rStyle w:val="29"/>
          <w:rFonts w:ascii="Times New Roman" w:hAnsi="Times New Roman"/>
        </w:rPr>
      </w:pPr>
      <w:bookmarkStart w:id="36" w:name="_Toc15377214"/>
      <w:bookmarkStart w:id="37" w:name="_Toc15396608"/>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6"/>
      <w:bookmarkEnd w:id="37"/>
      <w:r>
        <w:rPr>
          <w:rStyle w:val="29"/>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1455.22</w:t>
      </w:r>
      <w:r>
        <w:rPr>
          <w:rFonts w:hint="eastAsia" w:eastAsia="仿宋_GB2312" w:cs="仿宋_GB2312"/>
          <w:sz w:val="32"/>
          <w:szCs w:val="32"/>
        </w:rPr>
        <w:t>万元，其中：</w:t>
      </w:r>
    </w:p>
    <w:p>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1313.41</w:t>
      </w:r>
      <w:r>
        <w:rPr>
          <w:rFonts w:hint="eastAsia" w:eastAsia="仿宋_GB2312" w:cs="仿宋_GB2312"/>
          <w:sz w:val="32"/>
          <w:szCs w:val="32"/>
        </w:rPr>
        <w:t>万元，主要包括：基本工资、津贴补贴、奖金、机关事业单位基本养老保险缴费、职业年金缴费、职工基本医疗保险缴费</w:t>
      </w:r>
      <w:r>
        <w:rPr>
          <w:rFonts w:hint="eastAsia" w:eastAsia="仿宋_GB2312" w:cs="仿宋_GB2312"/>
          <w:sz w:val="32"/>
          <w:szCs w:val="32"/>
          <w:lang w:eastAsia="zh-CN"/>
        </w:rPr>
        <w:t>、公务员医疗补助缴费、</w:t>
      </w:r>
      <w:r>
        <w:rPr>
          <w:rFonts w:hint="eastAsia" w:eastAsia="仿宋_GB2312" w:cs="仿宋_GB2312"/>
          <w:sz w:val="32"/>
          <w:szCs w:val="32"/>
        </w:rPr>
        <w:t>其他社会保障缴费、住房公积金</w:t>
      </w:r>
      <w:r>
        <w:rPr>
          <w:rFonts w:hint="eastAsia" w:eastAsia="仿宋_GB2312" w:cs="仿宋_GB2312"/>
          <w:sz w:val="32"/>
          <w:szCs w:val="32"/>
          <w:lang w:eastAsia="zh-CN"/>
        </w:rPr>
        <w:t>、</w:t>
      </w:r>
      <w:r>
        <w:rPr>
          <w:rFonts w:hint="eastAsia" w:eastAsia="仿宋_GB2312" w:cs="仿宋_GB2312"/>
          <w:sz w:val="32"/>
          <w:szCs w:val="32"/>
        </w:rPr>
        <w:t>其他工资福利支出、生活补助</w:t>
      </w:r>
      <w:r>
        <w:rPr>
          <w:rFonts w:hint="eastAsia" w:eastAsia="仿宋_GB2312" w:cs="仿宋_GB2312"/>
          <w:sz w:val="32"/>
          <w:szCs w:val="32"/>
          <w:lang w:eastAsia="zh-CN"/>
        </w:rPr>
        <w:t>、奖励金</w:t>
      </w:r>
      <w:r>
        <w:rPr>
          <w:rFonts w:hint="eastAsia" w:eastAsia="仿宋_GB2312" w:cs="仿宋_GB2312"/>
          <w:sz w:val="32"/>
          <w:szCs w:val="32"/>
        </w:rPr>
        <w:t>。</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141.81</w:t>
      </w:r>
      <w:r>
        <w:rPr>
          <w:rFonts w:hint="eastAsia" w:eastAsia="仿宋_GB2312" w:cs="仿宋_GB2312"/>
          <w:sz w:val="32"/>
          <w:szCs w:val="32"/>
        </w:rPr>
        <w:t>万元，主要包括：办公费、水费、电费、邮电费、差旅费、维修（护）费、公务接待费、劳务费、工会经费、福利费、公务用车运行维护费、其他交通费、其他商品和服务支出。</w:t>
      </w:r>
    </w:p>
    <w:p>
      <w:pPr>
        <w:spacing w:line="600" w:lineRule="exact"/>
        <w:ind w:firstLine="640"/>
        <w:outlineLvl w:val="1"/>
        <w:rPr>
          <w:rStyle w:val="29"/>
          <w:rFonts w:ascii="Times New Roman" w:hAnsi="Times New Roman" w:eastAsia="黑体"/>
          <w:b w:val="0"/>
        </w:rPr>
      </w:pPr>
      <w:bookmarkStart w:id="38" w:name="_Toc15396609"/>
      <w:bookmarkStart w:id="39"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8"/>
      <w:bookmarkEnd w:id="39"/>
    </w:p>
    <w:p>
      <w:pPr>
        <w:spacing w:line="600" w:lineRule="exact"/>
        <w:ind w:firstLine="643" w:firstLineChars="200"/>
        <w:outlineLvl w:val="2"/>
        <w:rPr>
          <w:rFonts w:eastAsia="楷体_GB2312" w:cs="楷体_GB2312"/>
          <w:b/>
          <w:sz w:val="32"/>
          <w:szCs w:val="32"/>
        </w:rPr>
      </w:pPr>
      <w:bookmarkStart w:id="40" w:name="_Toc15377216"/>
      <w:r>
        <w:rPr>
          <w:rFonts w:hint="eastAsia" w:eastAsia="楷体_GB2312" w:cs="楷体_GB2312"/>
          <w:b/>
          <w:sz w:val="32"/>
          <w:szCs w:val="32"/>
        </w:rPr>
        <w:t>（一）财政拨款“三公”经费支出决算总体情况说明</w:t>
      </w:r>
      <w:bookmarkEnd w:id="40"/>
    </w:p>
    <w:p>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12.17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%，较上年度减少</w:t>
      </w:r>
      <w:r>
        <w:rPr>
          <w:rFonts w:hint="eastAsia" w:eastAsia="仿宋_GB2312" w:cs="仿宋_GB2312"/>
          <w:sz w:val="32"/>
          <w:szCs w:val="32"/>
          <w:lang w:val="en-US" w:eastAsia="zh-CN"/>
        </w:rPr>
        <w:t>0.29</w:t>
      </w:r>
      <w:r>
        <w:rPr>
          <w:rFonts w:hint="eastAsia" w:eastAsia="仿宋_GB2312" w:cs="仿宋_GB2312"/>
          <w:sz w:val="32"/>
          <w:szCs w:val="32"/>
        </w:rPr>
        <w:t>万元，下降</w:t>
      </w:r>
      <w:r>
        <w:rPr>
          <w:rFonts w:hint="eastAsia" w:eastAsia="仿宋_GB2312" w:cs="仿宋_GB2312"/>
          <w:sz w:val="32"/>
          <w:szCs w:val="32"/>
          <w:lang w:val="en-US" w:eastAsia="zh-CN"/>
        </w:rPr>
        <w:t>2.3</w:t>
      </w:r>
      <w:r>
        <w:rPr>
          <w:rFonts w:hint="eastAsia" w:eastAsia="仿宋_GB2312" w:cs="仿宋_GB2312"/>
          <w:sz w:val="32"/>
          <w:szCs w:val="32"/>
        </w:rPr>
        <w:t>%。决算数小于预算数的主要原因是</w:t>
      </w:r>
      <w:r>
        <w:rPr>
          <w:rFonts w:hint="eastAsia" w:eastAsia="仿宋_GB2312" w:cs="仿宋_GB2312"/>
          <w:sz w:val="32"/>
          <w:szCs w:val="32"/>
          <w:lang w:val="en-US" w:eastAsia="zh-CN"/>
        </w:rPr>
        <w:t>2025年度公务接待较上年度有所减少。</w:t>
      </w:r>
    </w:p>
    <w:p>
      <w:pPr>
        <w:spacing w:line="600" w:lineRule="exact"/>
        <w:ind w:firstLine="643" w:firstLineChars="200"/>
        <w:outlineLvl w:val="2"/>
        <w:rPr>
          <w:rFonts w:eastAsia="楷体_GB2312" w:cs="楷体_GB2312"/>
          <w:b/>
          <w:sz w:val="32"/>
          <w:szCs w:val="32"/>
        </w:rPr>
      </w:pPr>
      <w:bookmarkStart w:id="41" w:name="_Toc15377217"/>
      <w:r>
        <w:rPr>
          <w:rFonts w:hint="eastAsia" w:eastAsia="楷体_GB2312" w:cs="楷体_GB2312"/>
          <w:b/>
          <w:sz w:val="32"/>
          <w:szCs w:val="32"/>
        </w:rPr>
        <w:t>（二）财政拨款“三公”经费支出决算具体情况说明</w:t>
      </w:r>
      <w:bookmarkEnd w:id="41"/>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11.18</w:t>
      </w:r>
      <w:r>
        <w:rPr>
          <w:rFonts w:hint="eastAsia" w:eastAsia="仿宋_GB2312" w:cs="仿宋_GB2312"/>
          <w:sz w:val="32"/>
          <w:szCs w:val="32"/>
        </w:rPr>
        <w:t>万元，占</w:t>
      </w:r>
      <w:r>
        <w:rPr>
          <w:rFonts w:hint="eastAsia" w:eastAsia="仿宋_GB2312" w:cs="仿宋_GB2312"/>
          <w:sz w:val="32"/>
          <w:szCs w:val="32"/>
          <w:lang w:val="en-US" w:eastAsia="zh-CN"/>
        </w:rPr>
        <w:t>91.8</w:t>
      </w:r>
      <w:r>
        <w:rPr>
          <w:rFonts w:hint="eastAsia" w:eastAsia="仿宋_GB2312" w:cs="仿宋_GB2312"/>
          <w:sz w:val="32"/>
          <w:szCs w:val="32"/>
        </w:rPr>
        <w:t>%；公务接待费支出决算</w:t>
      </w:r>
      <w:r>
        <w:rPr>
          <w:rFonts w:hint="eastAsia" w:eastAsia="仿宋_GB2312" w:cs="仿宋_GB2312"/>
          <w:sz w:val="32"/>
          <w:szCs w:val="32"/>
          <w:lang w:val="en-US" w:eastAsia="zh-CN"/>
        </w:rPr>
        <w:t>1</w:t>
      </w:r>
      <w:r>
        <w:rPr>
          <w:rFonts w:hint="eastAsia" w:eastAsia="仿宋_GB2312" w:cs="仿宋_GB2312"/>
          <w:sz w:val="32"/>
          <w:szCs w:val="32"/>
        </w:rPr>
        <w:t>万元，占</w:t>
      </w:r>
      <w:r>
        <w:rPr>
          <w:rFonts w:hint="eastAsia" w:eastAsia="仿宋_GB2312" w:cs="仿宋_GB2312"/>
          <w:sz w:val="32"/>
          <w:szCs w:val="32"/>
          <w:lang w:val="en-US" w:eastAsia="zh-CN"/>
        </w:rPr>
        <w:t>8.2</w:t>
      </w:r>
      <w:r>
        <w:rPr>
          <w:rFonts w:hint="eastAsia" w:eastAsia="仿宋_GB2312" w:cs="仿宋_GB2312"/>
          <w:sz w:val="32"/>
          <w:szCs w:val="32"/>
        </w:rPr>
        <w:t>%。具体情况如下：</w:t>
      </w:r>
    </w:p>
    <w:p>
      <w:pPr>
        <w:spacing w:line="600" w:lineRule="exact"/>
        <w:ind w:firstLine="1292" w:firstLineChars="404"/>
        <w:rPr>
          <w:rFonts w:hint="eastAsia" w:eastAsia="仿宋_GB2312" w:cs="仿宋_GB2312"/>
          <w:sz w:val="32"/>
          <w:szCs w:val="32"/>
        </w:rPr>
      </w:pPr>
      <w:r>
        <w:rPr>
          <w:rFonts w:hint="eastAsia" w:eastAsia="仿宋_GB2312" w:cs="仿宋_GB2312"/>
          <w:sz w:val="32"/>
          <w:szCs w:val="32"/>
        </w:rPr>
        <w:t>图7：财政拨款“三公”经费支出结构</w:t>
      </w:r>
    </w:p>
    <w:p>
      <w:pPr>
        <w:pStyle w:val="2"/>
      </w:pPr>
      <w:r>
        <w:rPr>
          <w:rFonts w:hint="eastAsia" w:eastAsia="仿宋"/>
        </w:rPr>
        <w:drawing>
          <wp:inline distT="0" distB="0" distL="114300" distR="114300">
            <wp:extent cx="5080000" cy="3810000"/>
            <wp:effectExtent l="74295" t="20955" r="27305" b="7429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w:t>
      </w:r>
      <w:r>
        <w:rPr>
          <w:rFonts w:hint="eastAsia" w:eastAsia="仿宋_GB2312" w:cs="仿宋_GB2312"/>
          <w:sz w:val="32"/>
          <w:szCs w:val="32"/>
          <w:lang w:val="en-US" w:eastAsia="zh-CN"/>
        </w:rPr>
        <w:t>与</w:t>
      </w:r>
      <w:r>
        <w:rPr>
          <w:rFonts w:hint="eastAsia" w:eastAsia="仿宋_GB2312" w:cs="仿宋_GB2312"/>
          <w:sz w:val="32"/>
          <w:szCs w:val="32"/>
        </w:rPr>
        <w:t>上年度</w:t>
      </w:r>
      <w:r>
        <w:rPr>
          <w:rFonts w:hint="eastAsia" w:eastAsia="仿宋_GB2312" w:cs="仿宋_GB2312"/>
          <w:sz w:val="32"/>
          <w:szCs w:val="32"/>
          <w:lang w:val="en-US" w:eastAsia="zh-CN"/>
        </w:rPr>
        <w:t>持平。</w:t>
      </w:r>
    </w:p>
    <w:p>
      <w:pPr>
        <w:spacing w:line="600" w:lineRule="exact"/>
        <w:ind w:firstLine="640"/>
        <w:rPr>
          <w:rFonts w:hint="default" w:eastAsia="仿宋_GB2312" w:cs="仿宋_GB2312"/>
          <w:sz w:val="32"/>
          <w:szCs w:val="32"/>
          <w:lang w:val="en-US" w:eastAsia="zh-CN"/>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11.18</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与</w:t>
      </w:r>
      <w:r>
        <w:rPr>
          <w:rFonts w:hint="eastAsia" w:eastAsia="仿宋_GB2312" w:cs="仿宋_GB2312"/>
          <w:sz w:val="32"/>
          <w:szCs w:val="32"/>
        </w:rPr>
        <w:t>上年度</w:t>
      </w:r>
      <w:r>
        <w:rPr>
          <w:rFonts w:hint="eastAsia" w:eastAsia="仿宋_GB2312" w:cs="仿宋_GB2312"/>
          <w:sz w:val="32"/>
          <w:szCs w:val="32"/>
          <w:lang w:val="en-US" w:eastAsia="zh-CN"/>
        </w:rPr>
        <w:t>持平。</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11</w:t>
      </w:r>
      <w:r>
        <w:rPr>
          <w:rFonts w:hint="eastAsia" w:eastAsia="仿宋_GB2312" w:cs="仿宋_GB2312"/>
          <w:sz w:val="32"/>
          <w:szCs w:val="32"/>
        </w:rPr>
        <w:t>辆，其中：轿车</w:t>
      </w:r>
      <w:r>
        <w:rPr>
          <w:rFonts w:hint="eastAsia" w:eastAsia="仿宋_GB2312" w:cs="仿宋_GB2312"/>
          <w:sz w:val="32"/>
          <w:szCs w:val="32"/>
          <w:lang w:val="en-US" w:eastAsia="zh-CN"/>
        </w:rPr>
        <w:t>1</w:t>
      </w:r>
      <w:r>
        <w:rPr>
          <w:rFonts w:hint="eastAsia" w:eastAsia="仿宋_GB2312" w:cs="仿宋_GB2312"/>
          <w:sz w:val="32"/>
          <w:szCs w:val="32"/>
        </w:rPr>
        <w:t>辆、越野车</w:t>
      </w:r>
      <w:r>
        <w:rPr>
          <w:rFonts w:hint="eastAsia" w:eastAsia="仿宋_GB2312" w:cs="仿宋_GB2312"/>
          <w:sz w:val="32"/>
          <w:szCs w:val="32"/>
          <w:lang w:val="en-US" w:eastAsia="zh-CN"/>
        </w:rPr>
        <w:t>10</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11.18</w:t>
      </w:r>
      <w:r>
        <w:rPr>
          <w:rFonts w:hint="eastAsia" w:eastAsia="仿宋_GB2312" w:cs="仿宋_GB2312"/>
          <w:sz w:val="32"/>
          <w:szCs w:val="32"/>
        </w:rPr>
        <w:t>万元。主要用于</w:t>
      </w:r>
      <w:r>
        <w:rPr>
          <w:rFonts w:hint="eastAsia" w:eastAsia="仿宋_GB2312" w:cs="仿宋_GB2312"/>
          <w:sz w:val="32"/>
          <w:szCs w:val="32"/>
          <w:lang w:val="en-US" w:eastAsia="zh-CN"/>
        </w:rPr>
        <w:t>法院审判、执行、案件调查、文书送达、外出开庭等</w:t>
      </w:r>
      <w:r>
        <w:rPr>
          <w:rFonts w:hint="eastAsia" w:eastAsia="仿宋_GB2312" w:cs="仿宋_GB2312"/>
          <w:sz w:val="32"/>
          <w:szCs w:val="32"/>
        </w:rPr>
        <w:t>所需的公务用车燃料费、维修费、过路过桥费、保险费等支出。</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1</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公务接待费支出决算比上年度减少</w:t>
      </w:r>
      <w:r>
        <w:rPr>
          <w:rFonts w:hint="eastAsia" w:eastAsia="仿宋_GB2312" w:cs="仿宋_GB2312"/>
          <w:sz w:val="32"/>
          <w:szCs w:val="32"/>
          <w:lang w:val="en-US" w:eastAsia="zh-CN"/>
        </w:rPr>
        <w:t>0.32</w:t>
      </w:r>
      <w:r>
        <w:rPr>
          <w:rFonts w:hint="eastAsia" w:eastAsia="仿宋_GB2312" w:cs="仿宋_GB2312"/>
          <w:sz w:val="32"/>
          <w:szCs w:val="32"/>
        </w:rPr>
        <w:t>万元，下降</w:t>
      </w:r>
      <w:r>
        <w:rPr>
          <w:rFonts w:hint="eastAsia" w:eastAsia="仿宋_GB2312" w:cs="仿宋_GB2312"/>
          <w:sz w:val="32"/>
          <w:szCs w:val="32"/>
          <w:lang w:val="en-US" w:eastAsia="zh-CN"/>
        </w:rPr>
        <w:t>24.2</w:t>
      </w:r>
      <w:r>
        <w:rPr>
          <w:rFonts w:hint="eastAsia" w:eastAsia="仿宋_GB2312" w:cs="仿宋_GB2312"/>
          <w:sz w:val="32"/>
          <w:szCs w:val="32"/>
        </w:rPr>
        <w:t>%。主要原因是</w:t>
      </w:r>
      <w:r>
        <w:rPr>
          <w:rFonts w:hint="eastAsia" w:eastAsia="仿宋_GB2312" w:cs="仿宋_GB2312"/>
          <w:sz w:val="32"/>
          <w:szCs w:val="32"/>
          <w:lang w:val="en-US" w:eastAsia="zh-CN"/>
        </w:rPr>
        <w:t>2025年度较上一年度接待工作减少</w:t>
      </w:r>
      <w:r>
        <w:rPr>
          <w:rFonts w:hint="eastAsia" w:eastAsia="仿宋_GB2312" w:cs="仿宋_GB2312"/>
          <w:sz w:val="32"/>
          <w:szCs w:val="32"/>
        </w:rPr>
        <w:t>。其中：</w:t>
      </w:r>
    </w:p>
    <w:p>
      <w:pPr>
        <w:spacing w:line="600" w:lineRule="exact"/>
        <w:ind w:firstLine="640"/>
        <w:rPr>
          <w:rFonts w:hint="eastAsia"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1</w:t>
      </w:r>
      <w:r>
        <w:rPr>
          <w:rFonts w:hint="eastAsia" w:eastAsia="仿宋_GB2312" w:cs="仿宋_GB2312"/>
          <w:sz w:val="32"/>
          <w:szCs w:val="32"/>
        </w:rPr>
        <w:t>万元，主要用于</w:t>
      </w:r>
      <w:r>
        <w:rPr>
          <w:rFonts w:hint="default" w:ascii="Times New Roman" w:hAnsi="Times New Roman" w:eastAsia="仿宋_GB2312" w:cs="Times New Roman"/>
          <w:sz w:val="32"/>
          <w:szCs w:val="32"/>
        </w:rPr>
        <w:t>执行公务、开展业务活动</w:t>
      </w:r>
      <w:r>
        <w:rPr>
          <w:rFonts w:hint="eastAsia" w:eastAsia="仿宋_GB2312" w:cs="Times New Roman"/>
          <w:sz w:val="32"/>
          <w:szCs w:val="32"/>
          <w:lang w:eastAsia="zh-CN"/>
        </w:rPr>
        <w:t>、</w:t>
      </w:r>
      <w:r>
        <w:rPr>
          <w:rFonts w:hint="eastAsia" w:eastAsia="仿宋_GB2312" w:cs="Times New Roman"/>
          <w:sz w:val="32"/>
          <w:szCs w:val="32"/>
          <w:lang w:val="en-US" w:eastAsia="zh-CN"/>
        </w:rPr>
        <w:t>调研学习等</w:t>
      </w:r>
      <w:r>
        <w:rPr>
          <w:rFonts w:hint="default" w:ascii="Times New Roman" w:hAnsi="Times New Roman" w:eastAsia="仿宋_GB2312" w:cs="Times New Roman"/>
          <w:sz w:val="32"/>
          <w:szCs w:val="32"/>
        </w:rPr>
        <w:t>开支的</w:t>
      </w:r>
      <w:r>
        <w:rPr>
          <w:rFonts w:hint="eastAsia" w:ascii="仿宋" w:hAnsi="仿宋" w:eastAsia="仿宋"/>
          <w:kern w:val="0"/>
          <w:sz w:val="32"/>
          <w:szCs w:val="32"/>
        </w:rPr>
        <w:t>用餐费等</w:t>
      </w:r>
      <w:r>
        <w:rPr>
          <w:rFonts w:hint="eastAsia" w:eastAsia="仿宋_GB2312" w:cs="仿宋_GB2312"/>
          <w:sz w:val="32"/>
          <w:szCs w:val="32"/>
        </w:rPr>
        <w:t>。国内公务接待</w:t>
      </w:r>
      <w:r>
        <w:rPr>
          <w:rFonts w:hint="eastAsia" w:eastAsia="仿宋_GB2312" w:cs="仿宋_GB2312"/>
          <w:sz w:val="32"/>
          <w:szCs w:val="32"/>
          <w:lang w:val="en-US" w:eastAsia="zh-CN"/>
        </w:rPr>
        <w:t>9</w:t>
      </w:r>
      <w:r>
        <w:rPr>
          <w:rFonts w:hint="eastAsia" w:eastAsia="仿宋_GB2312" w:cs="仿宋_GB2312"/>
          <w:sz w:val="32"/>
          <w:szCs w:val="32"/>
        </w:rPr>
        <w:t>批次，</w:t>
      </w:r>
      <w:r>
        <w:rPr>
          <w:rFonts w:hint="eastAsia" w:eastAsia="仿宋_GB2312" w:cs="仿宋_GB2312"/>
          <w:sz w:val="32"/>
          <w:szCs w:val="32"/>
          <w:lang w:val="en-US" w:eastAsia="zh-CN"/>
        </w:rPr>
        <w:t>75</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1</w:t>
      </w:r>
      <w:r>
        <w:rPr>
          <w:rFonts w:hint="eastAsia" w:eastAsia="仿宋_GB2312" w:cs="仿宋_GB2312"/>
          <w:sz w:val="32"/>
          <w:szCs w:val="32"/>
        </w:rPr>
        <w:t>万元，具体内容包括：</w:t>
      </w:r>
      <w:r>
        <w:rPr>
          <w:rFonts w:hint="eastAsia" w:eastAsia="仿宋_GB2312" w:cs="仿宋_GB2312"/>
          <w:sz w:val="32"/>
          <w:szCs w:val="32"/>
          <w:lang w:val="en-US" w:eastAsia="zh-CN"/>
        </w:rPr>
        <w:t>接待省高院调研3次分别0.09万元、0.11万元、0.09万元；接待省高院与市中院调研0.14万元；接待遂宁法院开展警务保障工作0.1万元；接待市中院调研2次分别0.12万元、0.12万元；接待</w:t>
      </w:r>
      <w:r>
        <w:rPr>
          <w:rFonts w:hint="eastAsia" w:eastAsia="仿宋_GB2312" w:cs="仿宋_GB2312"/>
          <w:sz w:val="32"/>
          <w:szCs w:val="32"/>
        </w:rPr>
        <w:t>武胜法院交流</w:t>
      </w:r>
      <w:r>
        <w:rPr>
          <w:rFonts w:hint="eastAsia" w:eastAsia="仿宋_GB2312" w:cs="仿宋_GB2312"/>
          <w:sz w:val="32"/>
          <w:szCs w:val="32"/>
          <w:lang w:val="en-US" w:eastAsia="zh-CN"/>
        </w:rPr>
        <w:t>学习0.09万元；接待楚雄中院调研学习0.14万元</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pPr>
        <w:spacing w:line="600" w:lineRule="exact"/>
        <w:ind w:firstLine="640"/>
        <w:outlineLvl w:val="1"/>
        <w:rPr>
          <w:rStyle w:val="29"/>
          <w:rFonts w:ascii="Times New Roman" w:hAnsi="Times New Roman" w:eastAsia="黑体"/>
        </w:rPr>
      </w:pPr>
      <w:bookmarkStart w:id="42" w:name="_Toc15377218"/>
      <w:bookmarkStart w:id="43" w:name="_Toc15396610"/>
      <w:r>
        <w:rPr>
          <w:rFonts w:hint="eastAsia" w:eastAsia="黑体"/>
          <w:sz w:val="32"/>
          <w:szCs w:val="32"/>
        </w:rPr>
        <w:t>八、</w:t>
      </w:r>
      <w:r>
        <w:rPr>
          <w:rStyle w:val="29"/>
          <w:rFonts w:hint="eastAsia" w:ascii="Times New Roman" w:hAnsi="Times New Roman" w:eastAsia="黑体"/>
          <w:b w:val="0"/>
        </w:rPr>
        <w:t>政府性基金预算支出决算情况说明</w:t>
      </w:r>
      <w:bookmarkEnd w:id="42"/>
      <w:bookmarkEnd w:id="43"/>
    </w:p>
    <w:p>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w:t>
      </w:r>
      <w:r>
        <w:rPr>
          <w:rFonts w:hint="eastAsia" w:eastAsia="仿宋_GB2312" w:cs="仿宋_GB2312"/>
          <w:sz w:val="32"/>
          <w:szCs w:val="32"/>
          <w:lang w:val="en-US" w:eastAsia="zh-CN"/>
        </w:rPr>
        <w:t>。</w:t>
      </w:r>
    </w:p>
    <w:p>
      <w:pPr>
        <w:spacing w:line="600" w:lineRule="exact"/>
        <w:ind w:left="630"/>
        <w:outlineLvl w:val="1"/>
        <w:rPr>
          <w:rStyle w:val="29"/>
          <w:rFonts w:ascii="Times New Roman" w:hAnsi="Times New Roman" w:eastAsia="黑体"/>
          <w:b w:val="0"/>
        </w:rPr>
      </w:pPr>
      <w:bookmarkStart w:id="44" w:name="_Toc15377219"/>
      <w:bookmarkStart w:id="45" w:name="_Toc15396611"/>
      <w:r>
        <w:rPr>
          <w:rStyle w:val="29"/>
          <w:rFonts w:hint="eastAsia" w:ascii="Times New Roman" w:hAnsi="Times New Roman" w:eastAsia="黑体"/>
          <w:b w:val="0"/>
        </w:rPr>
        <w:t>九、国有资本经营预算支出决算情况说明</w:t>
      </w:r>
      <w:bookmarkEnd w:id="44"/>
      <w:bookmarkEnd w:id="45"/>
    </w:p>
    <w:p>
      <w:pPr>
        <w:spacing w:line="600" w:lineRule="exact"/>
        <w:ind w:left="630"/>
        <w:outlineLvl w:val="1"/>
        <w:rPr>
          <w:rFonts w:hint="eastAsia" w:eastAsia="仿宋_GB2312" w:cs="仿宋_GB2312"/>
          <w:sz w:val="32"/>
          <w:szCs w:val="32"/>
          <w:lang w:eastAsia="zh-CN"/>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w:t>
      </w:r>
      <w:bookmarkStart w:id="46" w:name="_Toc15377221"/>
      <w:bookmarkStart w:id="47" w:name="_Toc15396612"/>
      <w:r>
        <w:rPr>
          <w:rFonts w:hint="eastAsia" w:eastAsia="仿宋_GB2312" w:cs="仿宋_GB2312"/>
          <w:sz w:val="32"/>
          <w:szCs w:val="32"/>
          <w:lang w:eastAsia="zh-CN"/>
        </w:rPr>
        <w:t>。</w:t>
      </w:r>
    </w:p>
    <w:p>
      <w:pPr>
        <w:spacing w:line="600" w:lineRule="exact"/>
        <w:ind w:left="630"/>
        <w:outlineLvl w:val="1"/>
        <w:rPr>
          <w:rStyle w:val="29"/>
          <w:rFonts w:ascii="Times New Roman" w:hAnsi="Times New Roman" w:eastAsia="黑体"/>
          <w:b w:val="0"/>
        </w:rPr>
      </w:pPr>
      <w:r>
        <w:rPr>
          <w:rStyle w:val="29"/>
          <w:rFonts w:hint="eastAsia" w:ascii="Times New Roman" w:hAnsi="Times New Roman" w:eastAsia="黑体"/>
          <w:b w:val="0"/>
        </w:rPr>
        <w:t>十、其他重要事项的情况说明</w:t>
      </w:r>
      <w:bookmarkEnd w:id="46"/>
      <w:bookmarkEnd w:id="47"/>
    </w:p>
    <w:p>
      <w:pPr>
        <w:spacing w:line="600" w:lineRule="exact"/>
        <w:ind w:firstLine="643" w:firstLineChars="200"/>
        <w:outlineLvl w:val="2"/>
        <w:rPr>
          <w:rFonts w:eastAsia="楷体_GB2312" w:cs="楷体_GB2312"/>
          <w:b/>
          <w:sz w:val="32"/>
          <w:szCs w:val="32"/>
        </w:rPr>
      </w:pPr>
      <w:bookmarkStart w:id="48" w:name="_Toc15377222"/>
      <w:r>
        <w:rPr>
          <w:rFonts w:hint="eastAsia" w:eastAsia="楷体_GB2312" w:cs="楷体_GB2312"/>
          <w:b/>
          <w:sz w:val="32"/>
          <w:szCs w:val="32"/>
        </w:rPr>
        <w:t>（一）机关运行经费支出情况</w:t>
      </w:r>
      <w:bookmarkEnd w:id="48"/>
    </w:p>
    <w:p>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2025年度，</w:t>
      </w:r>
      <w:r>
        <w:rPr>
          <w:rFonts w:hint="eastAsia" w:eastAsia="仿宋_GB2312" w:cs="仿宋_GB2312"/>
          <w:sz w:val="32"/>
          <w:szCs w:val="32"/>
          <w:lang w:val="en-US" w:eastAsia="zh-CN"/>
        </w:rPr>
        <w:t>盐边县人民法院</w:t>
      </w:r>
      <w:r>
        <w:rPr>
          <w:rFonts w:hint="eastAsia" w:eastAsia="仿宋_GB2312" w:cs="仿宋_GB2312"/>
          <w:sz w:val="32"/>
          <w:szCs w:val="32"/>
        </w:rPr>
        <w:t>机关运行经费支出141.81万元，比上年度减少</w:t>
      </w:r>
      <w:r>
        <w:rPr>
          <w:rFonts w:hint="eastAsia" w:eastAsia="仿宋_GB2312" w:cs="仿宋_GB2312"/>
          <w:sz w:val="32"/>
          <w:szCs w:val="32"/>
          <w:lang w:val="en-US" w:eastAsia="zh-CN"/>
        </w:rPr>
        <w:t>23.63</w:t>
      </w:r>
      <w:r>
        <w:rPr>
          <w:rFonts w:hint="eastAsia" w:eastAsia="仿宋_GB2312" w:cs="仿宋_GB2312"/>
          <w:sz w:val="32"/>
          <w:szCs w:val="32"/>
        </w:rPr>
        <w:t>万元，下降</w:t>
      </w:r>
      <w:r>
        <w:rPr>
          <w:rFonts w:hint="eastAsia" w:eastAsia="仿宋_GB2312" w:cs="仿宋_GB2312"/>
          <w:sz w:val="32"/>
          <w:szCs w:val="32"/>
          <w:lang w:val="en-US" w:eastAsia="zh-CN"/>
        </w:rPr>
        <w:t>14.3</w:t>
      </w:r>
      <w:r>
        <w:rPr>
          <w:rFonts w:hint="eastAsia" w:eastAsia="仿宋_GB2312" w:cs="仿宋_GB2312"/>
          <w:sz w:val="32"/>
          <w:szCs w:val="32"/>
        </w:rPr>
        <w:t>%。主要原因是</w:t>
      </w:r>
      <w:r>
        <w:rPr>
          <w:rFonts w:hint="eastAsia" w:eastAsia="仿宋_GB2312" w:cs="仿宋_GB2312"/>
          <w:sz w:val="32"/>
          <w:szCs w:val="32"/>
          <w:lang w:val="en-US" w:eastAsia="zh-CN"/>
        </w:rPr>
        <w:t>落实党政机关“过紧日子”的要求，厉行勤俭节约，严控办公费、差旅费、其他商品和服务支出等开支</w:t>
      </w:r>
      <w:bookmarkStart w:id="69" w:name="_GoBack"/>
      <w:bookmarkEnd w:id="69"/>
      <w:r>
        <w:rPr>
          <w:rFonts w:hint="eastAsia" w:eastAsia="仿宋_GB2312" w:cs="仿宋_GB2312"/>
          <w:sz w:val="32"/>
          <w:szCs w:val="32"/>
          <w:lang w:val="en-US" w:eastAsia="zh-CN"/>
        </w:rPr>
        <w:t>。</w:t>
      </w:r>
    </w:p>
    <w:p>
      <w:pPr>
        <w:spacing w:line="600" w:lineRule="exact"/>
        <w:ind w:firstLine="643" w:firstLineChars="200"/>
        <w:outlineLvl w:val="2"/>
        <w:rPr>
          <w:rFonts w:eastAsia="楷体_GB2312" w:cs="楷体_GB2312"/>
          <w:b/>
          <w:sz w:val="32"/>
          <w:szCs w:val="32"/>
        </w:rPr>
      </w:pPr>
      <w:bookmarkStart w:id="49" w:name="_Toc15377223"/>
      <w:r>
        <w:rPr>
          <w:rFonts w:hint="eastAsia" w:eastAsia="楷体_GB2312" w:cs="楷体_GB2312"/>
          <w:b/>
          <w:sz w:val="32"/>
          <w:szCs w:val="32"/>
        </w:rPr>
        <w:t>（二）政府采购支出情况</w:t>
      </w:r>
      <w:bookmarkEnd w:id="49"/>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eastAsia="仿宋_GB2312" w:cs="仿宋_GB2312"/>
          <w:sz w:val="32"/>
          <w:szCs w:val="32"/>
          <w:lang w:val="en-US" w:eastAsia="zh-CN"/>
        </w:rPr>
        <w:t>盐边县人民法院</w:t>
      </w:r>
      <w:r>
        <w:rPr>
          <w:rFonts w:hint="eastAsia" w:eastAsia="仿宋_GB2312" w:cs="仿宋_GB2312"/>
          <w:sz w:val="32"/>
          <w:szCs w:val="32"/>
        </w:rPr>
        <w:t>政府采购支出总额</w:t>
      </w:r>
      <w:r>
        <w:rPr>
          <w:rFonts w:hint="eastAsia" w:eastAsia="仿宋_GB2312" w:cs="仿宋_GB2312"/>
          <w:sz w:val="32"/>
          <w:szCs w:val="32"/>
          <w:lang w:val="en-US" w:eastAsia="zh-CN"/>
        </w:rPr>
        <w:t>61.88</w:t>
      </w:r>
      <w:r>
        <w:rPr>
          <w:rFonts w:hint="eastAsia" w:eastAsia="仿宋_GB2312" w:cs="仿宋_GB2312"/>
          <w:sz w:val="32"/>
          <w:szCs w:val="32"/>
        </w:rPr>
        <w:t>万元，其中：政府采购货物支出</w:t>
      </w:r>
      <w:r>
        <w:rPr>
          <w:rFonts w:hint="eastAsia" w:eastAsia="仿宋_GB2312" w:cs="仿宋_GB2312"/>
          <w:sz w:val="32"/>
          <w:szCs w:val="32"/>
          <w:lang w:val="en-US" w:eastAsia="zh-CN"/>
        </w:rPr>
        <w:t>22.48</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10.64</w:t>
      </w:r>
      <w:r>
        <w:rPr>
          <w:rFonts w:hint="eastAsia" w:eastAsia="仿宋_GB2312" w:cs="仿宋_GB2312"/>
          <w:sz w:val="32"/>
          <w:szCs w:val="32"/>
        </w:rPr>
        <w:t>万元。主要用于</w:t>
      </w:r>
      <w:r>
        <w:rPr>
          <w:rFonts w:hint="eastAsia" w:eastAsia="仿宋_GB2312" w:cs="仿宋_GB2312"/>
          <w:sz w:val="32"/>
          <w:szCs w:val="32"/>
          <w:lang w:val="en-US" w:eastAsia="zh-CN"/>
        </w:rPr>
        <w:t>业务装备采购、公务用车维修保险加油等</w:t>
      </w:r>
      <w:r>
        <w:rPr>
          <w:rFonts w:hint="eastAsia" w:eastAsia="仿宋_GB2312" w:cs="仿宋_GB2312"/>
          <w:sz w:val="32"/>
          <w:szCs w:val="32"/>
        </w:rPr>
        <w:t>。授予中小企业合同金额</w:t>
      </w:r>
      <w:r>
        <w:rPr>
          <w:rFonts w:hint="eastAsia" w:eastAsia="仿宋_GB2312" w:cs="仿宋_GB2312"/>
          <w:sz w:val="32"/>
          <w:szCs w:val="32"/>
          <w:lang w:val="en-US" w:eastAsia="zh-CN"/>
        </w:rPr>
        <w:t>28.76</w:t>
      </w:r>
      <w:r>
        <w:rPr>
          <w:rFonts w:hint="eastAsia" w:eastAsia="仿宋_GB2312" w:cs="仿宋_GB2312"/>
          <w:sz w:val="32"/>
          <w:szCs w:val="32"/>
        </w:rPr>
        <w:t>万元，占政府采购支出总额的</w:t>
      </w:r>
      <w:r>
        <w:rPr>
          <w:rFonts w:hint="eastAsia" w:eastAsia="仿宋_GB2312" w:cs="仿宋_GB2312"/>
          <w:sz w:val="32"/>
          <w:szCs w:val="32"/>
          <w:lang w:val="en-US" w:eastAsia="zh-CN"/>
        </w:rPr>
        <w:t>46.5</w:t>
      </w:r>
      <w:r>
        <w:rPr>
          <w:rFonts w:hint="eastAsia" w:eastAsia="仿宋_GB2312" w:cs="仿宋_GB2312"/>
          <w:sz w:val="32"/>
          <w:szCs w:val="32"/>
        </w:rPr>
        <w:t>%，其中：授予小微企业合同金额</w:t>
      </w:r>
      <w:r>
        <w:rPr>
          <w:rFonts w:hint="eastAsia" w:eastAsia="仿宋_GB2312" w:cs="仿宋_GB2312"/>
          <w:sz w:val="32"/>
          <w:szCs w:val="32"/>
          <w:lang w:val="en-US" w:eastAsia="zh-CN"/>
        </w:rPr>
        <w:t>4.04</w:t>
      </w:r>
      <w:r>
        <w:rPr>
          <w:rFonts w:hint="eastAsia" w:eastAsia="仿宋_GB2312" w:cs="仿宋_GB2312"/>
          <w:sz w:val="32"/>
          <w:szCs w:val="32"/>
        </w:rPr>
        <w:t>万元，占政府采购支出总额的</w:t>
      </w:r>
      <w:r>
        <w:rPr>
          <w:rFonts w:hint="eastAsia" w:eastAsia="仿宋_GB2312" w:cs="仿宋_GB2312"/>
          <w:sz w:val="32"/>
          <w:szCs w:val="32"/>
          <w:lang w:val="en-US" w:eastAsia="zh-CN"/>
        </w:rPr>
        <w:t>6.5</w:t>
      </w:r>
      <w:r>
        <w:rPr>
          <w:rFonts w:hint="eastAsia" w:eastAsia="仿宋_GB2312" w:cs="仿宋_GB2312"/>
          <w:sz w:val="32"/>
          <w:szCs w:val="32"/>
        </w:rPr>
        <w:t>%。</w:t>
      </w:r>
    </w:p>
    <w:p>
      <w:pPr>
        <w:spacing w:line="600" w:lineRule="exact"/>
        <w:ind w:firstLine="643" w:firstLineChars="200"/>
        <w:outlineLvl w:val="2"/>
        <w:rPr>
          <w:rFonts w:eastAsia="楷体_GB2312" w:cs="楷体_GB2312"/>
          <w:b/>
          <w:sz w:val="32"/>
          <w:szCs w:val="32"/>
        </w:rPr>
      </w:pPr>
      <w:bookmarkStart w:id="50" w:name="_Toc15377224"/>
      <w:r>
        <w:rPr>
          <w:rFonts w:hint="eastAsia" w:eastAsia="楷体_GB2312" w:cs="楷体_GB2312"/>
          <w:b/>
          <w:sz w:val="32"/>
          <w:szCs w:val="32"/>
        </w:rPr>
        <w:t>（三）国有资产占有使用情况</w:t>
      </w:r>
      <w:bookmarkEnd w:id="50"/>
    </w:p>
    <w:p>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eastAsia="仿宋_GB2312" w:cs="仿宋_GB2312"/>
          <w:sz w:val="32"/>
          <w:szCs w:val="32"/>
          <w:lang w:val="en-US" w:eastAsia="zh-CN"/>
        </w:rPr>
        <w:t>盐边县人民法院</w:t>
      </w:r>
      <w:r>
        <w:rPr>
          <w:rFonts w:hint="eastAsia" w:eastAsia="仿宋_GB2312" w:cs="仿宋_GB2312"/>
          <w:sz w:val="32"/>
          <w:szCs w:val="32"/>
        </w:rPr>
        <w:t>共有车辆</w:t>
      </w:r>
      <w:r>
        <w:rPr>
          <w:rFonts w:hint="eastAsia" w:eastAsia="仿宋_GB2312" w:cs="仿宋_GB2312"/>
          <w:sz w:val="32"/>
          <w:szCs w:val="32"/>
          <w:lang w:val="en-US" w:eastAsia="zh-CN"/>
        </w:rPr>
        <w:t>11</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8</w:t>
      </w:r>
      <w:r>
        <w:rPr>
          <w:rFonts w:hint="eastAsia" w:eastAsia="仿宋_GB2312" w:cs="仿宋_GB2312"/>
          <w:sz w:val="32"/>
          <w:szCs w:val="32"/>
        </w:rPr>
        <w:t>辆、特种专业技术用车</w:t>
      </w:r>
      <w:r>
        <w:rPr>
          <w:rFonts w:hint="eastAsia" w:eastAsia="仿宋_GB2312" w:cs="仿宋_GB2312"/>
          <w:sz w:val="32"/>
          <w:szCs w:val="32"/>
          <w:lang w:val="en-US" w:eastAsia="zh-CN"/>
        </w:rPr>
        <w:t>3</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0</w:t>
      </w:r>
      <w:r>
        <w:rPr>
          <w:rFonts w:hint="eastAsia" w:eastAsia="仿宋_GB2312" w:cs="仿宋_GB2312"/>
          <w:sz w:val="32"/>
          <w:szCs w:val="32"/>
        </w:rPr>
        <w:t>辆。单价100万元（含）以上设备（不含车辆）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val="en-US" w:eastAsia="zh-CN"/>
        </w:rPr>
        <w:t>盐边县人民法院</w:t>
      </w:r>
      <w:r>
        <w:rPr>
          <w:rFonts w:hint="eastAsia" w:eastAsia="仿宋_GB2312" w:cs="仿宋_GB2312"/>
          <w:sz w:val="32"/>
          <w:szCs w:val="32"/>
        </w:rPr>
        <w:t>在2025年度，组织对</w:t>
      </w:r>
      <w:r>
        <w:rPr>
          <w:rFonts w:hint="eastAsia" w:eastAsia="仿宋_GB2312" w:cs="仿宋_GB2312"/>
          <w:sz w:val="32"/>
          <w:szCs w:val="32"/>
          <w:lang w:val="en-US" w:eastAsia="zh-CN"/>
        </w:rPr>
        <w:t>办案经费</w:t>
      </w:r>
      <w:r>
        <w:rPr>
          <w:rFonts w:hint="eastAsia" w:eastAsia="仿宋_GB2312" w:cs="仿宋_GB2312"/>
          <w:sz w:val="32"/>
          <w:szCs w:val="32"/>
        </w:rPr>
        <w:t>等</w:t>
      </w:r>
      <w:r>
        <w:rPr>
          <w:rFonts w:hint="eastAsia" w:eastAsia="仿宋_GB2312" w:cs="仿宋_GB2312"/>
          <w:sz w:val="32"/>
          <w:szCs w:val="32"/>
          <w:lang w:val="en-US" w:eastAsia="zh-CN"/>
        </w:rPr>
        <w:t>4</w:t>
      </w:r>
      <w:r>
        <w:rPr>
          <w:rFonts w:hint="eastAsia" w:eastAsia="仿宋_GB2312" w:cs="仿宋_GB2312"/>
          <w:sz w:val="32"/>
          <w:szCs w:val="32"/>
        </w:rPr>
        <w:t>个项目涉及金额</w:t>
      </w:r>
      <w:r>
        <w:rPr>
          <w:rFonts w:hint="eastAsia" w:eastAsia="仿宋_GB2312" w:cs="仿宋_GB2312"/>
          <w:sz w:val="32"/>
          <w:szCs w:val="32"/>
          <w:lang w:val="en-US" w:eastAsia="zh-CN"/>
        </w:rPr>
        <w:t>589.6</w:t>
      </w:r>
      <w:r>
        <w:rPr>
          <w:rFonts w:hint="eastAsia" w:eastAsia="仿宋_GB2312" w:cs="仿宋_GB2312"/>
          <w:sz w:val="32"/>
          <w:szCs w:val="32"/>
        </w:rPr>
        <w:t>万元开展了事前绩效评估，对</w:t>
      </w:r>
      <w:r>
        <w:rPr>
          <w:rFonts w:hint="eastAsia" w:eastAsia="仿宋_GB2312" w:cs="仿宋_GB2312"/>
          <w:sz w:val="32"/>
          <w:szCs w:val="32"/>
          <w:lang w:val="en-US" w:eastAsia="zh-CN"/>
        </w:rPr>
        <w:t>4</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4</w:t>
      </w:r>
      <w:r>
        <w:rPr>
          <w:rFonts w:hint="eastAsia" w:eastAsia="仿宋_GB2312" w:cs="仿宋_GB2312"/>
          <w:sz w:val="32"/>
          <w:szCs w:val="32"/>
        </w:rPr>
        <w:t>个项目开展绩效监控。</w:t>
      </w:r>
      <w:r>
        <w:rPr>
          <w:rFonts w:hint="default" w:ascii="Times New Roman" w:hAnsi="Times New Roman" w:eastAsia="仿宋_GB2312" w:cs="Times New Roman"/>
          <w:sz w:val="32"/>
          <w:szCs w:val="32"/>
        </w:rPr>
        <w:t>由于</w:t>
      </w:r>
      <w:r>
        <w:rPr>
          <w:rFonts w:hint="eastAsia" w:eastAsia="仿宋_GB2312" w:cs="Times New Roman"/>
          <w:sz w:val="32"/>
          <w:szCs w:val="32"/>
          <w:lang w:val="en-US" w:eastAsia="zh-CN"/>
        </w:rPr>
        <w:t>其中2个</w:t>
      </w:r>
      <w:r>
        <w:rPr>
          <w:rFonts w:hint="default" w:ascii="Times New Roman" w:hAnsi="Times New Roman" w:eastAsia="仿宋_GB2312" w:cs="Times New Roman"/>
          <w:sz w:val="32"/>
          <w:szCs w:val="32"/>
        </w:rPr>
        <w:t>项目存在涉密情况，所以组织对</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个项目</w:t>
      </w:r>
      <w:r>
        <w:rPr>
          <w:rFonts w:hint="eastAsia" w:eastAsia="仿宋_GB2312" w:cs="Times New Roman"/>
          <w:sz w:val="32"/>
          <w:szCs w:val="32"/>
          <w:lang w:val="en-US" w:eastAsia="zh-CN"/>
        </w:rPr>
        <w:t>公开</w:t>
      </w:r>
      <w:r>
        <w:rPr>
          <w:rFonts w:hint="default" w:ascii="Times New Roman" w:hAnsi="Times New Roman" w:eastAsia="仿宋_GB2312" w:cs="Times New Roman"/>
          <w:sz w:val="32"/>
          <w:szCs w:val="32"/>
        </w:rPr>
        <w:t>绩效</w:t>
      </w:r>
      <w:r>
        <w:rPr>
          <w:rFonts w:hint="eastAsia" w:eastAsia="仿宋_GB2312" w:cs="Times New Roman"/>
          <w:sz w:val="32"/>
          <w:szCs w:val="32"/>
          <w:lang w:val="en-US" w:eastAsia="zh-CN"/>
        </w:rPr>
        <w:t>评价</w:t>
      </w:r>
      <w:r>
        <w:rPr>
          <w:rFonts w:hint="default" w:ascii="Times New Roman" w:hAnsi="Times New Roman" w:eastAsia="仿宋_GB2312" w:cs="Times New Roman"/>
          <w:sz w:val="32"/>
          <w:szCs w:val="32"/>
        </w:rPr>
        <w:t>，绩效自评表详见第四部分附件</w:t>
      </w:r>
      <w:r>
        <w:rPr>
          <w:rFonts w:hint="eastAsia" w:eastAsia="仿宋_GB2312" w:cs="Times New Roman"/>
          <w:sz w:val="32"/>
          <w:szCs w:val="32"/>
          <w:lang w:eastAsia="zh-CN"/>
        </w:rPr>
        <w:t>。</w:t>
      </w:r>
    </w:p>
    <w:p>
      <w:pPr>
        <w:spacing w:line="600" w:lineRule="exact"/>
        <w:ind w:firstLine="640"/>
        <w:rPr>
          <w:rFonts w:eastAsia="仿宋_GB2312" w:cs="仿宋_GB2312"/>
          <w:sz w:val="32"/>
          <w:szCs w:val="32"/>
        </w:rPr>
      </w:pPr>
    </w:p>
    <w:p>
      <w:pPr>
        <w:spacing w:line="600" w:lineRule="exact"/>
        <w:jc w:val="center"/>
        <w:outlineLvl w:val="0"/>
        <w:rPr>
          <w:rFonts w:eastAsia="黑体"/>
          <w:sz w:val="44"/>
          <w:szCs w:val="44"/>
        </w:rPr>
      </w:pPr>
      <w:bookmarkStart w:id="51" w:name="_Toc15396613"/>
      <w:bookmarkStart w:id="52" w:name="_Toc15377225"/>
      <w:r>
        <w:rPr>
          <w:rFonts w:hint="eastAsia" w:eastAsia="黑体"/>
          <w:sz w:val="44"/>
          <w:szCs w:val="44"/>
        </w:rPr>
        <w:t>第三部分  名词解释</w:t>
      </w:r>
      <w:bookmarkEnd w:id="51"/>
      <w:bookmarkEnd w:id="52"/>
    </w:p>
    <w:p>
      <w:pPr>
        <w:spacing w:line="600" w:lineRule="exact"/>
        <w:jc w:val="left"/>
        <w:rPr>
          <w:b/>
          <w:sz w:val="44"/>
          <w:szCs w:val="44"/>
        </w:rPr>
      </w:pP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1.财政拨款收入：指单位从同级财政部门取得的财政预算资金。</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 xml:space="preserve">2.其他收入：指单位取得的除上述收入以外的各项收入。主要是银行存款利息等。 </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 xml:space="preserve">3.年初结转和结余：指以前年度尚未完成、结转到本年按有关规定继续使用的资金。 </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4.结余分配：指事业单位按照会计制度规定缴纳的所得税、提取的专用结余以及转入非财政拨款结余的金额等。</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5.一般公共服务支出（类）民族事务（款）民族工作专项（项）：指用于民族事务管理方面的专项支出。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6.一般公共服务支出（类）其他一般公共服务支出（款）其他一般公共服务支出（项）：指上述项目未包括的一般公共服务支出。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7.公共安全支出（类）法院（款）行政运行（项）：指法院（包括各专门法院）的基本支出。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8.公共安全支出（类）法院（款）一般行政管理事务（项）：指法院（包括各专门法院）未单独设置项级科目的其他项目支出。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9.公共安全支出（类）法院（款）其他法院支出（项）：指除上述项目以外其他用于法院方面的支出。。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10.公共安全支出（类）其他公共安全支出（款）其他公共安全支出（项）：指除上述项目以外其他用于公共安全方面的支出。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11.社会保障和就业支出（类）行政事业单位养老支出（款）行政单位离退休（项）：指行政单位（包括实行公务员管理的事业单位）开支的离退休经费。</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12.社会保障和就业支出（类）行政事业单位养老支出（款）机关事业单位基本养老保险缴费支出（项）：指机关事业单位实施养老保险制度由单位缴纳的基本养老保险费支出。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13.社会保障和就业支出（类）行政事业单位养老支出（款）机关事业单位职业年金缴费支出（项）：指机关事业单位实施养老保险制度由单位实际缴纳的职业年金支出。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14.社会保障和就业支出（类）抚恤（款）死亡抚恤（项）：指按规定用于烈士和牺牲、病故人员家属的一次性和定期抚恤金、丧葬补助费以及烈士褒奖金。</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15.卫生健康支出（类）行政事业单位医疗（款）行政单位医疗（项）：指财政部门安排的行政单位（包括实行公务员管理的事业单位，下同）基本医疗保险缴费经费，未参加医疗保险的行政单位的公费医疗经费，按国家规定享受离休人员、红军老战士待遇的医疗经费。</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16.卫生健康支出（类）行政事业单位医疗（款）公务员医疗补助（项）：指反映财政部门安排的公务员医疗补助经费。</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17.住房保障支出（类）住房改革支出（款）住房公积金（项）：指行政事业单位按人力资源和社会保障部、财政部规定的基本工资和津贴补贴以及规定比例为职工缴纳的住房公积金。</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18.基本支出：指为保障机构正常运转、完成日常工作任务而发生的人员支出和公用支出。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 xml:space="preserve">19.项目支出：指在基本支出之外为完成特定行政任务和事业发展目标所发生的支出。 </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20.经营支出：指事业单位在专业业务活动及其辅助活动之外开展非独立核算经营活动发生的支出。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21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eastAsia="仿宋" w:cs="仿宋_GB2312"/>
          <w:sz w:val="32"/>
          <w:szCs w:val="32"/>
          <w:lang w:eastAsia="zh-CN"/>
        </w:rPr>
      </w:pPr>
      <w:r>
        <w:rPr>
          <w:rFonts w:hint="eastAsia" w:ascii="仿宋" w:hAnsi="仿宋" w:eastAsia="仿宋"/>
          <w:sz w:val="32"/>
          <w:szCs w:val="32"/>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 w:hAnsi="仿宋" w:eastAsia="仿宋"/>
          <w:sz w:val="32"/>
          <w:szCs w:val="32"/>
          <w:lang w:eastAsia="zh-CN"/>
        </w:rPr>
        <w:t>。</w:t>
      </w:r>
    </w:p>
    <w:p>
      <w:pPr>
        <w:spacing w:line="600" w:lineRule="exact"/>
        <w:ind w:firstLine="640"/>
        <w:rPr>
          <w:rFonts w:eastAsia="仿宋_GB2312" w:cs="仿宋_GB2312"/>
          <w:b/>
          <w:bCs/>
          <w:sz w:val="32"/>
          <w:szCs w:val="32"/>
        </w:rPr>
      </w:pPr>
    </w:p>
    <w:p>
      <w:pPr>
        <w:spacing w:line="600" w:lineRule="exact"/>
        <w:jc w:val="center"/>
        <w:rPr>
          <w:rStyle w:val="28"/>
          <w:rFonts w:eastAsia="黑体"/>
          <w:b w:val="0"/>
        </w:rPr>
      </w:pPr>
      <w:bookmarkStart w:id="53" w:name="_Toc15377226"/>
      <w:r>
        <w:rPr>
          <w:rFonts w:hint="eastAsia" w:eastAsia="仿宋_GB2312" w:cs="仿宋_GB2312"/>
          <w:sz w:val="32"/>
          <w:szCs w:val="32"/>
        </w:rPr>
        <w:br w:type="page"/>
      </w:r>
      <w:bookmarkStart w:id="54" w:name="_Toc15396614"/>
      <w:r>
        <w:rPr>
          <w:rFonts w:hint="eastAsia" w:eastAsia="黑体"/>
          <w:sz w:val="44"/>
          <w:szCs w:val="44"/>
        </w:rPr>
        <w:t>第四部分  附件</w:t>
      </w:r>
      <w:bookmarkEnd w:id="54"/>
    </w:p>
    <w:p>
      <w:pPr>
        <w:spacing w:line="572" w:lineRule="exact"/>
        <w:jc w:val="left"/>
        <w:outlineLvl w:val="0"/>
        <w:rPr>
          <w:rFonts w:eastAsia="黑体" w:cs="黑体"/>
          <w:color w:val="FF0000"/>
          <w:sz w:val="32"/>
          <w:szCs w:val="32"/>
        </w:rPr>
      </w:pPr>
    </w:p>
    <w:p>
      <w:pPr>
        <w:pStyle w:val="2"/>
      </w:pPr>
    </w:p>
    <w:p>
      <w:pPr>
        <w:pStyle w:val="2"/>
      </w:pPr>
    </w:p>
    <w:p>
      <w:pPr>
        <w:spacing w:line="578" w:lineRule="exact"/>
        <w:ind w:firstLine="640"/>
        <w:rPr>
          <w:rFonts w:eastAsia="仿宋_GB2312" w:cs="仿宋_GB2312"/>
          <w:b/>
          <w:bCs/>
          <w:kern w:val="0"/>
          <w:sz w:val="32"/>
          <w:szCs w:val="32"/>
        </w:rPr>
      </w:pPr>
      <w:r>
        <w:rPr>
          <w:rFonts w:hint="eastAsia" w:eastAsia="仿宋_GB2312"/>
          <w:sz w:val="32"/>
          <w:szCs w:val="32"/>
          <w:lang w:val="en-US" w:eastAsia="zh-CN"/>
        </w:rPr>
        <w:t>单位预算项目支出绩效自评表（2025年度）见附件《2025年度单位预算项目支出绩效自评表》</w:t>
      </w:r>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pPr>
      <w:bookmarkStart w:id="55" w:name="_Toc15396618"/>
      <w:r>
        <w:rPr>
          <w:rFonts w:hint="eastAsia" w:eastAsia="仿宋_GB2312" w:cs="仿宋_GB2312"/>
          <w:kern w:val="0"/>
          <w:sz w:val="32"/>
          <w:szCs w:val="32"/>
        </w:rPr>
        <w:br w:type="page"/>
      </w:r>
    </w:p>
    <w:p>
      <w:pPr>
        <w:widowControl/>
        <w:jc w:val="center"/>
        <w:rPr>
          <w:rFonts w:eastAsia="仿宋"/>
        </w:rPr>
      </w:pPr>
      <w:r>
        <w:rPr>
          <w:rFonts w:hint="eastAsia" w:eastAsia="黑体"/>
          <w:sz w:val="44"/>
          <w:szCs w:val="44"/>
        </w:rPr>
        <w:t>第</w:t>
      </w:r>
      <w:r>
        <w:rPr>
          <w:rStyle w:val="28"/>
          <w:rFonts w:hint="eastAsia" w:eastAsia="黑体"/>
          <w:b w:val="0"/>
        </w:rPr>
        <w:t>五部分 附表</w:t>
      </w:r>
      <w:bookmarkEnd w:id="53"/>
      <w:bookmarkEnd w:id="55"/>
      <w:bookmarkStart w:id="56"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6"/>
    </w:p>
    <w:p>
      <w:pPr>
        <w:pStyle w:val="14"/>
        <w:adjustRightInd w:val="0"/>
        <w:snapToGrid w:val="0"/>
        <w:spacing w:line="560" w:lineRule="exact"/>
        <w:jc w:val="left"/>
        <w:rPr>
          <w:rFonts w:eastAsia="仿宋_GB2312" w:cs="仿宋_GB2312"/>
          <w:sz w:val="32"/>
          <w:szCs w:val="32"/>
        </w:rPr>
      </w:pPr>
      <w:bookmarkStart w:id="57" w:name="_Toc15396620"/>
      <w:r>
        <w:rPr>
          <w:rFonts w:hint="eastAsia" w:eastAsia="仿宋_GB2312" w:cs="仿宋_GB2312"/>
          <w:sz w:val="32"/>
          <w:szCs w:val="32"/>
        </w:rPr>
        <w:t>二、收入决算表</w:t>
      </w:r>
      <w:bookmarkEnd w:id="57"/>
    </w:p>
    <w:p>
      <w:pPr>
        <w:pStyle w:val="14"/>
        <w:adjustRightInd w:val="0"/>
        <w:snapToGrid w:val="0"/>
        <w:spacing w:line="560" w:lineRule="exact"/>
        <w:jc w:val="left"/>
        <w:rPr>
          <w:rFonts w:eastAsia="仿宋_GB2312" w:cs="仿宋_GB2312"/>
          <w:sz w:val="32"/>
          <w:szCs w:val="32"/>
        </w:rPr>
      </w:pPr>
      <w:bookmarkStart w:id="58" w:name="_Toc15396621"/>
      <w:r>
        <w:rPr>
          <w:rFonts w:hint="eastAsia" w:eastAsia="仿宋_GB2312" w:cs="仿宋_GB2312"/>
          <w:sz w:val="32"/>
          <w:szCs w:val="32"/>
        </w:rPr>
        <w:t>三、支出决算表</w:t>
      </w:r>
      <w:bookmarkEnd w:id="58"/>
    </w:p>
    <w:p>
      <w:pPr>
        <w:pStyle w:val="14"/>
        <w:adjustRightInd w:val="0"/>
        <w:snapToGrid w:val="0"/>
        <w:spacing w:line="560" w:lineRule="exact"/>
        <w:jc w:val="left"/>
        <w:rPr>
          <w:rFonts w:eastAsia="仿宋_GB2312" w:cs="仿宋_GB2312"/>
          <w:sz w:val="32"/>
          <w:szCs w:val="32"/>
        </w:rPr>
      </w:pPr>
      <w:bookmarkStart w:id="59" w:name="_Toc15396622"/>
      <w:r>
        <w:rPr>
          <w:rFonts w:hint="eastAsia" w:eastAsia="仿宋_GB2312" w:cs="仿宋_GB2312"/>
          <w:sz w:val="32"/>
          <w:szCs w:val="32"/>
        </w:rPr>
        <w:t>四、财政拨款收入支出决算总表</w:t>
      </w:r>
      <w:bookmarkEnd w:id="59"/>
    </w:p>
    <w:p>
      <w:pPr>
        <w:pStyle w:val="14"/>
        <w:adjustRightInd w:val="0"/>
        <w:snapToGrid w:val="0"/>
        <w:spacing w:line="560" w:lineRule="exact"/>
        <w:jc w:val="left"/>
        <w:rPr>
          <w:rFonts w:eastAsia="仿宋_GB2312" w:cs="仿宋_GB2312"/>
          <w:sz w:val="32"/>
          <w:szCs w:val="32"/>
        </w:rPr>
      </w:pPr>
      <w:bookmarkStart w:id="60" w:name="_Toc15396623"/>
      <w:r>
        <w:rPr>
          <w:rFonts w:hint="eastAsia" w:eastAsia="仿宋_GB2312" w:cs="仿宋_GB2312"/>
          <w:sz w:val="32"/>
          <w:szCs w:val="32"/>
        </w:rPr>
        <w:t>五、财政拨款支出决算明细表</w:t>
      </w:r>
      <w:bookmarkEnd w:id="60"/>
      <w:bookmarkStart w:id="61"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1"/>
    </w:p>
    <w:p>
      <w:pPr>
        <w:pStyle w:val="14"/>
        <w:adjustRightInd w:val="0"/>
        <w:snapToGrid w:val="0"/>
        <w:spacing w:line="560" w:lineRule="exact"/>
        <w:jc w:val="left"/>
        <w:rPr>
          <w:rFonts w:eastAsia="仿宋_GB2312" w:cs="仿宋_GB2312"/>
          <w:sz w:val="32"/>
          <w:szCs w:val="32"/>
        </w:rPr>
      </w:pPr>
      <w:bookmarkStart w:id="62" w:name="_Toc15396625"/>
      <w:r>
        <w:rPr>
          <w:rFonts w:hint="eastAsia" w:eastAsia="仿宋_GB2312" w:cs="仿宋_GB2312"/>
          <w:sz w:val="32"/>
          <w:szCs w:val="32"/>
        </w:rPr>
        <w:t>七、一般公共预算财政拨款支出决算明细表</w:t>
      </w:r>
      <w:bookmarkEnd w:id="62"/>
    </w:p>
    <w:p>
      <w:pPr>
        <w:pStyle w:val="14"/>
        <w:adjustRightInd w:val="0"/>
        <w:snapToGrid w:val="0"/>
        <w:spacing w:line="560" w:lineRule="exact"/>
        <w:jc w:val="left"/>
        <w:rPr>
          <w:rFonts w:eastAsia="仿宋_GB2312" w:cs="仿宋_GB2312"/>
          <w:sz w:val="32"/>
          <w:szCs w:val="32"/>
        </w:rPr>
      </w:pPr>
      <w:bookmarkStart w:id="63" w:name="_Toc15396626"/>
      <w:r>
        <w:rPr>
          <w:rFonts w:hint="eastAsia" w:eastAsia="仿宋_GB2312" w:cs="仿宋_GB2312"/>
          <w:sz w:val="32"/>
          <w:szCs w:val="32"/>
        </w:rPr>
        <w:t>八、一般公共预算财政拨款基本支出决算表</w:t>
      </w:r>
      <w:bookmarkEnd w:id="63"/>
    </w:p>
    <w:p>
      <w:pPr>
        <w:pStyle w:val="14"/>
        <w:adjustRightInd w:val="0"/>
        <w:snapToGrid w:val="0"/>
        <w:spacing w:line="560" w:lineRule="exact"/>
        <w:jc w:val="left"/>
        <w:rPr>
          <w:rFonts w:eastAsia="仿宋_GB2312" w:cs="仿宋_GB2312"/>
          <w:sz w:val="32"/>
          <w:szCs w:val="32"/>
        </w:rPr>
      </w:pPr>
      <w:bookmarkStart w:id="64" w:name="_Toc15396627"/>
      <w:r>
        <w:rPr>
          <w:rFonts w:hint="eastAsia" w:eastAsia="仿宋_GB2312" w:cs="仿宋_GB2312"/>
          <w:sz w:val="32"/>
          <w:szCs w:val="32"/>
        </w:rPr>
        <w:t>九、一般公共预算财政拨款项目支出决算表</w:t>
      </w:r>
      <w:bookmarkEnd w:id="64"/>
    </w:p>
    <w:p>
      <w:pPr>
        <w:pStyle w:val="14"/>
        <w:adjustRightInd w:val="0"/>
        <w:snapToGrid w:val="0"/>
        <w:spacing w:line="560" w:lineRule="exact"/>
        <w:jc w:val="left"/>
        <w:rPr>
          <w:rFonts w:eastAsia="仿宋_GB2312" w:cs="仿宋_GB2312"/>
          <w:sz w:val="32"/>
          <w:szCs w:val="32"/>
        </w:rPr>
      </w:pPr>
      <w:bookmarkStart w:id="65" w:name="_Toc15396628"/>
      <w:r>
        <w:rPr>
          <w:rFonts w:hint="eastAsia" w:eastAsia="仿宋_GB2312" w:cs="仿宋_GB2312"/>
          <w:sz w:val="32"/>
          <w:szCs w:val="32"/>
        </w:rPr>
        <w:t>十、</w:t>
      </w:r>
      <w:bookmarkEnd w:id="65"/>
      <w:r>
        <w:rPr>
          <w:rFonts w:hint="eastAsia" w:eastAsia="仿宋_GB2312" w:cs="仿宋_GB2312"/>
          <w:sz w:val="32"/>
          <w:szCs w:val="32"/>
        </w:rPr>
        <w:t>政府性基金预算财政拨款收入支出决算表</w:t>
      </w:r>
    </w:p>
    <w:p>
      <w:pPr>
        <w:pStyle w:val="14"/>
        <w:adjustRightInd w:val="0"/>
        <w:snapToGrid w:val="0"/>
        <w:spacing w:line="560" w:lineRule="exact"/>
        <w:jc w:val="left"/>
        <w:rPr>
          <w:rFonts w:eastAsia="仿宋_GB2312" w:cs="仿宋_GB2312"/>
          <w:sz w:val="32"/>
          <w:szCs w:val="32"/>
        </w:rPr>
      </w:pPr>
      <w:bookmarkStart w:id="66" w:name="_Toc15396629"/>
      <w:r>
        <w:rPr>
          <w:rFonts w:hint="eastAsia" w:eastAsia="仿宋_GB2312" w:cs="仿宋_GB2312"/>
          <w:sz w:val="32"/>
          <w:szCs w:val="32"/>
        </w:rPr>
        <w:t>十一、</w:t>
      </w:r>
      <w:bookmarkEnd w:id="66"/>
      <w:r>
        <w:rPr>
          <w:rFonts w:hint="eastAsia" w:eastAsia="仿宋_GB2312" w:cs="仿宋_GB2312"/>
          <w:sz w:val="32"/>
          <w:szCs w:val="32"/>
        </w:rPr>
        <w:t>国有资本经营预算财政拨款收入支出决算表</w:t>
      </w:r>
    </w:p>
    <w:p>
      <w:pPr>
        <w:pStyle w:val="14"/>
        <w:adjustRightInd w:val="0"/>
        <w:snapToGrid w:val="0"/>
        <w:spacing w:line="560" w:lineRule="exact"/>
        <w:jc w:val="left"/>
        <w:rPr>
          <w:rFonts w:eastAsia="仿宋_GB2312" w:cs="仿宋_GB2312"/>
          <w:sz w:val="32"/>
          <w:szCs w:val="32"/>
        </w:rPr>
      </w:pPr>
      <w:bookmarkStart w:id="67" w:name="_Toc15396630"/>
      <w:r>
        <w:rPr>
          <w:rFonts w:hint="eastAsia" w:eastAsia="仿宋_GB2312" w:cs="仿宋_GB2312"/>
          <w:sz w:val="32"/>
          <w:szCs w:val="32"/>
        </w:rPr>
        <w:t>十二、</w:t>
      </w:r>
      <w:bookmarkEnd w:id="67"/>
      <w:r>
        <w:rPr>
          <w:rFonts w:hint="eastAsia" w:eastAsia="仿宋_GB2312" w:cs="仿宋_GB2312"/>
          <w:sz w:val="32"/>
          <w:szCs w:val="32"/>
        </w:rPr>
        <w:t>国有资本经营预算财政拨款支出决算表</w:t>
      </w:r>
    </w:p>
    <w:p>
      <w:pPr>
        <w:pStyle w:val="14"/>
        <w:adjustRightInd w:val="0"/>
        <w:snapToGrid w:val="0"/>
        <w:spacing w:line="560" w:lineRule="exact"/>
        <w:jc w:val="left"/>
        <w:rPr>
          <w:rFonts w:eastAsia="仿宋_GB2312" w:cs="仿宋_GB2312"/>
          <w:sz w:val="32"/>
          <w:szCs w:val="32"/>
        </w:rPr>
      </w:pPr>
      <w:bookmarkStart w:id="68" w:name="_Toc15396631"/>
      <w:r>
        <w:rPr>
          <w:rFonts w:hint="eastAsia" w:eastAsia="仿宋_GB2312" w:cs="仿宋_GB2312"/>
          <w:sz w:val="32"/>
          <w:szCs w:val="32"/>
        </w:rPr>
        <w:t>十三、</w:t>
      </w:r>
      <w:bookmarkEnd w:id="68"/>
      <w:r>
        <w:rPr>
          <w:rFonts w:hint="eastAsia" w:eastAsia="仿宋_GB2312" w:cs="仿宋_GB2312"/>
          <w:sz w:val="32"/>
          <w:szCs w:val="32"/>
        </w:rPr>
        <w:t>财政拨款“三公”经费支出决算表</w:t>
      </w:r>
    </w:p>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lOTkxYmI3NDM1YjhiMGQ3NjdjYzI2OWY2YWRhYz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5DE3273"/>
    <w:rsid w:val="061E35DE"/>
    <w:rsid w:val="066E0107"/>
    <w:rsid w:val="06B33FD1"/>
    <w:rsid w:val="07996F6E"/>
    <w:rsid w:val="07DFD8BA"/>
    <w:rsid w:val="08DB07E4"/>
    <w:rsid w:val="09867E8F"/>
    <w:rsid w:val="0A2032A3"/>
    <w:rsid w:val="0C6C4794"/>
    <w:rsid w:val="0CA8290A"/>
    <w:rsid w:val="0D35B1ED"/>
    <w:rsid w:val="0DE07E2B"/>
    <w:rsid w:val="0DE551B9"/>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2FFB74C9"/>
    <w:rsid w:val="3174162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EAF3CA0"/>
    <w:rsid w:val="3FF4CAE0"/>
    <w:rsid w:val="3FF7B227"/>
    <w:rsid w:val="40E54C45"/>
    <w:rsid w:val="43A407DF"/>
    <w:rsid w:val="44515BEA"/>
    <w:rsid w:val="44E268DA"/>
    <w:rsid w:val="453F7E5B"/>
    <w:rsid w:val="486A6C7A"/>
    <w:rsid w:val="49176D9B"/>
    <w:rsid w:val="49936264"/>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7E04A72"/>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6E075A"/>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1C0294"/>
    <w:rsid w:val="712A28F1"/>
    <w:rsid w:val="715C0E4B"/>
    <w:rsid w:val="72233669"/>
    <w:rsid w:val="72734D90"/>
    <w:rsid w:val="7332FE48"/>
    <w:rsid w:val="73AB61DA"/>
    <w:rsid w:val="73AD73D5"/>
    <w:rsid w:val="73B6EB34"/>
    <w:rsid w:val="73FA497D"/>
    <w:rsid w:val="73FE6E6C"/>
    <w:rsid w:val="744731E5"/>
    <w:rsid w:val="74527205"/>
    <w:rsid w:val="74BBD01D"/>
    <w:rsid w:val="74ED5379"/>
    <w:rsid w:val="74FC2395"/>
    <w:rsid w:val="75DEEEC2"/>
    <w:rsid w:val="76E3355F"/>
    <w:rsid w:val="76FF5125"/>
    <w:rsid w:val="776E3207"/>
    <w:rsid w:val="776F6FFA"/>
    <w:rsid w:val="778769C8"/>
    <w:rsid w:val="77DC22F5"/>
    <w:rsid w:val="79086DAD"/>
    <w:rsid w:val="79974F09"/>
    <w:rsid w:val="79D7FD79"/>
    <w:rsid w:val="79EE5BA4"/>
    <w:rsid w:val="7A80179A"/>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link w:val="35"/>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3"/>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收、支总计（万元）</a:t>
            </a:r>
          </a:p>
        </c:rich>
      </c:tx>
      <c:layout/>
      <c:overlay val="0"/>
      <c:spPr>
        <a:noFill/>
        <a:ln>
          <a:noFill/>
        </a:ln>
        <a:effectLst/>
      </c:spPr>
    </c:title>
    <c:autoTitleDeleted val="0"/>
    <c:plotArea>
      <c:layout/>
      <c:barChart>
        <c:barDir val="col"/>
        <c:grouping val="clustered"/>
        <c:varyColors val="0"/>
        <c:ser>
          <c:idx val="0"/>
          <c:order val="0"/>
          <c:tx>
            <c:strRef>
              <c:f>Sheet1!$A$2</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收入</c:v>
                </c:pt>
                <c:pt idx="1">
                  <c:v>支出</c:v>
                </c:pt>
              </c:strCache>
            </c:strRef>
          </c:cat>
          <c:val>
            <c:numRef>
              <c:f>Sheet1!$B$2:$C$2</c:f>
              <c:numCache>
                <c:formatCode>General</c:formatCode>
                <c:ptCount val="2"/>
                <c:pt idx="0">
                  <c:v>2297.94</c:v>
                </c:pt>
                <c:pt idx="1">
                  <c:v>2297.94</c:v>
                </c:pt>
              </c:numCache>
            </c:numRef>
          </c:val>
        </c:ser>
        <c:ser>
          <c:idx val="1"/>
          <c:order val="1"/>
          <c:tx>
            <c:strRef>
              <c:f>Sheet1!$A$3</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收入</c:v>
                </c:pt>
                <c:pt idx="1">
                  <c:v>支出</c:v>
                </c:pt>
              </c:strCache>
            </c:strRef>
          </c:cat>
          <c:val>
            <c:numRef>
              <c:f>Sheet1!$B$3:$C$3</c:f>
              <c:numCache>
                <c:formatCode>General</c:formatCode>
                <c:ptCount val="2"/>
                <c:pt idx="0">
                  <c:v>2350.65</c:v>
                </c:pt>
                <c:pt idx="1">
                  <c:v>2350.65</c:v>
                </c:pt>
              </c:numCache>
            </c:numRef>
          </c:val>
        </c:ser>
        <c:dLbls>
          <c:showLegendKey val="0"/>
          <c:showVal val="1"/>
          <c:showCatName val="0"/>
          <c:showSerName val="0"/>
          <c:showPercent val="0"/>
          <c:showBubbleSize val="0"/>
        </c:dLbls>
        <c:gapWidth val="219"/>
        <c:overlap val="-27"/>
        <c:axId val="984422710"/>
        <c:axId val="164716823"/>
      </c:barChart>
      <c:catAx>
        <c:axId val="98442271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716823"/>
        <c:crosses val="autoZero"/>
        <c:auto val="1"/>
        <c:lblAlgn val="ctr"/>
        <c:lblOffset val="100"/>
        <c:noMultiLvlLbl val="0"/>
      </c:catAx>
      <c:valAx>
        <c:axId val="1647168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442271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收入决算结构</c:v>
                </c:pt>
              </c:strCache>
            </c:strRef>
          </c:tx>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Lbls>
            <c:dLbl>
              <c:idx val="0"/>
              <c:layout>
                <c:manualLayout>
                  <c:x val="0.0528097494922139"/>
                  <c:y val="-0.0202898550724638"/>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13653686482089"/>
                  <c:y val="-0.10701386411741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a:outerShdw blurRad="50800" dist="38100" dir="5400000" algn="t" rotWithShape="0">
                  <a:prstClr val="black">
                    <a:alpha val="40000"/>
                  </a:prstClr>
                </a:outerShdw>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2044.81</c:v>
                </c:pt>
                <c:pt idx="1">
                  <c:v>305.84</c:v>
                </c:pt>
              </c:numCache>
            </c:numRef>
          </c:val>
        </c:ser>
        <c:dLbls>
          <c:showLegendKey val="0"/>
          <c:showVal val="1"/>
          <c:showCatName val="0"/>
          <c:showSerName val="0"/>
          <c:showPercent val="0"/>
          <c:showBubbleSize val="0"/>
        </c:dLbls>
      </c:pie3D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a:outerShdw blurRad="50800" dist="50800" dir="5400000" algn="ctr" rotWithShape="0">
        <a:schemeClr val="tx1">
          <a:alpha val="100000"/>
        </a:schemeClr>
      </a:outerShdw>
    </a:effectLst>
  </c:spPr>
  <c:txPr>
    <a:bodyPr/>
    <a:lstStyle/>
    <a:p>
      <a:pPr>
        <a:defRPr lang="zh-CN">
          <a:solidFill>
            <a:schemeClr val="tx1"/>
          </a:solidFill>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856388171116853"/>
          <c:y val="0.213788395904437"/>
          <c:w val="0.82441573356302"/>
          <c:h val="0.592673492605233"/>
        </c:manualLayout>
      </c:layout>
      <c:pie3DChart>
        <c:varyColors val="1"/>
        <c:ser>
          <c:idx val="0"/>
          <c:order val="0"/>
          <c:tx>
            <c:strRef>
              <c:f>Sheet1!$B$1</c:f>
              <c:strCache>
                <c:ptCount val="1"/>
                <c:pt idx="0">
                  <c:v>支出决算结构</c:v>
                </c:pt>
              </c:strCache>
            </c:strRef>
          </c:tx>
          <c:spPr>
            <a:effectLst>
              <a:outerShdw blurRad="50800" dist="38100" dir="2700000" algn="tl" rotWithShape="0">
                <a:prstClr val="black">
                  <a:alpha val="40000"/>
                </a:prstClr>
              </a:outerShdw>
            </a:effectLst>
          </c:spPr>
          <c:explosion val="0"/>
          <c:dPt>
            <c:idx val="0"/>
            <c:bubble3D val="0"/>
            <c:spPr>
              <a:solidFill>
                <a:schemeClr val="accent1"/>
              </a:solidFill>
              <a:ln w="25400">
                <a:solidFill>
                  <a:schemeClr val="lt1"/>
                </a:solidFill>
              </a:ln>
              <a:effectLst>
                <a:outerShdw blurRad="50800" dist="38100" dir="2700000" algn="tl" rotWithShape="0">
                  <a:prstClr val="black">
                    <a:alpha val="40000"/>
                  </a:prstClr>
                </a:outerShdw>
              </a:effectLst>
            </c:spPr>
          </c:dPt>
          <c:dPt>
            <c:idx val="1"/>
            <c:bubble3D val="0"/>
            <c:spPr>
              <a:solidFill>
                <a:schemeClr val="accent2"/>
              </a:solidFill>
              <a:ln w="25400">
                <a:solidFill>
                  <a:schemeClr val="lt1"/>
                </a:solidFill>
              </a:ln>
              <a:effectLst>
                <a:outerShdw blurRad="50800" dist="38100" dir="2700000" algn="tl" rotWithShape="0">
                  <a:prstClr val="black">
                    <a:alpha val="40000"/>
                  </a:prstClr>
                </a:outerShdw>
              </a:effectLst>
            </c:spPr>
          </c:dPt>
          <c:dLbls>
            <c:dLbl>
              <c:idx val="0"/>
              <c:layout>
                <c:manualLayout>
                  <c:x val="0.123434995240453"/>
                  <c:y val="-0.10355962259753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36923305147604"/>
                      <c:h val="0.119973776223776"/>
                    </c:manualLayout>
                  </c15:layout>
                </c:ext>
              </c:extLst>
            </c:dLbl>
            <c:dLbl>
              <c:idx val="1"/>
              <c:layout>
                <c:manualLayout>
                  <c:x val="-0.0105094722013363"/>
                  <c:y val="-0.0419811639899294"/>
                </c:manualLayout>
              </c:layout>
              <c:numFmt formatCode="General" sourceLinked="1"/>
              <c:spPr>
                <a:no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94333184987391"/>
                      <c:h val="0.132867132867133"/>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1761.06</c:v>
                </c:pt>
                <c:pt idx="1">
                  <c:v>589.6</c:v>
                </c:pt>
              </c:numCache>
            </c:numRef>
          </c:val>
        </c:ser>
        <c:dLbls>
          <c:showLegendKey val="0"/>
          <c:showVal val="1"/>
          <c:showCatName val="0"/>
          <c:showSerName val="0"/>
          <c:showPercent val="0"/>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a:outerShdw blurRad="50800" dist="38100" dir="5400000" algn="t" rotWithShape="0">
        <a:prstClr val="black">
          <a:alpha val="40000"/>
        </a:prstClr>
      </a:outerShdw>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财政拨款收、支决算总计变动情况（万元）</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财政拨款收、支决算总计变动情况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1722.7</c:v>
                </c:pt>
                <c:pt idx="1">
                  <c:v>2044.81</c:v>
                </c:pt>
              </c:numCache>
            </c:numRef>
          </c:val>
        </c:ser>
        <c:dLbls>
          <c:showLegendKey val="0"/>
          <c:showVal val="1"/>
          <c:showCatName val="0"/>
          <c:showSerName val="0"/>
          <c:showPercent val="0"/>
          <c:showBubbleSize val="0"/>
        </c:dLbls>
        <c:gapWidth val="219"/>
        <c:overlap val="-27"/>
        <c:axId val="869440715"/>
        <c:axId val="527927611"/>
      </c:barChart>
      <c:catAx>
        <c:axId val="86944071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7927611"/>
        <c:crosses val="autoZero"/>
        <c:auto val="1"/>
        <c:lblAlgn val="ctr"/>
        <c:lblOffset val="100"/>
        <c:noMultiLvlLbl val="0"/>
      </c:catAx>
      <c:valAx>
        <c:axId val="5279276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94407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一般公共预算财政拨款支出决算变动情况（万元）</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1722.7</c:v>
                </c:pt>
                <c:pt idx="1">
                  <c:v>2044.81</c:v>
                </c:pt>
              </c:numCache>
            </c:numRef>
          </c:val>
        </c:ser>
        <c:dLbls>
          <c:showLegendKey val="0"/>
          <c:showVal val="1"/>
          <c:showCatName val="0"/>
          <c:showSerName val="0"/>
          <c:showPercent val="0"/>
          <c:showBubbleSize val="0"/>
        </c:dLbls>
        <c:gapWidth val="219"/>
        <c:overlap val="-27"/>
        <c:axId val="869440715"/>
        <c:axId val="527927611"/>
      </c:barChart>
      <c:catAx>
        <c:axId val="86944071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7927611"/>
        <c:crosses val="autoZero"/>
        <c:auto val="1"/>
        <c:lblAlgn val="ctr"/>
        <c:lblOffset val="100"/>
        <c:noMultiLvlLbl val="0"/>
      </c:catAx>
      <c:valAx>
        <c:axId val="5279276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94407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一般公共预算财政拨款支出决算结构</c:v>
                </c:pt>
              </c:strCache>
            </c:strRef>
          </c:tx>
          <c:explosion val="0"/>
          <c:dPt>
            <c:idx val="0"/>
            <c:bubble3D val="0"/>
            <c:spPr>
              <a:solidFill>
                <a:schemeClr val="accent1"/>
              </a:solidFill>
              <a:ln w="25400">
                <a:solidFill>
                  <a:schemeClr val="lt1"/>
                </a:solidFill>
              </a:ln>
              <a:effectLst>
                <a:innerShdw blurRad="63500" dist="50800" dir="13500000">
                  <a:prstClr val="black">
                    <a:alpha val="50000"/>
                  </a:prstClr>
                </a:innerShdw>
              </a:effectLst>
            </c:spPr>
          </c:dPt>
          <c:dPt>
            <c:idx val="1"/>
            <c:bubble3D val="0"/>
            <c:spPr>
              <a:solidFill>
                <a:schemeClr val="accent2"/>
              </a:solidFill>
              <a:ln w="25400">
                <a:solidFill>
                  <a:schemeClr val="lt1"/>
                </a:solidFill>
              </a:ln>
              <a:effectLst/>
            </c:spPr>
          </c:dPt>
          <c:dPt>
            <c:idx val="2"/>
            <c:bubble3D val="0"/>
            <c:spPr>
              <a:solidFill>
                <a:schemeClr val="accent3"/>
              </a:solidFill>
              <a:ln w="25400">
                <a:solidFill>
                  <a:schemeClr val="lt1"/>
                </a:solidFill>
              </a:ln>
              <a:effectLst/>
            </c:spPr>
          </c:dPt>
          <c:dPt>
            <c:idx val="3"/>
            <c:bubble3D val="0"/>
            <c:spPr>
              <a:solidFill>
                <a:schemeClr val="accent4"/>
              </a:solidFill>
              <a:ln w="25400">
                <a:solidFill>
                  <a:schemeClr val="lt1"/>
                </a:solidFill>
              </a:ln>
              <a:effectLst/>
            </c:spPr>
          </c:dPt>
          <c:dLbls>
            <c:dLbl>
              <c:idx val="0"/>
              <c:layout>
                <c:manualLayout>
                  <c:x val="0.0761014686248331"/>
                  <c:y val="-0.024384579656293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12550066755674"/>
                      <c:h val="0.144681839294008"/>
                    </c:manualLayout>
                  </c15:layout>
                </c:ext>
              </c:extLst>
            </c:dLbl>
            <c:dLbl>
              <c:idx val="1"/>
              <c:layout>
                <c:manualLayout>
                  <c:x val="-0.0440587449933244"/>
                  <c:y val="0.076637250348351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0941255006675567"/>
                      <c:h val="0.267069205759405"/>
                    </c:manualLayout>
                  </c15:layout>
                </c:ext>
              </c:extLst>
            </c:dLbl>
            <c:dLbl>
              <c:idx val="2"/>
              <c:layout>
                <c:manualLayout>
                  <c:x val="0.0440587449933244"/>
                  <c:y val="-0.0801207617278216"/>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66088117489987"/>
                      <c:h val="0.142823966558291"/>
                    </c:manualLayout>
                  </c15:layout>
                </c:ext>
              </c:extLst>
            </c:dLbl>
            <c:dLbl>
              <c:idx val="3"/>
              <c:layout>
                <c:manualLayout>
                  <c:x val="0.164218958611482"/>
                  <c:y val="-0.017417556897352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67022696929239"/>
                      <c:h val="0.155829075708314"/>
                    </c:manualLayout>
                  </c15:layout>
                </c:ext>
              </c:extLst>
            </c:dLbl>
            <c:spPr>
              <a:noFill/>
              <a:ln>
                <a:noFill/>
              </a:ln>
              <a:effectLst>
                <a:outerShdw blurRad="50800" dist="38100" algn="l" rotWithShape="0">
                  <a:prstClr val="black">
                    <a:alpha val="40000"/>
                  </a:prstClr>
                </a:outerShdw>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公共安全支出</c:v>
                </c:pt>
                <c:pt idx="1">
                  <c:v>社会保障和就业支出</c:v>
                </c:pt>
                <c:pt idx="2">
                  <c:v>卫生健康支出</c:v>
                </c:pt>
                <c:pt idx="3">
                  <c:v>住房保障支出</c:v>
                </c:pt>
              </c:strCache>
            </c:strRef>
          </c:cat>
          <c:val>
            <c:numRef>
              <c:f>Sheet1!$B$2:$B$5</c:f>
              <c:numCache>
                <c:formatCode>General</c:formatCode>
                <c:ptCount val="4"/>
                <c:pt idx="0">
                  <c:v>1705.69</c:v>
                </c:pt>
                <c:pt idx="1">
                  <c:v>140.69</c:v>
                </c:pt>
                <c:pt idx="2">
                  <c:v>88.62</c:v>
                </c:pt>
                <c:pt idx="3">
                  <c:v>109.81</c:v>
                </c:pt>
              </c:numCache>
            </c:numRef>
          </c:val>
        </c:ser>
        <c:dLbls>
          <c:showLegendKey val="0"/>
          <c:showVal val="1"/>
          <c:showCatName val="0"/>
          <c:showSerName val="0"/>
          <c:showPercent val="0"/>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a:outerShdw blurRad="50800" dist="38100" dir="5400000" algn="t" rotWithShape="0">
        <a:prstClr val="black">
          <a:alpha val="40000"/>
        </a:prstClr>
      </a:outerShdw>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财政拨款“三公”经费支出</c:v>
                </c:pt>
              </c:strCache>
            </c:strRef>
          </c:tx>
          <c:explosion val="0"/>
          <c:dPt>
            <c:idx val="0"/>
            <c:bubble3D val="0"/>
            <c:spPr>
              <a:solidFill>
                <a:schemeClr val="accent1">
                  <a:shade val="65000"/>
                </a:schemeClr>
              </a:solidFill>
              <a:ln w="25400">
                <a:solidFill>
                  <a:schemeClr val="lt1"/>
                </a:solidFill>
              </a:ln>
              <a:effectLst/>
            </c:spPr>
          </c:dPt>
          <c:dPt>
            <c:idx val="1"/>
            <c:bubble3D val="0"/>
            <c:spPr>
              <a:solidFill>
                <a:schemeClr val="accent1"/>
              </a:solidFill>
              <a:ln w="25400">
                <a:solidFill>
                  <a:schemeClr val="lt1"/>
                </a:solidFill>
              </a:ln>
              <a:effectLst/>
            </c:spPr>
          </c:dPt>
          <c:dPt>
            <c:idx val="2"/>
            <c:bubble3D val="0"/>
            <c:spPr>
              <a:solidFill>
                <a:schemeClr val="accent1">
                  <a:tint val="65000"/>
                </a:schemeClr>
              </a:solidFill>
              <a:ln w="25400">
                <a:solidFill>
                  <a:schemeClr val="lt1"/>
                </a:solidFill>
              </a:ln>
              <a:effectLst/>
            </c:spPr>
          </c:dPt>
          <c:dLbls>
            <c:dLbl>
              <c:idx val="0"/>
              <c:layout>
                <c:manualLayout>
                  <c:x val="0.136875"/>
                  <c:y val="-0.0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74609196658781"/>
                  <c:y val="-0.075046575722351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170625"/>
                  <c:y val="0"/>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a:outerShdw blurRad="50800" dist="38100" algn="l" rotWithShape="0">
                  <a:prstClr val="black">
                    <a:alpha val="40000"/>
                  </a:prstClr>
                </a:outerShdw>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11.18</c:v>
                </c:pt>
                <c:pt idx="2">
                  <c:v>1</c:v>
                </c:pt>
              </c:numCache>
            </c:numRef>
          </c:val>
        </c:ser>
        <c:dLbls>
          <c:showLegendKey val="0"/>
          <c:showVal val="0"/>
          <c:showCatName val="1"/>
          <c:showSerName val="0"/>
          <c:showPercent val="1"/>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a:outerShdw blurRad="50800" dist="38100" dir="8100000" algn="tr" rotWithShape="0">
        <a:prstClr val="black">
          <a:alpha val="40000"/>
        </a:prstClr>
      </a:outerShdw>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5488</Words>
  <Characters>6730</Characters>
  <Lines>63</Lines>
  <Paragraphs>17</Paragraphs>
  <TotalTime>0</TotalTime>
  <ScaleCrop>false</ScaleCrop>
  <LinksUpToDate>false</LinksUpToDate>
  <CharactersWithSpaces>6755</CharactersWithSpaces>
  <Application>WPS Office_11.8.2.12307_F1E327BC-269C-435d-A152-05C5408002CA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黄雪倩</cp:lastModifiedBy>
  <cp:lastPrinted>2026-08-27T00:27:00Z</cp:lastPrinted>
  <dcterms:modified xsi:type="dcterms:W3CDTF">2026-09-11T03:16:34Z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2052-11.8.2.12307</vt:lpwstr>
  </property>
  <property fmtid="{D5CDD505-2E9C-101B-9397-08002B2CF9AE}" pid="3" name="ICV">
    <vt:lpwstr>F0BB9FC659634EA4B3158C4DF9747766</vt:lpwstr>
  </property>
</Properties>
</file>