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Toc15377425"/>
      <w:bookmarkStart w:id="1" w:name="_Toc15377193"/>
      <w:bookmarkStart w:id="2" w:name="_Toc15396597"/>
      <w:bookmarkStart w:id="3" w:name="_Toc15396475"/>
      <w:bookmarkStart w:id="4" w:name="_Toc15378441"/>
      <w:bookmarkStart w:id="5" w:name="_Toc15306267"/>
    </w:p>
    <w:p>
      <w:pPr>
        <w:pStyle w:val="2"/>
        <w:spacing w:before="93"/>
        <w:jc w:val="center"/>
        <w:rPr>
          <w:rFonts w:ascii="Times New Roman" w:eastAsia="方正小标宋简体"/>
          <w:kern w:val="2"/>
          <w:sz w:val="44"/>
          <w:szCs w:val="44"/>
        </w:rPr>
      </w:pPr>
    </w:p>
    <w:p>
      <w:pPr>
        <w:pStyle w:val="2"/>
        <w:spacing w:before="93"/>
        <w:jc w:val="center"/>
        <w:rPr>
          <w:rFonts w:ascii="Times New Roman" w:eastAsia="方正小标宋简体"/>
          <w:kern w:val="2"/>
          <w:sz w:val="44"/>
          <w:szCs w:val="44"/>
        </w:rPr>
      </w:pPr>
    </w:p>
    <w:p>
      <w:pPr>
        <w:pStyle w:val="2"/>
        <w:spacing w:before="93"/>
        <w:jc w:val="center"/>
        <w:rPr>
          <w:rFonts w:ascii="Times New Roman" w:eastAsia="方正小标宋简体"/>
          <w:kern w:val="2"/>
          <w:sz w:val="44"/>
          <w:szCs w:val="44"/>
        </w:rPr>
      </w:pPr>
    </w:p>
    <w:p>
      <w:pPr>
        <w:pStyle w:val="2"/>
        <w:spacing w:before="93"/>
        <w:jc w:val="center"/>
        <w:rPr>
          <w:rFonts w:ascii="Times New Roman" w:eastAsia="方正小标宋简体"/>
          <w:kern w:val="2"/>
          <w:sz w:val="44"/>
          <w:szCs w:val="44"/>
        </w:rPr>
      </w:pPr>
    </w:p>
    <w:bookmarkEnd w:id="0"/>
    <w:bookmarkEnd w:id="1"/>
    <w:bookmarkEnd w:id="2"/>
    <w:bookmarkEnd w:id="3"/>
    <w:bookmarkEnd w:id="4"/>
    <w:p>
      <w:pPr>
        <w:pStyle w:val="2"/>
        <w:spacing w:before="93"/>
        <w:jc w:val="center"/>
        <w:rPr>
          <w:rFonts w:ascii="Times New Roman" w:eastAsia="方正小标宋简体"/>
          <w:kern w:val="2"/>
          <w:sz w:val="44"/>
          <w:szCs w:val="44"/>
        </w:rPr>
      </w:pPr>
      <w:bookmarkStart w:id="6" w:name="_Toc15396598"/>
      <w:bookmarkStart w:id="7" w:name="_Toc15396476"/>
      <w:bookmarkStart w:id="8" w:name="_Toc15377194"/>
      <w:bookmarkStart w:id="9" w:name="_Toc15377426"/>
      <w:bookmarkStart w:id="10" w:name="_Toc15378442"/>
      <w:r>
        <w:rPr>
          <w:rFonts w:hint="eastAsia" w:ascii="Times New Roman" w:eastAsia="方正小标宋简体"/>
          <w:kern w:val="2"/>
          <w:sz w:val="44"/>
          <w:szCs w:val="44"/>
        </w:rPr>
        <w:t>2025年度攀枝花市</w:t>
      </w:r>
      <w:bookmarkEnd w:id="5"/>
      <w:bookmarkStart w:id="11" w:name="_Toc15306268"/>
      <w:r>
        <w:rPr>
          <w:rFonts w:hint="eastAsia" w:ascii="Times New Roman" w:eastAsia="方正小标宋简体"/>
          <w:kern w:val="2"/>
          <w:sz w:val="44"/>
          <w:szCs w:val="44"/>
          <w:lang w:eastAsia="zh-CN"/>
        </w:rPr>
        <w:t>人民政府驻北京联络处单位</w:t>
      </w:r>
      <w:r>
        <w:rPr>
          <w:rFonts w:hint="eastAsia" w:ascii="Times New Roman" w:eastAsia="方正小标宋简体"/>
          <w:kern w:val="2"/>
          <w:sz w:val="44"/>
          <w:szCs w:val="44"/>
        </w:rPr>
        <w:t>决算</w:t>
      </w:r>
      <w:bookmarkEnd w:id="6"/>
      <w:bookmarkEnd w:id="7"/>
      <w:bookmarkEnd w:id="8"/>
      <w:bookmarkEnd w:id="9"/>
      <w:bookmarkEnd w:id="10"/>
      <w:bookmarkEnd w:id="11"/>
    </w:p>
    <w:p>
      <w:pPr>
        <w:widowControl/>
        <w:jc w:val="center"/>
        <w:rPr>
          <w:rFonts w:eastAsia="黑体"/>
          <w:sz w:val="48"/>
          <w:szCs w:val="48"/>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widowControl/>
        <w:jc w:val="center"/>
        <w:rPr>
          <w:rFonts w:eastAsia="黑体"/>
          <w:sz w:val="48"/>
          <w:szCs w:val="48"/>
        </w:rPr>
      </w:pPr>
      <w:r>
        <w:rPr>
          <w:rFonts w:hint="eastAsia" w:eastAsia="黑体"/>
          <w:sz w:val="48"/>
          <w:szCs w:val="48"/>
        </w:rPr>
        <w:t>目录</w:t>
      </w:r>
    </w:p>
    <w:p>
      <w:pPr>
        <w:widowControl/>
        <w:jc w:val="center"/>
        <w:rPr>
          <w:rFonts w:eastAsia="黑体" w:cstheme="minorBidi"/>
          <w:sz w:val="28"/>
          <w:szCs w:val="28"/>
        </w:rPr>
      </w:pPr>
    </w:p>
    <w:p>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default" w:ascii="Times New Roman" w:hAnsi="Times New Roman" w:eastAsia="仿宋_GB2312" w:cs="仿宋_GB2312"/>
          <w:sz w:val="32"/>
          <w:szCs w:val="32"/>
          <w:lang w:val="en" w:eastAsia="zh-CN"/>
        </w:rPr>
        <w:t>11</w:t>
      </w:r>
      <w:bookmarkStart w:id="68" w:name="_GoBack"/>
      <w:bookmarkEnd w:id="68"/>
      <w:r>
        <w:rPr>
          <w:rFonts w:hint="eastAsia" w:ascii="Times New Roman" w:hAnsi="Times New Roman" w:eastAsia="仿宋_GB2312" w:cs="仿宋_GB2312"/>
          <w:sz w:val="32"/>
          <w:szCs w:val="32"/>
        </w:rPr>
        <w:t>日</w:t>
      </w:r>
    </w:p>
    <w:p/>
    <w:p>
      <w:pPr>
        <w:pStyle w:val="12"/>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r>
        <w:rPr>
          <w:rFonts w:hint="eastAsia"/>
          <w:color w:val="auto"/>
          <w:sz w:val="24"/>
          <w:highlight w:val="none"/>
          <w:lang w:eastAsia="zh-CN"/>
        </w:rPr>
        <w:t>…………………………………………………………</w:t>
      </w:r>
      <w:r>
        <w:rPr>
          <w:rFonts w:hint="eastAsia"/>
          <w:color w:val="auto"/>
          <w:sz w:val="24"/>
          <w:highlight w:val="none"/>
          <w:lang w:val="en-US" w:eastAsia="zh-CN"/>
        </w:rPr>
        <w:t>4</w:t>
      </w:r>
    </w:p>
    <w:p>
      <w:pPr>
        <w:pStyle w:val="12"/>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eastAsia="仿宋_GB2312" w:cs="仿宋_GB2312"/>
          <w:sz w:val="32"/>
          <w:szCs w:val="32"/>
        </w:rPr>
      </w:pPr>
      <w:r>
        <w:rPr>
          <w:rFonts w:hint="eastAsia" w:eastAsia="仿宋_GB2312" w:cs="仿宋_GB2312"/>
          <w:sz w:val="32"/>
          <w:szCs w:val="32"/>
          <w:lang w:val="en-US" w:eastAsia="zh-CN"/>
        </w:rPr>
        <w:t xml:space="preserve">    </w:t>
      </w:r>
      <w:r>
        <w:rPr>
          <w:rFonts w:hint="eastAsia" w:eastAsia="仿宋_GB2312" w:cs="仿宋_GB2312"/>
          <w:sz w:val="32"/>
          <w:szCs w:val="32"/>
        </w:rPr>
        <w:t>一、</w:t>
      </w:r>
      <w:r>
        <w:rPr>
          <w:rFonts w:hint="eastAsia" w:eastAsia="仿宋_GB2312" w:cs="仿宋_GB2312"/>
          <w:sz w:val="32"/>
          <w:szCs w:val="32"/>
          <w:lang w:eastAsia="zh-CN"/>
        </w:rPr>
        <w:t>单位</w:t>
      </w:r>
      <w:r>
        <w:rPr>
          <w:rFonts w:hint="eastAsia" w:eastAsia="仿宋_GB2312" w:cs="仿宋_GB2312"/>
          <w:sz w:val="32"/>
          <w:szCs w:val="32"/>
        </w:rPr>
        <w:t>职责</w:t>
      </w:r>
      <w:r>
        <w:rPr>
          <w:rFonts w:hint="eastAsia"/>
          <w:color w:val="auto"/>
          <w:sz w:val="24"/>
          <w:highlight w:val="none"/>
          <w:lang w:eastAsia="zh-CN"/>
        </w:rPr>
        <w:t>…………………………………………………………</w:t>
      </w:r>
      <w:r>
        <w:rPr>
          <w:rFonts w:hint="eastAsia"/>
          <w:color w:val="auto"/>
          <w:sz w:val="24"/>
          <w:highlight w:val="none"/>
          <w:lang w:val="en-US" w:eastAsia="zh-CN"/>
        </w:rPr>
        <w:t>4</w:t>
      </w:r>
    </w:p>
    <w:p>
      <w:pPr>
        <w:pStyle w:val="12"/>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eastAsia="仿宋_GB2312" w:cs="仿宋_GB2312"/>
          <w:sz w:val="32"/>
          <w:szCs w:val="32"/>
        </w:rPr>
      </w:pPr>
      <w:r>
        <w:rPr>
          <w:rFonts w:hint="eastAsia" w:eastAsia="仿宋_GB2312" w:cs="仿宋_GB2312"/>
          <w:sz w:val="32"/>
          <w:szCs w:val="32"/>
          <w:lang w:val="en-US" w:eastAsia="zh-CN"/>
        </w:rPr>
        <w:t xml:space="preserve">    </w:t>
      </w:r>
      <w:r>
        <w:rPr>
          <w:rFonts w:hint="eastAsia" w:eastAsia="仿宋_GB2312" w:cs="仿宋_GB2312"/>
          <w:sz w:val="32"/>
          <w:szCs w:val="32"/>
        </w:rPr>
        <w:t>二、机构设置</w:t>
      </w:r>
      <w:r>
        <w:rPr>
          <w:rFonts w:hint="eastAsia"/>
          <w:color w:val="auto"/>
          <w:sz w:val="24"/>
          <w:highlight w:val="none"/>
          <w:lang w:eastAsia="zh-CN"/>
        </w:rPr>
        <w:t>…………………………………………………………</w:t>
      </w:r>
      <w:r>
        <w:rPr>
          <w:rFonts w:hint="eastAsia"/>
          <w:color w:val="auto"/>
          <w:sz w:val="24"/>
          <w:highlight w:val="none"/>
          <w:lang w:val="en-US" w:eastAsia="zh-CN"/>
        </w:rPr>
        <w:t>4</w:t>
      </w:r>
    </w:p>
    <w:p>
      <w:pPr>
        <w:pStyle w:val="12"/>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ascii="Times New Roman" w:hAnsi="Times New Roman" w:eastAsia="黑体" w:cs="黑体"/>
          <w:sz w:val="32"/>
          <w:szCs w:val="32"/>
        </w:rPr>
      </w:pPr>
      <w:r>
        <w:rPr>
          <w:rFonts w:hint="eastAsia" w:ascii="Times New Roman" w:hAnsi="Times New Roman" w:eastAsia="黑体" w:cs="黑体"/>
          <w:sz w:val="32"/>
          <w:szCs w:val="32"/>
        </w:rPr>
        <w:t>第二部分 2025年度部门决算情况说明</w:t>
      </w:r>
      <w:r>
        <w:rPr>
          <w:rFonts w:hint="eastAsia"/>
          <w:color w:val="auto"/>
          <w:sz w:val="24"/>
          <w:highlight w:val="none"/>
          <w:lang w:eastAsia="zh-CN"/>
        </w:rPr>
        <w:t>……………………</w:t>
      </w:r>
      <w:r>
        <w:rPr>
          <w:rFonts w:hint="eastAsia"/>
          <w:color w:val="auto"/>
          <w:sz w:val="24"/>
          <w:highlight w:val="none"/>
          <w:lang w:val="en-US" w:eastAsia="zh-CN"/>
        </w:rPr>
        <w:t>6</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一、收入支出决算总体情况说明</w:t>
      </w:r>
      <w:r>
        <w:rPr>
          <w:rFonts w:hint="eastAsia"/>
          <w:color w:val="auto"/>
          <w:sz w:val="24"/>
          <w:highlight w:val="none"/>
          <w:lang w:eastAsia="zh-CN"/>
        </w:rPr>
        <w:t>…………………………………</w:t>
      </w:r>
      <w:r>
        <w:rPr>
          <w:rFonts w:hint="eastAsia"/>
          <w:color w:val="auto"/>
          <w:sz w:val="24"/>
          <w:highlight w:val="none"/>
          <w:lang w:val="en-US" w:eastAsia="zh-CN"/>
        </w:rPr>
        <w:t>6</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二、收入决算情况说明</w:t>
      </w:r>
      <w:r>
        <w:rPr>
          <w:rFonts w:hint="eastAsia"/>
          <w:color w:val="auto"/>
          <w:sz w:val="24"/>
          <w:highlight w:val="none"/>
          <w:lang w:eastAsia="zh-CN"/>
        </w:rPr>
        <w:t>………………………………………………</w:t>
      </w:r>
      <w:r>
        <w:rPr>
          <w:rFonts w:hint="eastAsia"/>
          <w:color w:val="auto"/>
          <w:sz w:val="24"/>
          <w:highlight w:val="none"/>
          <w:lang w:val="en-US" w:eastAsia="zh-CN"/>
        </w:rPr>
        <w:t>6</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三、支出决算情况说明</w:t>
      </w:r>
      <w:r>
        <w:rPr>
          <w:rFonts w:hint="eastAsia"/>
          <w:color w:val="auto"/>
          <w:sz w:val="24"/>
          <w:highlight w:val="none"/>
          <w:lang w:eastAsia="zh-CN"/>
        </w:rPr>
        <w:t>………………………………………………</w:t>
      </w:r>
      <w:r>
        <w:rPr>
          <w:rFonts w:hint="eastAsia"/>
          <w:color w:val="auto"/>
          <w:sz w:val="24"/>
          <w:highlight w:val="none"/>
          <w:lang w:val="en-US" w:eastAsia="zh-CN"/>
        </w:rPr>
        <w:t>7</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四、财政拨款收入支出决算总体情况说明</w:t>
      </w:r>
      <w:r>
        <w:rPr>
          <w:rFonts w:hint="eastAsia"/>
          <w:color w:val="auto"/>
          <w:sz w:val="24"/>
          <w:highlight w:val="none"/>
          <w:lang w:eastAsia="zh-CN"/>
        </w:rPr>
        <w:t>…………………</w:t>
      </w:r>
      <w:r>
        <w:rPr>
          <w:rFonts w:hint="eastAsia"/>
          <w:color w:val="auto"/>
          <w:sz w:val="24"/>
          <w:highlight w:val="none"/>
          <w:lang w:val="en-US" w:eastAsia="zh-CN"/>
        </w:rPr>
        <w:t>7</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五、一般公共预算财政拨款支出决算情况说明</w:t>
      </w:r>
      <w:r>
        <w:rPr>
          <w:rFonts w:hint="eastAsia"/>
          <w:color w:val="auto"/>
          <w:sz w:val="24"/>
          <w:highlight w:val="none"/>
          <w:lang w:eastAsia="zh-CN"/>
        </w:rPr>
        <w:t>……………</w:t>
      </w:r>
      <w:r>
        <w:rPr>
          <w:rFonts w:hint="eastAsia"/>
          <w:color w:val="auto"/>
          <w:sz w:val="24"/>
          <w:highlight w:val="none"/>
          <w:lang w:val="en-US" w:eastAsia="zh-CN"/>
        </w:rPr>
        <w:t>8</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六、一般公共预算财政拨款基本支出决算情况说明</w:t>
      </w:r>
      <w:r>
        <w:rPr>
          <w:rFonts w:hint="eastAsia"/>
          <w:color w:val="auto"/>
          <w:sz w:val="24"/>
          <w:highlight w:val="none"/>
          <w:lang w:eastAsia="zh-CN"/>
        </w:rPr>
        <w:t>……</w:t>
      </w:r>
      <w:r>
        <w:rPr>
          <w:rFonts w:hint="eastAsia"/>
          <w:color w:val="auto"/>
          <w:sz w:val="24"/>
          <w:highlight w:val="none"/>
          <w:lang w:val="en-US" w:eastAsia="zh-CN"/>
        </w:rPr>
        <w:t>10</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七、财政拨款“三公”经费支出决算情况说明</w:t>
      </w:r>
      <w:r>
        <w:rPr>
          <w:rFonts w:hint="eastAsia" w:eastAsia="仿宋_GB2312" w:cs="仿宋_GB2312"/>
          <w:sz w:val="32"/>
          <w:szCs w:val="32"/>
          <w:lang w:eastAsia="zh-CN"/>
        </w:rPr>
        <w:t>……</w:t>
      </w:r>
      <w:r>
        <w:rPr>
          <w:rFonts w:hint="eastAsia"/>
          <w:color w:val="auto"/>
          <w:sz w:val="24"/>
          <w:highlight w:val="none"/>
          <w:lang w:val="en-US" w:eastAsia="zh-CN"/>
        </w:rPr>
        <w:t>11</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八、政府性基金预算支出决算情况说明</w:t>
      </w:r>
      <w:r>
        <w:rPr>
          <w:rFonts w:hint="eastAsia"/>
          <w:color w:val="auto"/>
          <w:sz w:val="24"/>
          <w:highlight w:val="none"/>
          <w:lang w:eastAsia="zh-CN"/>
        </w:rPr>
        <w:t>……………………</w:t>
      </w:r>
      <w:r>
        <w:rPr>
          <w:rFonts w:hint="eastAsia"/>
          <w:color w:val="auto"/>
          <w:sz w:val="24"/>
          <w:highlight w:val="none"/>
          <w:lang w:val="en-US" w:eastAsia="zh-CN"/>
        </w:rPr>
        <w:t>12</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九、国有资本经营预算支出决算情况说明</w:t>
      </w:r>
      <w:r>
        <w:rPr>
          <w:rFonts w:hint="eastAsia"/>
          <w:color w:val="auto"/>
          <w:sz w:val="24"/>
          <w:highlight w:val="none"/>
          <w:lang w:eastAsia="zh-CN"/>
        </w:rPr>
        <w:t>…………………</w:t>
      </w:r>
      <w:r>
        <w:rPr>
          <w:rFonts w:hint="eastAsia"/>
          <w:color w:val="auto"/>
          <w:sz w:val="24"/>
          <w:highlight w:val="none"/>
          <w:lang w:val="en-US" w:eastAsia="zh-CN"/>
        </w:rPr>
        <w:t>12</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十、其他重要事项的情况说明</w:t>
      </w:r>
      <w:r>
        <w:rPr>
          <w:rFonts w:hint="eastAsia"/>
          <w:color w:val="auto"/>
          <w:sz w:val="24"/>
          <w:highlight w:val="none"/>
          <w:lang w:eastAsia="zh-CN"/>
        </w:rPr>
        <w:t>……………………………………</w:t>
      </w:r>
      <w:r>
        <w:rPr>
          <w:rFonts w:hint="eastAsia"/>
          <w:color w:val="auto"/>
          <w:sz w:val="24"/>
          <w:highlight w:val="none"/>
          <w:lang w:val="en-US" w:eastAsia="zh-CN"/>
        </w:rPr>
        <w:t>13</w:t>
      </w:r>
    </w:p>
    <w:p>
      <w:pPr>
        <w:pStyle w:val="12"/>
        <w:adjustRightInd w:val="0"/>
        <w:snapToGrid w:val="0"/>
        <w:spacing w:before="0" w:line="560" w:lineRule="exact"/>
        <w:jc w:val="distribute"/>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r>
        <w:rPr>
          <w:rFonts w:hint="eastAsia"/>
          <w:color w:val="auto"/>
          <w:sz w:val="24"/>
          <w:highlight w:val="none"/>
          <w:lang w:eastAsia="zh-CN"/>
        </w:rPr>
        <w:t>…………………………………………………………</w:t>
      </w:r>
      <w:r>
        <w:rPr>
          <w:rFonts w:hint="eastAsia"/>
          <w:color w:val="auto"/>
          <w:sz w:val="24"/>
          <w:highlight w:val="none"/>
          <w:lang w:val="en-US" w:eastAsia="zh-CN"/>
        </w:rPr>
        <w:t>14</w:t>
      </w:r>
    </w:p>
    <w:p>
      <w:pPr>
        <w:pStyle w:val="12"/>
        <w:adjustRightInd w:val="0"/>
        <w:snapToGrid w:val="0"/>
        <w:spacing w:before="0" w:line="560" w:lineRule="exact"/>
        <w:jc w:val="distribute"/>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第四部分 附件</w:t>
      </w:r>
      <w:r>
        <w:rPr>
          <w:rFonts w:hint="eastAsia"/>
          <w:color w:val="auto"/>
          <w:sz w:val="24"/>
          <w:highlight w:val="none"/>
          <w:lang w:eastAsia="zh-CN"/>
        </w:rPr>
        <w:t>………………………………………………………………</w:t>
      </w:r>
      <w:r>
        <w:rPr>
          <w:rFonts w:hint="eastAsia"/>
          <w:color w:val="auto"/>
          <w:sz w:val="24"/>
          <w:highlight w:val="none"/>
          <w:lang w:val="en-US" w:eastAsia="zh-CN"/>
        </w:rPr>
        <w:t>17</w:t>
      </w:r>
    </w:p>
    <w:p>
      <w:pPr>
        <w:pStyle w:val="12"/>
        <w:adjustRightInd w:val="0"/>
        <w:snapToGrid w:val="0"/>
        <w:spacing w:before="0" w:line="560" w:lineRule="exact"/>
        <w:jc w:val="distribute"/>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第五部分 附表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一、收入支出决算总表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二、收入决算表</w:t>
      </w:r>
      <w:r>
        <w:rPr>
          <w:rFonts w:hint="eastAsia"/>
          <w:color w:val="auto"/>
          <w:sz w:val="24"/>
          <w:highlight w:val="none"/>
          <w:lang w:eastAsia="zh-CN"/>
        </w:rPr>
        <w:t>………………………………………………………</w:t>
      </w:r>
      <w:r>
        <w:rPr>
          <w:rFonts w:hint="eastAsia"/>
          <w:color w:val="auto"/>
          <w:sz w:val="24"/>
          <w:highlight w:val="none"/>
          <w:lang w:val="en-US" w:eastAsia="zh-CN"/>
        </w:rPr>
        <w:t>22</w:t>
      </w:r>
      <w:r>
        <w:rPr>
          <w:rFonts w:hint="eastAsia" w:eastAsia="仿宋_GB2312" w:cs="仿宋_GB2312"/>
          <w:sz w:val="32"/>
          <w:szCs w:val="32"/>
        </w:rPr>
        <w:t>三、支出决算表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四、财政拨款收入支出决算总表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五、财政拨款支出决算明细表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六、一般公共预算财政拨款支出决算表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七、一般公共预算财政拨款支出决算明细表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八、一般公共预算财政拨款基本支出决算明细表</w:t>
      </w:r>
      <w:r>
        <w:rPr>
          <w:rFonts w:hint="eastAsia" w:eastAsia="仿宋_GB2312" w:cs="仿宋_GB2312"/>
          <w:sz w:val="32"/>
          <w:szCs w:val="32"/>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九、一般公共预算财政拨款项目支出决算表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十、政府性基金预算财政拨款收入支出决算表</w:t>
      </w:r>
      <w:r>
        <w:rPr>
          <w:rFonts w:hint="eastAsia" w:eastAsia="仿宋_GB2312" w:cs="仿宋_GB2312"/>
          <w:sz w:val="32"/>
          <w:szCs w:val="32"/>
          <w:lang w:eastAsia="zh-CN"/>
        </w:rPr>
        <w:t>……</w:t>
      </w:r>
      <w:r>
        <w:rPr>
          <w:rFonts w:hint="eastAsia"/>
          <w:color w:val="auto"/>
          <w:sz w:val="24"/>
          <w:highlight w:val="none"/>
          <w:lang w:val="en-US" w:eastAsia="zh-CN"/>
        </w:rPr>
        <w:t>22</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十一、国有资本经营预算财政拨款收入支出决算表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十二、国有资本经营预算财政拨款支出决算表</w:t>
      </w:r>
      <w:r>
        <w:rPr>
          <w:rFonts w:hint="eastAsia" w:eastAsia="仿宋_GB2312" w:cs="仿宋_GB2312"/>
          <w:sz w:val="32"/>
          <w:szCs w:val="32"/>
          <w:lang w:eastAsia="zh-CN"/>
        </w:rPr>
        <w:t>……</w:t>
      </w:r>
      <w:r>
        <w:rPr>
          <w:rFonts w:hint="eastAsia"/>
          <w:color w:val="auto"/>
          <w:sz w:val="24"/>
          <w:highlight w:val="none"/>
          <w:lang w:val="en-US" w:eastAsia="zh-CN"/>
        </w:rPr>
        <w:t>22</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r>
        <w:rPr>
          <w:rFonts w:hint="eastAsia"/>
          <w:color w:val="auto"/>
          <w:sz w:val="24"/>
          <w:highlight w:val="none"/>
          <w:lang w:eastAsia="zh-CN"/>
        </w:rPr>
        <w:t>…………………</w:t>
      </w:r>
      <w:r>
        <w:rPr>
          <w:rFonts w:hint="eastAsia"/>
          <w:color w:val="auto"/>
          <w:sz w:val="24"/>
          <w:highlight w:val="none"/>
          <w:lang w:val="en-US" w:eastAsia="zh-CN"/>
        </w:rPr>
        <w:t>22</w:t>
      </w:r>
    </w:p>
    <w:p>
      <w:pPr>
        <w:widowControl/>
        <w:spacing w:line="560" w:lineRule="exact"/>
        <w:jc w:val="left"/>
        <w:rPr>
          <w:rFonts w:eastAsia="仿宋_GB2312" w:cs="仿宋_GB2312"/>
          <w:bCs/>
          <w:kern w:val="44"/>
          <w:sz w:val="32"/>
          <w:szCs w:val="32"/>
        </w:rPr>
      </w:pPr>
      <w:bookmarkStart w:id="12" w:name="_Toc15396599"/>
      <w:bookmarkStart w:id="13" w:name="_Toc15377196"/>
      <w:r>
        <w:rPr>
          <w:rFonts w:hint="eastAsia" w:eastAsia="仿宋_GB2312" w:cs="仿宋_GB2312"/>
          <w:b/>
          <w:sz w:val="32"/>
          <w:szCs w:val="32"/>
        </w:rPr>
        <w:br w:type="page"/>
      </w:r>
    </w:p>
    <w:p>
      <w:pPr>
        <w:pStyle w:val="3"/>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2"/>
      <w:bookmarkEnd w:id="13"/>
    </w:p>
    <w:p>
      <w:pPr>
        <w:widowControl/>
        <w:jc w:val="left"/>
        <w:rPr>
          <w:rFonts w:eastAsia="黑体"/>
          <w:sz w:val="32"/>
          <w:szCs w:val="32"/>
        </w:rPr>
      </w:pPr>
    </w:p>
    <w:p>
      <w:pPr>
        <w:pStyle w:val="4"/>
        <w:numPr>
          <w:ilvl w:val="0"/>
          <w:numId w:val="1"/>
        </w:numPr>
        <w:rPr>
          <w:rFonts w:hint="eastAsia" w:ascii="Times New Roman" w:hAnsi="Times New Roman" w:eastAsia="黑体"/>
          <w:b w:val="0"/>
        </w:rPr>
      </w:pPr>
      <w:r>
        <w:rPr>
          <w:rFonts w:hint="eastAsia" w:ascii="Times New Roman" w:hAnsi="Times New Roman" w:eastAsia="黑体"/>
          <w:b w:val="0"/>
          <w:lang w:eastAsia="zh-CN"/>
        </w:rPr>
        <w:t>单位</w:t>
      </w:r>
      <w:r>
        <w:rPr>
          <w:rFonts w:hint="eastAsia" w:ascii="Times New Roman" w:hAnsi="Times New Roman" w:eastAsia="黑体"/>
          <w:b w:val="0"/>
        </w:rPr>
        <w:t>职责</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根据《攀枝花市人民政府办公室　关于印发攀枝花市人民政府驻北京联络处主要职责内设机构和人员编制规定的通知》（攀办发﹝</w:t>
      </w:r>
      <w:r>
        <w:rPr>
          <w:rFonts w:hint="eastAsia" w:ascii="Times New Roman" w:hAnsi="Times New Roman" w:eastAsia="仿宋_GB2312" w:cs="仿宋_GB2312"/>
          <w:kern w:val="2"/>
          <w:sz w:val="32"/>
          <w:szCs w:val="32"/>
          <w:lang w:val="en-US" w:eastAsia="zh-CN" w:bidi="ar-SA"/>
        </w:rPr>
        <w:t>2011</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仿宋_GB2312"/>
          <w:kern w:val="2"/>
          <w:sz w:val="32"/>
          <w:szCs w:val="32"/>
          <w:lang w:val="en-US" w:eastAsia="zh-CN" w:bidi="ar-SA"/>
        </w:rPr>
        <w:t>46</w:t>
      </w:r>
      <w:r>
        <w:rPr>
          <w:rFonts w:hint="eastAsia" w:ascii="仿宋_GB2312" w:hAnsi="仿宋_GB2312" w:eastAsia="仿宋_GB2312" w:cs="仿宋_GB2312"/>
          <w:color w:val="auto"/>
          <w:sz w:val="32"/>
          <w:szCs w:val="32"/>
          <w:highlight w:val="none"/>
        </w:rPr>
        <w:t>号），攀枝花市人民政府驻北京联络处主要职责为：</w:t>
      </w:r>
    </w:p>
    <w:p>
      <w:pPr>
        <w:ind w:firstLine="640" w:firstLineChars="200"/>
        <w:rPr>
          <w:rFonts w:hint="eastAsia"/>
          <w:lang w:eastAsia="zh-CN"/>
        </w:rPr>
      </w:pPr>
      <w:r>
        <w:rPr>
          <w:rFonts w:hint="eastAsia" w:ascii="Times New Roman" w:hAnsi="Times New Roman" w:eastAsia="仿宋_GB2312" w:cs="仿宋_GB2312"/>
          <w:kern w:val="2"/>
          <w:sz w:val="32"/>
          <w:szCs w:val="32"/>
          <w:lang w:val="en-US" w:eastAsia="zh-CN" w:bidi="ar-SA"/>
        </w:rPr>
        <w:t>1.</w:t>
      </w:r>
      <w:r>
        <w:rPr>
          <w:rFonts w:hint="eastAsia" w:ascii="仿宋_GB2312" w:hAnsi="仿宋_GB2312" w:eastAsia="仿宋_GB2312" w:cs="仿宋_GB2312"/>
          <w:color w:val="auto"/>
          <w:sz w:val="32"/>
          <w:szCs w:val="32"/>
          <w:highlight w:val="none"/>
        </w:rPr>
        <w:t>负责与中央国家机关和相关驻京机构的联络。</w:t>
      </w:r>
      <w:r>
        <w:rPr>
          <w:rFonts w:hint="eastAsia" w:ascii="Times New Roman" w:hAnsi="Times New Roman" w:eastAsia="仿宋_GB2312" w:cs="仿宋_GB2312"/>
          <w:kern w:val="2"/>
          <w:sz w:val="32"/>
          <w:szCs w:val="32"/>
          <w:lang w:val="en-US" w:eastAsia="zh-CN" w:bidi="ar-SA"/>
        </w:rPr>
        <w:t>2.</w:t>
      </w:r>
      <w:r>
        <w:rPr>
          <w:rFonts w:hint="eastAsia" w:ascii="仿宋_GB2312" w:hAnsi="仿宋_GB2312" w:eastAsia="仿宋_GB2312" w:cs="仿宋_GB2312"/>
          <w:color w:val="auto"/>
          <w:sz w:val="32"/>
          <w:szCs w:val="32"/>
          <w:highlight w:val="none"/>
        </w:rPr>
        <w:t>开展宣传、联络、协调、信息收集与传递工作，为市委、市政府决策提供参考。</w:t>
      </w:r>
      <w:r>
        <w:rPr>
          <w:rFonts w:hint="eastAsia" w:ascii="Times New Roman" w:hAnsi="Times New Roman" w:eastAsia="仿宋_GB2312" w:cs="仿宋_GB2312"/>
          <w:kern w:val="2"/>
          <w:sz w:val="32"/>
          <w:szCs w:val="32"/>
          <w:lang w:val="en-US" w:eastAsia="zh-CN" w:bidi="ar-SA"/>
        </w:rPr>
        <w:t>3.</w:t>
      </w:r>
      <w:r>
        <w:rPr>
          <w:rFonts w:hint="eastAsia" w:ascii="仿宋_GB2312" w:hAnsi="仿宋_GB2312" w:eastAsia="仿宋_GB2312" w:cs="仿宋_GB2312"/>
          <w:color w:val="auto"/>
          <w:sz w:val="32"/>
          <w:szCs w:val="32"/>
          <w:highlight w:val="none"/>
        </w:rPr>
        <w:t>开展招商引资和区域间经济、技术、人才、文化交流与合作。</w:t>
      </w:r>
      <w:r>
        <w:rPr>
          <w:rFonts w:hint="eastAsia" w:ascii="Times New Roman" w:hAnsi="Times New Roman" w:eastAsia="仿宋_GB2312" w:cs="仿宋_GB2312"/>
          <w:kern w:val="2"/>
          <w:sz w:val="32"/>
          <w:szCs w:val="32"/>
          <w:lang w:val="en-US" w:eastAsia="zh-CN" w:bidi="ar-SA"/>
        </w:rPr>
        <w:t>4.</w:t>
      </w:r>
      <w:r>
        <w:rPr>
          <w:rFonts w:hint="eastAsia" w:ascii="仿宋_GB2312" w:hAnsi="仿宋_GB2312" w:eastAsia="仿宋_GB2312" w:cs="仿宋_GB2312"/>
          <w:color w:val="auto"/>
          <w:sz w:val="32"/>
          <w:szCs w:val="32"/>
          <w:highlight w:val="none"/>
        </w:rPr>
        <w:t>承担有关接待工作，为市级</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、县（区）、企事业单位以及基层组织、社会组织和人民群众在京活动提供服务。</w:t>
      </w:r>
      <w:r>
        <w:rPr>
          <w:rFonts w:hint="eastAsia" w:ascii="Times New Roman" w:hAnsi="Times New Roman" w:eastAsia="仿宋_GB2312" w:cs="仿宋_GB2312"/>
          <w:kern w:val="2"/>
          <w:sz w:val="32"/>
          <w:szCs w:val="32"/>
          <w:lang w:val="en-US" w:eastAsia="zh-CN" w:bidi="ar-SA"/>
        </w:rPr>
        <w:t>5.</w:t>
      </w:r>
      <w:r>
        <w:rPr>
          <w:rFonts w:hint="eastAsia" w:ascii="仿宋_GB2312" w:hAnsi="仿宋_GB2312" w:eastAsia="仿宋_GB2312" w:cs="仿宋_GB2312"/>
          <w:color w:val="auto"/>
          <w:sz w:val="32"/>
          <w:szCs w:val="32"/>
          <w:highlight w:val="none"/>
        </w:rPr>
        <w:t>协助做好我市在京流动党员教育管理服务工作，配合做好维护首都稳定的有关工作。</w:t>
      </w:r>
      <w:r>
        <w:rPr>
          <w:rFonts w:hint="eastAsia" w:ascii="Times New Roman" w:hAnsi="Times New Roman" w:eastAsia="仿宋_GB2312" w:cs="仿宋_GB2312"/>
          <w:kern w:val="2"/>
          <w:sz w:val="32"/>
          <w:szCs w:val="32"/>
          <w:lang w:val="en-US" w:eastAsia="zh-CN" w:bidi="ar-SA"/>
        </w:rPr>
        <w:t>6.</w:t>
      </w:r>
      <w:r>
        <w:rPr>
          <w:rFonts w:hint="eastAsia" w:ascii="仿宋_GB2312" w:hAnsi="仿宋_GB2312" w:eastAsia="仿宋_GB2312" w:cs="仿宋_GB2312"/>
          <w:color w:val="auto"/>
          <w:sz w:val="32"/>
          <w:szCs w:val="32"/>
          <w:highlight w:val="none"/>
        </w:rPr>
        <w:t>负责对联络处的国有资产进行监督管理。</w:t>
      </w:r>
      <w:r>
        <w:rPr>
          <w:rFonts w:hint="eastAsia" w:ascii="Times New Roman" w:hAnsi="Times New Roman" w:eastAsia="仿宋_GB2312" w:cs="仿宋_GB2312"/>
          <w:kern w:val="2"/>
          <w:sz w:val="32"/>
          <w:szCs w:val="32"/>
          <w:lang w:val="en-US" w:eastAsia="zh-CN" w:bidi="ar-SA"/>
        </w:rPr>
        <w:t>7.</w:t>
      </w:r>
      <w:r>
        <w:rPr>
          <w:rFonts w:hint="eastAsia" w:ascii="仿宋_GB2312" w:hAnsi="仿宋_GB2312" w:eastAsia="仿宋_GB2312" w:cs="仿宋_GB2312"/>
          <w:color w:val="auto"/>
          <w:sz w:val="32"/>
          <w:szCs w:val="32"/>
          <w:highlight w:val="none"/>
        </w:rPr>
        <w:t>承办市委、市政府和主管</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交办的其它工作。</w:t>
      </w:r>
    </w:p>
    <w:p>
      <w:pPr>
        <w:pStyle w:val="4"/>
        <w:rPr>
          <w:rStyle w:val="29"/>
          <w:rFonts w:ascii="Times New Roman" w:hAnsi="Times New Roman"/>
          <w:b w:val="0"/>
          <w:bCs w:val="0"/>
        </w:rPr>
      </w:pPr>
      <w:bookmarkStart w:id="14" w:name="_Toc15396601"/>
      <w:bookmarkStart w:id="15"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4"/>
      <w:bookmarkEnd w:id="15"/>
    </w:p>
    <w:p>
      <w:pPr>
        <w:pStyle w:val="2"/>
        <w:adjustRightInd w:val="0"/>
        <w:snapToGrid w:val="0"/>
        <w:spacing w:before="93"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攀枝花市人民政府驻北京联络处内设综合科、联络科两个科室，下属二级单位</w:t>
      </w:r>
      <w:r>
        <w:rPr>
          <w:rFonts w:hint="eastAsia" w:ascii="Times New Roman" w:hAnsi="Times New Roman" w:eastAsia="仿宋_GB2312" w:cs="仿宋_GB2312"/>
          <w:kern w:val="2"/>
          <w:sz w:val="32"/>
          <w:szCs w:val="32"/>
          <w:lang w:val="en-US" w:eastAsia="zh-CN" w:bidi="ar-SA"/>
        </w:rPr>
        <w:t>1</w:t>
      </w:r>
      <w:r>
        <w:rPr>
          <w:rFonts w:hint="eastAsia" w:ascii="仿宋_GB2312" w:hAnsi="仿宋_GB2312" w:eastAsia="仿宋_GB2312" w:cs="仿宋_GB2312"/>
          <w:color w:val="auto"/>
          <w:sz w:val="32"/>
          <w:szCs w:val="32"/>
          <w:highlight w:val="none"/>
        </w:rPr>
        <w:t>个，其中全额拨款事业单位</w:t>
      </w:r>
      <w:r>
        <w:rPr>
          <w:rFonts w:hint="eastAsia" w:ascii="Times New Roman" w:hAnsi="Times New Roman" w:eastAsia="仿宋_GB2312" w:cs="仿宋_GB2312"/>
          <w:kern w:val="2"/>
          <w:sz w:val="32"/>
          <w:szCs w:val="32"/>
          <w:lang w:val="en-US" w:eastAsia="zh-CN" w:bidi="ar-SA"/>
        </w:rPr>
        <w:t>1</w:t>
      </w:r>
      <w:r>
        <w:rPr>
          <w:rFonts w:hint="eastAsia" w:ascii="仿宋_GB2312" w:hAnsi="仿宋_GB2312" w:eastAsia="仿宋_GB2312" w:cs="仿宋_GB2312"/>
          <w:color w:val="auto"/>
          <w:sz w:val="32"/>
          <w:szCs w:val="32"/>
          <w:highlight w:val="none"/>
        </w:rPr>
        <w:t>个，财务不独立。</w:t>
      </w:r>
    </w:p>
    <w:p>
      <w:pPr>
        <w:widowControl/>
        <w:jc w:val="left"/>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2"/>
        <w:rPr>
          <w:rFonts w:eastAsia="仿宋"/>
          <w:kern w:val="0"/>
          <w:sz w:val="32"/>
          <w:szCs w:val="32"/>
        </w:rPr>
      </w:pPr>
    </w:p>
    <w:p>
      <w:pPr>
        <w:pStyle w:val="3"/>
        <w:jc w:val="center"/>
        <w:rPr>
          <w:rFonts w:eastAsia="方正小标宋简体" w:cs="方正小标宋简体"/>
          <w:b w:val="0"/>
        </w:rPr>
      </w:pPr>
      <w:bookmarkStart w:id="16" w:name="_Toc15377204"/>
      <w:bookmarkStart w:id="17" w:name="_Toc15396602"/>
      <w:r>
        <w:rPr>
          <w:rFonts w:hint="eastAsia" w:eastAsia="方正小标宋简体" w:cs="方正小标宋简体"/>
          <w:b w:val="0"/>
        </w:rPr>
        <w:t>第二部分  2025年度</w:t>
      </w:r>
      <w:r>
        <w:rPr>
          <w:rFonts w:hint="eastAsia" w:eastAsia="方正小标宋简体" w:cs="方正小标宋简体"/>
          <w:b w:val="0"/>
          <w:lang w:eastAsia="zh-CN"/>
        </w:rPr>
        <w:t>单位</w:t>
      </w:r>
      <w:r>
        <w:rPr>
          <w:rFonts w:hint="eastAsia" w:eastAsia="方正小标宋简体" w:cs="方正小标宋简体"/>
          <w:b w:val="0"/>
        </w:rPr>
        <w:t>决算情况说明</w:t>
      </w:r>
      <w:bookmarkEnd w:id="16"/>
      <w:bookmarkEnd w:id="17"/>
    </w:p>
    <w:p/>
    <w:p>
      <w:pPr>
        <w:pStyle w:val="27"/>
        <w:spacing w:line="600" w:lineRule="exact"/>
        <w:ind w:firstLine="640"/>
        <w:outlineLvl w:val="1"/>
        <w:rPr>
          <w:rStyle w:val="29"/>
          <w:rFonts w:ascii="Times New Roman" w:hAnsi="Times New Roman" w:eastAsia="黑体"/>
          <w:b w:val="0"/>
        </w:rPr>
      </w:pPr>
      <w:bookmarkStart w:id="18" w:name="_Toc15396603"/>
      <w:bookmarkStart w:id="19"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18"/>
      <w:bookmarkEnd w:id="19"/>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234.38</w:t>
      </w:r>
      <w:r>
        <w:rPr>
          <w:rFonts w:hint="eastAsia" w:eastAsia="仿宋_GB2312" w:cs="仿宋_GB2312"/>
          <w:sz w:val="32"/>
          <w:szCs w:val="32"/>
        </w:rPr>
        <w:t>万元。与上年度相比，收入、支出总计各减少</w:t>
      </w:r>
      <w:r>
        <w:rPr>
          <w:rFonts w:hint="eastAsia" w:eastAsia="仿宋_GB2312" w:cs="仿宋_GB2312"/>
          <w:sz w:val="32"/>
          <w:szCs w:val="32"/>
          <w:lang w:val="en-US" w:eastAsia="zh-CN"/>
        </w:rPr>
        <w:t>3.03</w:t>
      </w:r>
      <w:r>
        <w:rPr>
          <w:rFonts w:hint="eastAsia" w:eastAsia="仿宋_GB2312" w:cs="仿宋_GB2312"/>
          <w:sz w:val="32"/>
          <w:szCs w:val="32"/>
        </w:rPr>
        <w:t>万元，下降</w:t>
      </w:r>
      <w:r>
        <w:rPr>
          <w:rFonts w:hint="eastAsia" w:eastAsia="仿宋_GB2312" w:cs="仿宋_GB2312"/>
          <w:sz w:val="32"/>
          <w:szCs w:val="32"/>
          <w:lang w:val="en-US" w:eastAsia="zh-CN"/>
        </w:rPr>
        <w:t>1.27</w:t>
      </w:r>
      <w:r>
        <w:rPr>
          <w:rFonts w:hint="eastAsia" w:eastAsia="仿宋_GB2312" w:cs="仿宋_GB2312"/>
          <w:sz w:val="32"/>
          <w:szCs w:val="32"/>
        </w:rPr>
        <w:t>%。主要变动原因是因</w:t>
      </w:r>
      <w:r>
        <w:rPr>
          <w:rFonts w:hint="eastAsia" w:eastAsia="仿宋_GB2312" w:cs="仿宋_GB2312"/>
          <w:sz w:val="32"/>
          <w:szCs w:val="32"/>
          <w:lang w:eastAsia="zh-CN"/>
        </w:rPr>
        <w:t>人员变动导致</w:t>
      </w:r>
      <w:r>
        <w:rPr>
          <w:rFonts w:hint="eastAsia" w:eastAsia="仿宋_GB2312" w:cs="仿宋_GB2312"/>
          <w:sz w:val="32"/>
          <w:szCs w:val="32"/>
        </w:rPr>
        <w:t>相应基本支出较2024年度减少。</w:t>
      </w:r>
    </w:p>
    <w:p>
      <w:pPr>
        <w:ind w:firstLine="420" w:firstLineChars="200"/>
        <w:rPr>
          <w:rFonts w:eastAsia="仿宋_GB2312" w:cs="仿宋_GB2312"/>
          <w:sz w:val="32"/>
          <w:szCs w:val="32"/>
        </w:rPr>
      </w:pPr>
      <w:r>
        <w:drawing>
          <wp:inline distT="0" distB="0" distL="114300" distR="114300">
            <wp:extent cx="4827905" cy="2828925"/>
            <wp:effectExtent l="4445" t="4445" r="6350" b="508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7"/>
        <w:spacing w:line="600" w:lineRule="exact"/>
        <w:ind w:firstLine="640"/>
        <w:outlineLvl w:val="1"/>
        <w:rPr>
          <w:rFonts w:eastAsia="黑体"/>
          <w:sz w:val="32"/>
          <w:szCs w:val="32"/>
        </w:rPr>
      </w:pPr>
      <w:bookmarkStart w:id="20" w:name="_Toc15377206"/>
      <w:bookmarkStart w:id="21" w:name="_Toc15396604"/>
      <w:r>
        <w:rPr>
          <w:rFonts w:hint="eastAsia" w:eastAsia="黑体"/>
          <w:sz w:val="32"/>
          <w:szCs w:val="32"/>
        </w:rPr>
        <w:t>二、收入决算情况说明</w:t>
      </w:r>
      <w:bookmarkEnd w:id="20"/>
      <w:bookmarkEnd w:id="21"/>
    </w:p>
    <w:p>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234.38</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234.48</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w:t>
      </w:r>
    </w:p>
    <w:p>
      <w:pPr>
        <w:ind w:firstLine="525" w:firstLineChars="250"/>
        <w:rPr>
          <w:rFonts w:eastAsia="仿宋_GB2312" w:cs="仿宋_GB2312"/>
          <w:sz w:val="32"/>
          <w:szCs w:val="32"/>
        </w:rPr>
      </w:pPr>
      <w:r>
        <w:drawing>
          <wp:inline distT="0" distB="0" distL="114300" distR="114300">
            <wp:extent cx="4827905" cy="2823210"/>
            <wp:effectExtent l="4445" t="4445" r="6350" b="1079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7"/>
        <w:spacing w:line="600" w:lineRule="exact"/>
        <w:ind w:firstLine="640"/>
        <w:outlineLvl w:val="1"/>
        <w:rPr>
          <w:rStyle w:val="29"/>
          <w:rFonts w:ascii="Times New Roman" w:hAnsi="Times New Roman" w:eastAsia="黑体"/>
          <w:b w:val="0"/>
        </w:rPr>
      </w:pPr>
      <w:bookmarkStart w:id="22" w:name="_Toc15396605"/>
      <w:bookmarkStart w:id="23" w:name="_Toc15377207"/>
      <w:r>
        <w:rPr>
          <w:rFonts w:hint="eastAsia" w:eastAsia="黑体"/>
          <w:sz w:val="32"/>
          <w:szCs w:val="32"/>
        </w:rPr>
        <w:t>三、支</w:t>
      </w:r>
      <w:r>
        <w:rPr>
          <w:rStyle w:val="29"/>
          <w:rFonts w:hint="eastAsia" w:ascii="Times New Roman" w:hAnsi="Times New Roman" w:eastAsia="黑体"/>
          <w:b w:val="0"/>
        </w:rPr>
        <w:t>出决算情况说明</w:t>
      </w:r>
      <w:bookmarkEnd w:id="22"/>
      <w:bookmarkEnd w:id="23"/>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2025年度本年支出合计</w:t>
      </w:r>
      <w:r>
        <w:rPr>
          <w:rFonts w:hint="eastAsia" w:eastAsia="仿宋_GB2312" w:cs="仿宋_GB2312"/>
          <w:sz w:val="32"/>
          <w:szCs w:val="32"/>
          <w:lang w:val="en-US" w:eastAsia="zh-CN"/>
        </w:rPr>
        <w:t>234.38</w:t>
      </w:r>
      <w:r>
        <w:rPr>
          <w:rFonts w:hint="eastAsia" w:eastAsia="仿宋_GB2312" w:cs="仿宋_GB2312"/>
          <w:sz w:val="32"/>
          <w:szCs w:val="32"/>
        </w:rPr>
        <w:t>万元，其中：基本支出</w:t>
      </w:r>
      <w:r>
        <w:rPr>
          <w:rFonts w:hint="eastAsia" w:eastAsia="仿宋_GB2312" w:cs="仿宋_GB2312"/>
          <w:sz w:val="32"/>
          <w:szCs w:val="32"/>
          <w:lang w:val="en-US" w:eastAsia="zh-CN"/>
        </w:rPr>
        <w:t>52.88</w:t>
      </w:r>
      <w:r>
        <w:rPr>
          <w:rFonts w:hint="eastAsia" w:eastAsia="仿宋_GB2312" w:cs="仿宋_GB2312"/>
          <w:sz w:val="32"/>
          <w:szCs w:val="32"/>
        </w:rPr>
        <w:t>万元，占</w:t>
      </w:r>
      <w:r>
        <w:rPr>
          <w:rFonts w:hint="eastAsia" w:eastAsia="仿宋_GB2312" w:cs="仿宋_GB2312"/>
          <w:sz w:val="32"/>
          <w:szCs w:val="32"/>
          <w:lang w:val="en-US" w:eastAsia="zh-CN"/>
        </w:rPr>
        <w:t>65</w:t>
      </w:r>
      <w:r>
        <w:rPr>
          <w:rFonts w:hint="eastAsia" w:eastAsia="仿宋_GB2312" w:cs="仿宋_GB2312"/>
          <w:sz w:val="32"/>
          <w:szCs w:val="32"/>
        </w:rPr>
        <w:t>%；项目支出</w:t>
      </w:r>
      <w:r>
        <w:rPr>
          <w:rFonts w:hint="eastAsia" w:eastAsia="仿宋_GB2312" w:cs="仿宋_GB2312"/>
          <w:sz w:val="32"/>
          <w:szCs w:val="32"/>
          <w:lang w:val="en-US" w:eastAsia="zh-CN"/>
        </w:rPr>
        <w:t>81.5</w:t>
      </w:r>
      <w:r>
        <w:rPr>
          <w:rFonts w:hint="eastAsia" w:eastAsia="仿宋_GB2312" w:cs="仿宋_GB2312"/>
          <w:sz w:val="32"/>
          <w:szCs w:val="32"/>
        </w:rPr>
        <w:t>万元，占</w:t>
      </w:r>
      <w:r>
        <w:rPr>
          <w:rFonts w:hint="eastAsia" w:eastAsia="仿宋_GB2312" w:cs="仿宋_GB2312"/>
          <w:sz w:val="32"/>
          <w:szCs w:val="32"/>
          <w:lang w:val="en-US" w:eastAsia="zh-CN"/>
        </w:rPr>
        <w:t>35</w:t>
      </w:r>
      <w:r>
        <w:rPr>
          <w:rFonts w:hint="eastAsia" w:eastAsia="仿宋_GB2312" w:cs="仿宋_GB2312"/>
          <w:sz w:val="32"/>
          <w:szCs w:val="32"/>
        </w:rPr>
        <w:t>%。</w:t>
      </w:r>
    </w:p>
    <w:p>
      <w:pPr>
        <w:ind w:firstLine="525" w:firstLineChars="250"/>
        <w:rPr>
          <w:rFonts w:eastAsia="仿宋_GB2312" w:cs="仿宋_GB2312"/>
          <w:sz w:val="32"/>
          <w:szCs w:val="32"/>
        </w:rPr>
      </w:pPr>
      <w:r>
        <w:drawing>
          <wp:inline distT="0" distB="0" distL="114300" distR="114300">
            <wp:extent cx="4820285" cy="2828925"/>
            <wp:effectExtent l="4445" t="5080" r="13970" b="6159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1"/>
        <w:rPr>
          <w:rStyle w:val="29"/>
          <w:rFonts w:ascii="Times New Roman" w:hAnsi="Times New Roman" w:eastAsia="黑体"/>
          <w:b w:val="0"/>
        </w:rPr>
      </w:pPr>
      <w:bookmarkStart w:id="24" w:name="_Toc15377208"/>
      <w:bookmarkStart w:id="25"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4"/>
      <w:bookmarkEnd w:id="25"/>
    </w:p>
    <w:p>
      <w:pPr>
        <w:spacing w:line="600" w:lineRule="exact"/>
        <w:ind w:firstLine="640"/>
        <w:rPr>
          <w:rFonts w:eastAsia="仿宋_GB2312" w:cs="仿宋_GB2312"/>
          <w:sz w:val="32"/>
          <w:szCs w:val="32"/>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234.38</w:t>
      </w:r>
      <w:r>
        <w:rPr>
          <w:rFonts w:hint="eastAsia" w:eastAsia="仿宋_GB2312" w:cs="仿宋_GB2312"/>
          <w:sz w:val="32"/>
          <w:szCs w:val="32"/>
        </w:rPr>
        <w:t>万元。与上年度相比，财政拨款收入、支出总计各减少</w:t>
      </w:r>
      <w:r>
        <w:rPr>
          <w:rFonts w:hint="eastAsia" w:eastAsia="仿宋_GB2312" w:cs="仿宋_GB2312"/>
          <w:sz w:val="32"/>
          <w:szCs w:val="32"/>
          <w:lang w:val="en-US" w:eastAsia="zh-CN"/>
        </w:rPr>
        <w:t>3.03</w:t>
      </w:r>
      <w:r>
        <w:rPr>
          <w:rFonts w:hint="eastAsia" w:eastAsia="仿宋_GB2312" w:cs="仿宋_GB2312"/>
          <w:sz w:val="32"/>
          <w:szCs w:val="32"/>
        </w:rPr>
        <w:t>万元，下降</w:t>
      </w:r>
      <w:r>
        <w:rPr>
          <w:rFonts w:hint="eastAsia" w:eastAsia="仿宋_GB2312" w:cs="仿宋_GB2312"/>
          <w:sz w:val="32"/>
          <w:szCs w:val="32"/>
          <w:lang w:val="en-US" w:eastAsia="zh-CN"/>
        </w:rPr>
        <w:t>1.27</w:t>
      </w:r>
      <w:r>
        <w:rPr>
          <w:rFonts w:hint="eastAsia" w:eastAsia="仿宋_GB2312" w:cs="仿宋_GB2312"/>
          <w:sz w:val="32"/>
          <w:szCs w:val="32"/>
        </w:rPr>
        <w:t>%。主要变动原因是因</w:t>
      </w:r>
      <w:r>
        <w:rPr>
          <w:rFonts w:hint="eastAsia" w:eastAsia="仿宋_GB2312" w:cs="仿宋_GB2312"/>
          <w:sz w:val="32"/>
          <w:szCs w:val="32"/>
          <w:lang w:eastAsia="zh-CN"/>
        </w:rPr>
        <w:t>人员变动导致</w:t>
      </w:r>
      <w:r>
        <w:rPr>
          <w:rFonts w:hint="eastAsia" w:eastAsia="仿宋_GB2312" w:cs="仿宋_GB2312"/>
          <w:sz w:val="32"/>
          <w:szCs w:val="32"/>
        </w:rPr>
        <w:t>相应基本支出较2024年度减少。</w:t>
      </w:r>
    </w:p>
    <w:p>
      <w:pPr>
        <w:spacing w:line="600" w:lineRule="exact"/>
        <w:ind w:firstLine="420" w:firstLineChars="200"/>
        <w:rPr>
          <w:rFonts w:eastAsia="仿宋_GB2312" w:cs="仿宋_GB2312"/>
          <w:sz w:val="32"/>
          <w:szCs w:val="32"/>
        </w:rPr>
      </w:pPr>
      <w:r>
        <w:drawing>
          <wp:anchor distT="0" distB="0" distL="114300" distR="114300" simplePos="0" relativeHeight="251659264" behindDoc="0" locked="0" layoutInCell="1" allowOverlap="1">
            <wp:simplePos x="0" y="0"/>
            <wp:positionH relativeFrom="column">
              <wp:posOffset>236855</wp:posOffset>
            </wp:positionH>
            <wp:positionV relativeFrom="paragraph">
              <wp:posOffset>120650</wp:posOffset>
            </wp:positionV>
            <wp:extent cx="4826000" cy="2823210"/>
            <wp:effectExtent l="4445" t="4445" r="8255" b="10795"/>
            <wp:wrapTopAndBottom/>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outlineLvl w:val="1"/>
        <w:rPr>
          <w:rStyle w:val="29"/>
          <w:rFonts w:ascii="Times New Roman" w:hAnsi="Times New Roman" w:eastAsia="黑体"/>
          <w:b w:val="0"/>
        </w:rPr>
      </w:pPr>
      <w:bookmarkStart w:id="26" w:name="_Toc15396607"/>
      <w:bookmarkStart w:id="27"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6"/>
      <w:bookmarkEnd w:id="27"/>
    </w:p>
    <w:p>
      <w:pPr>
        <w:spacing w:line="600" w:lineRule="exact"/>
        <w:ind w:firstLine="642" w:firstLineChars="200"/>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234.38</w:t>
      </w:r>
      <w:r>
        <w:rPr>
          <w:rFonts w:hint="eastAsia" w:eastAsia="仿宋_GB2312" w:cs="仿宋_GB2312"/>
          <w:sz w:val="32"/>
          <w:szCs w:val="32"/>
        </w:rPr>
        <w:t>万元，占本年支出合计的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%。与上年度相比，一般公共预算财政拨款支出减少</w:t>
      </w:r>
      <w:r>
        <w:rPr>
          <w:rFonts w:hint="eastAsia" w:eastAsia="仿宋_GB2312" w:cs="仿宋_GB2312"/>
          <w:sz w:val="32"/>
          <w:szCs w:val="32"/>
          <w:lang w:val="en-US" w:eastAsia="zh-CN"/>
        </w:rPr>
        <w:t>3.03</w:t>
      </w:r>
      <w:r>
        <w:rPr>
          <w:rFonts w:hint="eastAsia" w:eastAsia="仿宋_GB2312" w:cs="仿宋_GB2312"/>
          <w:sz w:val="32"/>
          <w:szCs w:val="32"/>
        </w:rPr>
        <w:t>万元，下降</w:t>
      </w:r>
      <w:r>
        <w:rPr>
          <w:rFonts w:hint="eastAsia" w:eastAsia="仿宋_GB2312" w:cs="仿宋_GB2312"/>
          <w:sz w:val="32"/>
          <w:szCs w:val="32"/>
          <w:lang w:val="en-US" w:eastAsia="zh-CN"/>
        </w:rPr>
        <w:t>1.27</w:t>
      </w:r>
      <w:r>
        <w:rPr>
          <w:rFonts w:hint="eastAsia" w:eastAsia="仿宋_GB2312" w:cs="仿宋_GB2312"/>
          <w:sz w:val="32"/>
          <w:szCs w:val="32"/>
        </w:rPr>
        <w:t>%。主要变动原因是</w:t>
      </w:r>
      <w:r>
        <w:rPr>
          <w:rFonts w:hint="eastAsia" w:eastAsia="仿宋_GB2312" w:cs="仿宋_GB2312"/>
          <w:sz w:val="32"/>
          <w:szCs w:val="32"/>
          <w:lang w:eastAsia="zh-CN"/>
        </w:rPr>
        <w:t>人员变动。</w:t>
      </w:r>
    </w:p>
    <w:p>
      <w:pPr>
        <w:spacing w:line="600" w:lineRule="exact"/>
        <w:ind w:firstLine="640"/>
        <w:rPr>
          <w:rFonts w:eastAsia="仿宋_GB2312" w:cs="仿宋_GB2312"/>
          <w:sz w:val="32"/>
          <w:szCs w:val="32"/>
        </w:rPr>
      </w:pPr>
      <w:r>
        <w:drawing>
          <wp:anchor distT="0" distB="0" distL="114300" distR="114300" simplePos="0" relativeHeight="251660288" behindDoc="0" locked="0" layoutInCell="1" allowOverlap="1">
            <wp:simplePos x="0" y="0"/>
            <wp:positionH relativeFrom="column">
              <wp:posOffset>353695</wp:posOffset>
            </wp:positionH>
            <wp:positionV relativeFrom="paragraph">
              <wp:posOffset>41275</wp:posOffset>
            </wp:positionV>
            <wp:extent cx="4737100" cy="2414905"/>
            <wp:effectExtent l="4445" t="4445" r="20955" b="19050"/>
            <wp:wrapTopAndBottom/>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2" w:firstLineChars="200"/>
        <w:outlineLvl w:val="2"/>
        <w:rPr>
          <w:rFonts w:eastAsia="楷体_GB2312" w:cs="楷体_GB2312"/>
          <w:b/>
          <w:sz w:val="32"/>
          <w:szCs w:val="32"/>
        </w:rPr>
      </w:pPr>
      <w:bookmarkStart w:id="29" w:name="_Toc15377211"/>
      <w:r>
        <w:rPr>
          <w:rFonts w:hint="eastAsia" w:eastAsia="楷体_GB2312" w:cs="楷体_GB2312"/>
          <w:b/>
          <w:sz w:val="32"/>
          <w:szCs w:val="32"/>
        </w:rPr>
        <w:t>（二）一般公共预算财政拨款支出决算结构情况</w:t>
      </w:r>
      <w:bookmarkEnd w:id="29"/>
    </w:p>
    <w:p>
      <w:pPr>
        <w:spacing w:line="600" w:lineRule="exact"/>
        <w:ind w:firstLine="640"/>
        <w:rPr>
          <w:rFonts w:eastAsia="仿宋_GB2312" w:cs="仿宋_GB2312"/>
          <w:b/>
          <w:bCs/>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234.38</w:t>
      </w:r>
      <w:r>
        <w:rPr>
          <w:rFonts w:hint="eastAsia" w:eastAsia="仿宋_GB2312" w:cs="仿宋_GB2312"/>
          <w:sz w:val="32"/>
          <w:szCs w:val="32"/>
        </w:rPr>
        <w:t>万元，主要用于以下方面：一般公共服务支出</w:t>
      </w:r>
      <w:r>
        <w:rPr>
          <w:rFonts w:hint="eastAsia" w:eastAsia="仿宋_GB2312" w:cs="仿宋_GB2312"/>
          <w:sz w:val="32"/>
          <w:szCs w:val="32"/>
          <w:lang w:val="en-US" w:eastAsia="zh-CN"/>
        </w:rPr>
        <w:t>197.48</w:t>
      </w:r>
      <w:r>
        <w:rPr>
          <w:rFonts w:hint="eastAsia" w:eastAsia="仿宋_GB2312" w:cs="仿宋_GB2312"/>
          <w:sz w:val="32"/>
          <w:szCs w:val="32"/>
        </w:rPr>
        <w:t>万元，占</w:t>
      </w:r>
      <w:r>
        <w:rPr>
          <w:rFonts w:hint="eastAsia" w:eastAsia="仿宋_GB2312" w:cs="仿宋_GB2312"/>
          <w:sz w:val="32"/>
          <w:szCs w:val="32"/>
          <w:lang w:val="en-US" w:eastAsia="zh-CN"/>
        </w:rPr>
        <w:t>84.25</w:t>
      </w:r>
      <w:r>
        <w:rPr>
          <w:rFonts w:hint="eastAsia" w:eastAsia="仿宋_GB2312" w:cs="仿宋_GB2312"/>
          <w:sz w:val="32"/>
          <w:szCs w:val="32"/>
        </w:rPr>
        <w:t>%；社会保障和就业支出</w:t>
      </w:r>
      <w:r>
        <w:rPr>
          <w:rFonts w:hint="eastAsia" w:eastAsia="仿宋_GB2312" w:cs="仿宋_GB2312"/>
          <w:sz w:val="32"/>
          <w:szCs w:val="32"/>
          <w:lang w:val="en-US" w:eastAsia="zh-CN"/>
        </w:rPr>
        <w:t>19.46</w:t>
      </w:r>
      <w:r>
        <w:rPr>
          <w:rFonts w:hint="eastAsia" w:eastAsia="仿宋_GB2312" w:cs="仿宋_GB2312"/>
          <w:sz w:val="32"/>
          <w:szCs w:val="32"/>
        </w:rPr>
        <w:t>万元，占</w:t>
      </w:r>
      <w:r>
        <w:rPr>
          <w:rFonts w:hint="eastAsia" w:eastAsia="仿宋_GB2312" w:cs="仿宋_GB2312"/>
          <w:sz w:val="32"/>
          <w:szCs w:val="32"/>
          <w:lang w:val="en-US" w:eastAsia="zh-CN"/>
        </w:rPr>
        <w:t>8.3</w:t>
      </w:r>
      <w:r>
        <w:rPr>
          <w:rFonts w:hint="eastAsia" w:eastAsia="仿宋_GB2312" w:cs="仿宋_GB2312"/>
          <w:sz w:val="32"/>
          <w:szCs w:val="32"/>
        </w:rPr>
        <w:t>%；卫生健康支出</w:t>
      </w:r>
      <w:r>
        <w:rPr>
          <w:rFonts w:hint="eastAsia" w:eastAsia="仿宋_GB2312" w:cs="仿宋_GB2312"/>
          <w:sz w:val="32"/>
          <w:szCs w:val="32"/>
          <w:lang w:val="en-US" w:eastAsia="zh-CN"/>
        </w:rPr>
        <w:t>7.15</w:t>
      </w:r>
      <w:r>
        <w:rPr>
          <w:rFonts w:hint="eastAsia" w:eastAsia="仿宋_GB2312" w:cs="仿宋_GB2312"/>
          <w:sz w:val="32"/>
          <w:szCs w:val="32"/>
        </w:rPr>
        <w:t>万元，占</w:t>
      </w:r>
      <w:r>
        <w:rPr>
          <w:rFonts w:hint="eastAsia" w:eastAsia="仿宋_GB2312" w:cs="仿宋_GB2312"/>
          <w:sz w:val="32"/>
          <w:szCs w:val="32"/>
          <w:lang w:val="en-US" w:eastAsia="zh-CN"/>
        </w:rPr>
        <w:t>3.05</w:t>
      </w:r>
      <w:r>
        <w:rPr>
          <w:rFonts w:hint="eastAsia" w:eastAsia="仿宋_GB2312" w:cs="仿宋_GB2312"/>
          <w:sz w:val="32"/>
          <w:szCs w:val="32"/>
        </w:rPr>
        <w:t>%；住房保障支出</w:t>
      </w:r>
      <w:r>
        <w:rPr>
          <w:rFonts w:hint="eastAsia" w:eastAsia="仿宋_GB2312" w:cs="仿宋_GB2312"/>
          <w:sz w:val="32"/>
          <w:szCs w:val="32"/>
          <w:lang w:val="en-US" w:eastAsia="zh-CN"/>
        </w:rPr>
        <w:t>10.29</w:t>
      </w:r>
      <w:r>
        <w:rPr>
          <w:rFonts w:hint="eastAsia" w:eastAsia="仿宋_GB2312" w:cs="仿宋_GB2312"/>
          <w:sz w:val="32"/>
          <w:szCs w:val="32"/>
        </w:rPr>
        <w:t>万元，占</w:t>
      </w:r>
      <w:r>
        <w:rPr>
          <w:rFonts w:hint="eastAsia" w:eastAsia="仿宋_GB2312" w:cs="仿宋_GB2312"/>
          <w:sz w:val="32"/>
          <w:szCs w:val="32"/>
          <w:lang w:val="en-US" w:eastAsia="zh-CN"/>
        </w:rPr>
        <w:t>4.39</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eastAsia="仿宋_GB2312" w:cs="仿宋_GB2312"/>
          <w:sz w:val="32"/>
          <w:szCs w:val="32"/>
        </w:rPr>
      </w:pPr>
      <w:r>
        <w:drawing>
          <wp:anchor distT="0" distB="0" distL="114300" distR="114300" simplePos="0" relativeHeight="251661312" behindDoc="0" locked="0" layoutInCell="1" allowOverlap="1">
            <wp:simplePos x="0" y="0"/>
            <wp:positionH relativeFrom="column">
              <wp:posOffset>273050</wp:posOffset>
            </wp:positionH>
            <wp:positionV relativeFrom="paragraph">
              <wp:posOffset>109855</wp:posOffset>
            </wp:positionV>
            <wp:extent cx="4826000" cy="2828925"/>
            <wp:effectExtent l="4445" t="4445" r="8255" b="5080"/>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2" w:firstLineChars="200"/>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pPr>
        <w:spacing w:line="600" w:lineRule="exact"/>
        <w:ind w:firstLine="640"/>
        <w:rPr>
          <w:rFonts w:eastAsia="仿宋_GB2312" w:cs="仿宋_GB2312"/>
          <w:sz w:val="32"/>
          <w:szCs w:val="32"/>
        </w:rPr>
      </w:pPr>
      <w:bookmarkStart w:id="31" w:name="_Toc15378460"/>
      <w:bookmarkStart w:id="32" w:name="_Toc15377213"/>
      <w:bookmarkStart w:id="33" w:name="_Toc15377444"/>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234.38万元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1"/>
      <w:bookmarkEnd w:id="32"/>
      <w:bookmarkEnd w:id="33"/>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1.一般公共服务（类）</w:t>
      </w:r>
      <w:r>
        <w:rPr>
          <w:rFonts w:hint="eastAsia" w:eastAsia="仿宋_GB2312" w:cs="仿宋_GB2312"/>
          <w:sz w:val="32"/>
          <w:szCs w:val="32"/>
          <w:lang w:eastAsia="zh-CN"/>
        </w:rPr>
        <w:t>人大事务</w:t>
      </w:r>
      <w:r>
        <w:rPr>
          <w:rFonts w:hint="eastAsia" w:eastAsia="仿宋_GB2312" w:cs="仿宋_GB2312"/>
          <w:sz w:val="32"/>
          <w:szCs w:val="32"/>
        </w:rPr>
        <w:t>（款）</w:t>
      </w:r>
      <w:r>
        <w:rPr>
          <w:rFonts w:hint="eastAsia" w:eastAsia="仿宋_GB2312" w:cs="仿宋_GB2312"/>
          <w:sz w:val="32"/>
          <w:szCs w:val="32"/>
          <w:lang w:eastAsia="zh-CN"/>
        </w:rPr>
        <w:t>机关服务</w:t>
      </w:r>
      <w:r>
        <w:rPr>
          <w:rFonts w:hint="eastAsia" w:eastAsia="仿宋_GB2312" w:cs="仿宋_GB2312"/>
          <w:sz w:val="32"/>
          <w:szCs w:val="32"/>
        </w:rPr>
        <w:t>（项）：支出决算为</w:t>
      </w:r>
      <w:r>
        <w:rPr>
          <w:rFonts w:hint="eastAsia" w:eastAsia="仿宋_GB2312" w:cs="仿宋_GB2312"/>
          <w:sz w:val="32"/>
          <w:szCs w:val="32"/>
          <w:lang w:val="en-US" w:eastAsia="zh-CN"/>
        </w:rPr>
        <w:t>0.83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一般公共服务（类）政府办公厅（室）及相关机构事务（款）行政运行（项）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92.9</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3.</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一般公共服务（类）政府办公厅（室）及相关机构事务（款）一般行政管理事务（项）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 xml:space="preserve"> 支出决算为</w:t>
      </w:r>
      <w:r>
        <w:rPr>
          <w:rFonts w:hint="eastAsia" w:eastAsia="仿宋_GB2312" w:cs="仿宋_GB2312"/>
          <w:color w:val="auto"/>
          <w:kern w:val="2"/>
          <w:sz w:val="32"/>
          <w:szCs w:val="32"/>
          <w:highlight w:val="none"/>
          <w:lang w:val="en-US" w:eastAsia="zh-CN" w:bidi="ar-SA"/>
        </w:rPr>
        <w:t>81.5</w:t>
      </w:r>
      <w:r>
        <w:rPr>
          <w:rFonts w:hint="eastAsia" w:ascii="Times New Roman" w:hAnsi="Times New Roman" w:eastAsia="仿宋_GB2312" w:cs="仿宋_GB2312"/>
          <w:color w:val="auto"/>
          <w:kern w:val="2"/>
          <w:sz w:val="32"/>
          <w:szCs w:val="32"/>
          <w:highlight w:val="none"/>
          <w:lang w:val="en-US" w:eastAsia="zh-CN" w:bidi="ar-SA"/>
        </w:rPr>
        <w:t>万元，完成预算100%。</w:t>
      </w:r>
    </w:p>
    <w:p>
      <w:pPr>
        <w:spacing w:line="600" w:lineRule="exact"/>
        <w:ind w:firstLine="640"/>
        <w:rPr>
          <w:rFonts w:eastAsia="仿宋_GB2312" w:cs="仿宋_GB2312"/>
          <w:sz w:val="32"/>
          <w:szCs w:val="32"/>
        </w:rPr>
      </w:pPr>
      <w:r>
        <w:rPr>
          <w:rFonts w:hint="eastAsia" w:eastAsia="仿宋_GB2312" w:cs="仿宋_GB2312"/>
          <w:sz w:val="32"/>
          <w:szCs w:val="32"/>
        </w:rPr>
        <w:t>4.</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一般公共服务（类）政府办公厅（室）及相关机构事务（款）事业运行（项）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 xml:space="preserve"> 支出决算为</w:t>
      </w:r>
      <w:r>
        <w:rPr>
          <w:rFonts w:hint="eastAsia" w:eastAsia="仿宋_GB2312" w:cs="仿宋_GB2312"/>
          <w:color w:val="auto"/>
          <w:kern w:val="2"/>
          <w:sz w:val="32"/>
          <w:szCs w:val="32"/>
          <w:highlight w:val="none"/>
          <w:lang w:val="en-US" w:eastAsia="zh-CN" w:bidi="ar-SA"/>
        </w:rPr>
        <w:t>22.25</w:t>
      </w:r>
      <w:r>
        <w:rPr>
          <w:rFonts w:hint="eastAsia" w:ascii="Times New Roman" w:hAnsi="Times New Roman" w:eastAsia="仿宋_GB2312" w:cs="仿宋_GB2312"/>
          <w:color w:val="auto"/>
          <w:kern w:val="2"/>
          <w:sz w:val="32"/>
          <w:szCs w:val="32"/>
          <w:highlight w:val="none"/>
          <w:lang w:val="en-US" w:eastAsia="zh-CN" w:bidi="ar-SA"/>
        </w:rPr>
        <w:t>万元，完成预算100%。</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sz w:val="32"/>
          <w:szCs w:val="32"/>
        </w:rPr>
        <w:t>5.</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社会保障和就业（类）行政事业单位离退休（款）行政单位离退休（项）：支出决算为</w:t>
      </w:r>
      <w:r>
        <w:rPr>
          <w:rFonts w:hint="eastAsia" w:eastAsia="仿宋_GB2312" w:cs="仿宋_GB2312"/>
          <w:color w:val="auto"/>
          <w:kern w:val="2"/>
          <w:sz w:val="32"/>
          <w:szCs w:val="32"/>
          <w:highlight w:val="none"/>
          <w:lang w:val="en-US" w:eastAsia="zh-CN" w:bidi="ar-SA"/>
        </w:rPr>
        <w:t>6.19</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sz w:val="32"/>
          <w:szCs w:val="32"/>
        </w:rPr>
        <w:t>6.</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社会保障和就业（类）行政事业单位离退休（款）机关事业单位基本养老保险缴费支出（项）：支出决算为</w:t>
      </w:r>
      <w:r>
        <w:rPr>
          <w:rFonts w:hint="eastAsia" w:eastAsia="仿宋_GB2312" w:cs="仿宋_GB2312"/>
          <w:color w:val="auto"/>
          <w:kern w:val="2"/>
          <w:sz w:val="32"/>
          <w:szCs w:val="32"/>
          <w:highlight w:val="none"/>
          <w:lang w:val="en-US" w:eastAsia="zh-CN" w:bidi="ar-SA"/>
        </w:rPr>
        <w:t>13.28</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sz w:val="32"/>
          <w:szCs w:val="32"/>
          <w:lang w:val="en-US" w:eastAsia="zh-CN"/>
        </w:rPr>
        <w:t>7.</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卫生健康支出（类）行政事业单位医疗（款）行政单位医疗（项）：支出决算为</w:t>
      </w:r>
      <w:r>
        <w:rPr>
          <w:rFonts w:hint="eastAsia" w:eastAsia="仿宋_GB2312" w:cs="仿宋_GB2312"/>
          <w:color w:val="auto"/>
          <w:kern w:val="2"/>
          <w:sz w:val="32"/>
          <w:szCs w:val="32"/>
          <w:highlight w:val="none"/>
          <w:lang w:val="en-US" w:eastAsia="zh-CN" w:bidi="ar-SA"/>
        </w:rPr>
        <w:t>5.41</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w:t>
      </w:r>
      <w:r>
        <w:rPr>
          <w:rFonts w:hint="eastAsia" w:eastAsia="仿宋_GB2312" w:cs="仿宋_GB2312"/>
          <w:color w:val="auto"/>
          <w:kern w:val="2"/>
          <w:sz w:val="32"/>
          <w:szCs w:val="32"/>
          <w:highlight w:val="none"/>
          <w:lang w:val="en-US" w:eastAsia="zh-CN" w:bidi="ar-SA"/>
        </w:rPr>
        <w:t>事业</w:t>
      </w:r>
      <w:r>
        <w:rPr>
          <w:rFonts w:hint="eastAsia" w:ascii="Times New Roman" w:hAnsi="Times New Roman" w:eastAsia="仿宋_GB2312" w:cs="仿宋_GB2312"/>
          <w:color w:val="auto"/>
          <w:kern w:val="2"/>
          <w:sz w:val="32"/>
          <w:szCs w:val="32"/>
          <w:highlight w:val="none"/>
          <w:lang w:val="en-US" w:eastAsia="zh-CN" w:bidi="ar-SA"/>
        </w:rPr>
        <w:t>单位医疗（项）：支出决算为</w:t>
      </w:r>
      <w:r>
        <w:rPr>
          <w:rFonts w:hint="eastAsia" w:eastAsia="仿宋_GB2312" w:cs="仿宋_GB2312"/>
          <w:color w:val="auto"/>
          <w:kern w:val="2"/>
          <w:sz w:val="32"/>
          <w:szCs w:val="32"/>
          <w:highlight w:val="none"/>
          <w:lang w:val="en-US" w:eastAsia="zh-CN" w:bidi="ar-SA"/>
        </w:rPr>
        <w:t>1.23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pStyle w:val="2"/>
        <w:ind w:firstLine="640" w:firstLineChars="200"/>
        <w:rPr>
          <w:rFonts w:hint="eastAsia" w:ascii="Times New Roman" w:cs="仿宋_GB2312"/>
          <w:kern w:val="2"/>
          <w:sz w:val="32"/>
          <w:szCs w:val="32"/>
          <w:lang w:val="en-US" w:eastAsia="zh-CN" w:bidi="ar-SA"/>
        </w:rPr>
      </w:pPr>
      <w:r>
        <w:rPr>
          <w:rFonts w:hint="eastAsia" w:ascii="Times New Roman" w:cs="仿宋_GB2312"/>
          <w:kern w:val="2"/>
          <w:sz w:val="32"/>
          <w:szCs w:val="32"/>
          <w:lang w:val="en-US" w:eastAsia="zh-CN" w:bidi="ar-SA"/>
        </w:rPr>
        <w:t>9.</w:t>
      </w:r>
      <w:r>
        <w:rPr>
          <w:rFonts w:hint="eastAsia" w:eastAsia="仿宋_GB2312" w:cs="仿宋_GB2312"/>
          <w:color w:val="auto"/>
          <w:kern w:val="2"/>
          <w:sz w:val="32"/>
          <w:szCs w:val="32"/>
          <w:highlight w:val="none"/>
          <w:lang w:val="en-US" w:eastAsia="zh-CN" w:bidi="ar-SA"/>
        </w:rPr>
        <w:t>卫生健康支出（类）行政事业单位医疗（款）公务员医疗补助（项）：支出决算为</w:t>
      </w:r>
      <w:r>
        <w:rPr>
          <w:rFonts w:hint="eastAsia" w:ascii="Times New Roman" w:hAnsi="Times New Roman" w:eastAsia="仿宋_GB2312" w:cs="仿宋_GB2312"/>
          <w:color w:val="auto"/>
          <w:kern w:val="2"/>
          <w:sz w:val="32"/>
          <w:szCs w:val="32"/>
          <w:highlight w:val="none"/>
          <w:lang w:val="en-US" w:eastAsia="zh-CN" w:bidi="ar-SA"/>
        </w:rPr>
        <w:t>0.51</w:t>
      </w:r>
      <w:r>
        <w:rPr>
          <w:rFonts w:hint="eastAsia" w:eastAsia="仿宋_GB2312" w:cs="仿宋_GB2312"/>
          <w:color w:val="auto"/>
          <w:kern w:val="2"/>
          <w:sz w:val="32"/>
          <w:szCs w:val="32"/>
          <w:highlight w:val="none"/>
          <w:lang w:val="en-US" w:eastAsia="zh-CN" w:bidi="ar-SA"/>
        </w:rPr>
        <w:t>万元，完成预算</w:t>
      </w:r>
      <w:r>
        <w:rPr>
          <w:rFonts w:hint="eastAsia" w:ascii="Times New Roman" w:hAnsi="Times New Roman" w:eastAsia="仿宋_GB2312" w:cs="仿宋_GB2312"/>
          <w:color w:val="auto"/>
          <w:kern w:val="2"/>
          <w:sz w:val="32"/>
          <w:szCs w:val="32"/>
          <w:highlight w:val="none"/>
          <w:lang w:val="en-US" w:eastAsia="zh-CN" w:bidi="ar-SA"/>
        </w:rPr>
        <w:t>100%</w:t>
      </w:r>
      <w:r>
        <w:rPr>
          <w:rFonts w:hint="eastAsia" w:eastAsia="仿宋_GB2312" w:cs="仿宋_GB2312"/>
          <w:color w:val="auto"/>
          <w:kern w:val="2"/>
          <w:sz w:val="32"/>
          <w:szCs w:val="32"/>
          <w:highlight w:val="none"/>
          <w:lang w:val="en-US" w:eastAsia="zh-CN" w:bidi="ar-SA"/>
        </w:rPr>
        <w:t>。</w:t>
      </w:r>
    </w:p>
    <w:p>
      <w:pPr>
        <w:pStyle w:val="2"/>
        <w:ind w:firstLine="640" w:firstLineChars="200"/>
        <w:rPr>
          <w:rFonts w:hint="eastAsia" w:ascii="Times New Roman" w:cs="仿宋_GB2312"/>
          <w:kern w:val="2"/>
          <w:sz w:val="32"/>
          <w:szCs w:val="32"/>
          <w:lang w:val="en-US" w:eastAsia="zh-CN" w:bidi="ar-SA"/>
        </w:rPr>
      </w:pPr>
      <w:r>
        <w:rPr>
          <w:rFonts w:hint="eastAsia" w:ascii="Times New Roman" w:cs="仿宋_GB2312"/>
          <w:kern w:val="2"/>
          <w:sz w:val="32"/>
          <w:szCs w:val="32"/>
          <w:lang w:val="en-US" w:eastAsia="zh-CN" w:bidi="ar-SA"/>
        </w:rPr>
        <w:t>10.</w:t>
      </w:r>
      <w:r>
        <w:rPr>
          <w:rFonts w:hint="eastAsia" w:eastAsia="仿宋_GB2312" w:cs="仿宋_GB2312"/>
          <w:color w:val="auto"/>
          <w:kern w:val="2"/>
          <w:sz w:val="32"/>
          <w:szCs w:val="32"/>
          <w:highlight w:val="none"/>
          <w:lang w:val="en-US" w:eastAsia="zh-CN" w:bidi="ar-SA"/>
        </w:rPr>
        <w:t>住房保障支出（类）住房改革支出（款）住房公积金（项）</w:t>
      </w:r>
      <w:r>
        <w:rPr>
          <w:rFonts w:hint="eastAsia"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支出决算为</w:t>
      </w:r>
      <w:r>
        <w:rPr>
          <w:rFonts w:hint="eastAsia" w:ascii="Times New Roman" w:cs="仿宋_GB2312"/>
          <w:color w:val="auto"/>
          <w:kern w:val="2"/>
          <w:sz w:val="32"/>
          <w:szCs w:val="32"/>
          <w:highlight w:val="none"/>
          <w:lang w:val="en-US" w:eastAsia="zh-CN" w:bidi="ar-SA"/>
        </w:rPr>
        <w:t>10.29</w:t>
      </w:r>
      <w:r>
        <w:rPr>
          <w:rFonts w:hint="eastAsia" w:ascii="Times New Roman" w:hAnsi="Times New Roman" w:eastAsia="仿宋_GB2312" w:cs="仿宋_GB2312"/>
          <w:color w:val="auto"/>
          <w:kern w:val="2"/>
          <w:sz w:val="32"/>
          <w:szCs w:val="32"/>
          <w:highlight w:val="none"/>
          <w:lang w:val="en-US" w:eastAsia="zh-CN" w:bidi="ar-SA"/>
        </w:rPr>
        <w:t>万</w:t>
      </w:r>
      <w:r>
        <w:rPr>
          <w:rFonts w:hint="eastAsia" w:eastAsia="仿宋_GB2312" w:cs="仿宋_GB2312"/>
          <w:color w:val="auto"/>
          <w:kern w:val="2"/>
          <w:sz w:val="32"/>
          <w:szCs w:val="32"/>
          <w:highlight w:val="none"/>
          <w:lang w:val="en-US" w:eastAsia="zh-CN" w:bidi="ar-SA"/>
        </w:rPr>
        <w:t>元，完成预算</w:t>
      </w:r>
      <w:r>
        <w:rPr>
          <w:rFonts w:hint="eastAsia" w:ascii="Times New Roman" w:hAnsi="Times New Roman" w:eastAsia="仿宋_GB2312" w:cs="仿宋_GB2312"/>
          <w:color w:val="auto"/>
          <w:kern w:val="2"/>
          <w:sz w:val="32"/>
          <w:szCs w:val="32"/>
          <w:highlight w:val="none"/>
          <w:lang w:val="en-US" w:eastAsia="zh-CN" w:bidi="ar-SA"/>
        </w:rPr>
        <w:t>100%</w:t>
      </w:r>
      <w:r>
        <w:rPr>
          <w:rFonts w:hint="eastAsia" w:eastAsia="仿宋_GB2312" w:cs="仿宋_GB2312"/>
          <w:color w:val="auto"/>
          <w:kern w:val="2"/>
          <w:sz w:val="32"/>
          <w:szCs w:val="32"/>
          <w:highlight w:val="none"/>
          <w:lang w:val="en-US" w:eastAsia="zh-CN" w:bidi="ar-SA"/>
        </w:rPr>
        <w:t>。</w:t>
      </w:r>
    </w:p>
    <w:p>
      <w:pPr>
        <w:spacing w:line="600" w:lineRule="exact"/>
        <w:ind w:firstLine="640"/>
        <w:rPr>
          <w:rFonts w:eastAsia="仿宋_GB2312" w:cs="仿宋_GB2312"/>
          <w:sz w:val="32"/>
          <w:szCs w:val="32"/>
        </w:rPr>
      </w:pPr>
    </w:p>
    <w:p>
      <w:pPr>
        <w:tabs>
          <w:tab w:val="right" w:pos="8306"/>
        </w:tabs>
        <w:spacing w:line="600" w:lineRule="exact"/>
        <w:ind w:firstLine="640"/>
        <w:outlineLvl w:val="1"/>
        <w:rPr>
          <w:rStyle w:val="29"/>
          <w:rFonts w:ascii="Times New Roman" w:hAnsi="Times New Roman"/>
        </w:rPr>
      </w:pPr>
      <w:bookmarkStart w:id="34" w:name="_Toc15396608"/>
      <w:bookmarkStart w:id="35" w:name="_Toc15377214"/>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4"/>
      <w:bookmarkEnd w:id="35"/>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152.88</w:t>
      </w:r>
      <w:r>
        <w:rPr>
          <w:rFonts w:hint="eastAsia" w:eastAsia="仿宋_GB2312" w:cs="仿宋_GB2312"/>
          <w:sz w:val="32"/>
          <w:szCs w:val="32"/>
        </w:rPr>
        <w:t>万元，其中：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人员经费</w:t>
      </w:r>
      <w:r>
        <w:rPr>
          <w:rFonts w:hint="eastAsia" w:eastAsia="仿宋_GB2312" w:cs="仿宋_GB2312"/>
          <w:sz w:val="32"/>
          <w:szCs w:val="32"/>
          <w:lang w:val="en-US" w:eastAsia="zh-CN"/>
        </w:rPr>
        <w:t>135.25</w:t>
      </w:r>
      <w:r>
        <w:rPr>
          <w:rFonts w:hint="eastAsia" w:eastAsia="仿宋_GB2312" w:cs="仿宋_GB2312"/>
          <w:sz w:val="32"/>
          <w:szCs w:val="32"/>
        </w:rPr>
        <w:t>万元，主要包括：基本工资、津贴补贴、奖金、绩效工资、机关事业单位基本养老保险缴费、职业年金缴费、其他社会保障缴费、其他工资福利支出、退休费、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17.63</w:t>
      </w:r>
      <w:r>
        <w:rPr>
          <w:rFonts w:hint="eastAsia" w:eastAsia="仿宋_GB2312" w:cs="仿宋_GB2312"/>
          <w:sz w:val="32"/>
          <w:szCs w:val="32"/>
        </w:rPr>
        <w:t>万元，主要包括：</w:t>
      </w:r>
      <w:r>
        <w:rPr>
          <w:rFonts w:hint="eastAsia" w:ascii="Times New Roman" w:hAnsi="Times New Roman" w:eastAsia="仿宋_GB2312" w:cs="仿宋_GB2312"/>
          <w:color w:val="auto"/>
          <w:kern w:val="2"/>
          <w:sz w:val="32"/>
          <w:szCs w:val="32"/>
          <w:highlight w:val="none"/>
          <w:lang w:val="en-US" w:eastAsia="zh-CN" w:bidi="ar-SA"/>
        </w:rPr>
        <w:t>办公费、印刷费、水费、电费、邮电费、物业管理费、差旅费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维修（护）费、租赁费、劳务费、委托业务费、工会经费、福利费、公务用车运行维护费、其他交通费、税金及附加费用、其他商品和服务支出等。</w:t>
      </w:r>
    </w:p>
    <w:p>
      <w:pPr>
        <w:spacing w:line="600" w:lineRule="exact"/>
        <w:ind w:firstLine="640"/>
        <w:rPr>
          <w:rFonts w:eastAsia="仿宋_GB2312" w:cs="仿宋_GB2312"/>
          <w:sz w:val="32"/>
          <w:szCs w:val="32"/>
        </w:rPr>
      </w:pPr>
    </w:p>
    <w:p>
      <w:pPr>
        <w:spacing w:line="600" w:lineRule="exact"/>
        <w:ind w:firstLine="640"/>
        <w:outlineLvl w:val="1"/>
        <w:rPr>
          <w:rStyle w:val="29"/>
          <w:rFonts w:ascii="Times New Roman" w:hAnsi="Times New Roman" w:eastAsia="黑体"/>
          <w:b w:val="0"/>
        </w:rPr>
      </w:pPr>
      <w:bookmarkStart w:id="36" w:name="_Toc15377215"/>
      <w:bookmarkStart w:id="37"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6"/>
      <w:bookmarkEnd w:id="37"/>
    </w:p>
    <w:p>
      <w:pPr>
        <w:spacing w:line="600" w:lineRule="exact"/>
        <w:ind w:firstLine="642" w:firstLineChars="200"/>
        <w:outlineLvl w:val="2"/>
        <w:rPr>
          <w:rFonts w:eastAsia="楷体_GB2312" w:cs="楷体_GB2312"/>
          <w:b/>
          <w:sz w:val="32"/>
          <w:szCs w:val="32"/>
        </w:rPr>
      </w:pPr>
      <w:bookmarkStart w:id="38" w:name="_Toc15377216"/>
      <w:r>
        <w:rPr>
          <w:rFonts w:hint="eastAsia" w:eastAsia="楷体_GB2312" w:cs="楷体_GB2312"/>
          <w:b/>
          <w:sz w:val="32"/>
          <w:szCs w:val="32"/>
        </w:rPr>
        <w:t>（一）财政拨款“三公”经费支出决算总体情况说明</w:t>
      </w:r>
      <w:bookmarkEnd w:id="38"/>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4.54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%，与预算数持平</w:t>
      </w:r>
      <w:r>
        <w:rPr>
          <w:rFonts w:hint="eastAsia" w:eastAsia="仿宋_GB2312" w:cs="仿宋_GB2312"/>
          <w:sz w:val="32"/>
          <w:szCs w:val="32"/>
          <w:lang w:eastAsia="zh-CN"/>
        </w:rPr>
        <w:t>。</w:t>
      </w:r>
    </w:p>
    <w:p>
      <w:pPr>
        <w:spacing w:line="600" w:lineRule="exact"/>
        <w:ind w:firstLine="642" w:firstLineChars="200"/>
        <w:outlineLvl w:val="2"/>
        <w:rPr>
          <w:rFonts w:eastAsia="楷体_GB2312" w:cs="楷体_GB2312"/>
          <w:b/>
          <w:sz w:val="32"/>
          <w:szCs w:val="32"/>
        </w:rPr>
      </w:pPr>
      <w:bookmarkStart w:id="39" w:name="_Toc15377217"/>
      <w:r>
        <w:rPr>
          <w:rFonts w:hint="eastAsia" w:eastAsia="楷体_GB2312" w:cs="楷体_GB2312"/>
          <w:b/>
          <w:sz w:val="32"/>
          <w:szCs w:val="32"/>
        </w:rPr>
        <w:t>（二）财政拨款“三公”经费支出决算具体情况说明</w:t>
      </w:r>
      <w:bookmarkEnd w:id="39"/>
    </w:p>
    <w:p>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4.54</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%；公务接待费支出决算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%。具体情况如下：</w:t>
      </w:r>
    </w:p>
    <w:p>
      <w:pPr>
        <w:pStyle w:val="2"/>
      </w:pPr>
      <w:r>
        <w:drawing>
          <wp:inline distT="0" distB="0" distL="114300" distR="114300">
            <wp:extent cx="4818380" cy="2743200"/>
            <wp:effectExtent l="4445" t="4445" r="15875" b="14605"/>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p>
    <w:p>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4.54</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w:t>
      </w:r>
      <w:r>
        <w:rPr>
          <w:rFonts w:hint="eastAsia" w:eastAsia="仿宋_GB2312" w:cs="仿宋_GB2312"/>
          <w:sz w:val="32"/>
          <w:szCs w:val="32"/>
          <w:lang w:eastAsia="zh-CN"/>
        </w:rPr>
        <w:t>较</w:t>
      </w:r>
      <w:r>
        <w:rPr>
          <w:rFonts w:hint="eastAsia" w:eastAsia="仿宋_GB2312" w:cs="仿宋_GB2312"/>
          <w:sz w:val="32"/>
          <w:szCs w:val="32"/>
        </w:rPr>
        <w:t>上年度</w:t>
      </w:r>
      <w:r>
        <w:rPr>
          <w:rFonts w:hint="eastAsia" w:eastAsia="仿宋_GB2312" w:cs="仿宋_GB2312"/>
          <w:sz w:val="32"/>
          <w:szCs w:val="32"/>
          <w:lang w:eastAsia="zh-CN"/>
        </w:rPr>
        <w:t>持平。</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辆。截至2025年12月31日，单位共有公务用车</w:t>
      </w:r>
      <w:r>
        <w:rPr>
          <w:rFonts w:hint="eastAsia" w:eastAsia="仿宋_GB2312" w:cs="仿宋_GB2312"/>
          <w:sz w:val="32"/>
          <w:szCs w:val="32"/>
          <w:lang w:val="en-US" w:eastAsia="zh-CN"/>
        </w:rPr>
        <w:t>4</w:t>
      </w:r>
      <w:r>
        <w:rPr>
          <w:rFonts w:hint="eastAsia" w:eastAsia="仿宋_GB2312" w:cs="仿宋_GB2312"/>
          <w:sz w:val="32"/>
          <w:szCs w:val="32"/>
        </w:rPr>
        <w:t>辆，其中：轿车</w:t>
      </w:r>
      <w:r>
        <w:rPr>
          <w:rFonts w:hint="eastAsia" w:eastAsia="仿宋_GB2312" w:cs="仿宋_GB2312"/>
          <w:sz w:val="32"/>
          <w:szCs w:val="32"/>
          <w:lang w:val="en-US" w:eastAsia="zh-CN"/>
        </w:rPr>
        <w:t>2</w:t>
      </w:r>
      <w:r>
        <w:rPr>
          <w:rFonts w:hint="eastAsia" w:eastAsia="仿宋_GB2312" w:cs="仿宋_GB2312"/>
          <w:sz w:val="32"/>
          <w:szCs w:val="32"/>
        </w:rPr>
        <w:t>辆、</w:t>
      </w:r>
      <w:r>
        <w:rPr>
          <w:rFonts w:hint="eastAsia" w:ascii="Times New Roman" w:hAnsi="Times New Roman" w:eastAsia="仿宋_GB2312" w:cs="仿宋_GB2312"/>
          <w:color w:val="auto"/>
          <w:kern w:val="2"/>
          <w:sz w:val="32"/>
          <w:szCs w:val="32"/>
          <w:highlight w:val="none"/>
          <w:lang w:val="en-US" w:eastAsia="zh-CN" w:bidi="ar-SA"/>
        </w:rPr>
        <w:t>商务车2辆</w:t>
      </w:r>
      <w:r>
        <w:rPr>
          <w:rFonts w:hint="eastAsia" w:eastAsia="仿宋_GB2312" w:cs="仿宋_GB2312"/>
          <w:sz w:val="32"/>
          <w:szCs w:val="32"/>
        </w:rPr>
        <w:t>。</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4.54</w:t>
      </w:r>
      <w:r>
        <w:rPr>
          <w:rFonts w:hint="eastAsia" w:eastAsia="仿宋_GB2312" w:cs="仿宋_GB2312"/>
          <w:sz w:val="32"/>
          <w:szCs w:val="32"/>
        </w:rPr>
        <w:t>万元。主要用于</w:t>
      </w:r>
      <w:r>
        <w:rPr>
          <w:rFonts w:hint="eastAsia" w:ascii="Times New Roman" w:hAnsi="Times New Roman" w:eastAsia="仿宋_GB2312" w:cs="仿宋_GB2312"/>
          <w:color w:val="auto"/>
          <w:kern w:val="2"/>
          <w:sz w:val="32"/>
          <w:szCs w:val="32"/>
          <w:highlight w:val="none"/>
          <w:lang w:val="en-US" w:eastAsia="zh-CN" w:bidi="ar-SA"/>
        </w:rPr>
        <w:t>对外联络、招商引资、信访维稳</w:t>
      </w:r>
      <w:r>
        <w:rPr>
          <w:rFonts w:hint="eastAsia" w:eastAsia="仿宋_GB2312" w:cs="仿宋_GB2312"/>
          <w:sz w:val="32"/>
          <w:szCs w:val="32"/>
        </w:rPr>
        <w:t>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default" w:eastAsia="仿宋_GB2312" w:cs="仿宋_GB2312"/>
          <w:b/>
          <w:bCs/>
          <w:sz w:val="32"/>
          <w:szCs w:val="32"/>
        </w:rPr>
        <w:t>0</w:t>
      </w:r>
      <w:r>
        <w:rPr>
          <w:rFonts w:hint="eastAsia" w:eastAsia="仿宋_GB2312" w:cs="仿宋_GB2312"/>
          <w:b/>
          <w:bCs/>
          <w:sz w:val="32"/>
          <w:szCs w:val="32"/>
        </w:rPr>
        <w:t>万元。</w:t>
      </w:r>
    </w:p>
    <w:p>
      <w:pPr>
        <w:spacing w:line="600" w:lineRule="exact"/>
        <w:ind w:firstLine="640"/>
        <w:rPr>
          <w:rFonts w:eastAsia="仿宋_GB2312" w:cs="仿宋_GB2312"/>
          <w:sz w:val="32"/>
          <w:szCs w:val="32"/>
        </w:rPr>
      </w:pPr>
      <w:bookmarkStart w:id="40" w:name="_Toc15396610"/>
      <w:bookmarkStart w:id="41" w:name="_Toc15377218"/>
    </w:p>
    <w:p>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0"/>
      <w:bookmarkEnd w:id="41"/>
    </w:p>
    <w:p>
      <w:pPr>
        <w:spacing w:line="600" w:lineRule="exact"/>
        <w:ind w:firstLine="640"/>
        <w:rPr>
          <w:rFonts w:hint="eastAsia" w:eastAsia="仿宋_GB2312" w:cs="仿宋_GB2312"/>
          <w:sz w:val="32"/>
          <w:szCs w:val="32"/>
        </w:rPr>
      </w:pPr>
      <w:r>
        <w:rPr>
          <w:rFonts w:hint="eastAsia" w:eastAsia="仿宋_GB2312" w:cs="仿宋_GB2312"/>
          <w:sz w:val="32"/>
          <w:szCs w:val="32"/>
        </w:rPr>
        <w:t>2025年度政府性基金预算财政拨款支出</w:t>
      </w:r>
      <w:r>
        <w:rPr>
          <w:rFonts w:hint="default" w:eastAsia="仿宋_GB2312" w:cs="仿宋_GB2312"/>
          <w:sz w:val="32"/>
          <w:szCs w:val="32"/>
        </w:rPr>
        <w:t>0</w:t>
      </w:r>
      <w:r>
        <w:rPr>
          <w:rFonts w:hint="eastAsia" w:eastAsia="仿宋_GB2312" w:cs="仿宋_GB2312"/>
          <w:sz w:val="32"/>
          <w:szCs w:val="32"/>
        </w:rPr>
        <w:t>万元。</w:t>
      </w:r>
    </w:p>
    <w:p>
      <w:pPr>
        <w:pStyle w:val="2"/>
      </w:pPr>
    </w:p>
    <w:p>
      <w:pPr>
        <w:spacing w:line="600" w:lineRule="exact"/>
        <w:ind w:left="630"/>
        <w:outlineLvl w:val="1"/>
        <w:rPr>
          <w:rStyle w:val="29"/>
          <w:rFonts w:ascii="Times New Roman" w:hAnsi="Times New Roman" w:eastAsia="黑体"/>
          <w:b w:val="0"/>
        </w:rPr>
      </w:pPr>
      <w:bookmarkStart w:id="42" w:name="_Toc15377219"/>
      <w:bookmarkStart w:id="43" w:name="_Toc15396611"/>
      <w:r>
        <w:rPr>
          <w:rStyle w:val="29"/>
          <w:rFonts w:hint="eastAsia" w:ascii="Times New Roman" w:hAnsi="Times New Roman" w:eastAsia="黑体"/>
          <w:b w:val="0"/>
        </w:rPr>
        <w:t>九、国有资本经营预算支出决算情况说明</w:t>
      </w:r>
      <w:bookmarkEnd w:id="42"/>
      <w:bookmarkEnd w:id="43"/>
    </w:p>
    <w:p>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default" w:eastAsia="仿宋_GB2312" w:cs="仿宋_GB2312"/>
          <w:sz w:val="32"/>
          <w:szCs w:val="32"/>
        </w:rPr>
        <w:t>0</w:t>
      </w:r>
      <w:r>
        <w:rPr>
          <w:rFonts w:hint="eastAsia" w:eastAsia="仿宋_GB2312" w:cs="仿宋_GB2312"/>
          <w:sz w:val="32"/>
          <w:szCs w:val="32"/>
        </w:rPr>
        <w:t>万元。</w:t>
      </w:r>
    </w:p>
    <w:p>
      <w:pPr>
        <w:spacing w:line="600" w:lineRule="exact"/>
        <w:ind w:firstLine="640"/>
        <w:rPr>
          <w:rFonts w:eastAsia="仿宋_GB2312" w:cs="仿宋_GB2312"/>
          <w:sz w:val="32"/>
          <w:szCs w:val="32"/>
        </w:rPr>
      </w:pPr>
    </w:p>
    <w:p>
      <w:pPr>
        <w:spacing w:line="600" w:lineRule="exact"/>
        <w:ind w:left="630"/>
        <w:outlineLvl w:val="1"/>
        <w:rPr>
          <w:rStyle w:val="29"/>
          <w:rFonts w:ascii="Times New Roman" w:hAnsi="Times New Roman" w:eastAsia="黑体"/>
          <w:b w:val="0"/>
        </w:rPr>
      </w:pPr>
      <w:bookmarkStart w:id="44" w:name="_Toc15377221"/>
      <w:bookmarkStart w:id="45" w:name="_Toc15396612"/>
      <w:r>
        <w:rPr>
          <w:rStyle w:val="29"/>
          <w:rFonts w:hint="eastAsia" w:ascii="Times New Roman" w:hAnsi="Times New Roman" w:eastAsia="黑体"/>
          <w:b w:val="0"/>
        </w:rPr>
        <w:t>十、其他重要事项的情况说明</w:t>
      </w:r>
      <w:bookmarkEnd w:id="44"/>
      <w:bookmarkEnd w:id="45"/>
    </w:p>
    <w:p>
      <w:pPr>
        <w:spacing w:line="600" w:lineRule="exact"/>
        <w:ind w:firstLine="642" w:firstLineChars="200"/>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sz w:val="32"/>
          <w:szCs w:val="32"/>
        </w:rPr>
        <w:t>2025年度，</w:t>
      </w:r>
      <w:r>
        <w:rPr>
          <w:rFonts w:hint="default" w:eastAsia="仿宋_GB2312" w:cs="仿宋_GB2312"/>
          <w:sz w:val="32"/>
          <w:szCs w:val="32"/>
        </w:rPr>
        <w:t>攀枝花市人民政府驻北京联络处</w:t>
      </w:r>
      <w:r>
        <w:rPr>
          <w:rFonts w:hint="eastAsia" w:eastAsia="仿宋_GB2312" w:cs="仿宋_GB2312"/>
          <w:sz w:val="32"/>
          <w:szCs w:val="32"/>
        </w:rPr>
        <w:t>机关运行经费支出</w:t>
      </w:r>
      <w:r>
        <w:rPr>
          <w:rFonts w:hint="default" w:eastAsia="仿宋_GB2312" w:cs="仿宋_GB2312"/>
          <w:sz w:val="32"/>
          <w:szCs w:val="32"/>
        </w:rPr>
        <w:t>17.63</w:t>
      </w:r>
      <w:r>
        <w:rPr>
          <w:rFonts w:hint="eastAsia" w:eastAsia="仿宋_GB2312" w:cs="仿宋_GB2312"/>
          <w:sz w:val="32"/>
          <w:szCs w:val="32"/>
        </w:rPr>
        <w:t>万元，比上年度</w:t>
      </w:r>
      <w:r>
        <w:rPr>
          <w:rFonts w:hint="eastAsia" w:ascii="仿宋_GB2312" w:hAnsi="仿宋" w:eastAsia="仿宋_GB2312" w:cs="仿宋"/>
          <w:bCs/>
          <w:sz w:val="32"/>
          <w:szCs w:val="32"/>
          <w:lang w:eastAsia="zh-CN"/>
        </w:rPr>
        <w:t>减少</w:t>
      </w:r>
      <w:r>
        <w:rPr>
          <w:rFonts w:hint="eastAsia" w:eastAsia="仿宋_GB2312" w:cs="仿宋_GB2312"/>
          <w:sz w:val="32"/>
          <w:szCs w:val="32"/>
          <w:lang w:val="en-US" w:eastAsia="zh-CN"/>
        </w:rPr>
        <w:t>36.91</w:t>
      </w:r>
      <w:r>
        <w:rPr>
          <w:rFonts w:hint="eastAsia" w:eastAsia="仿宋_GB2312" w:cs="仿宋_GB2312"/>
          <w:sz w:val="32"/>
          <w:szCs w:val="32"/>
        </w:rPr>
        <w:t>万元，下降</w:t>
      </w:r>
      <w:r>
        <w:rPr>
          <w:rFonts w:hint="eastAsia" w:eastAsia="仿宋_GB2312" w:cs="仿宋_GB2312"/>
          <w:sz w:val="32"/>
          <w:szCs w:val="32"/>
          <w:lang w:val="en-US" w:eastAsia="zh-CN"/>
        </w:rPr>
        <w:t>67.67</w:t>
      </w:r>
      <w:r>
        <w:rPr>
          <w:rFonts w:hint="eastAsia" w:eastAsia="仿宋_GB2312" w:cs="仿宋_GB2312"/>
          <w:sz w:val="32"/>
          <w:szCs w:val="32"/>
        </w:rPr>
        <w:t>%。主要原因是</w:t>
      </w:r>
      <w:r>
        <w:rPr>
          <w:rFonts w:hint="eastAsia" w:eastAsia="仿宋_GB2312" w:cs="仿宋_GB2312"/>
          <w:color w:val="auto"/>
          <w:kern w:val="2"/>
          <w:sz w:val="32"/>
          <w:szCs w:val="32"/>
          <w:highlight w:val="none"/>
          <w:lang w:val="en-US" w:eastAsia="zh-CN" w:bidi="ar-SA"/>
        </w:rPr>
        <w:t>调整经费使用科目。</w:t>
      </w:r>
    </w:p>
    <w:p>
      <w:pPr>
        <w:pStyle w:val="2"/>
      </w:pPr>
    </w:p>
    <w:p>
      <w:pPr>
        <w:spacing w:line="600" w:lineRule="exact"/>
        <w:ind w:firstLine="642" w:firstLineChars="200"/>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eastAsia="zh-CN"/>
        </w:rPr>
        <w:t>攀枝花市人民政府驻北京联络处</w:t>
      </w:r>
      <w:r>
        <w:rPr>
          <w:rFonts w:hint="eastAsia" w:eastAsia="仿宋_GB2312" w:cs="仿宋_GB2312"/>
          <w:sz w:val="32"/>
          <w:szCs w:val="32"/>
        </w:rPr>
        <w:t>政府采购支出总额</w:t>
      </w:r>
      <w:r>
        <w:rPr>
          <w:rFonts w:hint="eastAsia" w:eastAsia="仿宋_GB2312" w:cs="仿宋_GB2312"/>
          <w:sz w:val="32"/>
          <w:szCs w:val="32"/>
          <w:lang w:val="en-US" w:eastAsia="zh-CN"/>
        </w:rPr>
        <w:t>0</w:t>
      </w:r>
      <w:r>
        <w:rPr>
          <w:rFonts w:hint="eastAsia" w:eastAsia="仿宋_GB2312" w:cs="仿宋_GB2312"/>
          <w:sz w:val="32"/>
          <w:szCs w:val="32"/>
        </w:rPr>
        <w:t>万元。</w:t>
      </w:r>
    </w:p>
    <w:p>
      <w:pPr>
        <w:spacing w:line="600" w:lineRule="exact"/>
        <w:ind w:firstLine="640"/>
        <w:rPr>
          <w:rFonts w:eastAsia="仿宋_GB2312" w:cs="仿宋_GB2312"/>
          <w:sz w:val="32"/>
          <w:szCs w:val="32"/>
        </w:rPr>
      </w:pPr>
    </w:p>
    <w:p>
      <w:pPr>
        <w:spacing w:line="600" w:lineRule="exact"/>
        <w:ind w:firstLine="642"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eastAsia="仿宋_GB2312" w:cs="仿宋_GB2312"/>
          <w:sz w:val="32"/>
          <w:szCs w:val="32"/>
          <w:lang w:eastAsia="zh-CN"/>
        </w:rPr>
        <w:t>攀枝花市人民政府驻北京联络处</w:t>
      </w:r>
      <w:r>
        <w:rPr>
          <w:rFonts w:hint="eastAsia" w:eastAsia="仿宋_GB2312" w:cs="仿宋_GB2312"/>
          <w:sz w:val="32"/>
          <w:szCs w:val="32"/>
        </w:rPr>
        <w:t>共有车辆</w:t>
      </w:r>
      <w:r>
        <w:rPr>
          <w:rFonts w:hint="eastAsia" w:eastAsia="仿宋_GB2312" w:cs="仿宋_GB2312"/>
          <w:sz w:val="32"/>
          <w:szCs w:val="32"/>
          <w:lang w:val="en-US" w:eastAsia="zh-CN"/>
        </w:rPr>
        <w:t>4</w:t>
      </w:r>
      <w:r>
        <w:rPr>
          <w:rFonts w:hint="eastAsia" w:eastAsia="仿宋_GB2312" w:cs="仿宋_GB2312"/>
          <w:sz w:val="32"/>
          <w:szCs w:val="32"/>
        </w:rPr>
        <w:t>辆，其中：应急保障用车</w:t>
      </w:r>
      <w:r>
        <w:rPr>
          <w:rFonts w:hint="eastAsia" w:eastAsia="仿宋_GB2312" w:cs="仿宋_GB2312"/>
          <w:sz w:val="32"/>
          <w:szCs w:val="32"/>
          <w:lang w:val="en-US" w:eastAsia="zh-CN"/>
        </w:rPr>
        <w:t>2</w:t>
      </w:r>
      <w:r>
        <w:rPr>
          <w:rFonts w:hint="eastAsia" w:eastAsia="仿宋_GB2312" w:cs="仿宋_GB2312"/>
          <w:sz w:val="32"/>
          <w:szCs w:val="32"/>
        </w:rPr>
        <w:t>辆、其他用车</w:t>
      </w:r>
      <w:r>
        <w:rPr>
          <w:rFonts w:hint="eastAsia" w:eastAsia="仿宋_GB2312" w:cs="仿宋_GB2312"/>
          <w:sz w:val="32"/>
          <w:szCs w:val="32"/>
          <w:lang w:val="en-US" w:eastAsia="zh-CN"/>
        </w:rPr>
        <w:t>2</w:t>
      </w:r>
      <w:r>
        <w:rPr>
          <w:rFonts w:hint="eastAsia" w:eastAsia="仿宋_GB2312" w:cs="仿宋_GB2312"/>
          <w:sz w:val="32"/>
          <w:szCs w:val="32"/>
        </w:rPr>
        <w:t>辆，其他用车</w:t>
      </w:r>
      <w:r>
        <w:rPr>
          <w:rFonts w:hint="eastAsia" w:eastAsia="仿宋_GB2312" w:cs="仿宋_GB2312"/>
          <w:sz w:val="32"/>
          <w:szCs w:val="32"/>
          <w:lang w:eastAsia="zh-CN"/>
        </w:rPr>
        <w:t>主要</w:t>
      </w:r>
      <w:r>
        <w:rPr>
          <w:rFonts w:hint="eastAsia" w:eastAsia="仿宋_GB2312" w:cs="仿宋_GB2312"/>
          <w:sz w:val="32"/>
          <w:szCs w:val="32"/>
        </w:rPr>
        <w:t>用于</w:t>
      </w:r>
      <w:r>
        <w:rPr>
          <w:rFonts w:hint="eastAsia" w:ascii="Times New Roman" w:hAnsi="Times New Roman" w:eastAsia="仿宋_GB2312" w:cs="仿宋_GB2312"/>
          <w:color w:val="auto"/>
          <w:kern w:val="2"/>
          <w:sz w:val="32"/>
          <w:szCs w:val="32"/>
          <w:highlight w:val="none"/>
          <w:lang w:val="en-US" w:eastAsia="zh-CN" w:bidi="ar-SA"/>
        </w:rPr>
        <w:t>保障联络处正常业务开展和运行。</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pPr>
        <w:spacing w:line="600" w:lineRule="exact"/>
        <w:ind w:firstLine="640"/>
        <w:rPr>
          <w:rFonts w:eastAsia="仿宋_GB2312" w:cs="仿宋_GB2312"/>
          <w:sz w:val="32"/>
          <w:szCs w:val="32"/>
        </w:rPr>
      </w:pP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eastAsia="zh-CN"/>
        </w:rPr>
        <w:t>攀枝花市人民政府驻北京联络处</w:t>
      </w:r>
      <w:r>
        <w:rPr>
          <w:rFonts w:hint="eastAsia" w:eastAsia="仿宋_GB2312" w:cs="仿宋_GB2312"/>
          <w:sz w:val="32"/>
          <w:szCs w:val="32"/>
        </w:rPr>
        <w:t>在2025年度，组织对</w:t>
      </w:r>
      <w:r>
        <w:rPr>
          <w:rFonts w:hint="eastAsia" w:eastAsia="仿宋_GB2312" w:cs="仿宋_GB2312"/>
          <w:sz w:val="32"/>
          <w:szCs w:val="32"/>
          <w:lang w:eastAsia="zh-CN"/>
        </w:rPr>
        <w:t>房屋租赁费、招商引资及信访维稳费、业务运行费</w:t>
      </w:r>
      <w:r>
        <w:rPr>
          <w:rFonts w:hint="eastAsia" w:eastAsia="仿宋_GB2312" w:cs="仿宋_GB2312"/>
          <w:sz w:val="32"/>
          <w:szCs w:val="32"/>
        </w:rPr>
        <w:t>等</w:t>
      </w:r>
      <w:r>
        <w:rPr>
          <w:rFonts w:hint="eastAsia" w:eastAsia="仿宋_GB2312" w:cs="仿宋_GB2312"/>
          <w:sz w:val="32"/>
          <w:szCs w:val="32"/>
          <w:lang w:val="en-US" w:eastAsia="zh-CN"/>
        </w:rPr>
        <w:t>3</w:t>
      </w:r>
      <w:r>
        <w:rPr>
          <w:rFonts w:hint="eastAsia" w:eastAsia="仿宋_GB2312" w:cs="仿宋_GB2312"/>
          <w:sz w:val="32"/>
          <w:szCs w:val="32"/>
        </w:rPr>
        <w:t>个项目涉及金额</w:t>
      </w:r>
      <w:r>
        <w:rPr>
          <w:rFonts w:hint="eastAsia" w:eastAsia="仿宋_GB2312" w:cs="仿宋_GB2312"/>
          <w:sz w:val="32"/>
          <w:szCs w:val="32"/>
          <w:lang w:val="en-US" w:eastAsia="zh-CN"/>
        </w:rPr>
        <w:t>81.5</w:t>
      </w:r>
      <w:r>
        <w:rPr>
          <w:rFonts w:hint="eastAsia" w:eastAsia="仿宋_GB2312" w:cs="仿宋_GB2312"/>
          <w:sz w:val="32"/>
          <w:szCs w:val="32"/>
        </w:rPr>
        <w:t>万元开展了事前绩效评估，对</w:t>
      </w:r>
      <w:r>
        <w:rPr>
          <w:rFonts w:hint="eastAsia" w:eastAsia="仿宋_GB2312" w:cs="仿宋_GB2312"/>
          <w:sz w:val="32"/>
          <w:szCs w:val="32"/>
          <w:lang w:val="en-US" w:eastAsia="zh-CN"/>
        </w:rPr>
        <w:t>3</w:t>
      </w:r>
      <w:r>
        <w:rPr>
          <w:rFonts w:hint="eastAsia" w:eastAsia="仿宋_GB2312" w:cs="仿宋_GB2312"/>
          <w:sz w:val="32"/>
          <w:szCs w:val="32"/>
        </w:rPr>
        <w:t>个项目编制了绩效目标</w:t>
      </w:r>
      <w:r>
        <w:rPr>
          <w:rFonts w:hint="eastAsia" w:eastAsia="仿宋_GB2312" w:cs="仿宋_GB2312"/>
          <w:sz w:val="32"/>
          <w:szCs w:val="32"/>
          <w:lang w:eastAsia="zh-CN"/>
        </w:rPr>
        <w:t>，在</w:t>
      </w:r>
      <w:r>
        <w:rPr>
          <w:rFonts w:hint="eastAsia" w:eastAsia="仿宋_GB2312" w:cs="仿宋_GB2312"/>
          <w:sz w:val="32"/>
          <w:szCs w:val="32"/>
        </w:rPr>
        <w:t>预算执行过程中，选取</w:t>
      </w:r>
      <w:r>
        <w:rPr>
          <w:rFonts w:hint="eastAsia" w:eastAsia="仿宋_GB2312" w:cs="仿宋_GB2312"/>
          <w:sz w:val="32"/>
          <w:szCs w:val="32"/>
          <w:lang w:val="en-US" w:eastAsia="zh-CN"/>
        </w:rPr>
        <w:t>46</w:t>
      </w:r>
      <w:r>
        <w:rPr>
          <w:rFonts w:hint="eastAsia" w:eastAsia="仿宋_GB2312" w:cs="仿宋_GB2312"/>
          <w:sz w:val="32"/>
          <w:szCs w:val="32"/>
        </w:rPr>
        <w:t>个项目开展绩效监控。</w:t>
      </w:r>
    </w:p>
    <w:p>
      <w:pPr>
        <w:spacing w:line="600" w:lineRule="exact"/>
        <w:ind w:firstLine="640"/>
        <w:rPr>
          <w:rFonts w:eastAsia="仿宋_GB2312" w:cs="仿宋_GB2312"/>
          <w:sz w:val="32"/>
          <w:szCs w:val="32"/>
        </w:rPr>
      </w:pPr>
      <w:r>
        <w:rPr>
          <w:rFonts w:hint="eastAsia" w:eastAsia="仿宋_GB2312" w:cs="仿宋_GB2312"/>
          <w:sz w:val="32"/>
          <w:szCs w:val="32"/>
        </w:rPr>
        <w:t>组织对2025年度一般公共预算全面开展绩效自评，形成</w:t>
      </w:r>
      <w:r>
        <w:rPr>
          <w:rFonts w:hint="eastAsia" w:eastAsia="仿宋_GB2312" w:cs="仿宋_GB2312"/>
          <w:sz w:val="32"/>
          <w:szCs w:val="32"/>
          <w:lang w:eastAsia="zh-CN"/>
        </w:rPr>
        <w:t>市政府驻北京联络处单位</w:t>
      </w:r>
      <w:r>
        <w:rPr>
          <w:rFonts w:hint="eastAsia" w:eastAsia="仿宋_GB2312" w:cs="仿宋_GB2312"/>
          <w:sz w:val="32"/>
          <w:szCs w:val="32"/>
        </w:rPr>
        <w:t>预算（含</w:t>
      </w:r>
      <w:r>
        <w:rPr>
          <w:rFonts w:hint="eastAsia" w:eastAsia="仿宋_GB2312" w:cs="仿宋_GB2312"/>
          <w:sz w:val="32"/>
          <w:szCs w:val="32"/>
          <w:lang w:eastAsia="zh-CN"/>
        </w:rPr>
        <w:t>单位</w:t>
      </w:r>
      <w:r>
        <w:rPr>
          <w:rFonts w:hint="eastAsia" w:eastAsia="仿宋_GB2312" w:cs="仿宋_GB2312"/>
          <w:sz w:val="32"/>
          <w:szCs w:val="32"/>
        </w:rPr>
        <w:t>预算项目）绩效自评报告，其中，</w:t>
      </w:r>
      <w:r>
        <w:rPr>
          <w:rFonts w:hint="eastAsia" w:eastAsia="仿宋_GB2312" w:cs="仿宋_GB2312"/>
          <w:sz w:val="32"/>
          <w:szCs w:val="32"/>
          <w:lang w:eastAsia="zh-CN"/>
        </w:rPr>
        <w:t>市政府驻北京联络处单位</w:t>
      </w:r>
      <w:r>
        <w:rPr>
          <w:rFonts w:hint="eastAsia" w:eastAsia="仿宋_GB2312" w:cs="仿宋_GB2312"/>
          <w:sz w:val="32"/>
          <w:szCs w:val="32"/>
        </w:rPr>
        <w:t>预算（含</w:t>
      </w:r>
      <w:r>
        <w:rPr>
          <w:rFonts w:hint="eastAsia" w:eastAsia="仿宋_GB2312" w:cs="仿宋_GB2312"/>
          <w:sz w:val="32"/>
          <w:szCs w:val="32"/>
          <w:lang w:eastAsia="zh-CN"/>
        </w:rPr>
        <w:t>单位</w:t>
      </w:r>
      <w:r>
        <w:rPr>
          <w:rFonts w:hint="eastAsia" w:eastAsia="仿宋_GB2312" w:cs="仿宋_GB2312"/>
          <w:sz w:val="32"/>
          <w:szCs w:val="32"/>
        </w:rPr>
        <w:t>预算项目）绩效自评得分为</w:t>
      </w:r>
      <w:r>
        <w:rPr>
          <w:rFonts w:hint="eastAsia" w:eastAsia="仿宋_GB2312" w:cs="仿宋_GB2312"/>
          <w:sz w:val="32"/>
          <w:szCs w:val="32"/>
          <w:lang w:val="en-US" w:eastAsia="zh-CN"/>
        </w:rPr>
        <w:t>96</w:t>
      </w:r>
      <w:r>
        <w:rPr>
          <w:rFonts w:hint="eastAsia" w:eastAsia="仿宋_GB2312" w:cs="仿宋_GB2312"/>
          <w:sz w:val="32"/>
          <w:szCs w:val="32"/>
        </w:rPr>
        <w:t>分。绩效自评报告详见附件。</w:t>
      </w:r>
    </w:p>
    <w:p>
      <w:pPr>
        <w:spacing w:line="600" w:lineRule="exact"/>
        <w:ind w:firstLine="640"/>
        <w:rPr>
          <w:rFonts w:eastAsia="仿宋_GB2312" w:cs="仿宋_GB2312"/>
          <w:sz w:val="32"/>
          <w:szCs w:val="32"/>
        </w:rPr>
      </w:pPr>
    </w:p>
    <w:p>
      <w:pPr>
        <w:spacing w:line="600" w:lineRule="exact"/>
        <w:jc w:val="center"/>
        <w:outlineLvl w:val="0"/>
        <w:rPr>
          <w:rFonts w:eastAsia="黑体"/>
          <w:sz w:val="44"/>
          <w:szCs w:val="44"/>
        </w:rPr>
      </w:pPr>
      <w:bookmarkStart w:id="49" w:name="_Toc15396613"/>
      <w:bookmarkStart w:id="50" w:name="_Toc15377225"/>
      <w:r>
        <w:rPr>
          <w:rFonts w:hint="eastAsia" w:eastAsia="黑体"/>
          <w:sz w:val="44"/>
          <w:szCs w:val="44"/>
        </w:rPr>
        <w:t>第三部分  名词解释</w:t>
      </w:r>
      <w:bookmarkEnd w:id="49"/>
      <w:bookmarkEnd w:id="50"/>
    </w:p>
    <w:p>
      <w:pPr>
        <w:spacing w:line="600" w:lineRule="exact"/>
        <w:jc w:val="left"/>
        <w:rPr>
          <w:b/>
          <w:sz w:val="44"/>
          <w:szCs w:val="44"/>
        </w:rPr>
      </w:pPr>
    </w:p>
    <w:p>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pPr>
        <w:spacing w:line="600" w:lineRule="exact"/>
        <w:ind w:firstLine="640"/>
        <w:rPr>
          <w:rFonts w:hint="eastAsia"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pPr>
        <w:spacing w:line="600" w:lineRule="exact"/>
        <w:ind w:firstLine="640"/>
        <w:rPr>
          <w:rFonts w:eastAsia="仿宋_GB2312" w:cs="仿宋_GB2312"/>
          <w:sz w:val="32"/>
          <w:szCs w:val="32"/>
        </w:rPr>
      </w:pPr>
      <w:r>
        <w:rPr>
          <w:rFonts w:hint="eastAsia" w:eastAsia="仿宋_GB2312" w:cs="仿宋_GB2312"/>
          <w:sz w:val="32"/>
          <w:szCs w:val="32"/>
        </w:rPr>
        <w:t xml:space="preserve">4.其他收入：指单位取得的除上述收入以外的各项收入。 </w:t>
      </w:r>
    </w:p>
    <w:p>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9.一般公共服务（类）</w:t>
      </w:r>
      <w:r>
        <w:rPr>
          <w:rFonts w:hint="eastAsia" w:eastAsia="仿宋_GB2312" w:cs="仿宋_GB2312"/>
          <w:sz w:val="32"/>
          <w:szCs w:val="32"/>
          <w:lang w:eastAsia="zh-CN"/>
        </w:rPr>
        <w:t>人大事务</w:t>
      </w:r>
      <w:r>
        <w:rPr>
          <w:rFonts w:hint="eastAsia" w:eastAsia="仿宋_GB2312" w:cs="仿宋_GB2312"/>
          <w:sz w:val="32"/>
          <w:szCs w:val="32"/>
        </w:rPr>
        <w:t>（款）</w:t>
      </w:r>
      <w:r>
        <w:rPr>
          <w:rFonts w:hint="eastAsia" w:eastAsia="仿宋_GB2312" w:cs="仿宋_GB2312"/>
          <w:sz w:val="32"/>
          <w:szCs w:val="32"/>
          <w:lang w:eastAsia="zh-CN"/>
        </w:rPr>
        <w:t>机关服务</w:t>
      </w:r>
      <w:r>
        <w:rPr>
          <w:rFonts w:hint="eastAsia" w:eastAsia="仿宋_GB2312" w:cs="仿宋_GB2312"/>
          <w:sz w:val="32"/>
          <w:szCs w:val="32"/>
        </w:rPr>
        <w:t>（项）：指</w:t>
      </w:r>
      <w:r>
        <w:rPr>
          <w:rFonts w:hint="eastAsia" w:eastAsia="仿宋_GB2312" w:cs="仿宋_GB2312"/>
          <w:sz w:val="32"/>
          <w:szCs w:val="32"/>
          <w:lang w:eastAsia="zh-CN"/>
        </w:rPr>
        <w:t>行政单位部分基本支出（科目使用错误，未及时调整）。</w:t>
      </w:r>
    </w:p>
    <w:p>
      <w:pPr>
        <w:spacing w:line="600" w:lineRule="exact"/>
        <w:ind w:firstLine="640"/>
        <w:rPr>
          <w:rFonts w:eastAsia="仿宋_GB2312" w:cs="仿宋_GB2312"/>
          <w:sz w:val="32"/>
          <w:szCs w:val="32"/>
        </w:rPr>
      </w:pPr>
      <w:r>
        <w:rPr>
          <w:rFonts w:hint="eastAsia" w:eastAsia="仿宋_GB2312" w:cs="仿宋_GB2312"/>
          <w:sz w:val="32"/>
          <w:szCs w:val="32"/>
        </w:rPr>
        <w:t>10.</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一般公共服务（类）政府办公厅（室）及相关机构事务（款）行政运行（项）：指行政单位的基本支出。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11.</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一般公共服务（类）政府办公厅（室）及相关机构事务（款）一般行政管理事务（项）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指行政单位未单独设置项级科目的其他项目支出。</w:t>
      </w:r>
    </w:p>
    <w:p>
      <w:pPr>
        <w:spacing w:line="600" w:lineRule="exact"/>
        <w:ind w:firstLine="640"/>
        <w:rPr>
          <w:rFonts w:eastAsia="仿宋_GB2312" w:cs="仿宋_GB2312"/>
          <w:sz w:val="32"/>
          <w:szCs w:val="32"/>
        </w:rPr>
      </w:pPr>
      <w:r>
        <w:rPr>
          <w:rFonts w:hint="eastAsia" w:eastAsia="仿宋_GB2312" w:cs="仿宋_GB2312"/>
          <w:sz w:val="32"/>
          <w:szCs w:val="32"/>
        </w:rPr>
        <w:t>12.</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一般公共服务（类）政府办公厅（室）及相关机构事务（款）事业运行（项）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指事业单位基本支出。</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sz w:val="32"/>
          <w:szCs w:val="32"/>
        </w:rPr>
        <w:t>13.</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社会保障和就业（类）行政事业单位离退休（款）行政单位离退休（项）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 xml:space="preserve"> 指行政事业单位开支的离退休支出。</w:t>
      </w:r>
      <w:r>
        <w:rPr>
          <w:rFonts w:hint="eastAsia" w:eastAsia="仿宋_GB2312" w:cs="仿宋_GB2312"/>
          <w:color w:val="auto"/>
          <w:kern w:val="2"/>
          <w:sz w:val="32"/>
          <w:szCs w:val="32"/>
          <w:highlight w:val="none"/>
          <w:lang w:val="en-US" w:eastAsia="zh-CN" w:bidi="ar-SA"/>
        </w:rPr>
        <w:t xml:space="preserve">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14.</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社会保障和就业（类）行政事业单位离退休（款）机关事业单位基本养老保险缴费支出（项）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指机关事业单位实施养老保险制度由单位缴纳的基本养老保险费支出。</w:t>
      </w:r>
    </w:p>
    <w:p>
      <w:pPr>
        <w:spacing w:line="600" w:lineRule="exact"/>
        <w:ind w:firstLine="640"/>
        <w:rPr>
          <w:rFonts w:eastAsia="仿宋_GB2312" w:cs="仿宋_GB2312"/>
          <w:sz w:val="32"/>
          <w:szCs w:val="32"/>
        </w:rPr>
      </w:pPr>
      <w:r>
        <w:rPr>
          <w:rFonts w:hint="eastAsia" w:eastAsia="仿宋_GB2312" w:cs="仿宋_GB2312"/>
          <w:sz w:val="32"/>
          <w:szCs w:val="32"/>
        </w:rPr>
        <w:t>15.</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卫生健康支出（类）行政事业单位医疗（款）行政单位医疗（项）：指本单位行政机关按规定缴纳的基本医疗保险支出。</w:t>
      </w:r>
    </w:p>
    <w:p>
      <w:pPr>
        <w:spacing w:line="600" w:lineRule="exact"/>
        <w:ind w:firstLine="640"/>
        <w:rPr>
          <w:rFonts w:eastAsia="仿宋_GB2312" w:cs="仿宋_GB2312"/>
          <w:sz w:val="32"/>
          <w:szCs w:val="32"/>
        </w:rPr>
      </w:pPr>
      <w:r>
        <w:rPr>
          <w:rFonts w:hint="eastAsia" w:eastAsia="仿宋_GB2312" w:cs="仿宋_GB2312"/>
          <w:sz w:val="32"/>
          <w:szCs w:val="32"/>
        </w:rPr>
        <w:t>16.</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卫生健康支出（类）行政事业单位医疗（款）事业单位医疗（项）：指本单位下属事业单位按规定缴纳的基本医疗保险支出。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17.</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卫生健康支出（类）行政事业单位医疗（款）公务员医疗补助（项）：指本单位行政机关缴纳的公务员医疗补助支出。</w:t>
      </w:r>
    </w:p>
    <w:p>
      <w:pPr>
        <w:spacing w:line="600" w:lineRule="exact"/>
        <w:ind w:firstLine="640"/>
        <w:rPr>
          <w:rFonts w:eastAsia="仿宋_GB2312" w:cs="仿宋_GB2312"/>
          <w:sz w:val="32"/>
          <w:szCs w:val="32"/>
        </w:rPr>
      </w:pPr>
      <w:r>
        <w:rPr>
          <w:rFonts w:hint="eastAsia" w:eastAsia="仿宋_GB2312" w:cs="仿宋_GB2312"/>
          <w:sz w:val="32"/>
          <w:szCs w:val="32"/>
        </w:rPr>
        <w:t>18.</w:t>
      </w:r>
      <w:r>
        <w:rPr>
          <w:rFonts w:hint="eastAsia" w:ascii="Times New Roman" w:hAnsi="Times New Roman" w:eastAsia="仿宋_GB2312" w:cs="仿宋_GB2312"/>
          <w:color w:val="auto"/>
          <w:kern w:val="2"/>
          <w:sz w:val="32"/>
          <w:szCs w:val="32"/>
          <w:highlight w:val="none"/>
          <w:lang w:val="en-US" w:eastAsia="zh-CN" w:bidi="ar-SA"/>
        </w:rPr>
        <w:t>住房保障支出（类）住房改革支出（款）住房公积金（项）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指行政事业单位按相关规定及比例为职工缴纳的住房公积金。</w:t>
      </w:r>
    </w:p>
    <w:p>
      <w:pPr>
        <w:spacing w:line="600" w:lineRule="exact"/>
        <w:ind w:firstLine="640"/>
        <w:rPr>
          <w:rFonts w:eastAsia="仿宋_GB2312" w:cs="仿宋_GB2312"/>
          <w:sz w:val="32"/>
          <w:szCs w:val="32"/>
        </w:rPr>
      </w:pPr>
      <w:r>
        <w:rPr>
          <w:rFonts w:hint="eastAsia" w:eastAsia="仿宋_GB2312" w:cs="仿宋_GB2312"/>
          <w:sz w:val="32"/>
          <w:szCs w:val="32"/>
        </w:rPr>
        <w:t>19.</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spacing w:line="600" w:lineRule="exact"/>
        <w:ind w:firstLine="640"/>
        <w:rPr>
          <w:rFonts w:eastAsia="仿宋_GB2312" w:cs="仿宋_GB2312"/>
          <w:sz w:val="32"/>
          <w:szCs w:val="32"/>
        </w:rPr>
      </w:pPr>
      <w:r>
        <w:rPr>
          <w:rFonts w:hint="eastAsia" w:eastAsia="仿宋_GB2312" w:cs="仿宋_GB2312"/>
          <w:sz w:val="32"/>
          <w:szCs w:val="32"/>
        </w:rPr>
        <w:t xml:space="preserve">20.项目支出：指在基本支出之外为完成特定行政任务和事业发展目标所发生的支出。 </w:t>
      </w:r>
    </w:p>
    <w:p>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lang w:val="en-US" w:eastAsia="zh-CN"/>
        </w:rPr>
        <w:t>1</w:t>
      </w:r>
      <w:r>
        <w:rPr>
          <w:rFonts w:hint="eastAsia" w:eastAsia="仿宋_GB2312" w:cs="仿宋_GB2312"/>
          <w:sz w:val="32"/>
          <w:szCs w:val="32"/>
        </w:rPr>
        <w:t>.经营支出：指事业单位在专业业务活动及其辅助活动之外开展非独立核算经营活动发生的支出。</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22</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23</w:t>
      </w: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8"/>
          <w:rFonts w:eastAsia="黑体"/>
          <w:b w:val="0"/>
        </w:rPr>
      </w:pPr>
      <w:bookmarkStart w:id="51" w:name="_Toc15377226"/>
      <w:r>
        <w:rPr>
          <w:rFonts w:hint="eastAsia" w:eastAsia="仿宋_GB2312" w:cs="仿宋_GB2312"/>
          <w:sz w:val="32"/>
          <w:szCs w:val="32"/>
        </w:rPr>
        <w:br w:type="page"/>
      </w:r>
      <w:bookmarkStart w:id="52" w:name="_Toc15396614"/>
      <w:r>
        <w:rPr>
          <w:rFonts w:hint="eastAsia" w:eastAsia="黑体"/>
          <w:sz w:val="44"/>
          <w:szCs w:val="44"/>
        </w:rPr>
        <w:t>第四部分  附件</w:t>
      </w:r>
      <w:bookmarkEnd w:id="52"/>
    </w:p>
    <w:p>
      <w:pPr>
        <w:spacing w:line="572" w:lineRule="exact"/>
        <w:jc w:val="left"/>
        <w:outlineLvl w:val="0"/>
        <w:rPr>
          <w:rFonts w:eastAsia="黑体" w:cs="黑体"/>
          <w:color w:val="FF0000"/>
          <w:sz w:val="32"/>
          <w:szCs w:val="32"/>
        </w:rPr>
      </w:pPr>
    </w:p>
    <w:p>
      <w:pPr>
        <w:pStyle w:val="13"/>
      </w:pPr>
    </w:p>
    <w:p>
      <w:pPr>
        <w:widowControl/>
        <w:spacing w:line="578" w:lineRule="exact"/>
        <w:contextualSpacing/>
        <w:jc w:val="center"/>
        <w:rPr>
          <w:rFonts w:eastAsia="方正小标宋简体"/>
          <w:bCs/>
          <w:sz w:val="44"/>
          <w:szCs w:val="44"/>
          <w:shd w:val="clear" w:color="auto" w:fill="FFFFFF"/>
        </w:rPr>
      </w:pPr>
    </w:p>
    <w:p>
      <w:pPr>
        <w:widowControl/>
        <w:spacing w:line="578" w:lineRule="exact"/>
        <w:contextualSpacing/>
        <w:jc w:val="center"/>
        <w:rPr>
          <w:rFonts w:hint="eastAsia" w:eastAsia="方正小标宋简体"/>
          <w:bCs/>
          <w:sz w:val="44"/>
          <w:szCs w:val="44"/>
          <w:shd w:val="clear" w:color="auto" w:fill="FFFFFF"/>
        </w:rPr>
      </w:pPr>
      <w:r>
        <w:rPr>
          <w:rFonts w:hint="eastAsia" w:eastAsia="方正小标宋简体"/>
          <w:bCs/>
          <w:sz w:val="44"/>
          <w:szCs w:val="44"/>
          <w:shd w:val="clear" w:color="auto" w:fill="FFFFFF"/>
        </w:rPr>
        <w:t>攀枝花市人民政府驻北京联络处</w:t>
      </w:r>
    </w:p>
    <w:p>
      <w:pPr>
        <w:widowControl/>
        <w:spacing w:line="578" w:lineRule="exact"/>
        <w:contextualSpacing/>
        <w:jc w:val="center"/>
        <w:rPr>
          <w:rFonts w:eastAsia="仿宋_GB2312"/>
          <w:sz w:val="32"/>
          <w:szCs w:val="32"/>
          <w:shd w:val="clear" w:color="auto" w:fill="FFFFFF"/>
        </w:rPr>
      </w:pPr>
      <w:r>
        <w:rPr>
          <w:rFonts w:hint="eastAsia" w:eastAsia="方正小标宋简体"/>
          <w:bCs/>
          <w:sz w:val="44"/>
          <w:szCs w:val="44"/>
          <w:shd w:val="clear" w:color="auto" w:fill="FFFFFF"/>
        </w:rPr>
        <w:t>2025年部门预算绩效</w:t>
      </w:r>
      <w:r>
        <w:rPr>
          <w:rFonts w:hint="eastAsia" w:eastAsia="方正小标宋简体"/>
          <w:bCs/>
          <w:sz w:val="44"/>
          <w:szCs w:val="44"/>
          <w:shd w:val="clear" w:color="auto" w:fill="FFFFFF"/>
          <w:lang w:eastAsia="zh-CN"/>
        </w:rPr>
        <w:t>评价</w:t>
      </w:r>
      <w:r>
        <w:rPr>
          <w:rFonts w:hint="eastAsia" w:eastAsia="方正小标宋简体"/>
          <w:bCs/>
          <w:sz w:val="44"/>
          <w:szCs w:val="44"/>
          <w:shd w:val="clear" w:color="auto" w:fill="FFFFFF"/>
        </w:rPr>
        <w:t>报告</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widowControl/>
        <w:adjustRightInd w:val="0"/>
        <w:snapToGrid w:val="0"/>
        <w:spacing w:line="578" w:lineRule="exact"/>
        <w:ind w:firstLine="642" w:firstLineChars="200"/>
        <w:contextualSpacing/>
        <w:jc w:val="left"/>
        <w:rPr>
          <w:szCs w:val="32"/>
        </w:rPr>
      </w:pPr>
      <w:r>
        <w:rPr>
          <w:rFonts w:hint="eastAsia" w:eastAsia="楷体_GB2312" w:cs="楷体_GB2312"/>
          <w:b/>
          <w:sz w:val="32"/>
          <w:szCs w:val="32"/>
          <w:lang w:val="zh-CN"/>
        </w:rPr>
        <w:t>（一）</w:t>
      </w:r>
      <w:r>
        <w:rPr>
          <w:rFonts w:eastAsia="楷体_GB2312" w:cs="楷体_GB2312"/>
          <w:b/>
          <w:sz w:val="32"/>
          <w:szCs w:val="32"/>
          <w:lang w:val="zh-CN"/>
        </w:rPr>
        <w:t>机构组成。</w:t>
      </w:r>
      <w:r>
        <w:rPr>
          <w:rFonts w:hint="eastAsia" w:eastAsia="仿宋_GB2312" w:cs="仿宋_GB2312"/>
          <w:sz w:val="32"/>
          <w:szCs w:val="32"/>
        </w:rPr>
        <w:t>攀枝花市人民政府驻北京联络处内设综合科及联络科两个科室，下属财务不独立公益一类事业单位1个。</w:t>
      </w:r>
    </w:p>
    <w:p>
      <w:pPr>
        <w:widowControl/>
        <w:adjustRightInd w:val="0"/>
        <w:snapToGrid w:val="0"/>
        <w:spacing w:line="578" w:lineRule="exact"/>
        <w:ind w:firstLine="642" w:firstLineChars="200"/>
        <w:contextualSpacing/>
        <w:jc w:val="left"/>
        <w:rPr>
          <w:rFonts w:hint="eastAsia" w:eastAsia="仿宋_GB2312" w:cs="仿宋_GB2312"/>
          <w:b/>
          <w:bCs/>
          <w:color w:val="000000"/>
          <w:kern w:val="0"/>
          <w:sz w:val="32"/>
          <w:szCs w:val="32"/>
          <w:shd w:val="clear" w:color="auto" w:fill="FFFFFF"/>
          <w:lang w:val="zh-CN"/>
        </w:rPr>
      </w:pPr>
      <w:r>
        <w:rPr>
          <w:rFonts w:eastAsia="楷体_GB2312" w:cs="楷体_GB2312"/>
          <w:b/>
          <w:sz w:val="32"/>
          <w:szCs w:val="32"/>
          <w:lang w:val="zh-CN"/>
        </w:rPr>
        <w:t>（二）机构职能</w:t>
      </w:r>
      <w:r>
        <w:rPr>
          <w:rFonts w:hint="eastAsia" w:eastAsia="楷体_GB2312" w:cs="楷体_GB2312"/>
          <w:b/>
          <w:sz w:val="32"/>
          <w:szCs w:val="32"/>
          <w:lang w:val="zh-CN"/>
        </w:rPr>
        <w:t>。</w:t>
      </w:r>
      <w:r>
        <w:rPr>
          <w:rFonts w:hint="eastAsia" w:eastAsia="仿宋_GB2312" w:cs="仿宋_GB2312"/>
          <w:sz w:val="32"/>
          <w:szCs w:val="32"/>
        </w:rPr>
        <w:t>根据《攀枝花市人民政府办公室　关于印发攀枝花市人民政府驻北京联络处主要职责内设机构和人员编制规定的通知》（攀办发﹝2011﹞46号），攀枝花市人民政府驻北京联络处主要职责为：1、负责与中央国家机关和相关驻京机构的联络。2、开展宣传、联络、协调、信息收集与传递工作，为市委、市政府决策提供参考。3、开展招商引资和区域间经济、技术、人才、文化交流与合作。4、承担有关接待工作，为市级部门、县（区）、企事业单位以及基层组织、社会组织和人民群众在京活动提供服务。5、协助做好我市在京流动党员教育管理服务工作，配合做好维护首都稳定的有关工作。6、负责对联络处的国有资产进行监督管理。7、承办市委、市政府和主管部门交办的其它工作。</w:t>
      </w:r>
    </w:p>
    <w:p>
      <w:pPr>
        <w:spacing w:line="600" w:lineRule="exact"/>
        <w:ind w:firstLine="642" w:firstLineChars="200"/>
        <w:rPr>
          <w:rFonts w:eastAsia="仿宋_GB2312"/>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r>
        <w:rPr>
          <w:rFonts w:hint="eastAsia" w:eastAsia="仿宋_GB2312"/>
          <w:sz w:val="32"/>
          <w:szCs w:val="32"/>
        </w:rPr>
        <w:t>截至2025年末，市政府驻北京联络处及下属单位编制情况为：行政编制4人，工勤编制2人，事业编制2人。年末实有人数情况为：行政人员4人，86号文聘用工勤编制人员1人，事业人员1人。</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pPr>
        <w:widowControl/>
        <w:adjustRightInd w:val="0"/>
        <w:snapToGrid w:val="0"/>
        <w:spacing w:line="578" w:lineRule="exact"/>
        <w:ind w:firstLine="642" w:firstLineChars="200"/>
        <w:contextualSpacing/>
        <w:jc w:val="left"/>
        <w:rPr>
          <w:rFonts w:hint="eastAsia" w:eastAsia="仿宋_GB2312" w:cs="仿宋_GB2312"/>
          <w:sz w:val="32"/>
          <w:szCs w:val="32"/>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hint="eastAsia" w:eastAsia="仿宋_GB2312" w:cs="仿宋_GB2312"/>
          <w:sz w:val="32"/>
          <w:szCs w:val="32"/>
        </w:rPr>
        <w:t>市政府驻北京联络处2025年年初预算收入220.42万元、决算报表收入234.38万元。</w:t>
      </w:r>
    </w:p>
    <w:p>
      <w:pPr>
        <w:widowControl/>
        <w:adjustRightInd w:val="0"/>
        <w:snapToGrid w:val="0"/>
        <w:spacing w:line="578" w:lineRule="exact"/>
        <w:ind w:firstLine="642" w:firstLineChars="200"/>
        <w:contextualSpacing/>
        <w:jc w:val="left"/>
        <w:rPr>
          <w:szCs w:val="32"/>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hint="eastAsia" w:eastAsia="仿宋_GB2312" w:cs="仿宋_GB2312"/>
          <w:sz w:val="32"/>
          <w:szCs w:val="32"/>
        </w:rPr>
        <w:t>市政府驻北京联络处2025年年初预算支出为220.42万元、决算报表支出234.38万元，主要包括联络处人员支出，含职工基本工资、津贴补贴、绩效工资等工资性支出；确保养老保险、医疗保险、失业保险、住房公积金等按期足额缴纳；保障联络处日常工作高效运转、各项业务任务圆满完成；承担房屋租赁费用，为驻京工作人员提供固定的生活与办公居住场所；为攀枝花在京开展宣传推介、招商引资、招才引智、服务联络以及协助维护首都社会稳定等工作提供坚实支撑，充分展示攀枝花发展成效，着力打造攀枝花在京形象展示的重要窗口。</w:t>
      </w:r>
    </w:p>
    <w:p>
      <w:pPr>
        <w:widowControl/>
        <w:adjustRightInd w:val="0"/>
        <w:snapToGrid w:val="0"/>
        <w:spacing w:line="578" w:lineRule="exact"/>
        <w:ind w:firstLine="642" w:firstLineChars="200"/>
        <w:contextualSpacing/>
        <w:jc w:val="left"/>
        <w:rPr>
          <w:rFonts w:hint="eastAsia" w:eastAsia="仿宋_GB2312" w:cs="仿宋_GB2312"/>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r>
        <w:rPr>
          <w:rFonts w:hint="eastAsia" w:eastAsia="仿宋_GB2312" w:cs="仿宋_GB2312"/>
          <w:sz w:val="32"/>
          <w:szCs w:val="32"/>
        </w:rPr>
        <w:t>市政府驻北京联络处2025年决算报表无结转结余。</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pPr>
        <w:adjustRightInd w:val="0"/>
        <w:snapToGrid w:val="0"/>
        <w:spacing w:line="578" w:lineRule="exact"/>
        <w:ind w:firstLine="642"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履职效能。一是持续强化联络处对外联络平台功能，积极做好攀枝花在京宣传推介、对外联络等服务保障工作，为我市争取更多支持与帮助；二是全力服务攀枝花在京招商引资、招才引智等工作，助力全市经济社会高质量发展；三是积极协助做好驻京信访维稳相关工作，牢牢守住“三个不发生”工作底线，维护首都和谐稳定大局。</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2.</w:t>
      </w:r>
      <w:r>
        <w:rPr>
          <w:rFonts w:eastAsia="仿宋_GB2312" w:cs="仿宋_GB2312"/>
          <w:sz w:val="32"/>
          <w:szCs w:val="32"/>
          <w:lang w:val="zh-CN"/>
        </w:rPr>
        <w:t>预算管理</w:t>
      </w:r>
      <w:r>
        <w:rPr>
          <w:rFonts w:hint="eastAsia" w:eastAsia="仿宋_GB2312" w:cs="仿宋_GB2312"/>
          <w:sz w:val="32"/>
          <w:szCs w:val="32"/>
          <w:lang w:val="zh-CN"/>
        </w:rPr>
        <w:t>。市政府驻北京联络处预算编制质量较高，收入统筹规范有序，支出执行进度基本达到预期，年度预算执行无结余，一般性支出管控严格。</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r>
        <w:rPr>
          <w:rFonts w:hint="eastAsia" w:eastAsia="仿宋_GB2312" w:cs="仿宋_GB2312"/>
          <w:sz w:val="32"/>
          <w:szCs w:val="32"/>
          <w:lang w:val="zh-CN"/>
        </w:rPr>
        <w:t>。人员类、运转类、特定目标类各项预算目标均基本完成，严格落实内部管理与支出管控要求，及时做好资金处置与调整工作，预算执行总体符合预期进度，全年无资金结余及违规使用情况。</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4.</w:t>
      </w:r>
      <w:r>
        <w:rPr>
          <w:rFonts w:eastAsia="仿宋_GB2312" w:cs="仿宋_GB2312"/>
          <w:sz w:val="32"/>
          <w:szCs w:val="32"/>
          <w:lang w:val="zh-CN"/>
        </w:rPr>
        <w:t>资产管理</w:t>
      </w:r>
      <w:r>
        <w:rPr>
          <w:rFonts w:hint="eastAsia" w:eastAsia="仿宋_GB2312" w:cs="仿宋_GB2312"/>
          <w:sz w:val="32"/>
          <w:szCs w:val="32"/>
          <w:lang w:val="zh-CN"/>
        </w:rPr>
        <w:t>。市政府驻北京联络处因年中调入1人，人均资产变化率较2024年减少、资产利用率较高、没有闲置或低效状态资产。</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5.</w:t>
      </w:r>
      <w:r>
        <w:rPr>
          <w:rFonts w:eastAsia="仿宋_GB2312" w:cs="仿宋_GB2312"/>
          <w:sz w:val="32"/>
          <w:szCs w:val="32"/>
          <w:lang w:val="zh-CN"/>
        </w:rPr>
        <w:t>采购管理</w:t>
      </w:r>
      <w:r>
        <w:rPr>
          <w:rFonts w:hint="eastAsia" w:eastAsia="仿宋_GB2312" w:cs="仿宋_GB2312"/>
          <w:sz w:val="32"/>
          <w:szCs w:val="32"/>
          <w:lang w:val="zh-CN"/>
        </w:rPr>
        <w:t>。市政府驻北京联络处2025年度无采购计划和支出。</w:t>
      </w:r>
    </w:p>
    <w:p>
      <w:pPr>
        <w:adjustRightInd w:val="0"/>
        <w:snapToGrid w:val="0"/>
        <w:spacing w:line="578" w:lineRule="exact"/>
        <w:ind w:firstLine="642"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常年项目绩效分析。</w:t>
      </w:r>
      <w:r>
        <w:rPr>
          <w:rFonts w:hint="eastAsia" w:eastAsia="仿宋_GB2312" w:cs="仿宋_GB2312"/>
          <w:sz w:val="32"/>
          <w:szCs w:val="32"/>
          <w:lang w:val="zh-CN"/>
        </w:rPr>
        <w:t>该类项目总数2个，涉及预算总金额50万元，1—12月预算执行总体进度为100%，其中：预算结余率大于10%的项目共计0个。</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eastAsia="仿宋_GB2312" w:cs="仿宋_GB2312"/>
          <w:sz w:val="32"/>
          <w:szCs w:val="32"/>
        </w:rPr>
        <w:t>阶段</w:t>
      </w:r>
      <w:r>
        <w:rPr>
          <w:rFonts w:hint="eastAsia" w:eastAsia="仿宋_GB2312" w:cs="仿宋_GB2312"/>
          <w:sz w:val="32"/>
          <w:szCs w:val="32"/>
        </w:rPr>
        <w:t>（</w:t>
      </w:r>
      <w:r>
        <w:rPr>
          <w:rFonts w:eastAsia="仿宋_GB2312" w:cs="仿宋_GB2312"/>
          <w:sz w:val="32"/>
          <w:szCs w:val="32"/>
        </w:rPr>
        <w:t>一次性</w:t>
      </w:r>
      <w:r>
        <w:rPr>
          <w:rFonts w:hint="eastAsia" w:eastAsia="仿宋_GB2312" w:cs="仿宋_GB2312"/>
          <w:sz w:val="32"/>
          <w:szCs w:val="32"/>
        </w:rPr>
        <w:t>）</w:t>
      </w:r>
      <w:r>
        <w:rPr>
          <w:rFonts w:eastAsia="仿宋_GB2312" w:cs="仿宋_GB2312"/>
          <w:sz w:val="32"/>
          <w:szCs w:val="32"/>
        </w:rPr>
        <w:t>项目绩效分析。</w:t>
      </w:r>
      <w:r>
        <w:rPr>
          <w:rFonts w:hint="eastAsia" w:eastAsia="仿宋_GB2312" w:cs="仿宋_GB2312"/>
          <w:sz w:val="32"/>
          <w:szCs w:val="32"/>
          <w:lang w:val="zh-CN"/>
        </w:rPr>
        <w:t>该类项目总数1个，涉及预算总金额31.50万元，1—12月预算执行总体进度为100%，其中：预算结余率大于10%的项目共计0个。</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项目决策。2025年度，联络处严格按照相关规定和工作要求，科学设定项目预算目标，坚持集体决策，在市财政相关科室的指导支持下顺利完成项目入库工作，高质量完成年度部门预决算编制、上报及信息公开等各项任务。</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2.项目执行</w:t>
      </w:r>
      <w:r>
        <w:rPr>
          <w:rFonts w:hint="eastAsia" w:eastAsia="仿宋_GB2312" w:cs="仿宋_GB2312"/>
          <w:sz w:val="32"/>
          <w:szCs w:val="32"/>
          <w:lang w:val="zh-CN"/>
        </w:rPr>
        <w:t>。在市财政相关科室的专业指导下，市政府驻北京联络处在年度部门预算绩效目标执行过程中，严格按照规定规范完成资金申报与使用工作。坚持财政资金事前评估、报备及使用全流程管理，不断健全资金管理与内部控制机制，切实保障资金安全规范运行，基础数据信息及会计资料真实、完整、准确。</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3.</w:t>
      </w:r>
      <w:r>
        <w:rPr>
          <w:rFonts w:hint="eastAsia" w:eastAsia="仿宋_GB2312" w:cs="仿宋_GB2312"/>
          <w:sz w:val="32"/>
          <w:szCs w:val="32"/>
          <w:lang w:val="zh-CN"/>
        </w:rPr>
        <w:t>目标实现。市政府驻北京联络处严格按照市财政局相关要求，规范开展财政资金统一制定、申报与使用管理工作，持续强化经费审批把关与日常监督管控，从严控制各类经费支出。部门年度项目经费实际支出与调整后预算执行率达100%，年度各项既定目标任务全面完成。</w:t>
      </w:r>
    </w:p>
    <w:p>
      <w:pPr>
        <w:adjustRightInd w:val="0"/>
        <w:snapToGrid w:val="0"/>
        <w:spacing w:line="578" w:lineRule="exact"/>
        <w:ind w:firstLine="640" w:firstLineChars="200"/>
        <w:contextualSpacing/>
        <w:rPr>
          <w:rFonts w:hint="eastAsia" w:eastAsia="仿宋_GB2312" w:cs="仿宋_GB2312"/>
          <w:sz w:val="32"/>
          <w:szCs w:val="32"/>
        </w:rPr>
      </w:pPr>
      <w:r>
        <w:rPr>
          <w:rFonts w:hint="eastAsia" w:eastAsia="仿宋_GB2312" w:cs="仿宋_GB2312"/>
          <w:sz w:val="32"/>
          <w:szCs w:val="32"/>
        </w:rPr>
        <w:t>市政府驻北京联络处2025年度一般公共预算绩效目标完成率为100%，没有政府性基金预算、国有资本经营预算安排的常年项目、阶段项目以及债券资金、政府购买服务等情况。</w:t>
      </w:r>
    </w:p>
    <w:p>
      <w:pPr>
        <w:adjustRightInd w:val="0"/>
        <w:snapToGrid w:val="0"/>
        <w:spacing w:line="578" w:lineRule="exact"/>
        <w:ind w:firstLine="642"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hint="eastAsia" w:eastAsia="仿宋_GB2312" w:cs="仿宋_GB2312"/>
          <w:sz w:val="32"/>
          <w:szCs w:val="32"/>
          <w:lang w:val="zh-CN"/>
        </w:rPr>
        <w:t>联络处严格按照市财政局相关科室要求对预决算及绩效信息进行公开，但因没有公共外网，故联络处没有自行公开部门绩效目标和部门绩效评估报告，应用反馈较好。</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pPr>
        <w:widowControl/>
        <w:adjustRightInd w:val="0"/>
        <w:snapToGrid w:val="0"/>
        <w:spacing w:line="578" w:lineRule="exact"/>
        <w:ind w:firstLine="642" w:firstLineChars="200"/>
        <w:contextualSpacing/>
        <w:jc w:val="left"/>
        <w:rPr>
          <w:rFonts w:eastAsia="仿宋_GB2312"/>
          <w:sz w:val="32"/>
          <w:szCs w:val="32"/>
          <w:lang w:bidi="ar"/>
        </w:rPr>
      </w:pPr>
      <w:r>
        <w:rPr>
          <w:rFonts w:eastAsia="楷体_GB2312"/>
          <w:b/>
          <w:bCs/>
          <w:color w:val="000000"/>
          <w:kern w:val="0"/>
          <w:sz w:val="32"/>
          <w:szCs w:val="32"/>
          <w:shd w:val="clear" w:color="auto" w:fill="FFFFFF"/>
          <w:lang w:val="zh-CN"/>
        </w:rPr>
        <w:t>（一）评价结论。</w:t>
      </w:r>
      <w:r>
        <w:rPr>
          <w:rFonts w:hint="eastAsia" w:eastAsia="仿宋_GB2312"/>
          <w:sz w:val="32"/>
          <w:szCs w:val="32"/>
          <w:lang w:bidi="ar"/>
        </w:rPr>
        <w:t>一是基础管理责任压实。领导高度重视，专门安排专人负责预算绩效管理工作，其他人员积极协同配合，切实做到责任到人、工作做细做实；二是绩效评估管理严格。严格按照市财政局相关要求，在规定时限内高质量完成年度绩效目标编制与申报工作；三是绩效监控管理精细。按规范要求编报绩效目标，扎实开展事中绩效运行监控，落实每月部门项目执行监控，全程动态管控；四是整体支出评价精准。对照评价指标体系认真开展自评，根据细化项自评分为96分。</w:t>
      </w:r>
    </w:p>
    <w:p>
      <w:pPr>
        <w:widowControl/>
        <w:adjustRightInd w:val="0"/>
        <w:snapToGrid w:val="0"/>
        <w:spacing w:line="578" w:lineRule="exact"/>
        <w:ind w:firstLine="642" w:firstLineChars="200"/>
        <w:contextualSpacing/>
        <w:jc w:val="left"/>
        <w:rPr>
          <w:rFonts w:hint="eastAsia" w:eastAsia="仿宋_GB2312"/>
          <w:sz w:val="32"/>
          <w:szCs w:val="32"/>
          <w:lang w:bidi="ar"/>
        </w:rPr>
      </w:pPr>
      <w:r>
        <w:rPr>
          <w:rFonts w:eastAsia="楷体_GB2312"/>
          <w:b/>
          <w:bCs/>
          <w:color w:val="000000"/>
          <w:kern w:val="0"/>
          <w:sz w:val="32"/>
          <w:szCs w:val="32"/>
          <w:shd w:val="clear" w:color="auto" w:fill="FFFFFF"/>
          <w:lang w:val="zh-CN"/>
        </w:rPr>
        <w:t>（二）存在问题。</w:t>
      </w:r>
      <w:r>
        <w:rPr>
          <w:rFonts w:hint="eastAsia" w:eastAsia="仿宋_GB2312"/>
          <w:sz w:val="32"/>
          <w:szCs w:val="32"/>
          <w:lang w:bidi="ar"/>
        </w:rPr>
        <w:t>在预算执行过程中，受实际工作开展情况等因素影响，存在项目经费使用调整、经费计划管控不够严格等情况，出现了先垫付后归垫的现象。</w:t>
      </w:r>
    </w:p>
    <w:p>
      <w:pPr>
        <w:widowControl/>
        <w:adjustRightInd w:val="0"/>
        <w:snapToGrid w:val="0"/>
        <w:spacing w:line="578" w:lineRule="exact"/>
        <w:ind w:firstLine="642" w:firstLineChars="200"/>
        <w:contextualSpacing/>
        <w:jc w:val="left"/>
        <w:rPr>
          <w:rFonts w:hint="eastAsia" w:eastAsia="仿宋_GB2312"/>
          <w:sz w:val="32"/>
          <w:szCs w:val="32"/>
          <w:lang w:val="en" w:bidi="ar"/>
        </w:rPr>
      </w:pPr>
      <w:r>
        <w:rPr>
          <w:rFonts w:eastAsia="楷体_GB2312"/>
          <w:b/>
          <w:bCs/>
          <w:color w:val="000000"/>
          <w:kern w:val="0"/>
          <w:sz w:val="32"/>
          <w:szCs w:val="32"/>
          <w:shd w:val="clear" w:color="auto" w:fill="FFFFFF"/>
          <w:lang w:val="zh-CN"/>
        </w:rPr>
        <w:t>（三）改进建议。</w:t>
      </w:r>
      <w:bookmarkStart w:id="53" w:name="_Hlk110546638"/>
      <w:r>
        <w:rPr>
          <w:rFonts w:hint="eastAsia" w:eastAsia="仿宋_GB2312"/>
          <w:sz w:val="32"/>
          <w:szCs w:val="32"/>
          <w:lang w:bidi="ar"/>
        </w:rPr>
        <w:t>联络处将继续坚持民主集中制，严格执行“三重一大”决策制度，强化工作人员业务学习，提升履职能力。进一步压实工作责任，科学编制、规范使用项目预算，加强与市财政局等相关部门的沟通汇报，加大事前绩效评估力度，严格规范预算执行，抓实抓细财政资金绩效管理，确保各项绩效目标如期实现。</w:t>
      </w:r>
    </w:p>
    <w:bookmarkEnd w:id="53"/>
    <w:p>
      <w:pPr>
        <w:pStyle w:val="7"/>
        <w:spacing w:line="560" w:lineRule="exact"/>
        <w:ind w:left="0" w:leftChars="0" w:firstLine="640"/>
        <w:rPr>
          <w:rFonts w:ascii="Times New Roman" w:eastAsia="仿宋_GB2312"/>
          <w:sz w:val="32"/>
          <w:lang w:val="zh-CN" w:bidi="ar"/>
        </w:rPr>
      </w:pPr>
    </w:p>
    <w:p>
      <w:pPr>
        <w:pStyle w:val="7"/>
        <w:spacing w:line="560" w:lineRule="exact"/>
        <w:ind w:left="0" w:leftChars="0" w:firstLine="640"/>
        <w:rPr>
          <w:rFonts w:ascii="Times New Roman" w:eastAsia="仿宋_GB2312"/>
          <w:sz w:val="32"/>
          <w:lang w:val="zh-CN" w:bidi="ar"/>
        </w:rPr>
      </w:pPr>
      <w:r>
        <w:rPr>
          <w:rFonts w:hint="eastAsia" w:ascii="Times New Roman" w:eastAsia="仿宋_GB2312"/>
          <w:sz w:val="32"/>
          <w:lang w:val="zh-CN" w:bidi="ar"/>
        </w:rPr>
        <w:t>附表：</w:t>
      </w:r>
      <w:r>
        <w:rPr>
          <w:rFonts w:hint="eastAsia" w:ascii="Times New Roman" w:eastAsia="仿宋_GB2312"/>
          <w:sz w:val="32"/>
          <w:lang w:bidi="ar"/>
        </w:rPr>
        <w:fldChar w:fldCharType="begin"/>
      </w:r>
      <w:r>
        <w:rPr>
          <w:rFonts w:hint="eastAsia" w:ascii="Times New Roman" w:eastAsia="仿宋_GB2312"/>
          <w:sz w:val="32"/>
          <w:lang w:bidi="ar"/>
        </w:rPr>
        <w:instrText xml:space="preserve"> HYPERLINK "部门预算项目支出绩效自评表(2025年度).xlsx" </w:instrText>
      </w:r>
      <w:r>
        <w:rPr>
          <w:rFonts w:hint="eastAsia" w:ascii="Times New Roman" w:eastAsia="仿宋_GB2312"/>
          <w:sz w:val="32"/>
          <w:lang w:bidi="ar"/>
        </w:rPr>
        <w:fldChar w:fldCharType="separate"/>
      </w:r>
      <w:r>
        <w:rPr>
          <w:rStyle w:val="18"/>
          <w:rFonts w:hint="eastAsia" w:ascii="Times New Roman" w:eastAsia="仿宋_GB2312"/>
          <w:sz w:val="32"/>
          <w:lang w:bidi="ar"/>
        </w:rPr>
        <w:t>部门预算项目支出绩效自评表（2025年度）</w:t>
      </w:r>
      <w:r>
        <w:rPr>
          <w:rFonts w:hint="eastAsia" w:ascii="Times New Roman" w:eastAsia="仿宋_GB2312"/>
          <w:sz w:val="32"/>
          <w:lang w:bidi="ar"/>
        </w:rPr>
        <w:fldChar w:fldCharType="end"/>
      </w:r>
    </w:p>
    <w:p>
      <w:pPr>
        <w:pStyle w:val="7"/>
        <w:spacing w:line="560" w:lineRule="exact"/>
        <w:ind w:left="0" w:leftChars="0" w:firstLine="0" w:firstLineChars="0"/>
        <w:rPr>
          <w:rFonts w:ascii="Times New Roman"/>
          <w:sz w:val="32"/>
          <w:highlight w:val="yellow"/>
          <w:lang w:val="zh-CN"/>
        </w:rPr>
      </w:pPr>
    </w:p>
    <w:p>
      <w:pPr>
        <w:pStyle w:val="2"/>
        <w:spacing w:before="93"/>
        <w:rPr>
          <w:rFonts w:ascii="Times New Roman" w:cs="宋体"/>
          <w:color w:val="FF0000"/>
          <w:sz w:val="32"/>
          <w:szCs w:val="32"/>
          <w:highlight w:val="yellow"/>
          <w:shd w:val="clear" w:color="auto" w:fill="FFFFFF"/>
          <w:lang w:val="zh-CN"/>
        </w:rPr>
      </w:pPr>
    </w:p>
    <w:p>
      <w:pPr>
        <w:spacing w:line="578" w:lineRule="exact"/>
        <w:ind w:firstLine="640"/>
        <w:rPr>
          <w:rFonts w:eastAsia="仿宋_GB2312" w:cs="仿宋_GB2312"/>
          <w:kern w:val="0"/>
          <w:sz w:val="32"/>
          <w:szCs w:val="32"/>
        </w:rPr>
      </w:pPr>
    </w:p>
    <w:p>
      <w:pPr>
        <w:widowControl/>
        <w:jc w:val="center"/>
        <w:rPr>
          <w:rFonts w:eastAsia="仿宋"/>
        </w:rPr>
      </w:pPr>
      <w:bookmarkStart w:id="54" w:name="_Toc15396618"/>
      <w:r>
        <w:rPr>
          <w:rFonts w:hint="eastAsia" w:eastAsia="黑体"/>
          <w:sz w:val="44"/>
          <w:szCs w:val="44"/>
        </w:rPr>
        <w:t>第</w:t>
      </w:r>
      <w:r>
        <w:rPr>
          <w:rStyle w:val="28"/>
          <w:rFonts w:hint="eastAsia" w:eastAsia="黑体"/>
          <w:b w:val="0"/>
        </w:rPr>
        <w:t>五部分 附表</w:t>
      </w:r>
      <w:bookmarkEnd w:id="51"/>
      <w:bookmarkEnd w:id="54"/>
      <w:bookmarkStart w:id="55"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5"/>
    </w:p>
    <w:p>
      <w:pPr>
        <w:pStyle w:val="14"/>
        <w:adjustRightInd w:val="0"/>
        <w:snapToGrid w:val="0"/>
        <w:spacing w:line="560" w:lineRule="exact"/>
        <w:jc w:val="left"/>
        <w:rPr>
          <w:rFonts w:eastAsia="仿宋_GB2312" w:cs="仿宋_GB2312"/>
          <w:sz w:val="32"/>
          <w:szCs w:val="32"/>
        </w:rPr>
      </w:pPr>
      <w:bookmarkStart w:id="56" w:name="_Toc15396620"/>
      <w:r>
        <w:rPr>
          <w:rFonts w:hint="eastAsia" w:eastAsia="仿宋_GB2312" w:cs="仿宋_GB2312"/>
          <w:sz w:val="32"/>
          <w:szCs w:val="32"/>
        </w:rPr>
        <w:t>二、收入决算表</w:t>
      </w:r>
      <w:bookmarkEnd w:id="56"/>
    </w:p>
    <w:p>
      <w:pPr>
        <w:pStyle w:val="14"/>
        <w:adjustRightInd w:val="0"/>
        <w:snapToGrid w:val="0"/>
        <w:spacing w:line="560" w:lineRule="exact"/>
        <w:jc w:val="left"/>
        <w:rPr>
          <w:rFonts w:eastAsia="仿宋_GB2312" w:cs="仿宋_GB2312"/>
          <w:sz w:val="32"/>
          <w:szCs w:val="32"/>
        </w:rPr>
      </w:pPr>
      <w:bookmarkStart w:id="57" w:name="_Toc15396621"/>
      <w:r>
        <w:rPr>
          <w:rFonts w:hint="eastAsia" w:eastAsia="仿宋_GB2312" w:cs="仿宋_GB2312"/>
          <w:sz w:val="32"/>
          <w:szCs w:val="32"/>
        </w:rPr>
        <w:t>三、支出决算表</w:t>
      </w:r>
      <w:bookmarkEnd w:id="57"/>
    </w:p>
    <w:p>
      <w:pPr>
        <w:pStyle w:val="14"/>
        <w:adjustRightInd w:val="0"/>
        <w:snapToGrid w:val="0"/>
        <w:spacing w:line="560" w:lineRule="exact"/>
        <w:jc w:val="left"/>
        <w:rPr>
          <w:rFonts w:eastAsia="仿宋_GB2312" w:cs="仿宋_GB2312"/>
          <w:sz w:val="32"/>
          <w:szCs w:val="32"/>
        </w:rPr>
      </w:pPr>
      <w:bookmarkStart w:id="58" w:name="_Toc15396622"/>
      <w:r>
        <w:rPr>
          <w:rFonts w:hint="eastAsia" w:eastAsia="仿宋_GB2312" w:cs="仿宋_GB2312"/>
          <w:sz w:val="32"/>
          <w:szCs w:val="32"/>
        </w:rPr>
        <w:t>四、财政拨款收入支出决算总表</w:t>
      </w:r>
      <w:bookmarkEnd w:id="58"/>
    </w:p>
    <w:p>
      <w:pPr>
        <w:pStyle w:val="14"/>
        <w:adjustRightInd w:val="0"/>
        <w:snapToGrid w:val="0"/>
        <w:spacing w:line="560" w:lineRule="exact"/>
        <w:jc w:val="left"/>
        <w:rPr>
          <w:rFonts w:eastAsia="仿宋_GB2312" w:cs="仿宋_GB2312"/>
          <w:sz w:val="32"/>
          <w:szCs w:val="32"/>
        </w:rPr>
      </w:pPr>
      <w:bookmarkStart w:id="59" w:name="_Toc15396623"/>
      <w:r>
        <w:rPr>
          <w:rFonts w:hint="eastAsia" w:eastAsia="仿宋_GB2312" w:cs="仿宋_GB2312"/>
          <w:sz w:val="32"/>
          <w:szCs w:val="32"/>
        </w:rPr>
        <w:t>五、财政拨款支出决算明细表</w:t>
      </w:r>
      <w:bookmarkEnd w:id="59"/>
      <w:bookmarkStart w:id="60" w:name="_Toc15396624"/>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0"/>
    </w:p>
    <w:p>
      <w:pPr>
        <w:pStyle w:val="14"/>
        <w:adjustRightInd w:val="0"/>
        <w:snapToGrid w:val="0"/>
        <w:spacing w:line="560" w:lineRule="exact"/>
        <w:jc w:val="left"/>
        <w:rPr>
          <w:rFonts w:eastAsia="仿宋_GB2312" w:cs="仿宋_GB2312"/>
          <w:sz w:val="32"/>
          <w:szCs w:val="32"/>
        </w:rPr>
      </w:pPr>
      <w:bookmarkStart w:id="61" w:name="_Toc15396625"/>
      <w:r>
        <w:rPr>
          <w:rFonts w:hint="eastAsia" w:eastAsia="仿宋_GB2312" w:cs="仿宋_GB2312"/>
          <w:sz w:val="32"/>
          <w:szCs w:val="32"/>
        </w:rPr>
        <w:t>七、一般公共预算财政拨款支出决算明细表</w:t>
      </w:r>
      <w:bookmarkEnd w:id="61"/>
    </w:p>
    <w:p>
      <w:pPr>
        <w:pStyle w:val="14"/>
        <w:adjustRightInd w:val="0"/>
        <w:snapToGrid w:val="0"/>
        <w:spacing w:line="560" w:lineRule="exact"/>
        <w:jc w:val="left"/>
        <w:rPr>
          <w:rFonts w:eastAsia="仿宋_GB2312" w:cs="仿宋_GB2312"/>
          <w:sz w:val="32"/>
          <w:szCs w:val="32"/>
        </w:rPr>
      </w:pPr>
      <w:bookmarkStart w:id="62" w:name="_Toc15396626"/>
      <w:r>
        <w:rPr>
          <w:rFonts w:hint="eastAsia" w:eastAsia="仿宋_GB2312" w:cs="仿宋_GB2312"/>
          <w:sz w:val="32"/>
          <w:szCs w:val="32"/>
        </w:rPr>
        <w:t>八、一般公共预算财政拨款基本支出决算表</w:t>
      </w:r>
      <w:bookmarkEnd w:id="62"/>
    </w:p>
    <w:p>
      <w:pPr>
        <w:pStyle w:val="14"/>
        <w:adjustRightInd w:val="0"/>
        <w:snapToGrid w:val="0"/>
        <w:spacing w:line="560" w:lineRule="exact"/>
        <w:jc w:val="left"/>
        <w:rPr>
          <w:rFonts w:eastAsia="仿宋_GB2312" w:cs="仿宋_GB2312"/>
          <w:sz w:val="32"/>
          <w:szCs w:val="32"/>
        </w:rPr>
      </w:pPr>
      <w:bookmarkStart w:id="63" w:name="_Toc15396627"/>
      <w:r>
        <w:rPr>
          <w:rFonts w:hint="eastAsia" w:eastAsia="仿宋_GB2312" w:cs="仿宋_GB2312"/>
          <w:sz w:val="32"/>
          <w:szCs w:val="32"/>
        </w:rPr>
        <w:t>九、一般公共预算财政拨款项目支出决算表</w:t>
      </w:r>
      <w:bookmarkEnd w:id="63"/>
    </w:p>
    <w:p>
      <w:pPr>
        <w:pStyle w:val="14"/>
        <w:adjustRightInd w:val="0"/>
        <w:snapToGrid w:val="0"/>
        <w:spacing w:line="560" w:lineRule="exact"/>
        <w:jc w:val="left"/>
        <w:rPr>
          <w:rFonts w:eastAsia="仿宋_GB2312" w:cs="仿宋_GB2312"/>
          <w:sz w:val="32"/>
          <w:szCs w:val="32"/>
        </w:rPr>
      </w:pPr>
      <w:bookmarkStart w:id="64" w:name="_Toc15396628"/>
      <w:r>
        <w:rPr>
          <w:rFonts w:hint="eastAsia" w:eastAsia="仿宋_GB2312" w:cs="仿宋_GB2312"/>
          <w:sz w:val="32"/>
          <w:szCs w:val="32"/>
        </w:rPr>
        <w:t>十、</w:t>
      </w:r>
      <w:bookmarkEnd w:id="64"/>
      <w:r>
        <w:rPr>
          <w:rFonts w:hint="eastAsia" w:eastAsia="仿宋_GB2312" w:cs="仿宋_GB2312"/>
          <w:sz w:val="32"/>
          <w:szCs w:val="32"/>
        </w:rPr>
        <w:t>政府性基金预算财政拨款收入支出决算表</w:t>
      </w:r>
    </w:p>
    <w:p>
      <w:pPr>
        <w:pStyle w:val="14"/>
        <w:adjustRightInd w:val="0"/>
        <w:snapToGrid w:val="0"/>
        <w:spacing w:line="560" w:lineRule="exact"/>
        <w:jc w:val="left"/>
        <w:rPr>
          <w:rFonts w:eastAsia="仿宋_GB2312" w:cs="仿宋_GB2312"/>
          <w:sz w:val="32"/>
          <w:szCs w:val="32"/>
        </w:rPr>
      </w:pPr>
      <w:bookmarkStart w:id="65" w:name="_Toc15396629"/>
      <w:r>
        <w:rPr>
          <w:rFonts w:hint="eastAsia" w:eastAsia="仿宋_GB2312" w:cs="仿宋_GB2312"/>
          <w:sz w:val="32"/>
          <w:szCs w:val="32"/>
        </w:rPr>
        <w:t>十一、</w:t>
      </w:r>
      <w:bookmarkEnd w:id="65"/>
      <w:r>
        <w:rPr>
          <w:rFonts w:hint="eastAsia" w:eastAsia="仿宋_GB2312" w:cs="仿宋_GB2312"/>
          <w:sz w:val="32"/>
          <w:szCs w:val="32"/>
        </w:rPr>
        <w:t>国有资本经营预算财政拨款收入支出决算表</w:t>
      </w:r>
    </w:p>
    <w:p>
      <w:pPr>
        <w:pStyle w:val="14"/>
        <w:adjustRightInd w:val="0"/>
        <w:snapToGrid w:val="0"/>
        <w:spacing w:line="560" w:lineRule="exact"/>
        <w:jc w:val="left"/>
        <w:rPr>
          <w:rFonts w:eastAsia="仿宋_GB2312" w:cs="仿宋_GB2312"/>
          <w:sz w:val="32"/>
          <w:szCs w:val="32"/>
        </w:rPr>
      </w:pPr>
      <w:bookmarkStart w:id="66" w:name="_Toc15396630"/>
      <w:r>
        <w:rPr>
          <w:rFonts w:hint="eastAsia" w:eastAsia="仿宋_GB2312" w:cs="仿宋_GB2312"/>
          <w:sz w:val="32"/>
          <w:szCs w:val="32"/>
        </w:rPr>
        <w:t>十二、</w:t>
      </w:r>
      <w:bookmarkEnd w:id="66"/>
      <w:r>
        <w:rPr>
          <w:rFonts w:hint="eastAsia" w:eastAsia="仿宋_GB2312" w:cs="仿宋_GB2312"/>
          <w:sz w:val="32"/>
          <w:szCs w:val="32"/>
        </w:rPr>
        <w:t>国有资本经营预算财政拨款支出决算表</w:t>
      </w:r>
    </w:p>
    <w:p>
      <w:pPr>
        <w:pStyle w:val="14"/>
        <w:adjustRightInd w:val="0"/>
        <w:snapToGrid w:val="0"/>
        <w:spacing w:line="560" w:lineRule="exact"/>
        <w:jc w:val="left"/>
        <w:rPr>
          <w:rFonts w:eastAsia="仿宋_GB2312" w:cs="仿宋_GB2312"/>
          <w:sz w:val="32"/>
          <w:szCs w:val="32"/>
        </w:rPr>
      </w:pPr>
      <w:bookmarkStart w:id="67" w:name="_Toc15396631"/>
      <w:r>
        <w:rPr>
          <w:rFonts w:hint="eastAsia" w:eastAsia="仿宋_GB2312" w:cs="仿宋_GB2312"/>
          <w:sz w:val="32"/>
          <w:szCs w:val="32"/>
        </w:rPr>
        <w:t>十三、</w:t>
      </w:r>
      <w:bookmarkEnd w:id="67"/>
      <w:r>
        <w:rPr>
          <w:rFonts w:hint="eastAsia" w:eastAsia="仿宋_GB2312" w:cs="仿宋_GB2312"/>
          <w:sz w:val="32"/>
          <w:szCs w:val="32"/>
        </w:rPr>
        <w:t>财政拨款“三公”经费支出决算表</w:t>
      </w:r>
    </w:p>
    <w:p/>
    <w:sectPr>
      <w:footerReference r:id="rId7" w:type="firs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微软雅黑">
    <w:altName w:val="黑体"/>
    <w:panose1 w:val="020B0503020204020204"/>
    <w:charset w:val="86"/>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6EC022"/>
    <w:multiLevelType w:val="singleLevel"/>
    <w:tmpl w:val="F06EC02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542997"/>
    <w:rsid w:val="11772AA4"/>
    <w:rsid w:val="118107EC"/>
    <w:rsid w:val="13D50BC4"/>
    <w:rsid w:val="14022904"/>
    <w:rsid w:val="152F2A07"/>
    <w:rsid w:val="165E0673"/>
    <w:rsid w:val="16BB723D"/>
    <w:rsid w:val="186504BB"/>
    <w:rsid w:val="18E51FCF"/>
    <w:rsid w:val="1938089F"/>
    <w:rsid w:val="19A445FC"/>
    <w:rsid w:val="1B7D550C"/>
    <w:rsid w:val="1BE8440E"/>
    <w:rsid w:val="1D155CEE"/>
    <w:rsid w:val="1E740ACF"/>
    <w:rsid w:val="1FF35744"/>
    <w:rsid w:val="1FF6BC77"/>
    <w:rsid w:val="21962A9E"/>
    <w:rsid w:val="21AE7C77"/>
    <w:rsid w:val="22BC3C41"/>
    <w:rsid w:val="23860B96"/>
    <w:rsid w:val="240371BF"/>
    <w:rsid w:val="240817BA"/>
    <w:rsid w:val="254B7384"/>
    <w:rsid w:val="260F557C"/>
    <w:rsid w:val="26F47596"/>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A97A4F"/>
    <w:rsid w:val="3BF5BC2F"/>
    <w:rsid w:val="3CCC056A"/>
    <w:rsid w:val="3CEBA265"/>
    <w:rsid w:val="3D98207C"/>
    <w:rsid w:val="3D9B0D99"/>
    <w:rsid w:val="3DEE7CF3"/>
    <w:rsid w:val="3DF02244"/>
    <w:rsid w:val="3E78745D"/>
    <w:rsid w:val="3FF4CAE0"/>
    <w:rsid w:val="3FF7B227"/>
    <w:rsid w:val="40E54C45"/>
    <w:rsid w:val="43A407DF"/>
    <w:rsid w:val="44515BEA"/>
    <w:rsid w:val="44E268DA"/>
    <w:rsid w:val="453F7E5B"/>
    <w:rsid w:val="486A6C7A"/>
    <w:rsid w:val="48ED04B2"/>
    <w:rsid w:val="49176D9B"/>
    <w:rsid w:val="4A627F82"/>
    <w:rsid w:val="4B0E749A"/>
    <w:rsid w:val="4B4F25DA"/>
    <w:rsid w:val="4BDA0CFB"/>
    <w:rsid w:val="4BE068DB"/>
    <w:rsid w:val="4CB170C4"/>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09F20F9"/>
    <w:rsid w:val="62BF3928"/>
    <w:rsid w:val="647F5392"/>
    <w:rsid w:val="664B1D71"/>
    <w:rsid w:val="67AA3209"/>
    <w:rsid w:val="681C4F0D"/>
    <w:rsid w:val="69046D0F"/>
    <w:rsid w:val="698D0931"/>
    <w:rsid w:val="69AF244E"/>
    <w:rsid w:val="6A993CED"/>
    <w:rsid w:val="6B053271"/>
    <w:rsid w:val="6B0A032C"/>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2F1A9D"/>
    <w:rsid w:val="70496804"/>
    <w:rsid w:val="7100208E"/>
    <w:rsid w:val="712A28F1"/>
    <w:rsid w:val="715C0E4B"/>
    <w:rsid w:val="72233669"/>
    <w:rsid w:val="72734D90"/>
    <w:rsid w:val="7332FE48"/>
    <w:rsid w:val="73AB61DA"/>
    <w:rsid w:val="73AD73D5"/>
    <w:rsid w:val="73B6EB34"/>
    <w:rsid w:val="73D2226E"/>
    <w:rsid w:val="73FA497D"/>
    <w:rsid w:val="744731E5"/>
    <w:rsid w:val="74527205"/>
    <w:rsid w:val="74BBD01D"/>
    <w:rsid w:val="74ED5379"/>
    <w:rsid w:val="74FC2395"/>
    <w:rsid w:val="756205E6"/>
    <w:rsid w:val="75DEEEC2"/>
    <w:rsid w:val="76E3355F"/>
    <w:rsid w:val="76FF5125"/>
    <w:rsid w:val="776F6FFA"/>
    <w:rsid w:val="778769C8"/>
    <w:rsid w:val="77DC22F5"/>
    <w:rsid w:val="78B85241"/>
    <w:rsid w:val="79086DAD"/>
    <w:rsid w:val="79974F09"/>
    <w:rsid w:val="79D7FD79"/>
    <w:rsid w:val="79EE5BA4"/>
    <w:rsid w:val="7A894339"/>
    <w:rsid w:val="7AFF7572"/>
    <w:rsid w:val="7B6C7DFB"/>
    <w:rsid w:val="7BBFBED0"/>
    <w:rsid w:val="7BC3E394"/>
    <w:rsid w:val="7C1F3737"/>
    <w:rsid w:val="7CBFC87B"/>
    <w:rsid w:val="7CFE0F48"/>
    <w:rsid w:val="7D143191"/>
    <w:rsid w:val="7D7EC23E"/>
    <w:rsid w:val="7D916348"/>
    <w:rsid w:val="7E8ADEBF"/>
    <w:rsid w:val="7EB41D6B"/>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7FFDFE9E"/>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5"/>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7"/>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1.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图1：收入、支出决算总计变动情况图</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'[118001-攀枝花市人民政府驻北京联络处.xls]GK01收入支出决算总表'!$H$15:$H$16</c:f>
              <c:strCache>
                <c:ptCount val="2"/>
                <c:pt idx="0">
                  <c:v>2024年收支总额（万元）</c:v>
                </c:pt>
                <c:pt idx="1">
                  <c:v>2025年收支总额（万元）</c:v>
                </c:pt>
              </c:strCache>
            </c:strRef>
          </c:cat>
          <c:val>
            <c:numRef>
              <c:f>'[118001-攀枝花市人民政府驻北京联络处.xls]GK01收入支出决算总表'!$I$15:$I$16</c:f>
              <c:numCache>
                <c:formatCode>General</c:formatCode>
                <c:ptCount val="2"/>
                <c:pt idx="0">
                  <c:v>237.41</c:v>
                </c:pt>
                <c:pt idx="1">
                  <c:v>234.38</c:v>
                </c:pt>
              </c:numCache>
            </c:numRef>
          </c:val>
        </c:ser>
        <c:dLbls>
          <c:showLegendKey val="false"/>
          <c:showVal val="false"/>
          <c:showCatName val="false"/>
          <c:showSerName val="false"/>
          <c:showPercent val="false"/>
          <c:showBubbleSize val="false"/>
        </c:dLbls>
        <c:gapWidth val="246"/>
        <c:overlap val="-28"/>
        <c:axId val="690641627"/>
        <c:axId val="89589016"/>
      </c:barChart>
      <c:catAx>
        <c:axId val="690641627"/>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9589016"/>
        <c:crosses val="autoZero"/>
        <c:auto val="true"/>
        <c:lblAlgn val="ctr"/>
        <c:lblOffset val="100"/>
        <c:noMultiLvlLbl val="false"/>
      </c:catAx>
      <c:valAx>
        <c:axId val="89589016"/>
        <c:scaling>
          <c:orientation val="minMax"/>
        </c:scaling>
        <c:delete val="false"/>
        <c:axPos val="l"/>
        <c:majorGridlines>
          <c:spPr>
            <a:ln w="9525" cap="flat" cmpd="sng" algn="ctr">
              <a:solidFill>
                <a:schemeClr val="lt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90641627"/>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图2：收入决算结构图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Pt>
            <c:idx val="3"/>
            <c:bubble3D val="false"/>
            <c:spPr>
              <a:solidFill>
                <a:schemeClr val="accent4"/>
              </a:solidFill>
              <a:ln>
                <a:solidFill>
                  <a:schemeClr val="bg1"/>
                </a:solidFill>
              </a:ln>
              <a:effectLst/>
            </c:spPr>
          </c:dPt>
          <c:dPt>
            <c:idx val="4"/>
            <c:bubble3D val="false"/>
            <c:spPr>
              <a:solidFill>
                <a:schemeClr val="accent5"/>
              </a:solidFill>
              <a:ln>
                <a:solidFill>
                  <a:schemeClr val="bg1"/>
                </a:solidFill>
              </a:ln>
              <a:effectLst/>
            </c:spPr>
          </c:dPt>
          <c:dPt>
            <c:idx val="5"/>
            <c:bubble3D val="false"/>
            <c:spPr>
              <a:solidFill>
                <a:schemeClr val="accent6"/>
              </a:solidFill>
              <a:ln>
                <a:solidFill>
                  <a:schemeClr val="bg1"/>
                </a:solidFill>
              </a:ln>
              <a:effectLst/>
            </c:spPr>
          </c:dPt>
          <c:dPt>
            <c:idx val="6"/>
            <c:bubble3D val="false"/>
            <c:spPr>
              <a:solidFill>
                <a:schemeClr val="accent1">
                  <a:lumMod val="60000"/>
                </a:schemeClr>
              </a:solidFill>
              <a:ln>
                <a:solidFill>
                  <a:schemeClr val="bg1"/>
                </a:solidFill>
              </a:ln>
              <a:effectLst/>
            </c:spPr>
          </c:dPt>
          <c:dPt>
            <c:idx val="7"/>
            <c:bubble3D val="false"/>
            <c:spPr>
              <a:solidFill>
                <a:schemeClr val="accent2">
                  <a:lumMod val="60000"/>
                </a:schemeClr>
              </a:solidFill>
              <a:ln>
                <a:solidFill>
                  <a:schemeClr val="bg1"/>
                </a:solidFill>
              </a:ln>
              <a:effectLst/>
            </c:spPr>
          </c:dPt>
          <c:dLbls>
            <c:delete val="true"/>
          </c:dLbls>
          <c:cat>
            <c:strRef>
              <c:f>'[118001-攀枝花市人民政府驻北京联络处.xls]GK01收入支出决算总表'!$I$7:$I$14</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'[118001-攀枝花市人民政府驻北京联络处.xls]GK01收入支出决算总表'!$J$7:$J$14</c:f>
              <c:numCache>
                <c:formatCode>#,##0.00</c:formatCode>
                <c:ptCount val="8"/>
                <c:pt idx="0">
                  <c:v>234.38</c:v>
                </c:pt>
                <c:pt idx="1">
                  <c:v>0</c:v>
                </c:pt>
                <c:pt idx="2">
                  <c:v>0</c:v>
                </c:pt>
                <c:pt idx="3">
                  <c:v>0</c:v>
                </c:pt>
                <c:pt idx="4">
                  <c:v>0</c:v>
                </c:pt>
                <c:pt idx="5">
                  <c:v>0</c:v>
                </c:pt>
                <c:pt idx="6">
                  <c:v>0</c:v>
                </c:pt>
                <c:pt idx="7">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图3：支出决算结构图</a:t>
            </a:r>
          </a:p>
        </c:rich>
      </c:tx>
      <c:layout/>
      <c:overlay val="false"/>
      <c:spPr>
        <a:noFill/>
        <a:ln>
          <a:noFill/>
        </a:ln>
        <a:effectLst/>
      </c:spPr>
    </c:title>
    <c:autoTitleDeleted val="false"/>
    <c:plotArea>
      <c:layout/>
      <c:pieChart>
        <c:varyColors val="true"/>
        <c:ser>
          <c:idx val="0"/>
          <c:order val="0"/>
          <c:spPr>
            <a:solidFill>
              <a:schemeClr val="accent1"/>
            </a:solidFill>
            <a:ln w="25400">
              <a:solidFill>
                <a:schemeClr val="bg1"/>
              </a:solidFill>
            </a:ln>
            <a:effectLst>
              <a:outerShdw blurRad="63500" sx="104000" sy="104000" algn="ctr" rotWithShape="0">
                <a:schemeClr val="bg1">
                  <a:alpha val="33000"/>
                </a:schemeClr>
              </a:outerShdw>
            </a:effectLst>
            <a:sp3d contourW="25400"/>
          </c:spPr>
          <c:explosion val="0"/>
          <c:dPt>
            <c:idx val="0"/>
            <c:bubble3D val="false"/>
            <c:spPr>
              <a:solidFill>
                <a:schemeClr val="accent1"/>
              </a:solidFill>
              <a:ln w="25400">
                <a:solidFill>
                  <a:schemeClr val="bg1"/>
                </a:solidFill>
              </a:ln>
              <a:effectLst>
                <a:outerShdw blurRad="63500" sx="104000" sy="104000" algn="ctr" rotWithShape="0">
                  <a:schemeClr val="bg1">
                    <a:alpha val="33000"/>
                  </a:schemeClr>
                </a:outerShdw>
              </a:effectLst>
              <a:sp3d contourW="25400"/>
            </c:spPr>
          </c:dPt>
          <c:dPt>
            <c:idx val="1"/>
            <c:bubble3D val="false"/>
            <c:spPr>
              <a:solidFill>
                <a:schemeClr val="accent1">
                  <a:lumMod val="60000"/>
                  <a:lumOff val="40000"/>
                </a:schemeClr>
              </a:solidFill>
              <a:ln w="25400">
                <a:solidFill>
                  <a:schemeClr val="bg1"/>
                </a:solidFill>
              </a:ln>
              <a:effectLst>
                <a:outerShdw blurRad="63500" sx="104000" sy="104000" algn="ctr" rotWithShape="0">
                  <a:schemeClr val="bg1">
                    <a:alpha val="33000"/>
                  </a:schemeClr>
                </a:outerShdw>
              </a:effectLst>
              <a:sp3d contourW="25400"/>
            </c:spPr>
          </c:dPt>
          <c:dLbls>
            <c:dLbl>
              <c:idx val="0"/>
              <c:layout/>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true"/>
              <c:showSerName val="false"/>
              <c:showPercent val="true"/>
              <c:showBubbleSize val="false"/>
              <c:separator>
</c:separator>
              <c:extLst>
                <c:ext xmlns:c15="http://schemas.microsoft.com/office/drawing/2012/chart" uri="{CE6537A1-D6FC-4f65-9D91-7224C49458BB}"/>
              </c:extLst>
            </c:dLbl>
            <c:dLbl>
              <c:idx val="1"/>
              <c:layout/>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true"/>
              <c:showSerName val="false"/>
              <c:showPercent val="true"/>
              <c:showBubbleSize val="false"/>
              <c:separator>
</c:separator>
              <c:extLst>
                <c:ext xmlns:c15="http://schemas.microsoft.com/office/drawing/2012/chart" uri="{CE6537A1-D6FC-4f65-9D91-7224C49458BB}"/>
              </c:extLst>
            </c:dLbl>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true"/>
            <c:showSerName val="false"/>
            <c:showPercent val="true"/>
            <c:showBubbleSize val="false"/>
            <c:separator>
</c:separator>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'[118001-攀枝花市人民政府驻北京联络处.xls]GK03支出决算表'!$L$7:$L$8</c:f>
              <c:strCache>
                <c:ptCount val="2"/>
                <c:pt idx="0">
                  <c:v>基本支出</c:v>
                </c:pt>
                <c:pt idx="1">
                  <c:v>项目支出</c:v>
                </c:pt>
              </c:strCache>
            </c:strRef>
          </c:cat>
          <c:val>
            <c:numRef>
              <c:f>'[118001-攀枝花市人民政府驻北京联络处.xls]GK03支出决算表'!$M$7:$M$8</c:f>
              <c:numCache>
                <c:formatCode>General</c:formatCode>
                <c:ptCount val="2"/>
                <c:pt idx="0">
                  <c:v>152.88</c:v>
                </c:pt>
                <c:pt idx="1">
                  <c:v>81.5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图4：财政拨款收、支决算总计变动情况</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'[118001-攀枝花市人民政府驻北京联络处.xls]GK04财政拨款收入支出决算总表'!$J$11:$J$12</c:f>
              <c:strCache>
                <c:ptCount val="2"/>
                <c:pt idx="0">
                  <c:v>2024年财政拨款收、支总额（万元）</c:v>
                </c:pt>
                <c:pt idx="1">
                  <c:v>2025年财政拨款收、支总额（万元）</c:v>
                </c:pt>
              </c:strCache>
            </c:strRef>
          </c:cat>
          <c:val>
            <c:numRef>
              <c:f>'[118001-攀枝花市人民政府驻北京联络处.xls]GK04财政拨款收入支出决算总表'!$K$11:$K$12</c:f>
              <c:numCache>
                <c:formatCode>General</c:formatCode>
                <c:ptCount val="2"/>
                <c:pt idx="0">
                  <c:v>237.41</c:v>
                </c:pt>
                <c:pt idx="1">
                  <c:v>234.38</c:v>
                </c:pt>
              </c:numCache>
            </c:numRef>
          </c:val>
        </c:ser>
        <c:dLbls>
          <c:showLegendKey val="false"/>
          <c:showVal val="false"/>
          <c:showCatName val="false"/>
          <c:showSerName val="false"/>
          <c:showPercent val="false"/>
          <c:showBubbleSize val="false"/>
        </c:dLbls>
        <c:gapWidth val="246"/>
        <c:overlap val="-28"/>
        <c:axId val="821414943"/>
        <c:axId val="534121360"/>
      </c:barChart>
      <c:catAx>
        <c:axId val="821414943"/>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34121360"/>
        <c:crosses val="autoZero"/>
        <c:auto val="true"/>
        <c:lblAlgn val="ctr"/>
        <c:lblOffset val="100"/>
        <c:noMultiLvlLbl val="false"/>
      </c:catAx>
      <c:valAx>
        <c:axId val="534121360"/>
        <c:scaling>
          <c:orientation val="minMax"/>
        </c:scaling>
        <c:delete val="false"/>
        <c:axPos val="l"/>
        <c:majorGridlines>
          <c:spPr>
            <a:ln w="9525" cap="flat" cmpd="sng" algn="ctr">
              <a:solidFill>
                <a:schemeClr val="lt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21414943"/>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图5：一般公共预算财政拨款支出决算变动情况</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'[118001-攀枝花市人民政府驻北京联络处.xls]GK06一般公共预算财政拨款支出决算表'!$J$17:$J$18</c:f>
              <c:strCache>
                <c:ptCount val="2"/>
                <c:pt idx="0">
                  <c:v>2024年一般公共预算财政拨款支出（万元）</c:v>
                </c:pt>
                <c:pt idx="1">
                  <c:v>2025年一般公共预算财政拨款支出（万元）</c:v>
                </c:pt>
              </c:strCache>
            </c:strRef>
          </c:cat>
          <c:val>
            <c:numRef>
              <c:f>'[118001-攀枝花市人民政府驻北京联络处.xls]GK06一般公共预算财政拨款支出决算表'!$K$17:$K$18</c:f>
              <c:numCache>
                <c:formatCode>General</c:formatCode>
                <c:ptCount val="2"/>
                <c:pt idx="0">
                  <c:v>237.41</c:v>
                </c:pt>
                <c:pt idx="1">
                  <c:v>234.38</c:v>
                </c:pt>
              </c:numCache>
            </c:numRef>
          </c:val>
        </c:ser>
        <c:dLbls>
          <c:showLegendKey val="false"/>
          <c:showVal val="false"/>
          <c:showCatName val="false"/>
          <c:showSerName val="false"/>
          <c:showPercent val="false"/>
          <c:showBubbleSize val="false"/>
        </c:dLbls>
        <c:gapWidth val="246"/>
        <c:overlap val="-28"/>
        <c:axId val="74069083"/>
        <c:axId val="739887677"/>
      </c:barChart>
      <c:catAx>
        <c:axId val="74069083"/>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39887677"/>
        <c:crosses val="autoZero"/>
        <c:auto val="true"/>
        <c:lblAlgn val="ctr"/>
        <c:lblOffset val="100"/>
        <c:noMultiLvlLbl val="false"/>
      </c:catAx>
      <c:valAx>
        <c:axId val="739887677"/>
        <c:scaling>
          <c:orientation val="minMax"/>
        </c:scaling>
        <c:delete val="false"/>
        <c:axPos val="l"/>
        <c:majorGridlines>
          <c:spPr>
            <a:ln w="9525" cap="flat" cmpd="sng" algn="ctr">
              <a:solidFill>
                <a:schemeClr val="lt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4069083"/>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图6：一般公共预算财政拨款支出决算结构</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Pt>
            <c:idx val="3"/>
            <c:bubble3D val="false"/>
            <c:spPr>
              <a:solidFill>
                <a:schemeClr val="accent4"/>
              </a:solidFill>
              <a:ln>
                <a:solidFill>
                  <a:schemeClr val="bg1"/>
                </a:solidFill>
              </a:ln>
              <a:effectLst/>
            </c:spPr>
          </c:dPt>
          <c:dLbls>
            <c:delete val="true"/>
          </c:dLbls>
          <c:cat>
            <c:strRef>
              <c:f>'[118001-攀枝花市人民政府驻北京联络处.xls]GK07 一般公共预算财政拨款支出决算明细表'!$H$29:$H$32</c:f>
              <c:strCache>
                <c:ptCount val="4"/>
                <c:pt idx="0">
                  <c:v>一般公共服务支出</c:v>
                </c:pt>
                <c:pt idx="1">
                  <c:v>社会保障和就业支出</c:v>
                </c:pt>
                <c:pt idx="2">
                  <c:v>卫生健康支出</c:v>
                </c:pt>
                <c:pt idx="3">
                  <c:v>住房保障支出</c:v>
                </c:pt>
              </c:strCache>
            </c:strRef>
          </c:cat>
          <c:val>
            <c:numRef>
              <c:f>'[118001-攀枝花市人民政府驻北京联络处.xls]GK07 一般公共预算财政拨款支出决算明细表'!$I$29:$I$32</c:f>
              <c:numCache>
                <c:formatCode>#,##0.00</c:formatCode>
                <c:ptCount val="4"/>
                <c:pt idx="0">
                  <c:v>197.48</c:v>
                </c:pt>
                <c:pt idx="1">
                  <c:v>19.46</c:v>
                </c:pt>
                <c:pt idx="2">
                  <c:v>7.15</c:v>
                </c:pt>
                <c:pt idx="3">
                  <c:v>10.29</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图7：财政拨款“三公”经费支出结构</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Lbls>
            <c:delete val="true"/>
          </c:dLbls>
          <c:cat>
            <c:strRef>
              <c:f>'[118001-攀枝花市人民政府驻北京联络处.xls]GK13财政拨款“三公”经费支出决算表'!$C$15:$C$17</c:f>
              <c:strCache>
                <c:ptCount val="3"/>
                <c:pt idx="0">
                  <c:v>因公出国（境）费用</c:v>
                </c:pt>
                <c:pt idx="1">
                  <c:v>公务用车购置及运行维护费</c:v>
                </c:pt>
                <c:pt idx="2">
                  <c:v>公务接待费</c:v>
                </c:pt>
              </c:strCache>
            </c:strRef>
          </c:cat>
          <c:val>
            <c:numRef>
              <c:f>'[118001-攀枝花市人民政府驻北京联络处.xls]GK13财政拨款“三公”经费支出决算表'!$D$15:$D$17</c:f>
              <c:numCache>
                <c:formatCode>General</c:formatCode>
                <c:ptCount val="3"/>
                <c:pt idx="0">
                  <c:v>0</c:v>
                </c:pt>
                <c:pt idx="1">
                  <c:v>4.54</c:v>
                </c:pt>
                <c:pt idx="2">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自定义 27">
    <a:dk1>
      <a:srgbClr val="000000"/>
    </a:dk1>
    <a:lt1>
      <a:srgbClr val="FFFFFF"/>
    </a:lt1>
    <a:dk2>
      <a:srgbClr val="000000"/>
    </a:dk2>
    <a:lt2>
      <a:srgbClr val="FEFFFF"/>
    </a:lt2>
    <a:accent1>
      <a:srgbClr val="3B73FF"/>
    </a:accent1>
    <a:accent2>
      <a:srgbClr val="1DDC98"/>
    </a:accent2>
    <a:accent3>
      <a:srgbClr val="FFCC3E"/>
    </a:accent3>
    <a:accent4>
      <a:srgbClr val="FF7640"/>
    </a:accent4>
    <a:accent5>
      <a:srgbClr val="FC4242"/>
    </a:accent5>
    <a:accent6>
      <a:srgbClr val="A766FF"/>
    </a:accent6>
    <a:hlink>
      <a:srgbClr val="304FFE"/>
    </a:hlink>
    <a:folHlink>
      <a:srgbClr val="492067"/>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7299</Words>
  <Characters>7778</Characters>
  <Lines>63</Lines>
  <Paragraphs>17</Paragraphs>
  <TotalTime>5</TotalTime>
  <ScaleCrop>false</ScaleCrop>
  <LinksUpToDate>false</LinksUpToDate>
  <CharactersWithSpaces>7814</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2020-08-09T01:49:00Z</dcterms:created>
  <dc:creator>曹颖</dc:creator>
  <cp:lastModifiedBy>user</cp:lastModifiedBy>
  <cp:lastPrinted>2026-09-03T15:49:00Z</cp:lastPrinted>
  <dcterms:modified xsi:type="dcterms:W3CDTF">2026-09-11T16:20:33Z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3BF536824C220DA3E40E8B68BA118B1C_42</vt:lpwstr>
  </property>
  <property fmtid="{D5CDD505-2E9C-101B-9397-08002B2CF9AE}" pid="4" name="KSOTemplateDocerSaveRecord">
    <vt:lpwstr>eyJoZGlkIjoiNDE4MTAwNjY4NmQ1ODlkNDQ1Zjk4YzliYjdmM2E3MjMiLCJ1c2VySWQiOiI2MDg2NzUyMjAifQ==</vt:lpwstr>
  </property>
</Properties>
</file>