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15396597"/>
      <w:bookmarkStart w:id="1" w:name="_Toc15377425"/>
      <w:bookmarkStart w:id="2" w:name="_Toc15378441"/>
      <w:bookmarkStart w:id="3" w:name="_Toc15396475"/>
      <w:bookmarkStart w:id="4" w:name="_Toc15377193"/>
      <w:bookmarkStart w:id="5" w:name="_Toc15306267"/>
    </w:p>
    <w:p>
      <w:pPr>
        <w:pStyle w:val="6"/>
      </w:pPr>
    </w:p>
    <w:p/>
    <w:p>
      <w:pPr>
        <w:pStyle w:val="7"/>
        <w:spacing w:before="93"/>
        <w:jc w:val="center"/>
        <w:rPr>
          <w:rFonts w:ascii="Times New Roman" w:eastAsia="方正小标宋简体"/>
          <w:kern w:val="2"/>
          <w:sz w:val="44"/>
          <w:szCs w:val="44"/>
        </w:rPr>
      </w:pPr>
    </w:p>
    <w:p>
      <w:pPr>
        <w:pStyle w:val="7"/>
        <w:spacing w:before="93"/>
        <w:jc w:val="center"/>
        <w:rPr>
          <w:rFonts w:ascii="Times New Roman" w:eastAsia="方正小标宋简体"/>
          <w:kern w:val="2"/>
          <w:sz w:val="44"/>
          <w:szCs w:val="44"/>
        </w:rPr>
      </w:pPr>
    </w:p>
    <w:p>
      <w:pPr>
        <w:pStyle w:val="7"/>
        <w:spacing w:before="93"/>
        <w:jc w:val="center"/>
        <w:rPr>
          <w:rFonts w:ascii="Times New Roman" w:eastAsia="方正小标宋简体"/>
          <w:kern w:val="2"/>
          <w:sz w:val="44"/>
          <w:szCs w:val="44"/>
        </w:rPr>
      </w:pPr>
    </w:p>
    <w:p>
      <w:pPr>
        <w:pStyle w:val="7"/>
        <w:spacing w:before="93"/>
        <w:jc w:val="center"/>
        <w:rPr>
          <w:rFonts w:ascii="Times New Roman" w:eastAsia="方正小标宋简体"/>
          <w:kern w:val="2"/>
          <w:sz w:val="44"/>
          <w:szCs w:val="44"/>
        </w:rPr>
      </w:pPr>
    </w:p>
    <w:bookmarkEnd w:id="0"/>
    <w:bookmarkEnd w:id="1"/>
    <w:bookmarkEnd w:id="2"/>
    <w:bookmarkEnd w:id="3"/>
    <w:bookmarkEnd w:id="4"/>
    <w:p>
      <w:pPr>
        <w:pStyle w:val="7"/>
        <w:spacing w:before="93"/>
        <w:jc w:val="center"/>
        <w:rPr>
          <w:rFonts w:ascii="Times New Roman" w:eastAsia="方正小标宋简体"/>
          <w:kern w:val="2"/>
          <w:sz w:val="44"/>
          <w:szCs w:val="44"/>
        </w:rPr>
      </w:pPr>
      <w:bookmarkStart w:id="6" w:name="_Toc15378442"/>
      <w:bookmarkStart w:id="7" w:name="_Toc15396476"/>
      <w:bookmarkStart w:id="8" w:name="_Toc15396598"/>
      <w:bookmarkStart w:id="9" w:name="_Toc15377426"/>
      <w:bookmarkStart w:id="10" w:name="_Toc15377194"/>
      <w:r>
        <w:rPr>
          <w:rFonts w:hint="eastAsia" w:ascii="Times New Roman" w:eastAsia="方正小标宋简体"/>
          <w:kern w:val="2"/>
          <w:sz w:val="44"/>
          <w:szCs w:val="44"/>
        </w:rPr>
        <w:t>2025年度</w:t>
      </w:r>
      <w:bookmarkEnd w:id="5"/>
      <w:bookmarkStart w:id="11" w:name="_Toc15306268"/>
    </w:p>
    <w:p>
      <w:pPr>
        <w:pStyle w:val="7"/>
        <w:spacing w:before="93"/>
        <w:jc w:val="center"/>
        <w:rPr>
          <w:rFonts w:ascii="方正小标宋简体" w:hAnsi="宋体" w:eastAsia="方正小标宋简体"/>
          <w:sz w:val="44"/>
          <w:szCs w:val="44"/>
        </w:rPr>
      </w:pPr>
      <w:r>
        <w:rPr>
          <w:rFonts w:hint="eastAsia" w:ascii="方正小标宋简体" w:hAnsi="宋体" w:eastAsia="方正小标宋简体"/>
          <w:sz w:val="44"/>
          <w:szCs w:val="44"/>
        </w:rPr>
        <w:t>中国共产党攀枝花市委员会老干部局</w:t>
      </w:r>
    </w:p>
    <w:p>
      <w:pPr>
        <w:pStyle w:val="7"/>
        <w:spacing w:before="93"/>
        <w:jc w:val="center"/>
        <w:rPr>
          <w:rFonts w:ascii="Times New Roman" w:eastAsia="方正小标宋简体"/>
          <w:kern w:val="2"/>
          <w:sz w:val="44"/>
          <w:szCs w:val="44"/>
        </w:rPr>
      </w:pPr>
      <w:r>
        <w:rPr>
          <w:rFonts w:hint="eastAsia" w:ascii="Times New Roman" w:eastAsia="方正小标宋简体"/>
          <w:kern w:val="2"/>
          <w:sz w:val="44"/>
          <w:szCs w:val="44"/>
          <w:lang w:eastAsia="zh-CN"/>
        </w:rPr>
        <w:t>单位</w:t>
      </w:r>
      <w:r>
        <w:rPr>
          <w:rFonts w:hint="eastAsia" w:ascii="Times New Roman" w:eastAsia="方正小标宋简体"/>
          <w:kern w:val="2"/>
          <w:sz w:val="44"/>
          <w:szCs w:val="44"/>
        </w:rPr>
        <w:t>决算</w:t>
      </w:r>
      <w:bookmarkEnd w:id="6"/>
      <w:bookmarkEnd w:id="7"/>
      <w:bookmarkEnd w:id="8"/>
      <w:bookmarkEnd w:id="9"/>
      <w:bookmarkEnd w:id="10"/>
      <w:bookmarkEnd w:id="11"/>
    </w:p>
    <w:p>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pPr>
        <w:widowControl/>
        <w:jc w:val="center"/>
        <w:rPr>
          <w:rFonts w:eastAsia="黑体" w:cstheme="minorBidi"/>
          <w:sz w:val="28"/>
          <w:szCs w:val="28"/>
        </w:rPr>
      </w:pPr>
    </w:p>
    <w:p>
      <w:pPr>
        <w:pStyle w:val="14"/>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ascii="Times New Roman" w:hAnsi="Times New Roman" w:eastAsia="仿宋_GB2312" w:cs="仿宋_GB2312"/>
          <w:sz w:val="32"/>
          <w:szCs w:val="32"/>
        </w:rPr>
        <w:t>6</w:t>
      </w:r>
      <w:r>
        <w:rPr>
          <w:rFonts w:hint="eastAsia" w:ascii="Times New Roman" w:hAnsi="Times New Roman" w:eastAsia="仿宋_GB2312" w:cs="仿宋_GB2312"/>
          <w:sz w:val="32"/>
          <w:szCs w:val="32"/>
        </w:rPr>
        <w:t>年</w:t>
      </w:r>
      <w:r>
        <w:rPr>
          <w:rFonts w:ascii="Times New Roman" w:hAnsi="Times New Roman" w:eastAsia="仿宋_GB2312" w:cs="仿宋_GB2312"/>
          <w:sz w:val="32"/>
          <w:szCs w:val="32"/>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11</w:t>
      </w:r>
      <w:r>
        <w:rPr>
          <w:rFonts w:hint="eastAsia" w:ascii="Times New Roman" w:hAnsi="Times New Roman" w:eastAsia="仿宋_GB2312" w:cs="仿宋_GB2312"/>
          <w:sz w:val="32"/>
          <w:szCs w:val="32"/>
        </w:rPr>
        <w:t>日</w:t>
      </w:r>
    </w:p>
    <w:p/>
    <w:p>
      <w:pPr>
        <w:pStyle w:val="14"/>
        <w:adjustRightInd w:val="0"/>
        <w:snapToGrid w:val="0"/>
        <w:spacing w:before="0" w:line="560" w:lineRule="exact"/>
        <w:jc w:val="left"/>
        <w:rPr>
          <w:rFonts w:hint="default" w:ascii="Times New Roman" w:hAnsi="Times New Roman" w:cs="Times New Roman"/>
          <w:sz w:val="32"/>
          <w:szCs w:val="32"/>
        </w:rPr>
      </w:pPr>
      <w:r>
        <w:rPr>
          <w:rFonts w:hint="default" w:ascii="Times New Roman" w:hAnsi="Times New Roman" w:eastAsia="方正黑体_GBK" w:cs="Times New Roman"/>
          <w:sz w:val="32"/>
          <w:szCs w:val="32"/>
        </w:rPr>
        <w:t xml:space="preserve">第一部分 </w:t>
      </w:r>
      <w:r>
        <w:rPr>
          <w:rFonts w:hint="eastAsia" w:ascii="Times New Roman" w:hAnsi="Times New Roman" w:eastAsia="方正黑体_GBK" w:cs="Times New Roman"/>
          <w:sz w:val="32"/>
          <w:szCs w:val="32"/>
          <w:lang w:eastAsia="zh-CN"/>
        </w:rPr>
        <w:t>单位</w:t>
      </w:r>
      <w:r>
        <w:rPr>
          <w:rFonts w:hint="default" w:ascii="Times New Roman" w:hAnsi="Times New Roman" w:eastAsia="方正黑体_GBK" w:cs="Times New Roman"/>
          <w:sz w:val="32"/>
          <w:szCs w:val="32"/>
        </w:rPr>
        <w:t>概况</w:t>
      </w:r>
      <w:r>
        <w:rPr>
          <w:rFonts w:hint="default" w:ascii="Times New Roman" w:hAnsi="Times New Roman" w:cs="Times New Roman"/>
          <w:sz w:val="24"/>
          <w:szCs w:val="24"/>
        </w:rPr>
        <w:tab/>
      </w:r>
      <w:r>
        <w:rPr>
          <w:rFonts w:hint="default" w:ascii="Times New Roman" w:hAnsi="Times New Roman" w:cs="Times New Roman"/>
          <w:sz w:val="24"/>
          <w:szCs w:val="24"/>
        </w:rPr>
        <w:t>1</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一、部门职责</w:t>
      </w:r>
      <w:r>
        <w:rPr>
          <w:rFonts w:hint="default" w:ascii="Times New Roman" w:hAnsi="Times New Roman" w:cs="Times New Roman"/>
          <w:sz w:val="24"/>
        </w:rPr>
        <w:tab/>
      </w:r>
      <w:r>
        <w:rPr>
          <w:rFonts w:hint="default" w:ascii="Times New Roman" w:hAnsi="Times New Roman" w:cs="Times New Roman"/>
          <w:sz w:val="24"/>
        </w:rPr>
        <w:t>1</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二、机构设置</w:t>
      </w:r>
      <w:r>
        <w:rPr>
          <w:rFonts w:hint="default" w:ascii="Times New Roman" w:hAnsi="Times New Roman" w:cs="Times New Roman"/>
          <w:sz w:val="24"/>
        </w:rPr>
        <w:tab/>
      </w:r>
      <w:r>
        <w:rPr>
          <w:rFonts w:hint="default" w:ascii="Times New Roman" w:hAnsi="Times New Roman" w:cs="Times New Roman"/>
          <w:sz w:val="24"/>
        </w:rPr>
        <w:t>2</w:t>
      </w:r>
    </w:p>
    <w:p>
      <w:pPr>
        <w:pStyle w:val="14"/>
        <w:adjustRightInd w:val="0"/>
        <w:snapToGrid w:val="0"/>
        <w:spacing w:before="0" w:line="560" w:lineRule="exact"/>
        <w:jc w:val="left"/>
        <w:rPr>
          <w:rFonts w:hint="default" w:ascii="Times New Roman" w:hAnsi="Times New Roman" w:cs="Times New Roman"/>
          <w:sz w:val="32"/>
          <w:szCs w:val="32"/>
        </w:rPr>
      </w:pPr>
      <w:r>
        <w:rPr>
          <w:rFonts w:hint="default" w:ascii="Times New Roman" w:hAnsi="Times New Roman" w:eastAsia="方正黑体_GBK" w:cs="Times New Roman"/>
          <w:sz w:val="32"/>
          <w:szCs w:val="32"/>
        </w:rPr>
        <w:t>第二部分 2025年度</w:t>
      </w:r>
      <w:r>
        <w:rPr>
          <w:rFonts w:hint="eastAsia" w:ascii="Times New Roman" w:hAnsi="Times New Roman" w:eastAsia="方正黑体_GBK" w:cs="Times New Roman"/>
          <w:sz w:val="32"/>
          <w:szCs w:val="32"/>
          <w:lang w:eastAsia="zh-CN"/>
        </w:rPr>
        <w:t>单位</w:t>
      </w:r>
      <w:r>
        <w:rPr>
          <w:rFonts w:hint="default" w:ascii="Times New Roman" w:hAnsi="Times New Roman" w:eastAsia="方正黑体_GBK" w:cs="Times New Roman"/>
          <w:sz w:val="32"/>
          <w:szCs w:val="32"/>
        </w:rPr>
        <w:t>决算情况说明</w:t>
      </w:r>
      <w:r>
        <w:rPr>
          <w:rFonts w:hint="default" w:ascii="Times New Roman" w:hAnsi="Times New Roman" w:cs="Times New Roman"/>
          <w:sz w:val="24"/>
          <w:szCs w:val="24"/>
        </w:rPr>
        <w:tab/>
      </w:r>
      <w:r>
        <w:rPr>
          <w:rFonts w:hint="default" w:ascii="Times New Roman" w:hAnsi="Times New Roman" w:cs="Times New Roman"/>
          <w:sz w:val="24"/>
          <w:szCs w:val="24"/>
        </w:rPr>
        <w:t>3</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一、收入支出决算总体情况说明</w:t>
      </w:r>
      <w:r>
        <w:rPr>
          <w:rFonts w:hint="default" w:ascii="Times New Roman" w:hAnsi="Times New Roman" w:cs="Times New Roman"/>
          <w:sz w:val="24"/>
        </w:rPr>
        <w:tab/>
      </w:r>
      <w:r>
        <w:rPr>
          <w:rFonts w:hint="default" w:ascii="Times New Roman" w:hAnsi="Times New Roman" w:cs="Times New Roman"/>
          <w:sz w:val="24"/>
        </w:rPr>
        <w:t>3</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二、收入决算情况说明</w:t>
      </w:r>
      <w:r>
        <w:rPr>
          <w:rFonts w:hint="default" w:ascii="Times New Roman" w:hAnsi="Times New Roman" w:cs="Times New Roman"/>
          <w:sz w:val="24"/>
        </w:rPr>
        <w:tab/>
      </w:r>
      <w:r>
        <w:rPr>
          <w:rFonts w:hint="default" w:ascii="Times New Roman" w:hAnsi="Times New Roman" w:cs="Times New Roman"/>
          <w:sz w:val="24"/>
        </w:rPr>
        <w:t>3</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三、支出决算情况说明</w:t>
      </w:r>
      <w:r>
        <w:rPr>
          <w:rFonts w:hint="default" w:ascii="Times New Roman" w:hAnsi="Times New Roman" w:cs="Times New Roman"/>
          <w:sz w:val="24"/>
        </w:rPr>
        <w:tab/>
      </w:r>
      <w:r>
        <w:rPr>
          <w:rFonts w:hint="default" w:ascii="Times New Roman" w:hAnsi="Times New Roman" w:cs="Times New Roman"/>
          <w:sz w:val="24"/>
        </w:rPr>
        <w:t>4</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eastAsia="zh-CN"/>
        </w:rPr>
      </w:pPr>
      <w:r>
        <w:rPr>
          <w:rFonts w:hint="default" w:ascii="Times New Roman" w:hAnsi="Times New Roman" w:eastAsia="仿宋_GB2312" w:cs="Times New Roman"/>
          <w:sz w:val="32"/>
          <w:szCs w:val="32"/>
        </w:rPr>
        <w:t>四、财政拨款收入支出决算总体情况说明</w:t>
      </w:r>
      <w:r>
        <w:rPr>
          <w:rFonts w:hint="default" w:ascii="Times New Roman" w:hAnsi="Times New Roman" w:cs="Times New Roman"/>
          <w:sz w:val="24"/>
        </w:rPr>
        <w:tab/>
      </w:r>
      <w:r>
        <w:rPr>
          <w:rFonts w:hint="eastAsia" w:cs="Times New Roman"/>
          <w:sz w:val="24"/>
          <w:lang w:val="en-US" w:eastAsia="zh-CN"/>
        </w:rPr>
        <w:t>5</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eastAsia="zh-CN"/>
        </w:rPr>
      </w:pPr>
      <w:r>
        <w:rPr>
          <w:rFonts w:hint="default" w:ascii="Times New Roman" w:hAnsi="Times New Roman" w:eastAsia="仿宋_GB2312" w:cs="Times New Roman"/>
          <w:sz w:val="32"/>
          <w:szCs w:val="32"/>
        </w:rPr>
        <w:t>五、一般公共预算财政拨款支出决算情况说明</w:t>
      </w:r>
      <w:r>
        <w:rPr>
          <w:rFonts w:hint="default" w:ascii="Times New Roman" w:hAnsi="Times New Roman" w:cs="Times New Roman"/>
          <w:sz w:val="24"/>
        </w:rPr>
        <w:tab/>
      </w:r>
      <w:r>
        <w:rPr>
          <w:rFonts w:hint="eastAsia" w:cs="Times New Roman"/>
          <w:sz w:val="24"/>
          <w:lang w:val="en-US" w:eastAsia="zh-CN"/>
        </w:rPr>
        <w:t>5</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eastAsia="zh-CN"/>
        </w:rPr>
      </w:pPr>
      <w:r>
        <w:rPr>
          <w:rFonts w:hint="default" w:ascii="Times New Roman" w:hAnsi="Times New Roman" w:eastAsia="仿宋_GB2312" w:cs="Times New Roman"/>
          <w:sz w:val="32"/>
          <w:szCs w:val="32"/>
        </w:rPr>
        <w:t>六、一般公共预算财政拨款基本支出决算情况说明</w:t>
      </w:r>
      <w:r>
        <w:rPr>
          <w:rFonts w:hint="default" w:ascii="Times New Roman" w:hAnsi="Times New Roman" w:cs="Times New Roman"/>
          <w:sz w:val="24"/>
        </w:rPr>
        <w:tab/>
      </w:r>
      <w:r>
        <w:rPr>
          <w:rFonts w:hint="eastAsia" w:cs="Times New Roman"/>
          <w:sz w:val="24"/>
          <w:lang w:val="en-US" w:eastAsia="zh-CN"/>
        </w:rPr>
        <w:t>8</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eastAsia="zh-CN"/>
        </w:rPr>
      </w:pPr>
      <w:r>
        <w:rPr>
          <w:rFonts w:hint="default" w:ascii="Times New Roman" w:hAnsi="Times New Roman" w:eastAsia="仿宋_GB2312" w:cs="Times New Roman"/>
          <w:sz w:val="32"/>
          <w:szCs w:val="32"/>
        </w:rPr>
        <w:t>七、财政拨款“三公”经费支出决算情况说明</w:t>
      </w:r>
      <w:r>
        <w:rPr>
          <w:rFonts w:hint="default" w:ascii="Times New Roman" w:hAnsi="Times New Roman" w:cs="Times New Roman"/>
          <w:sz w:val="24"/>
        </w:rPr>
        <w:tab/>
      </w:r>
      <w:r>
        <w:rPr>
          <w:rFonts w:hint="eastAsia" w:cs="Times New Roman"/>
          <w:sz w:val="24"/>
          <w:lang w:val="en-US" w:eastAsia="zh-CN"/>
        </w:rPr>
        <w:t>9</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eastAsia="zh-CN"/>
        </w:rPr>
      </w:pPr>
      <w:r>
        <w:rPr>
          <w:rFonts w:hint="default" w:ascii="Times New Roman" w:hAnsi="Times New Roman" w:eastAsia="仿宋_GB2312" w:cs="Times New Roman"/>
          <w:sz w:val="32"/>
          <w:szCs w:val="32"/>
        </w:rPr>
        <w:t>八、政府性基金预算支出决算情况说明</w:t>
      </w:r>
      <w:r>
        <w:rPr>
          <w:rFonts w:hint="default" w:ascii="Times New Roman" w:hAnsi="Times New Roman" w:cs="Times New Roman"/>
          <w:sz w:val="24"/>
        </w:rPr>
        <w:tab/>
      </w:r>
      <w:r>
        <w:rPr>
          <w:rFonts w:hint="default" w:ascii="Times New Roman" w:hAnsi="Times New Roman" w:cs="Times New Roman"/>
          <w:sz w:val="24"/>
        </w:rPr>
        <w:t>1</w:t>
      </w:r>
      <w:r>
        <w:rPr>
          <w:rFonts w:hint="eastAsia" w:cs="Times New Roman"/>
          <w:sz w:val="24"/>
          <w:lang w:val="en-US" w:eastAsia="zh-CN"/>
        </w:rPr>
        <w:t>1</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eastAsia="zh-CN"/>
        </w:rPr>
      </w:pPr>
      <w:r>
        <w:rPr>
          <w:rFonts w:hint="default" w:ascii="Times New Roman" w:hAnsi="Times New Roman" w:eastAsia="仿宋_GB2312" w:cs="Times New Roman"/>
          <w:sz w:val="32"/>
          <w:szCs w:val="32"/>
        </w:rPr>
        <w:t>九、国有资本经营预算支出决算情况说明</w:t>
      </w:r>
      <w:r>
        <w:rPr>
          <w:rFonts w:hint="default" w:ascii="Times New Roman" w:hAnsi="Times New Roman" w:cs="Times New Roman"/>
          <w:sz w:val="24"/>
        </w:rPr>
        <w:tab/>
      </w:r>
      <w:r>
        <w:rPr>
          <w:rFonts w:hint="default" w:ascii="Times New Roman" w:hAnsi="Times New Roman" w:cs="Times New Roman"/>
          <w:sz w:val="24"/>
        </w:rPr>
        <w:t>1</w:t>
      </w:r>
      <w:r>
        <w:rPr>
          <w:rFonts w:hint="eastAsia" w:cs="Times New Roman"/>
          <w:sz w:val="24"/>
          <w:lang w:val="en-US" w:eastAsia="zh-CN"/>
        </w:rPr>
        <w:t>1</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eastAsia="zh-CN"/>
        </w:rPr>
      </w:pPr>
      <w:r>
        <w:rPr>
          <w:rFonts w:hint="default" w:ascii="Times New Roman" w:hAnsi="Times New Roman" w:eastAsia="仿宋_GB2312" w:cs="Times New Roman"/>
          <w:sz w:val="32"/>
          <w:szCs w:val="32"/>
        </w:rPr>
        <w:t>十、其他重要事项的情况说明</w:t>
      </w:r>
      <w:r>
        <w:rPr>
          <w:rFonts w:hint="default" w:ascii="Times New Roman" w:hAnsi="Times New Roman" w:cs="Times New Roman"/>
          <w:sz w:val="24"/>
        </w:rPr>
        <w:tab/>
      </w:r>
      <w:r>
        <w:rPr>
          <w:rFonts w:hint="default" w:ascii="Times New Roman" w:hAnsi="Times New Roman" w:cs="Times New Roman"/>
          <w:sz w:val="24"/>
        </w:rPr>
        <w:t>1</w:t>
      </w:r>
      <w:r>
        <w:rPr>
          <w:rFonts w:hint="eastAsia" w:cs="Times New Roman"/>
          <w:sz w:val="24"/>
          <w:lang w:val="en-US" w:eastAsia="zh-CN"/>
        </w:rPr>
        <w:t>1</w:t>
      </w:r>
    </w:p>
    <w:p>
      <w:pPr>
        <w:pStyle w:val="14"/>
        <w:adjustRightInd w:val="0"/>
        <w:snapToGrid w:val="0"/>
        <w:spacing w:before="0" w:line="560" w:lineRule="exact"/>
        <w:jc w:val="left"/>
        <w:rPr>
          <w:rFonts w:hint="eastAsia" w:ascii="Times New Roman" w:hAnsi="Times New Roman" w:eastAsia="仿宋" w:cs="Times New Roman"/>
          <w:sz w:val="32"/>
          <w:szCs w:val="32"/>
          <w:lang w:eastAsia="zh-CN"/>
        </w:rPr>
      </w:pPr>
      <w:r>
        <w:rPr>
          <w:rFonts w:hint="default" w:ascii="Times New Roman" w:hAnsi="Times New Roman" w:eastAsia="方正黑体_GBK" w:cs="Times New Roman"/>
          <w:sz w:val="32"/>
          <w:szCs w:val="32"/>
        </w:rPr>
        <w:t>第三部分 名词解释</w:t>
      </w:r>
      <w:r>
        <w:rPr>
          <w:rFonts w:hint="default" w:ascii="Times New Roman" w:hAnsi="Times New Roman" w:cs="Times New Roman"/>
          <w:sz w:val="24"/>
          <w:szCs w:val="24"/>
        </w:rPr>
        <w:tab/>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4</w:t>
      </w:r>
    </w:p>
    <w:p>
      <w:pPr>
        <w:pStyle w:val="14"/>
        <w:adjustRightInd w:val="0"/>
        <w:snapToGrid w:val="0"/>
        <w:spacing w:before="0" w:line="560" w:lineRule="exact"/>
        <w:jc w:val="left"/>
        <w:rPr>
          <w:rFonts w:hint="eastAsia" w:ascii="Times New Roman" w:hAnsi="Times New Roman" w:eastAsia="仿宋" w:cs="Times New Roman"/>
          <w:sz w:val="32"/>
          <w:szCs w:val="32"/>
          <w:lang w:eastAsia="zh-CN"/>
        </w:rPr>
      </w:pPr>
      <w:r>
        <w:rPr>
          <w:rFonts w:hint="default" w:ascii="Times New Roman" w:hAnsi="Times New Roman" w:eastAsia="方正黑体_GBK" w:cs="Times New Roman"/>
          <w:sz w:val="32"/>
          <w:szCs w:val="32"/>
        </w:rPr>
        <w:t>第四部分 附件</w:t>
      </w:r>
      <w:r>
        <w:rPr>
          <w:rFonts w:hint="default" w:ascii="Times New Roman" w:hAnsi="Times New Roman" w:cs="Times New Roman"/>
          <w:sz w:val="24"/>
          <w:szCs w:val="24"/>
        </w:rPr>
        <w:tab/>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8</w:t>
      </w:r>
    </w:p>
    <w:p>
      <w:pPr>
        <w:pStyle w:val="14"/>
        <w:adjustRightInd w:val="0"/>
        <w:snapToGrid w:val="0"/>
        <w:spacing w:before="0" w:line="560" w:lineRule="exact"/>
        <w:jc w:val="left"/>
        <w:rPr>
          <w:rFonts w:hint="default" w:ascii="Times New Roman" w:hAnsi="Times New Roman" w:eastAsia="仿宋" w:cs="Times New Roman"/>
          <w:sz w:val="32"/>
          <w:szCs w:val="32"/>
          <w:lang w:val="en-US" w:eastAsia="zh-CN"/>
        </w:rPr>
      </w:pPr>
      <w:r>
        <w:rPr>
          <w:rFonts w:hint="default" w:ascii="Times New Roman" w:hAnsi="Times New Roman" w:eastAsia="方正黑体_GBK" w:cs="Times New Roman"/>
          <w:sz w:val="32"/>
          <w:szCs w:val="32"/>
        </w:rPr>
        <w:t>第五部分 附表</w:t>
      </w:r>
      <w:r>
        <w:rPr>
          <w:rFonts w:hint="default" w:ascii="Times New Roman" w:hAnsi="Times New Roman" w:cs="Times New Roman"/>
          <w:sz w:val="24"/>
          <w:szCs w:val="24"/>
        </w:rPr>
        <w:tab/>
      </w:r>
      <w:r>
        <w:rPr>
          <w:rFonts w:hint="eastAsia" w:ascii="Times New Roman" w:hAnsi="Times New Roman" w:cs="Times New Roman"/>
          <w:sz w:val="24"/>
          <w:szCs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一、收入支出决算总表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二、收入决算表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三、支出决算表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四、财政拨款收入支出决算总表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五、财政拨款支出决算明细表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六、一般公共预算财政拨款支出决算表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七、一般公共预算财政拨款支出决算明细表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八、一般公共预算财政拨款基本支出决算明细表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九、一般公共预算财政拨款项目支出决算表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十、政府性基金预算财政拨款收入支出决算表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十一、国有资本经营预算财政拨款收入支出决算表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十二、国有资本经营预算财政拨款支出决算表</w:t>
      </w:r>
      <w:r>
        <w:rPr>
          <w:rFonts w:hint="default" w:ascii="Times New Roman" w:hAnsi="Times New Roman" w:cs="Times New Roman"/>
          <w:sz w:val="24"/>
        </w:rPr>
        <w:tab/>
      </w:r>
      <w:r>
        <w:rPr>
          <w:rFonts w:hint="eastAsia" w:cs="Times New Roman"/>
          <w:sz w:val="24"/>
          <w:lang w:val="en-US" w:eastAsia="zh-CN"/>
        </w:rPr>
        <w:t>19</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十三、财政拨款“三公”经费支出决算表</w:t>
      </w:r>
      <w:r>
        <w:rPr>
          <w:rFonts w:hint="default" w:ascii="Times New Roman" w:hAnsi="Times New Roman" w:cs="Times New Roman"/>
          <w:sz w:val="24"/>
        </w:rPr>
        <w:tab/>
      </w:r>
      <w:r>
        <w:rPr>
          <w:rFonts w:hint="eastAsia" w:cs="Times New Roman"/>
          <w:sz w:val="24"/>
          <w:lang w:val="en-US" w:eastAsia="zh-CN"/>
        </w:rPr>
        <w:t>19</w:t>
      </w:r>
    </w:p>
    <w:p>
      <w:pPr>
        <w:pStyle w:val="3"/>
        <w:jc w:val="center"/>
        <w:rPr>
          <w:rFonts w:hint="default" w:ascii="Times New Roman" w:hAnsi="Times New Roman" w:eastAsia="方正小标宋简体" w:cs="Times New Roman"/>
          <w:b w:val="0"/>
        </w:rPr>
        <w:sectPr>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pPr>
      <w:bookmarkStart w:id="12" w:name="_Toc15377196"/>
      <w:bookmarkStart w:id="13" w:name="_Toc15396599"/>
    </w:p>
    <w:p>
      <w:pPr>
        <w:pStyle w:val="3"/>
        <w:jc w:val="center"/>
        <w:rPr>
          <w:rStyle w:val="29"/>
          <w:rFonts w:eastAsia="方正小标宋简体" w:cs="方正小标宋简体"/>
          <w:b/>
          <w:bCs w:val="0"/>
        </w:rPr>
      </w:pPr>
      <w:r>
        <w:rPr>
          <w:rFonts w:hint="eastAsia" w:eastAsia="方正小标宋简体" w:cs="方正小标宋简体"/>
          <w:b w:val="0"/>
        </w:rPr>
        <w:t>第一部分</w:t>
      </w:r>
      <w:r>
        <w:rPr>
          <w:rFonts w:hint="eastAsia" w:eastAsia="方正小标宋简体" w:cs="方正小标宋简体"/>
          <w:b w:val="0"/>
          <w:lang w:val="en-US" w:eastAsia="zh-CN"/>
        </w:rPr>
        <w:t xml:space="preserve">  </w:t>
      </w:r>
      <w:r>
        <w:rPr>
          <w:rStyle w:val="29"/>
          <w:rFonts w:hint="eastAsia" w:eastAsia="方正小标宋简体" w:cs="方正小标宋简体"/>
          <w:b w:val="0"/>
          <w:bCs w:val="0"/>
          <w:lang w:eastAsia="zh-CN"/>
        </w:rPr>
        <w:t>单位</w:t>
      </w:r>
      <w:r>
        <w:rPr>
          <w:rStyle w:val="29"/>
          <w:rFonts w:hint="eastAsia" w:eastAsia="方正小标宋简体" w:cs="方正小标宋简体"/>
          <w:b w:val="0"/>
          <w:bCs w:val="0"/>
        </w:rPr>
        <w:t>概况</w:t>
      </w:r>
      <w:bookmarkEnd w:id="12"/>
      <w:bookmarkEnd w:id="13"/>
    </w:p>
    <w:p>
      <w:pPr>
        <w:pStyle w:val="4"/>
        <w:ind w:firstLine="640" w:firstLineChars="200"/>
        <w:rPr>
          <w:rFonts w:ascii="方正黑体_GBK" w:hAnsi="方正黑体_GBK" w:eastAsia="方正黑体_GBK" w:cs="方正黑体_GBK"/>
          <w:b w:val="0"/>
          <w:bCs/>
        </w:rPr>
      </w:pPr>
      <w:r>
        <w:rPr>
          <w:rFonts w:hint="eastAsia" w:ascii="方正黑体_GBK" w:hAnsi="方正黑体_GBK" w:eastAsia="方正黑体_GBK" w:cs="方正黑体_GBK"/>
          <w:b w:val="0"/>
          <w:bCs/>
        </w:rPr>
        <w:t>一、部门职责</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1.贯彻执行党中央、国务院和省委、省政府关于老干部工作的方针、政策和市委、市政府的有关规定，向市委报告全市老干部工作情况，提出工作建议；拟定、完善老干部工作相关制度、规定并组织实施。</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2.指导县（区）、市级部门、大企业开展老干部工作，推进信息化精准化规范化建设，督促、检查具体执行情况。加强老干部工作部门自身建设和本系统干部队伍建设。</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指导推进全市老干部政治思想建设，配合各级党委（党组）规范和加强离退休干部党组织建设，指导离退休干部党支部（党小组）开展活动；融入“康养党建”工作，引导离退休干部发挥作用，持续深入为党和人民的事业增添正能量。</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督促落实老干部政治待遇和生活待遇，组织安排走访慰问老干部工作；做好市级离退休干部参观考察和健康休养；调查研究老干部服务管理的相关问题，协调解决老干部工作中出现的突出矛盾和问题；负责离退休干部来信来访等工作。</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5.加强和规范全市老干部活动阵地建设和服务管理工作；组织老干部开展各种健康有益的文化体育活动。管理炳草岗干部休养所、市老干部活动中心（市老年大学）；指导攀枝花市成都干休所开展工作。</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6.完成市委、市委组织部交办的其他工作。</w:t>
      </w:r>
    </w:p>
    <w:p>
      <w:pPr>
        <w:pStyle w:val="4"/>
        <w:ind w:firstLine="640" w:firstLineChars="200"/>
        <w:rPr>
          <w:rStyle w:val="30"/>
          <w:rFonts w:hint="eastAsia" w:ascii="方正黑体_GBK" w:hAnsi="方正黑体_GBK" w:eastAsia="方正黑体_GBK" w:cs="方正黑体_GBK"/>
          <w:b w:val="0"/>
          <w:bCs/>
        </w:rPr>
      </w:pPr>
      <w:bookmarkStart w:id="14" w:name="_Toc15377200"/>
      <w:bookmarkStart w:id="15" w:name="_Toc15396601"/>
      <w:r>
        <w:rPr>
          <w:rFonts w:hint="eastAsia" w:ascii="方正黑体_GBK" w:hAnsi="方正黑体_GBK" w:eastAsia="方正黑体_GBK" w:cs="方正黑体_GBK"/>
          <w:b w:val="0"/>
          <w:bCs/>
        </w:rPr>
        <w:t>二、机构设置</w:t>
      </w:r>
      <w:bookmarkEnd w:id="14"/>
      <w:bookmarkEnd w:id="15"/>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中国共产党攀枝花市委员会老干部局下属二级单位2个，其中行政单位0个，参照公务员法管理的事业单位1个，其他事业单位1个。</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无纳入中国共产党攀枝花市委员会老干部局2025年度部门决算编制范围的二级预算单位。</w:t>
      </w:r>
    </w:p>
    <w:p>
      <w:pPr>
        <w:ind w:firstLine="800" w:firstLineChars="250"/>
        <w:rPr>
          <w:rFonts w:eastAsia="仿宋_GB2312" w:cs="仿宋_GB2312"/>
          <w:sz w:val="32"/>
          <w:szCs w:val="32"/>
        </w:rPr>
      </w:pPr>
    </w:p>
    <w:p>
      <w:pPr>
        <w:widowControl/>
        <w:jc w:val="left"/>
        <w:rPr>
          <w:rFonts w:eastAsia="仿宋"/>
          <w:kern w:val="0"/>
          <w:sz w:val="32"/>
          <w:szCs w:val="32"/>
        </w:rPr>
      </w:pPr>
      <w:r>
        <w:rPr>
          <w:rFonts w:eastAsia="仿宋"/>
          <w:sz w:val="32"/>
          <w:szCs w:val="32"/>
        </w:rPr>
        <w:br w:type="page"/>
      </w:r>
    </w:p>
    <w:p>
      <w:pPr>
        <w:pStyle w:val="3"/>
        <w:jc w:val="center"/>
        <w:rPr>
          <w:rFonts w:eastAsia="方正小标宋简体" w:cs="方正小标宋简体"/>
          <w:b w:val="0"/>
        </w:rPr>
      </w:pPr>
      <w:bookmarkStart w:id="16" w:name="_Toc15396602"/>
      <w:bookmarkStart w:id="17" w:name="_Toc15377204"/>
      <w:bookmarkStart w:id="18" w:name="_Toc15396614"/>
      <w:bookmarkStart w:id="19" w:name="_Toc15377226"/>
      <w:r>
        <w:rPr>
          <w:rFonts w:hint="eastAsia" w:eastAsia="方正小标宋简体" w:cs="方正小标宋简体"/>
          <w:b w:val="0"/>
        </w:rPr>
        <w:t>第二部分</w:t>
      </w:r>
      <w:r>
        <w:rPr>
          <w:rFonts w:hint="eastAsia" w:eastAsia="方正小标宋简体" w:cs="方正小标宋简体"/>
          <w:b w:val="0"/>
          <w:lang w:val="en-US" w:eastAsia="zh-CN"/>
        </w:rPr>
        <w:t xml:space="preserve">  </w:t>
      </w:r>
      <w:r>
        <w:rPr>
          <w:rFonts w:hint="eastAsia" w:eastAsia="方正小标宋简体" w:cs="方正小标宋简体"/>
          <w:b w:val="0"/>
        </w:rPr>
        <w:t>202</w:t>
      </w:r>
      <w:r>
        <w:rPr>
          <w:rFonts w:eastAsia="方正小标宋简体" w:cs="方正小标宋简体"/>
          <w:b w:val="0"/>
        </w:rPr>
        <w:t>5</w:t>
      </w:r>
      <w:r>
        <w:rPr>
          <w:rFonts w:hint="eastAsia" w:eastAsia="方正小标宋简体" w:cs="方正小标宋简体"/>
          <w:b w:val="0"/>
        </w:rPr>
        <w:t>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16"/>
      <w:bookmarkEnd w:id="17"/>
    </w:p>
    <w:p>
      <w:pPr>
        <w:pStyle w:val="28"/>
        <w:spacing w:line="600" w:lineRule="exact"/>
        <w:ind w:left="0" w:leftChars="0" w:firstLine="640" w:firstLineChars="200"/>
        <w:outlineLvl w:val="1"/>
        <w:rPr>
          <w:rStyle w:val="30"/>
          <w:rFonts w:ascii="方正黑体_GBK" w:hAnsi="方正黑体_GBK" w:eastAsia="方正黑体_GBK" w:cs="方正黑体_GBK"/>
          <w:b w:val="0"/>
          <w:bCs w:val="0"/>
        </w:rPr>
      </w:pPr>
      <w:bookmarkStart w:id="20" w:name="_Toc15377205"/>
      <w:bookmarkStart w:id="21" w:name="_Toc15396603"/>
      <w:r>
        <w:rPr>
          <w:rFonts w:hint="eastAsia" w:ascii="方正黑体_GBK" w:hAnsi="方正黑体_GBK" w:eastAsia="方正黑体_GBK" w:cs="方正黑体_GBK"/>
          <w:b w:val="0"/>
          <w:bCs w:val="0"/>
          <w:sz w:val="32"/>
          <w:szCs w:val="32"/>
        </w:rPr>
        <w:t>一、收</w:t>
      </w:r>
      <w:r>
        <w:rPr>
          <w:rStyle w:val="30"/>
          <w:rFonts w:hint="eastAsia" w:ascii="方正黑体_GBK" w:hAnsi="方正黑体_GBK" w:eastAsia="方正黑体_GBK" w:cs="方正黑体_GBK"/>
          <w:b w:val="0"/>
          <w:bCs w:val="0"/>
        </w:rPr>
        <w:t>入支出决算总体情况说明</w:t>
      </w:r>
      <w:bookmarkEnd w:id="20"/>
      <w:bookmarkEnd w:id="21"/>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2025年度收入、支出总计均为</w:t>
      </w:r>
      <w:r>
        <w:rPr>
          <w:rFonts w:hint="eastAsia" w:ascii="Times New Roman" w:hAnsi="Times New Roman" w:eastAsia="方正仿宋_GBK" w:cs="Times New Roman"/>
          <w:sz w:val="32"/>
          <w:szCs w:val="32"/>
        </w:rPr>
        <w:t>936.7</w:t>
      </w:r>
      <w:r>
        <w:rPr>
          <w:rFonts w:hint="default" w:ascii="Times New Roman" w:hAnsi="Times New Roman" w:eastAsia="方正仿宋_GBK" w:cs="Times New Roman"/>
          <w:sz w:val="32"/>
          <w:szCs w:val="32"/>
        </w:rPr>
        <w:t>万元。与</w:t>
      </w:r>
      <w:r>
        <w:rPr>
          <w:rFonts w:hint="eastAsia" w:ascii="Times New Roman" w:hAnsi="Times New Roman" w:eastAsia="方正仿宋_GBK" w:cs="Times New Roman"/>
          <w:sz w:val="32"/>
          <w:szCs w:val="32"/>
        </w:rPr>
        <w:t>上</w:t>
      </w:r>
      <w:r>
        <w:rPr>
          <w:rFonts w:hint="default" w:ascii="Times New Roman" w:hAnsi="Times New Roman" w:eastAsia="方正仿宋_GBK" w:cs="Times New Roman"/>
          <w:sz w:val="32"/>
          <w:szCs w:val="32"/>
        </w:rPr>
        <w:t>年度相比，收入、支出总计各增加</w:t>
      </w:r>
      <w:r>
        <w:rPr>
          <w:rFonts w:hint="eastAsia" w:ascii="Times New Roman" w:hAnsi="Times New Roman" w:eastAsia="方正仿宋_GBK" w:cs="Times New Roman"/>
          <w:sz w:val="32"/>
          <w:szCs w:val="32"/>
        </w:rPr>
        <w:t>37.35</w:t>
      </w:r>
      <w:r>
        <w:rPr>
          <w:rFonts w:hint="default" w:ascii="Times New Roman" w:hAnsi="Times New Roman" w:eastAsia="方正仿宋_GBK" w:cs="Times New Roman"/>
          <w:sz w:val="32"/>
          <w:szCs w:val="32"/>
        </w:rPr>
        <w:t>万元，增长</w:t>
      </w:r>
      <w:r>
        <w:rPr>
          <w:rFonts w:hint="eastAsia" w:ascii="Times New Roman" w:hAnsi="Times New Roman" w:eastAsia="方正仿宋_GBK" w:cs="Times New Roman"/>
          <w:sz w:val="32"/>
          <w:szCs w:val="32"/>
        </w:rPr>
        <w:t>4.2</w:t>
      </w:r>
      <w:r>
        <w:rPr>
          <w:rFonts w:hint="default" w:ascii="Times New Roman" w:hAnsi="Times New Roman" w:eastAsia="方正仿宋_GBK" w:cs="Times New Roman"/>
          <w:sz w:val="32"/>
          <w:szCs w:val="32"/>
        </w:rPr>
        <w:t>%。主要变动原因是</w:t>
      </w:r>
      <w:r>
        <w:rPr>
          <w:rFonts w:hint="eastAsia" w:ascii="Times New Roman" w:hAnsi="Times New Roman" w:eastAsia="方正仿宋_GBK" w:cs="Times New Roman"/>
          <w:sz w:val="32"/>
          <w:szCs w:val="32"/>
        </w:rPr>
        <w:t>新增2人，人员经费增加。</w:t>
      </w:r>
    </w:p>
    <w:p>
      <w:pPr>
        <w:snapToGrid w:val="0"/>
        <w:spacing w:line="560" w:lineRule="exact"/>
        <w:jc w:val="center"/>
        <w:rPr>
          <w:rFonts w:eastAsia="仿宋_GB2312"/>
          <w:sz w:val="32"/>
          <w:szCs w:val="32"/>
        </w:rPr>
      </w:pPr>
      <w:r>
        <w:rPr>
          <w:rFonts w:eastAsia="仿宋_GB2312"/>
          <w:sz w:val="32"/>
          <w:szCs w:val="32"/>
        </w:rPr>
        <w:pict>
          <v:shape id="_x0000_s2057" o:spid="_x0000_s2057" o:spt="75" alt="olechartimg_1757322922483562_719652864" type="#_x0000_t75" style="position:absolute;left:0pt;margin-left:4.15pt;margin-top:6.85pt;height:229.9pt;width:412.55pt;mso-wrap-distance-bottom:0pt;mso-wrap-distance-top:0pt;z-index:251665408;mso-width-relative:page;mso-height-relative:page;" o:ole="t" filled="f" o:preferrelative="t" stroked="f" coordsize="21600,21600">
            <v:path/>
            <v:fill on="f" focussize="0,0"/>
            <v:stroke on="f"/>
            <v:imagedata r:id="rId9" o:title="oleetimg_1788325160308540_85370880"/>
            <o:lock v:ext="edit" aspectratio="f"/>
            <w10:wrap type="topAndBottom"/>
          </v:shape>
          <o:OLEObject Type="Embed" ProgID="Excel.Sheet.8" ShapeID="_x0000_s2057" DrawAspect="Content" ObjectID="_1468075725" r:id="rId8">
            <o:LockedField>false</o:LockedField>
          </o:OLEObject>
        </w:pict>
      </w:r>
      <w:r>
        <w:rPr>
          <w:rFonts w:eastAsia="仿宋_GB2312"/>
          <w:sz w:val="32"/>
          <w:szCs w:val="32"/>
        </w:rPr>
        <w:t>（图1：收入、支出决算总计变动情况图）</w:t>
      </w:r>
    </w:p>
    <w:p>
      <w:pPr>
        <w:pStyle w:val="28"/>
        <w:spacing w:line="600" w:lineRule="exact"/>
        <w:ind w:firstLine="643"/>
        <w:outlineLvl w:val="1"/>
        <w:rPr>
          <w:rFonts w:ascii="方正黑体_GBK" w:hAnsi="方正黑体_GBK" w:eastAsia="方正黑体_GBK" w:cs="方正黑体_GBK"/>
          <w:b w:val="0"/>
          <w:bCs w:val="0"/>
          <w:sz w:val="32"/>
          <w:szCs w:val="32"/>
        </w:rPr>
      </w:pPr>
      <w:bookmarkStart w:id="22" w:name="_Toc15396604"/>
      <w:bookmarkStart w:id="23" w:name="_Toc15377206"/>
      <w:r>
        <w:rPr>
          <w:rFonts w:hint="eastAsia" w:ascii="方正黑体_GBK" w:hAnsi="方正黑体_GBK" w:eastAsia="方正黑体_GBK" w:cs="方正黑体_GBK"/>
          <w:b w:val="0"/>
          <w:bCs w:val="0"/>
          <w:sz w:val="32"/>
          <w:szCs w:val="32"/>
        </w:rPr>
        <w:t>二、收入决算情况说明</w:t>
      </w:r>
      <w:bookmarkEnd w:id="22"/>
      <w:bookmarkEnd w:id="23"/>
    </w:p>
    <w:p>
      <w:pPr>
        <w:pStyle w:val="28"/>
        <w:spacing w:line="600" w:lineRule="exact"/>
        <w:ind w:firstLine="640"/>
        <w:jc w:val="left"/>
        <w:outlineLvl w:val="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5</w:t>
      </w:r>
      <w:r>
        <w:rPr>
          <w:rFonts w:hint="default" w:ascii="Times New Roman" w:hAnsi="Times New Roman" w:eastAsia="方正仿宋_GBK" w:cs="Times New Roman"/>
          <w:sz w:val="32"/>
          <w:szCs w:val="32"/>
        </w:rPr>
        <w:t>年度本年收入合计</w:t>
      </w:r>
      <w:r>
        <w:rPr>
          <w:rFonts w:hint="eastAsia" w:ascii="Times New Roman" w:hAnsi="Times New Roman" w:eastAsia="方正仿宋_GBK" w:cs="Times New Roman"/>
          <w:sz w:val="32"/>
          <w:szCs w:val="32"/>
        </w:rPr>
        <w:t>936.7</w:t>
      </w:r>
      <w:r>
        <w:rPr>
          <w:rFonts w:hint="default" w:ascii="Times New Roman" w:hAnsi="Times New Roman" w:eastAsia="方正仿宋_GBK" w:cs="Times New Roman"/>
          <w:sz w:val="32"/>
          <w:szCs w:val="32"/>
        </w:rPr>
        <w:t>万元，其中：一般公共预算财政拨款收入</w:t>
      </w:r>
      <w:r>
        <w:rPr>
          <w:rFonts w:hint="eastAsia" w:ascii="Times New Roman" w:hAnsi="Times New Roman" w:eastAsia="方正仿宋_GBK" w:cs="Times New Roman"/>
          <w:sz w:val="32"/>
          <w:szCs w:val="32"/>
        </w:rPr>
        <w:t>897.84</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95.9</w:t>
      </w:r>
      <w:r>
        <w:rPr>
          <w:rFonts w:hint="default" w:ascii="Times New Roman" w:hAnsi="Times New Roman" w:eastAsia="方正仿宋_GBK" w:cs="Times New Roman"/>
          <w:sz w:val="32"/>
          <w:szCs w:val="32"/>
        </w:rPr>
        <w:t>%；政府性基金预算财政拨款收入</w:t>
      </w:r>
      <w:r>
        <w:rPr>
          <w:rFonts w:hint="eastAsia" w:ascii="Times New Roman" w:hAnsi="Times New Roman" w:eastAsia="方正仿宋_GBK" w:cs="Times New Roman"/>
          <w:sz w:val="32"/>
          <w:szCs w:val="32"/>
        </w:rPr>
        <w:t>38.86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4.1</w:t>
      </w:r>
      <w:r>
        <w:rPr>
          <w:rFonts w:hint="default" w:ascii="Times New Roman" w:hAnsi="Times New Roman" w:eastAsia="方正仿宋_GBK" w:cs="Times New Roman"/>
          <w:sz w:val="32"/>
          <w:szCs w:val="32"/>
        </w:rPr>
        <w:t>%；国有资本经营预算财政拨款收入0万元，占0%；上级补助收入0万元，占0%；事业收入0万元，占0%；经营收入0万元，占0%；附属单位上缴收入0万元，占0%；其他收入0万元，占0%。</w:t>
      </w:r>
    </w:p>
    <w:p>
      <w:pPr>
        <w:spacing w:line="560" w:lineRule="exact"/>
        <w:ind w:firstLine="640" w:firstLineChars="200"/>
        <w:rPr>
          <w:rFonts w:hint="eastAsia" w:ascii="Times New Roman" w:hAnsi="Times New Roman" w:eastAsia="方正仿宋_GBK" w:cs="Times New Roman"/>
          <w:sz w:val="32"/>
          <w:szCs w:val="32"/>
        </w:rPr>
      </w:pPr>
    </w:p>
    <w:p>
      <w:pPr>
        <w:pStyle w:val="28"/>
        <w:tabs>
          <w:tab w:val="center" w:pos="4185"/>
          <w:tab w:val="left" w:pos="7287"/>
        </w:tabs>
        <w:spacing w:line="600" w:lineRule="exact"/>
        <w:ind w:firstLine="0" w:firstLineChars="0"/>
        <w:jc w:val="left"/>
        <w:outlineLvl w:val="1"/>
        <w:rPr>
          <w:rFonts w:hint="eastAsia" w:eastAsia="仿宋_GB2312" w:cs="仿宋_GB2312"/>
          <w:sz w:val="32"/>
          <w:szCs w:val="32"/>
          <w:lang w:eastAsia="zh-CN"/>
        </w:rPr>
      </w:pPr>
      <w:r>
        <w:pict>
          <v:shape id="_x0000_s2061" o:spid="_x0000_s2061" o:spt="75" alt="olechartimg_1757324187211636_715999232" type="#_x0000_t75" style="position:absolute;left:0pt;margin-left:0.95pt;margin-top:4.5pt;height:233.4pt;width:416.45pt;mso-wrap-distance-bottom:0pt;mso-wrap-distance-top:0pt;z-index:251676672;mso-width-relative:page;mso-height-relative:page;" o:ole="t" filled="f" o:preferrelative="t" stroked="f" coordsize="21600,21600">
            <v:path/>
            <v:fill on="f" focussize="0,0"/>
            <v:stroke on="f"/>
            <v:imagedata r:id="rId11" o:title="oleetimg_1789097641862515_1054730240"/>
            <o:lock v:ext="edit" aspectratio="f"/>
            <w10:wrap type="topAndBottom"/>
          </v:shape>
          <o:OLEObject Type="Embed" ProgID="Excel.Sheet.8" ShapeID="_x0000_s2061" DrawAspect="Content" ObjectID="_1468075726" r:id="rId10">
            <o:LockedField>false</o:LockedField>
          </o:OLEObject>
        </w:pict>
      </w:r>
      <w:r>
        <w:rPr>
          <w:rFonts w:hint="eastAsia" w:eastAsia="仿宋_GB2312" w:cs="仿宋_GB2312"/>
          <w:sz w:val="32"/>
          <w:szCs w:val="32"/>
          <w:lang w:eastAsia="zh-CN"/>
        </w:rPr>
        <w:tab/>
      </w:r>
      <w:r>
        <w:rPr>
          <w:rFonts w:hint="eastAsia" w:eastAsia="仿宋_GB2312" w:cs="仿宋_GB2312"/>
          <w:sz w:val="32"/>
          <w:szCs w:val="32"/>
        </w:rPr>
        <w:t>（图2：收入决算结构图）</w:t>
      </w:r>
      <w:r>
        <w:rPr>
          <w:rFonts w:hint="eastAsia" w:eastAsia="仿宋_GB2312" w:cs="仿宋_GB2312"/>
          <w:sz w:val="32"/>
          <w:szCs w:val="32"/>
          <w:lang w:eastAsia="zh-CN"/>
        </w:rPr>
        <w:tab/>
      </w:r>
    </w:p>
    <w:p>
      <w:pPr>
        <w:pStyle w:val="28"/>
        <w:spacing w:line="600" w:lineRule="exact"/>
        <w:ind w:firstLine="643"/>
        <w:outlineLvl w:val="1"/>
        <w:rPr>
          <w:rFonts w:hint="eastAsia" w:ascii="方正黑体_GBK" w:hAnsi="方正黑体_GBK" w:eastAsia="方正黑体_GBK" w:cs="方正黑体_GBK"/>
          <w:b w:val="0"/>
          <w:bCs w:val="0"/>
          <w:sz w:val="32"/>
          <w:szCs w:val="32"/>
        </w:rPr>
      </w:pPr>
      <w:bookmarkStart w:id="24" w:name="_Toc15377207"/>
      <w:bookmarkStart w:id="25" w:name="_Toc15396605"/>
      <w:r>
        <w:rPr>
          <w:rFonts w:hint="eastAsia" w:ascii="方正黑体_GBK" w:hAnsi="方正黑体_GBK" w:eastAsia="方正黑体_GBK" w:cs="方正黑体_GBK"/>
          <w:b w:val="0"/>
          <w:bCs w:val="0"/>
          <w:sz w:val="32"/>
          <w:szCs w:val="32"/>
        </w:rPr>
        <w:t>三、支出决算情况说明</w:t>
      </w:r>
      <w:bookmarkEnd w:id="24"/>
      <w:bookmarkEnd w:id="25"/>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2025年度本年支出合计936.7万元，其中：基本支出582.7万元，占62.2%；项目支出354万元，占37.</w:t>
      </w:r>
      <w:r>
        <w:rPr>
          <w:rFonts w:hint="eastAsia" w:eastAsia="方正仿宋_GBK"/>
          <w:sz w:val="32"/>
          <w:szCs w:val="32"/>
          <w:lang w:val="en-US" w:eastAsia="zh-CN"/>
        </w:rPr>
        <w:t>8</w:t>
      </w:r>
      <w:r>
        <w:rPr>
          <w:rFonts w:hint="eastAsia" w:eastAsia="方正仿宋_GBK"/>
          <w:sz w:val="32"/>
          <w:szCs w:val="32"/>
        </w:rPr>
        <w:t>%</w:t>
      </w:r>
      <w:r>
        <w:rPr>
          <w:rFonts w:hint="eastAsia" w:eastAsia="方正仿宋_GBK"/>
          <w:sz w:val="32"/>
          <w:szCs w:val="32"/>
          <w:lang w:eastAsia="zh-CN"/>
        </w:rPr>
        <w:t>；</w:t>
      </w:r>
      <w:r>
        <w:rPr>
          <w:rFonts w:hint="default" w:eastAsia="方正仿宋_GBK"/>
          <w:sz w:val="32"/>
          <w:szCs w:val="32"/>
        </w:rPr>
        <w:t>上缴上级支出0万元，占0%；经营支出0万元，占0%；对附属单位补助支出0万元，占0%。</w:t>
      </w:r>
    </w:p>
    <w:p>
      <w:pPr>
        <w:pStyle w:val="28"/>
        <w:spacing w:line="600" w:lineRule="exact"/>
        <w:jc w:val="center"/>
        <w:outlineLvl w:val="1"/>
        <w:rPr>
          <w:rFonts w:eastAsia="仿宋_GB2312" w:cs="仿宋_GB2312"/>
          <w:sz w:val="32"/>
          <w:szCs w:val="32"/>
        </w:rPr>
      </w:pPr>
      <w:r>
        <w:pict>
          <v:shape id="_x0000_s2058" o:spid="_x0000_s2058" o:spt="75" alt="olechartimg_1757324187211636_715999232" type="#_x0000_t75" style="position:absolute;left:0pt;margin-left:9.7pt;margin-top:9.45pt;height:235.8pt;width:418.95pt;mso-wrap-distance-bottom:0pt;mso-wrap-distance-top:0pt;z-index:251660288;mso-width-relative:page;mso-height-relative:page;" o:ole="t" filled="f" o:preferrelative="t" stroked="f" coordsize="21600,21600">
            <v:path/>
            <v:fill on="f" focussize="0,0"/>
            <v:stroke on="f"/>
            <v:imagedata r:id="rId13" o:title="oleetimg_1788325584439475_250115072"/>
            <o:lock v:ext="edit" aspectratio="f"/>
            <w10:wrap type="topAndBottom"/>
          </v:shape>
          <o:OLEObject Type="Embed" ProgID="Excel.Sheet.8" ShapeID="_x0000_s2058" DrawAspect="Content" ObjectID="_1468075727" r:id="rId12">
            <o:LockedField>false</o:LockedField>
          </o:OLEObject>
        </w:pict>
      </w:r>
      <w:r>
        <w:rPr>
          <w:rFonts w:hint="eastAsia" w:eastAsia="仿宋_GB2312" w:cs="仿宋_GB2312"/>
          <w:sz w:val="32"/>
          <w:szCs w:val="32"/>
        </w:rPr>
        <w:t>（图3：支出决算结构图）</w:t>
      </w:r>
    </w:p>
    <w:p>
      <w:pPr>
        <w:pStyle w:val="28"/>
        <w:spacing w:line="600" w:lineRule="exact"/>
        <w:ind w:firstLine="643"/>
        <w:outlineLvl w:val="1"/>
        <w:rPr>
          <w:rFonts w:hint="eastAsia" w:ascii="方正黑体_GBK" w:hAnsi="方正黑体_GBK" w:eastAsia="方正黑体_GBK" w:cs="方正黑体_GBK"/>
          <w:b w:val="0"/>
          <w:bCs w:val="0"/>
          <w:sz w:val="32"/>
          <w:szCs w:val="32"/>
        </w:rPr>
      </w:pPr>
      <w:bookmarkStart w:id="26" w:name="_Toc15396606"/>
      <w:bookmarkStart w:id="27" w:name="_Toc15377208"/>
      <w:r>
        <w:rPr>
          <w:rFonts w:hint="eastAsia" w:ascii="方正黑体_GBK" w:hAnsi="方正黑体_GBK" w:eastAsia="方正黑体_GBK" w:cs="方正黑体_GBK"/>
          <w:b w:val="0"/>
          <w:bCs w:val="0"/>
          <w:sz w:val="32"/>
          <w:szCs w:val="32"/>
        </w:rPr>
        <w:t>四、财政拨款收入支出决算总体情况说明</w:t>
      </w:r>
      <w:bookmarkEnd w:id="26"/>
      <w:bookmarkEnd w:id="27"/>
    </w:p>
    <w:p>
      <w:pPr>
        <w:pStyle w:val="28"/>
        <w:spacing w:line="600" w:lineRule="exact"/>
        <w:ind w:left="0" w:leftChars="0" w:firstLine="640" w:firstLineChars="200"/>
        <w:jc w:val="left"/>
        <w:outlineLvl w:val="1"/>
        <w:rPr>
          <w:rFonts w:hint="default" w:eastAsia="方正仿宋_GBK"/>
          <w:sz w:val="32"/>
          <w:szCs w:val="32"/>
        </w:rPr>
      </w:pPr>
      <w:r>
        <w:rPr>
          <w:rFonts w:hint="default" w:eastAsia="方正仿宋_GBK"/>
          <w:sz w:val="32"/>
          <w:szCs w:val="32"/>
        </w:rPr>
        <w:t>2025年度财政拨款收入、支出总计均为936.7万元。与上年度相比，财政拨款收入总计、支出总计各增加37.</w:t>
      </w:r>
      <w:r>
        <w:rPr>
          <w:rFonts w:hint="eastAsia" w:eastAsia="方正仿宋_GBK"/>
          <w:sz w:val="32"/>
          <w:szCs w:val="32"/>
          <w:lang w:val="en-US" w:eastAsia="zh-CN"/>
        </w:rPr>
        <w:t>3</w:t>
      </w:r>
      <w:r>
        <w:rPr>
          <w:rFonts w:hint="default" w:eastAsia="方正仿宋_GBK"/>
          <w:sz w:val="32"/>
          <w:szCs w:val="32"/>
        </w:rPr>
        <w:t>5万元，增长4.2%。主要变动原因是新增2人，人员经费增加。</w:t>
      </w:r>
    </w:p>
    <w:p>
      <w:pPr>
        <w:pStyle w:val="15"/>
        <w:jc w:val="center"/>
      </w:pPr>
      <w:bookmarkStart w:id="28" w:name="_1787128800"/>
      <w:bookmarkEnd w:id="28"/>
      <w:r>
        <w:rPr>
          <w:rFonts w:eastAsia="方正仿宋_GBK"/>
          <w:sz w:val="33"/>
          <w:szCs w:val="33"/>
        </w:rPr>
        <w:object>
          <v:shape id="_x0000_i1025" o:spt="75" alt="olechartimg_1757324520091879_631711744" type="#_x0000_t75" style="height:216.6pt;width:410.2pt;" o:ole="t" filled="f" o:preferrelative="t" stroked="f" coordsize="21600,21600">
            <v:path/>
            <v:fill on="f" focussize="0,0"/>
            <v:stroke on="f"/>
            <v:imagedata r:id="rId15" o:title="oleetimg_1788167911235119_845809664"/>
            <o:lock v:ext="edit" aspectratio="f"/>
            <w10:wrap type="none"/>
            <w10:anchorlock/>
          </v:shape>
          <o:OLEObject Type="Embed" ProgID="Excel.Sheet.8" ShapeID="_x0000_i1025" DrawAspect="Content" ObjectID="_1468075728" r:id="rId14">
            <o:LockedField>false</o:LockedField>
          </o:OLEObject>
        </w:object>
      </w:r>
    </w:p>
    <w:p>
      <w:pPr>
        <w:pStyle w:val="15"/>
        <w:jc w:val="center"/>
        <w:rPr>
          <w:rFonts w:eastAsia="仿宋_GB2312" w:cs="仿宋_GB2312"/>
          <w:sz w:val="32"/>
          <w:szCs w:val="32"/>
        </w:rPr>
      </w:pPr>
      <w:r>
        <w:rPr>
          <w:rFonts w:hint="eastAsia" w:eastAsia="仿宋_GB2312" w:cs="仿宋_GB2312"/>
          <w:sz w:val="32"/>
          <w:szCs w:val="32"/>
        </w:rPr>
        <w:t>（图4：财政拨款收、支决算总计变动情况）</w:t>
      </w:r>
    </w:p>
    <w:p>
      <w:pPr>
        <w:pStyle w:val="28"/>
        <w:spacing w:line="600" w:lineRule="exact"/>
        <w:ind w:firstLine="643"/>
        <w:outlineLvl w:val="1"/>
        <w:rPr>
          <w:rFonts w:hint="eastAsia" w:ascii="方正黑体_GBK" w:hAnsi="方正黑体_GBK" w:eastAsia="方正黑体_GBK" w:cs="方正黑体_GBK"/>
          <w:b w:val="0"/>
          <w:bCs w:val="0"/>
          <w:sz w:val="32"/>
          <w:szCs w:val="32"/>
        </w:rPr>
      </w:pPr>
      <w:bookmarkStart w:id="29" w:name="_Toc15396607"/>
      <w:bookmarkStart w:id="30" w:name="_Toc15377209"/>
      <w:r>
        <w:rPr>
          <w:rFonts w:hint="eastAsia" w:ascii="方正黑体_GBK" w:hAnsi="方正黑体_GBK" w:eastAsia="方正黑体_GBK" w:cs="方正黑体_GBK"/>
          <w:b w:val="0"/>
          <w:bCs w:val="0"/>
          <w:sz w:val="32"/>
          <w:szCs w:val="32"/>
        </w:rPr>
        <w:t>五、一般公共预算财政拨款支出决算情况说明</w:t>
      </w:r>
      <w:bookmarkEnd w:id="29"/>
      <w:bookmarkEnd w:id="30"/>
    </w:p>
    <w:p>
      <w:pPr>
        <w:spacing w:line="600" w:lineRule="exact"/>
        <w:ind w:firstLine="642" w:firstLineChars="200"/>
        <w:outlineLvl w:val="2"/>
        <w:rPr>
          <w:rFonts w:ascii="方正楷体_GBK" w:hAnsi="方正楷体_GBK" w:eastAsia="方正楷体_GBK" w:cs="方正楷体_GBK"/>
          <w:b/>
          <w:sz w:val="32"/>
          <w:szCs w:val="32"/>
        </w:rPr>
      </w:pPr>
      <w:bookmarkStart w:id="31" w:name="_Toc15377210"/>
      <w:r>
        <w:rPr>
          <w:rFonts w:hint="eastAsia" w:ascii="方正楷体_GBK" w:hAnsi="方正楷体_GBK" w:eastAsia="方正楷体_GBK" w:cs="方正楷体_GBK"/>
          <w:b/>
          <w:sz w:val="32"/>
          <w:szCs w:val="32"/>
        </w:rPr>
        <w:t>（一）一般公共预算财政拨款支出决算总体情况</w:t>
      </w:r>
      <w:bookmarkEnd w:id="31"/>
    </w:p>
    <w:p>
      <w:pPr>
        <w:pStyle w:val="28"/>
        <w:spacing w:line="600" w:lineRule="exact"/>
        <w:ind w:left="0" w:leftChars="0" w:firstLine="640" w:firstLineChars="200"/>
        <w:jc w:val="left"/>
        <w:outlineLvl w:val="1"/>
        <w:rPr>
          <w:rFonts w:hint="eastAsia"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年度一般公共预算财政拨款支出</w:t>
      </w:r>
      <w:r>
        <w:rPr>
          <w:rFonts w:hint="eastAsia" w:eastAsia="方正仿宋_GBK"/>
          <w:sz w:val="32"/>
          <w:szCs w:val="32"/>
        </w:rPr>
        <w:t>897.84</w:t>
      </w:r>
      <w:r>
        <w:rPr>
          <w:rFonts w:eastAsia="方正仿宋_GBK"/>
          <w:sz w:val="32"/>
          <w:szCs w:val="32"/>
        </w:rPr>
        <w:t>万元，占本年支出合计的</w:t>
      </w:r>
      <w:r>
        <w:rPr>
          <w:rFonts w:hint="eastAsia" w:eastAsia="方正仿宋_GBK"/>
          <w:sz w:val="32"/>
          <w:szCs w:val="32"/>
        </w:rPr>
        <w:t>95.9</w:t>
      </w:r>
      <w:r>
        <w:rPr>
          <w:rFonts w:eastAsia="方正仿宋_GBK"/>
          <w:sz w:val="32"/>
          <w:szCs w:val="32"/>
        </w:rPr>
        <w:t>%。与</w:t>
      </w:r>
      <w:r>
        <w:rPr>
          <w:rFonts w:hint="eastAsia" w:eastAsia="方正仿宋_GBK"/>
          <w:sz w:val="32"/>
          <w:szCs w:val="32"/>
        </w:rPr>
        <w:t>上</w:t>
      </w:r>
      <w:r>
        <w:rPr>
          <w:rFonts w:eastAsia="方正仿宋_GBK"/>
          <w:sz w:val="32"/>
          <w:szCs w:val="32"/>
        </w:rPr>
        <w:t>年度相比，一般公共预算财政拨款支出</w:t>
      </w:r>
      <w:r>
        <w:rPr>
          <w:rFonts w:hint="eastAsia" w:eastAsia="方正仿宋_GBK"/>
          <w:sz w:val="32"/>
          <w:szCs w:val="32"/>
        </w:rPr>
        <w:t>减少1.5</w:t>
      </w:r>
      <w:r>
        <w:rPr>
          <w:rFonts w:eastAsia="方正仿宋_GBK"/>
          <w:sz w:val="32"/>
          <w:szCs w:val="32"/>
        </w:rPr>
        <w:t>1万元，</w:t>
      </w:r>
      <w:r>
        <w:rPr>
          <w:rFonts w:hint="eastAsia" w:eastAsia="方正仿宋_GBK"/>
          <w:sz w:val="32"/>
          <w:szCs w:val="32"/>
        </w:rPr>
        <w:t>下降0.2</w:t>
      </w:r>
      <w:r>
        <w:rPr>
          <w:rFonts w:eastAsia="方正仿宋_GBK"/>
          <w:sz w:val="32"/>
          <w:szCs w:val="32"/>
        </w:rPr>
        <w:t>%。主要变动原因是养老服务业发展补助专项资金</w:t>
      </w:r>
      <w:r>
        <w:rPr>
          <w:rFonts w:hint="eastAsia" w:eastAsia="方正仿宋_GBK"/>
          <w:sz w:val="32"/>
          <w:szCs w:val="32"/>
        </w:rPr>
        <w:t>（省级）项目有部分经费</w:t>
      </w:r>
      <w:r>
        <w:rPr>
          <w:rFonts w:hint="eastAsia" w:eastAsia="方正仿宋_GBK"/>
          <w:sz w:val="32"/>
          <w:szCs w:val="32"/>
          <w:lang w:eastAsia="zh-CN"/>
        </w:rPr>
        <w:t>体现</w:t>
      </w:r>
      <w:r>
        <w:rPr>
          <w:rFonts w:hint="eastAsia" w:eastAsia="方正仿宋_GBK"/>
          <w:sz w:val="32"/>
          <w:szCs w:val="32"/>
        </w:rPr>
        <w:t>在政府性基金预算。</w:t>
      </w:r>
    </w:p>
    <w:p>
      <w:pPr>
        <w:pStyle w:val="6"/>
        <w:jc w:val="center"/>
        <w:rPr>
          <w:rFonts w:eastAsia="仿宋_GB2312" w:cs="仿宋_GB2312"/>
          <w:sz w:val="32"/>
          <w:szCs w:val="32"/>
        </w:rPr>
      </w:pPr>
      <w:r>
        <w:rPr>
          <w:rFonts w:ascii="仿宋" w:hAnsi="仿宋" w:eastAsia="仿宋"/>
          <w:sz w:val="32"/>
          <w:szCs w:val="32"/>
        </w:rPr>
        <w:pict>
          <v:shape id="_x0000_s2059" o:spid="_x0000_s2059" o:spt="75" alt="olechartimg_1757325192056461_745515008" type="#_x0000_t75" style="position:absolute;left:0pt;margin-left:-1.15pt;margin-top:6.5pt;height:204.5pt;width:410.4pt;mso-wrap-distance-bottom:0pt;mso-wrap-distance-top:0pt;z-index:251661312;mso-width-relative:page;mso-height-relative:page;" o:ole="t" filled="f" o:preferrelative="t" stroked="f" coordsize="21600,21600">
            <v:path/>
            <v:fill on="f" focussize="0,0"/>
            <v:stroke on="f"/>
            <v:imagedata r:id="rId17" cropbottom="-60f" o:title="oleetimg_1788167963683722_845809664"/>
            <o:lock v:ext="edit" aspectratio="f"/>
            <w10:wrap type="topAndBottom"/>
          </v:shape>
          <o:OLEObject Type="Embed" ProgID="Excel.Sheet.8" ShapeID="_x0000_s2059" DrawAspect="Content" ObjectID="_1468075729" r:id="rId16">
            <o:LockedField>false</o:LockedField>
          </o:OLEObject>
        </w:pict>
      </w:r>
      <w:r>
        <w:rPr>
          <w:rFonts w:hint="eastAsia" w:eastAsia="仿宋_GB2312" w:cs="仿宋_GB2312"/>
          <w:sz w:val="32"/>
          <w:szCs w:val="32"/>
        </w:rPr>
        <w:t>（图5：一般公共预算财政拨款支出决算变动情况）</w:t>
      </w:r>
    </w:p>
    <w:p>
      <w:pPr>
        <w:spacing w:line="600" w:lineRule="exact"/>
        <w:ind w:firstLine="642" w:firstLineChars="200"/>
        <w:outlineLvl w:val="2"/>
        <w:rPr>
          <w:rFonts w:ascii="方正楷体_GBK" w:hAnsi="方正楷体_GBK" w:eastAsia="方正楷体_GBK" w:cs="方正楷体_GBK"/>
          <w:b/>
          <w:sz w:val="32"/>
          <w:szCs w:val="32"/>
        </w:rPr>
      </w:pPr>
      <w:bookmarkStart w:id="32" w:name="_Toc15377211"/>
      <w:r>
        <w:rPr>
          <w:rFonts w:hint="eastAsia" w:ascii="方正楷体_GBK" w:hAnsi="方正楷体_GBK" w:eastAsia="方正楷体_GBK" w:cs="方正楷体_GBK"/>
          <w:b/>
          <w:sz w:val="32"/>
          <w:szCs w:val="32"/>
        </w:rPr>
        <w:t>（二）一般公共预算财政拨款支出决算结构情况</w:t>
      </w:r>
      <w:bookmarkEnd w:id="32"/>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年度一般公共预算财政拨款支出</w:t>
      </w:r>
      <w:r>
        <w:rPr>
          <w:rFonts w:hint="eastAsia" w:eastAsia="方正仿宋_GBK"/>
          <w:sz w:val="32"/>
          <w:szCs w:val="32"/>
        </w:rPr>
        <w:t>897.84</w:t>
      </w:r>
      <w:r>
        <w:rPr>
          <w:rFonts w:eastAsia="方正仿宋_GBK"/>
          <w:sz w:val="32"/>
          <w:szCs w:val="32"/>
        </w:rPr>
        <w:t>万元，主要用于以下方面：一般公共服务支出</w:t>
      </w:r>
      <w:r>
        <w:rPr>
          <w:rFonts w:hint="eastAsia" w:eastAsia="方正仿宋_GBK"/>
          <w:sz w:val="32"/>
          <w:szCs w:val="32"/>
        </w:rPr>
        <w:t>646.05</w:t>
      </w:r>
      <w:r>
        <w:rPr>
          <w:rFonts w:eastAsia="方正仿宋_GBK"/>
          <w:sz w:val="32"/>
          <w:szCs w:val="32"/>
        </w:rPr>
        <w:t>万元，占</w:t>
      </w:r>
      <w:r>
        <w:rPr>
          <w:rFonts w:hint="eastAsia" w:eastAsia="方正仿宋_GBK"/>
          <w:sz w:val="32"/>
          <w:szCs w:val="32"/>
        </w:rPr>
        <w:t>72</w:t>
      </w:r>
      <w:r>
        <w:rPr>
          <w:rFonts w:eastAsia="方正仿宋_GBK"/>
          <w:sz w:val="32"/>
          <w:szCs w:val="32"/>
        </w:rPr>
        <w:t>%；</w:t>
      </w:r>
      <w:r>
        <w:rPr>
          <w:rFonts w:hint="eastAsia" w:eastAsia="方正仿宋_GBK"/>
          <w:sz w:val="32"/>
          <w:szCs w:val="32"/>
        </w:rPr>
        <w:t>教育支出14万元，占1.5%；</w:t>
      </w:r>
      <w:r>
        <w:rPr>
          <w:rFonts w:eastAsia="方正仿宋_GBK"/>
          <w:sz w:val="32"/>
          <w:szCs w:val="32"/>
        </w:rPr>
        <w:t>社会保障和就业支出</w:t>
      </w:r>
      <w:r>
        <w:rPr>
          <w:rFonts w:hint="eastAsia" w:eastAsia="方正仿宋_GBK"/>
          <w:sz w:val="32"/>
          <w:szCs w:val="32"/>
        </w:rPr>
        <w:t>167.73</w:t>
      </w:r>
      <w:r>
        <w:rPr>
          <w:rFonts w:eastAsia="方正仿宋_GBK"/>
          <w:sz w:val="32"/>
          <w:szCs w:val="32"/>
        </w:rPr>
        <w:t>万元，占</w:t>
      </w:r>
      <w:r>
        <w:rPr>
          <w:rFonts w:hint="eastAsia" w:eastAsia="方正仿宋_GBK"/>
          <w:sz w:val="32"/>
          <w:szCs w:val="32"/>
        </w:rPr>
        <w:t>18.7</w:t>
      </w:r>
      <w:r>
        <w:rPr>
          <w:rFonts w:eastAsia="方正仿宋_GBK"/>
          <w:sz w:val="32"/>
          <w:szCs w:val="32"/>
        </w:rPr>
        <w:t>%；卫生健康支出</w:t>
      </w:r>
      <w:r>
        <w:rPr>
          <w:rFonts w:hint="eastAsia" w:eastAsia="方正仿宋_GBK"/>
          <w:sz w:val="32"/>
          <w:szCs w:val="32"/>
        </w:rPr>
        <w:t>31.55</w:t>
      </w:r>
      <w:r>
        <w:rPr>
          <w:rFonts w:eastAsia="方正仿宋_GBK"/>
          <w:sz w:val="32"/>
          <w:szCs w:val="32"/>
        </w:rPr>
        <w:t>万元，占</w:t>
      </w:r>
      <w:r>
        <w:rPr>
          <w:rFonts w:hint="eastAsia" w:eastAsia="方正仿宋_GBK"/>
          <w:sz w:val="32"/>
          <w:szCs w:val="32"/>
        </w:rPr>
        <w:t>3.5</w:t>
      </w:r>
      <w:r>
        <w:rPr>
          <w:rFonts w:eastAsia="方正仿宋_GBK"/>
          <w:sz w:val="32"/>
          <w:szCs w:val="32"/>
        </w:rPr>
        <w:t>%；住房保障支出</w:t>
      </w:r>
      <w:r>
        <w:rPr>
          <w:rFonts w:hint="eastAsia" w:eastAsia="方正仿宋_GBK"/>
          <w:sz w:val="32"/>
          <w:szCs w:val="32"/>
        </w:rPr>
        <w:t>38.51</w:t>
      </w:r>
      <w:r>
        <w:rPr>
          <w:rFonts w:eastAsia="方正仿宋_GBK"/>
          <w:sz w:val="32"/>
          <w:szCs w:val="32"/>
        </w:rPr>
        <w:t>万元，占</w:t>
      </w:r>
      <w:r>
        <w:rPr>
          <w:rFonts w:hint="eastAsia" w:eastAsia="方正仿宋_GBK"/>
          <w:sz w:val="32"/>
          <w:szCs w:val="32"/>
        </w:rPr>
        <w:t>4.3</w:t>
      </w:r>
      <w:r>
        <w:rPr>
          <w:rFonts w:eastAsia="方正仿宋_GBK"/>
          <w:sz w:val="32"/>
          <w:szCs w:val="32"/>
        </w:rPr>
        <w:t>%。</w:t>
      </w:r>
    </w:p>
    <w:p>
      <w:pPr>
        <w:pStyle w:val="15"/>
        <w:jc w:val="center"/>
        <w:rPr>
          <w:rFonts w:eastAsia="仿宋_GB2312" w:cs="仿宋_GB2312"/>
          <w:sz w:val="32"/>
          <w:szCs w:val="32"/>
        </w:rPr>
      </w:pPr>
      <w:bookmarkStart w:id="74" w:name="_GoBack"/>
      <w:bookmarkStart w:id="33" w:name="_1787129429"/>
      <w:bookmarkEnd w:id="33"/>
      <w:bookmarkStart w:id="34" w:name="_1787129436"/>
      <w:bookmarkEnd w:id="34"/>
      <w:bookmarkStart w:id="35" w:name="_1787129468"/>
      <w:bookmarkEnd w:id="35"/>
      <w:bookmarkStart w:id="36" w:name="_1787129493"/>
      <w:bookmarkEnd w:id="36"/>
      <w:bookmarkStart w:id="37" w:name="_1787129656"/>
      <w:bookmarkEnd w:id="37"/>
      <w:bookmarkStart w:id="38" w:name="_1787129413"/>
      <w:bookmarkEnd w:id="38"/>
      <w:r>
        <w:pict>
          <v:shape id="_x0000_s2062" o:spid="_x0000_s2062" o:spt="75" alt="olechartimg_1757324187211636_715999232" type="#_x0000_t75" style="position:absolute;left:0pt;margin-left:-0.85pt;margin-top:1.8pt;height:221.75pt;width:416.4pt;mso-wrap-distance-bottom:0pt;mso-wrap-distance-top:0pt;z-index:251691008;mso-width-relative:page;mso-height-relative:page;" o:ole="t" filled="f" o:preferrelative="t" stroked="f" coordsize="21600,21600">
            <v:path/>
            <v:fill on="f" focussize="0,0"/>
            <v:stroke on="f"/>
            <v:imagedata r:id="rId19" o:title="oleetimg_1789098975277175_1256420352"/>
            <o:lock v:ext="edit" aspectratio="f"/>
            <w10:wrap type="topAndBottom"/>
          </v:shape>
          <o:OLEObject Type="Embed" ProgID="Excel.Sheet.8" ShapeID="_x0000_s2062" DrawAspect="Content" ObjectID="_1468075730" r:id="rId18">
            <o:LockedField>false</o:LockedField>
          </o:OLEObject>
        </w:pict>
      </w:r>
      <w:bookmarkEnd w:id="74"/>
      <w:r>
        <w:rPr>
          <w:rFonts w:hint="eastAsia" w:eastAsia="仿宋_GB2312" w:cs="仿宋_GB2312"/>
          <w:sz w:val="32"/>
          <w:szCs w:val="32"/>
        </w:rPr>
        <w:t>（图6：一般公共预算财政拨款支出决算结构）</w:t>
      </w:r>
    </w:p>
    <w:p>
      <w:pPr>
        <w:spacing w:line="600" w:lineRule="exact"/>
        <w:ind w:firstLine="642" w:firstLineChars="200"/>
        <w:outlineLvl w:val="2"/>
        <w:rPr>
          <w:rFonts w:ascii="方正楷体_GBK" w:hAnsi="方正楷体_GBK" w:eastAsia="方正楷体_GBK" w:cs="方正楷体_GBK"/>
          <w:b/>
          <w:sz w:val="32"/>
          <w:szCs w:val="32"/>
        </w:rPr>
      </w:pPr>
      <w:bookmarkStart w:id="39" w:name="_Toc15377212"/>
      <w:r>
        <w:rPr>
          <w:rFonts w:hint="eastAsia" w:ascii="方正楷体_GBK" w:hAnsi="方正楷体_GBK" w:eastAsia="方正楷体_GBK" w:cs="方正楷体_GBK"/>
          <w:b/>
          <w:sz w:val="32"/>
          <w:szCs w:val="32"/>
        </w:rPr>
        <w:t>（三）一般公共预算财政拨款支出决算具体情况</w:t>
      </w:r>
      <w:bookmarkEnd w:id="39"/>
    </w:p>
    <w:p>
      <w:pPr>
        <w:pStyle w:val="28"/>
        <w:spacing w:line="600" w:lineRule="exact"/>
        <w:ind w:left="0" w:leftChars="0" w:firstLine="640" w:firstLineChars="200"/>
        <w:jc w:val="left"/>
        <w:outlineLvl w:val="1"/>
        <w:rPr>
          <w:rFonts w:eastAsia="方正仿宋_GBK"/>
          <w:sz w:val="32"/>
          <w:szCs w:val="32"/>
        </w:rPr>
      </w:pPr>
      <w:bookmarkStart w:id="40" w:name="_Toc15377213"/>
      <w:bookmarkStart w:id="41" w:name="_Toc15378460"/>
      <w:bookmarkStart w:id="42" w:name="_Toc15377444"/>
      <w:r>
        <w:rPr>
          <w:rFonts w:eastAsia="方正仿宋_GBK"/>
          <w:sz w:val="32"/>
          <w:szCs w:val="32"/>
        </w:rPr>
        <w:t>202</w:t>
      </w:r>
      <w:r>
        <w:rPr>
          <w:rFonts w:hint="eastAsia" w:eastAsia="方正仿宋_GBK"/>
          <w:sz w:val="32"/>
          <w:szCs w:val="32"/>
        </w:rPr>
        <w:t>5</w:t>
      </w:r>
      <w:r>
        <w:rPr>
          <w:rFonts w:eastAsia="方正仿宋_GBK"/>
          <w:sz w:val="32"/>
          <w:szCs w:val="32"/>
        </w:rPr>
        <w:t>年度一般公共预算财政拨款支出决算数为</w:t>
      </w:r>
      <w:r>
        <w:rPr>
          <w:rFonts w:hint="eastAsia" w:eastAsia="方正仿宋_GBK"/>
          <w:sz w:val="32"/>
          <w:szCs w:val="32"/>
        </w:rPr>
        <w:t>897.84万元</w:t>
      </w:r>
      <w:r>
        <w:rPr>
          <w:rFonts w:eastAsia="方正仿宋_GBK"/>
          <w:sz w:val="32"/>
          <w:szCs w:val="32"/>
        </w:rPr>
        <w:t>，完成预算100%。其中：</w:t>
      </w:r>
      <w:bookmarkEnd w:id="40"/>
      <w:bookmarkEnd w:id="41"/>
      <w:bookmarkEnd w:id="42"/>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1.一般公共服务支出（类）其他共产党事务支出（款）行政运行（项）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283.4</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2</w:t>
      </w:r>
      <w:r>
        <w:rPr>
          <w:rFonts w:eastAsia="方正仿宋_GBK"/>
          <w:sz w:val="32"/>
          <w:szCs w:val="32"/>
        </w:rPr>
        <w:t>.一般公共服务支出（类）其他共产党事务支出（款）一般行政管理事务（项）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81.28</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3</w:t>
      </w:r>
      <w:r>
        <w:rPr>
          <w:rFonts w:eastAsia="方正仿宋_GBK"/>
          <w:sz w:val="32"/>
          <w:szCs w:val="32"/>
        </w:rPr>
        <w:t>.一般公共服务支出（类）其他共产党事务支出（款）事业运行（项）:支出决算为</w:t>
      </w:r>
      <w:r>
        <w:rPr>
          <w:rFonts w:hint="eastAsia" w:eastAsia="方正仿宋_GBK"/>
          <w:sz w:val="32"/>
          <w:szCs w:val="32"/>
        </w:rPr>
        <w:t>136.95</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4</w:t>
      </w:r>
      <w:r>
        <w:rPr>
          <w:rFonts w:eastAsia="方正仿宋_GBK"/>
          <w:sz w:val="32"/>
          <w:szCs w:val="32"/>
        </w:rPr>
        <w:t>.一般公共服务支出（类）其他共产党事务支出（款）其他共产党事务支出（项）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144.42</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5</w:t>
      </w:r>
      <w:r>
        <w:rPr>
          <w:rFonts w:eastAsia="方正仿宋_GBK"/>
          <w:sz w:val="32"/>
          <w:szCs w:val="32"/>
        </w:rPr>
        <w:t>.</w:t>
      </w:r>
      <w:r>
        <w:rPr>
          <w:rFonts w:hint="eastAsia" w:eastAsia="方正仿宋_GBK"/>
          <w:sz w:val="32"/>
          <w:szCs w:val="32"/>
        </w:rPr>
        <w:t>教育</w:t>
      </w:r>
      <w:r>
        <w:rPr>
          <w:rFonts w:eastAsia="方正仿宋_GBK"/>
          <w:sz w:val="32"/>
          <w:szCs w:val="32"/>
        </w:rPr>
        <w:t>支出（类）其他教育支出（款）其他教育支出（项）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14</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6</w:t>
      </w:r>
      <w:r>
        <w:rPr>
          <w:rFonts w:eastAsia="方正仿宋_GBK"/>
          <w:sz w:val="32"/>
          <w:szCs w:val="32"/>
        </w:rPr>
        <w:t>.社会保障和就业支出（类）行政事业单位养老支出（款）行政单位离退休（项）</w:t>
      </w:r>
      <w:r>
        <w:rPr>
          <w:rFonts w:hint="default" w:eastAsia="方正仿宋_GBK"/>
          <w:sz w:val="32"/>
          <w:szCs w:val="32"/>
          <w:lang w:val="en"/>
        </w:rPr>
        <w:t>:</w:t>
      </w:r>
      <w:r>
        <w:rPr>
          <w:rFonts w:eastAsia="方正仿宋_GBK"/>
          <w:sz w:val="32"/>
          <w:szCs w:val="32"/>
        </w:rPr>
        <w:t>支出决算为</w:t>
      </w:r>
      <w:r>
        <w:rPr>
          <w:rFonts w:hint="eastAsia" w:eastAsia="方正仿宋_GBK"/>
          <w:sz w:val="32"/>
          <w:szCs w:val="32"/>
        </w:rPr>
        <w:t>42.4</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7</w:t>
      </w:r>
      <w:r>
        <w:rPr>
          <w:rFonts w:eastAsia="方正仿宋_GBK"/>
          <w:sz w:val="32"/>
          <w:szCs w:val="32"/>
        </w:rPr>
        <w:t>.社会保障和就业支出（类）行政事业单位养老支出（款）机关事业单位基本养老保险缴费支出（项）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49.89</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8</w:t>
      </w:r>
      <w:r>
        <w:rPr>
          <w:rFonts w:eastAsia="方正仿宋_GBK"/>
          <w:sz w:val="32"/>
          <w:szCs w:val="32"/>
        </w:rPr>
        <w:t>.社会保障和就业支出（类）</w:t>
      </w:r>
      <w:r>
        <w:rPr>
          <w:rFonts w:hint="eastAsia" w:eastAsia="方正仿宋_GBK"/>
          <w:sz w:val="32"/>
          <w:szCs w:val="32"/>
        </w:rPr>
        <w:t>社会福利</w:t>
      </w:r>
      <w:r>
        <w:rPr>
          <w:rFonts w:eastAsia="方正仿宋_GBK"/>
          <w:sz w:val="32"/>
          <w:szCs w:val="32"/>
        </w:rPr>
        <w:t>（款）</w:t>
      </w:r>
      <w:r>
        <w:rPr>
          <w:rFonts w:hint="eastAsia" w:eastAsia="方正仿宋_GBK"/>
          <w:sz w:val="32"/>
          <w:szCs w:val="32"/>
        </w:rPr>
        <w:t>儿童福利</w:t>
      </w:r>
      <w:r>
        <w:rPr>
          <w:rFonts w:eastAsia="方正仿宋_GBK"/>
          <w:sz w:val="32"/>
          <w:szCs w:val="32"/>
        </w:rPr>
        <w:t>（项）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10</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9.</w:t>
      </w:r>
      <w:r>
        <w:rPr>
          <w:rFonts w:eastAsia="方正仿宋_GBK"/>
          <w:sz w:val="32"/>
          <w:szCs w:val="32"/>
        </w:rPr>
        <w:t>社会保障和就业支出（类）</w:t>
      </w:r>
      <w:r>
        <w:rPr>
          <w:rFonts w:hint="eastAsia" w:eastAsia="方正仿宋_GBK"/>
          <w:sz w:val="32"/>
          <w:szCs w:val="32"/>
        </w:rPr>
        <w:t>社会福利</w:t>
      </w:r>
      <w:r>
        <w:rPr>
          <w:rFonts w:eastAsia="方正仿宋_GBK"/>
          <w:sz w:val="32"/>
          <w:szCs w:val="32"/>
        </w:rPr>
        <w:t>（款）</w:t>
      </w:r>
      <w:r>
        <w:rPr>
          <w:rFonts w:hint="eastAsia" w:eastAsia="方正仿宋_GBK"/>
          <w:sz w:val="32"/>
          <w:szCs w:val="32"/>
        </w:rPr>
        <w:t>养老服务</w:t>
      </w:r>
      <w:r>
        <w:rPr>
          <w:rFonts w:eastAsia="方正仿宋_GBK"/>
          <w:sz w:val="32"/>
          <w:szCs w:val="32"/>
        </w:rPr>
        <w:t>（项）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63.9</w:t>
      </w:r>
      <w:r>
        <w:rPr>
          <w:rFonts w:hint="eastAsia" w:eastAsia="方正仿宋_GBK"/>
          <w:sz w:val="32"/>
          <w:szCs w:val="32"/>
          <w:lang w:val="en-US" w:eastAsia="zh-CN"/>
        </w:rPr>
        <w:t>4</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10.</w:t>
      </w:r>
      <w:r>
        <w:rPr>
          <w:rFonts w:eastAsia="方正仿宋_GBK"/>
          <w:sz w:val="32"/>
          <w:szCs w:val="32"/>
        </w:rPr>
        <w:t>社会保障和就业支出（类）其他社会保障和就业支出</w:t>
      </w:r>
      <w:r>
        <w:rPr>
          <w:rFonts w:hint="eastAsia" w:eastAsia="方正仿宋_GBK"/>
          <w:sz w:val="32"/>
          <w:szCs w:val="32"/>
        </w:rPr>
        <w:t>（款）</w:t>
      </w:r>
      <w:r>
        <w:rPr>
          <w:rFonts w:eastAsia="方正仿宋_GBK"/>
          <w:sz w:val="32"/>
          <w:szCs w:val="32"/>
        </w:rPr>
        <w:t>其他社会保障和就业支出（项）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1.5</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1</w:t>
      </w:r>
      <w:r>
        <w:rPr>
          <w:rFonts w:eastAsia="方正仿宋_GBK"/>
          <w:sz w:val="32"/>
          <w:szCs w:val="32"/>
        </w:rPr>
        <w:t>.卫生健康支出（类）行政事业单位医疗（款）行政单位医疗（项）:支出决算为</w:t>
      </w:r>
      <w:r>
        <w:rPr>
          <w:rFonts w:hint="eastAsia" w:eastAsia="方正仿宋_GBK"/>
          <w:sz w:val="32"/>
          <w:szCs w:val="32"/>
        </w:rPr>
        <w:t>17.09</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2</w:t>
      </w:r>
      <w:r>
        <w:rPr>
          <w:rFonts w:eastAsia="方正仿宋_GBK"/>
          <w:sz w:val="32"/>
          <w:szCs w:val="32"/>
        </w:rPr>
        <w:t>.卫生健康支出（类）行政事业单位医疗（款）事业单位医疗（项）:支出决算为</w:t>
      </w:r>
      <w:r>
        <w:rPr>
          <w:rFonts w:hint="eastAsia" w:eastAsia="方正仿宋_GBK"/>
          <w:sz w:val="32"/>
          <w:szCs w:val="32"/>
        </w:rPr>
        <w:t>8.38</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3</w:t>
      </w:r>
      <w:r>
        <w:rPr>
          <w:rFonts w:eastAsia="方正仿宋_GBK"/>
          <w:sz w:val="32"/>
          <w:szCs w:val="32"/>
        </w:rPr>
        <w:t>.卫生健康支出（类）行政事业单位医疗（款）公务员医疗补助（项）:支出决算为</w:t>
      </w:r>
      <w:r>
        <w:rPr>
          <w:rFonts w:hint="eastAsia" w:eastAsia="方正仿宋_GBK"/>
          <w:sz w:val="32"/>
          <w:szCs w:val="32"/>
        </w:rPr>
        <w:t>2.92</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4</w:t>
      </w:r>
      <w:r>
        <w:rPr>
          <w:rFonts w:eastAsia="方正仿宋_GBK"/>
          <w:sz w:val="32"/>
          <w:szCs w:val="32"/>
        </w:rPr>
        <w:t>.卫生健康支出（类）行政事业单位医疗（款）其他行政事业单位医疗支出（项）:支出决算为</w:t>
      </w:r>
      <w:r>
        <w:rPr>
          <w:rFonts w:hint="eastAsia" w:eastAsia="方正仿宋_GBK"/>
          <w:sz w:val="32"/>
          <w:szCs w:val="32"/>
        </w:rPr>
        <w:t>3.16</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5</w:t>
      </w:r>
      <w:r>
        <w:rPr>
          <w:rFonts w:eastAsia="方正仿宋_GBK"/>
          <w:sz w:val="32"/>
          <w:szCs w:val="32"/>
        </w:rPr>
        <w:t>.</w:t>
      </w:r>
      <w:r>
        <w:rPr>
          <w:rFonts w:hint="eastAsia" w:eastAsia="方正仿宋_GBK"/>
          <w:sz w:val="32"/>
          <w:szCs w:val="32"/>
        </w:rPr>
        <w:t>住</w:t>
      </w:r>
      <w:r>
        <w:rPr>
          <w:rFonts w:eastAsia="方正仿宋_GBK"/>
          <w:sz w:val="32"/>
          <w:szCs w:val="32"/>
        </w:rPr>
        <w:t>房保障支出（类）住房改革支出（款）住房公积金（项）:支出决算为</w:t>
      </w:r>
      <w:r>
        <w:rPr>
          <w:rFonts w:hint="eastAsia" w:eastAsia="方正仿宋_GBK"/>
          <w:sz w:val="32"/>
          <w:szCs w:val="32"/>
        </w:rPr>
        <w:t>38.51</w:t>
      </w:r>
      <w:r>
        <w:rPr>
          <w:rFonts w:eastAsia="方正仿宋_GBK"/>
          <w:sz w:val="32"/>
          <w:szCs w:val="32"/>
        </w:rPr>
        <w:t>万元，完成预算100%。</w:t>
      </w:r>
    </w:p>
    <w:p>
      <w:pPr>
        <w:tabs>
          <w:tab w:val="right" w:pos="8306"/>
        </w:tabs>
        <w:spacing w:line="600" w:lineRule="exact"/>
        <w:ind w:firstLine="640"/>
        <w:outlineLvl w:val="1"/>
        <w:rPr>
          <w:rStyle w:val="30"/>
          <w:rFonts w:ascii="Times New Roman" w:hAnsi="Times New Roman"/>
        </w:rPr>
      </w:pPr>
      <w:bookmarkStart w:id="43" w:name="_Toc15377214"/>
      <w:bookmarkStart w:id="44" w:name="_Toc15396608"/>
      <w:r>
        <w:rPr>
          <w:rFonts w:hint="eastAsia" w:ascii="方正黑体_GBK" w:hAnsi="方正黑体_GBK" w:eastAsia="方正黑体_GBK" w:cs="方正黑体_GBK"/>
          <w:b w:val="0"/>
          <w:bCs w:val="0"/>
          <w:sz w:val="32"/>
          <w:szCs w:val="32"/>
        </w:rPr>
        <w:t>六、一般公共预算财政拨款基本支出决算情况说明</w:t>
      </w:r>
      <w:bookmarkEnd w:id="43"/>
      <w:bookmarkEnd w:id="44"/>
      <w:r>
        <w:rPr>
          <w:rStyle w:val="30"/>
          <w:rFonts w:ascii="Times New Roman" w:hAnsi="Times New Roman" w:eastAsia="黑体"/>
          <w:b w:val="0"/>
        </w:rPr>
        <w:tab/>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年度一般公共预算财政拨款基本支出</w:t>
      </w:r>
      <w:r>
        <w:rPr>
          <w:rFonts w:hint="eastAsia" w:eastAsia="方正仿宋_GBK"/>
          <w:sz w:val="32"/>
          <w:szCs w:val="32"/>
        </w:rPr>
        <w:t>582.</w:t>
      </w:r>
      <w:r>
        <w:rPr>
          <w:rFonts w:hint="eastAsia" w:eastAsia="方正仿宋_GBK"/>
          <w:sz w:val="32"/>
          <w:szCs w:val="32"/>
          <w:lang w:val="en-US" w:eastAsia="zh-CN"/>
        </w:rPr>
        <w:t>7</w:t>
      </w:r>
      <w:r>
        <w:rPr>
          <w:rFonts w:eastAsia="方正仿宋_GBK"/>
          <w:sz w:val="32"/>
          <w:szCs w:val="32"/>
        </w:rPr>
        <w:t>万元，其中：</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人员经费</w:t>
      </w:r>
      <w:r>
        <w:rPr>
          <w:rFonts w:hint="eastAsia" w:eastAsia="方正仿宋_GBK"/>
          <w:sz w:val="32"/>
          <w:szCs w:val="32"/>
        </w:rPr>
        <w:t>518.79</w:t>
      </w:r>
      <w:r>
        <w:rPr>
          <w:rFonts w:eastAsia="方正仿宋_GBK"/>
          <w:sz w:val="32"/>
          <w:szCs w:val="32"/>
        </w:rPr>
        <w:t>万元，主要包括：基本工资、津贴补贴、奖金、绩效工资、机关事业单位基本养老保险缴费、职工基本医疗保险缴费、公务员医疗补助缴费、其他社会保障缴费、住房公积金</w:t>
      </w:r>
      <w:r>
        <w:rPr>
          <w:rFonts w:hint="eastAsia" w:eastAsia="方正仿宋_GBK"/>
          <w:sz w:val="32"/>
          <w:szCs w:val="32"/>
        </w:rPr>
        <w:t>、</w:t>
      </w:r>
      <w:r>
        <w:rPr>
          <w:rFonts w:eastAsia="方正仿宋_GBK"/>
          <w:sz w:val="32"/>
          <w:szCs w:val="32"/>
        </w:rPr>
        <w:t>其他工资福利支出、生活补助、医疗费补助、奖励金等。</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公用经费</w:t>
      </w:r>
      <w:r>
        <w:rPr>
          <w:rFonts w:hint="eastAsia" w:eastAsia="方正仿宋_GBK"/>
          <w:sz w:val="32"/>
          <w:szCs w:val="32"/>
        </w:rPr>
        <w:t>63.9</w:t>
      </w:r>
      <w:r>
        <w:rPr>
          <w:rFonts w:hint="eastAsia" w:eastAsia="方正仿宋_GBK"/>
          <w:sz w:val="32"/>
          <w:szCs w:val="32"/>
          <w:lang w:val="en-US" w:eastAsia="zh-CN"/>
        </w:rPr>
        <w:t>1</w:t>
      </w:r>
      <w:r>
        <w:rPr>
          <w:rFonts w:eastAsia="方正仿宋_GBK"/>
          <w:sz w:val="32"/>
          <w:szCs w:val="32"/>
        </w:rPr>
        <w:t>万元，主要包括：办公费、</w:t>
      </w:r>
      <w:r>
        <w:rPr>
          <w:rFonts w:hint="eastAsia" w:eastAsia="方正仿宋_GBK"/>
          <w:sz w:val="32"/>
          <w:szCs w:val="32"/>
          <w:lang w:eastAsia="zh-CN"/>
        </w:rPr>
        <w:t>印刷费、</w:t>
      </w:r>
      <w:r>
        <w:rPr>
          <w:rFonts w:eastAsia="方正仿宋_GBK"/>
          <w:sz w:val="32"/>
          <w:szCs w:val="32"/>
        </w:rPr>
        <w:t>水费、电费、邮电费、物业管理费、差旅费、维修（护）费、培训费、公务接待费、委托业务费、工会经费、福利费、公务用车运行维护费、其他交通费、其他商品和服务支出、办公设备购置等。</w:t>
      </w:r>
    </w:p>
    <w:p>
      <w:pPr>
        <w:pStyle w:val="28"/>
        <w:spacing w:line="600" w:lineRule="exact"/>
        <w:ind w:firstLine="643"/>
        <w:outlineLvl w:val="1"/>
        <w:rPr>
          <w:rFonts w:ascii="方正黑体_GBK" w:hAnsi="方正黑体_GBK" w:eastAsia="方正黑体_GBK" w:cs="方正黑体_GBK"/>
          <w:b w:val="0"/>
          <w:bCs w:val="0"/>
          <w:sz w:val="32"/>
          <w:szCs w:val="32"/>
        </w:rPr>
      </w:pPr>
      <w:bookmarkStart w:id="45" w:name="_Toc15377215"/>
      <w:bookmarkStart w:id="46" w:name="_Toc15396609"/>
      <w:r>
        <w:rPr>
          <w:rFonts w:hint="eastAsia" w:ascii="方正黑体_GBK" w:hAnsi="方正黑体_GBK" w:eastAsia="方正黑体_GBK" w:cs="方正黑体_GBK"/>
          <w:b w:val="0"/>
          <w:bCs w:val="0"/>
          <w:sz w:val="32"/>
          <w:szCs w:val="32"/>
        </w:rPr>
        <w:t>七、财政拨款“三公”经费支出决算情况说明</w:t>
      </w:r>
      <w:bookmarkEnd w:id="45"/>
      <w:bookmarkEnd w:id="46"/>
    </w:p>
    <w:p>
      <w:pPr>
        <w:spacing w:line="600" w:lineRule="exact"/>
        <w:ind w:firstLine="642" w:firstLineChars="200"/>
        <w:outlineLvl w:val="2"/>
        <w:rPr>
          <w:rFonts w:ascii="方正楷体_GBK" w:hAnsi="方正楷体_GBK" w:eastAsia="方正楷体_GBK" w:cs="方正楷体_GBK"/>
          <w:b/>
          <w:sz w:val="32"/>
          <w:szCs w:val="32"/>
        </w:rPr>
      </w:pPr>
      <w:bookmarkStart w:id="47" w:name="_Toc15377216"/>
      <w:r>
        <w:rPr>
          <w:rFonts w:hint="eastAsia" w:ascii="方正楷体_GBK" w:hAnsi="方正楷体_GBK" w:eastAsia="方正楷体_GBK" w:cs="方正楷体_GBK"/>
          <w:b/>
          <w:sz w:val="32"/>
          <w:szCs w:val="32"/>
        </w:rPr>
        <w:t>（一）财政拨款“三公”经费支出决算总体情况说明</w:t>
      </w:r>
      <w:bookmarkEnd w:id="47"/>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年度财政拨款“三公”经费支出决算为</w:t>
      </w:r>
      <w:r>
        <w:rPr>
          <w:rFonts w:hint="eastAsia" w:eastAsia="方正仿宋_GBK"/>
          <w:sz w:val="32"/>
          <w:szCs w:val="32"/>
        </w:rPr>
        <w:t>4.83</w:t>
      </w:r>
      <w:r>
        <w:rPr>
          <w:rFonts w:eastAsia="方正仿宋_GBK"/>
          <w:sz w:val="32"/>
          <w:szCs w:val="32"/>
        </w:rPr>
        <w:t>万元，完成预算100%，较上年度</w:t>
      </w:r>
      <w:r>
        <w:rPr>
          <w:rFonts w:hint="eastAsia" w:eastAsia="方正仿宋_GBK"/>
          <w:sz w:val="32"/>
          <w:szCs w:val="32"/>
        </w:rPr>
        <w:t>减少17.36</w:t>
      </w:r>
      <w:r>
        <w:rPr>
          <w:rFonts w:eastAsia="方正仿宋_GBK"/>
          <w:sz w:val="32"/>
          <w:szCs w:val="32"/>
        </w:rPr>
        <w:t>万元，</w:t>
      </w:r>
      <w:r>
        <w:rPr>
          <w:rFonts w:hint="eastAsia" w:eastAsia="方正仿宋_GBK"/>
          <w:sz w:val="32"/>
          <w:szCs w:val="32"/>
        </w:rPr>
        <w:t>下降78.2</w:t>
      </w:r>
      <w:r>
        <w:rPr>
          <w:rFonts w:eastAsia="方正仿宋_GBK"/>
          <w:sz w:val="32"/>
          <w:szCs w:val="32"/>
        </w:rPr>
        <w:t>%。决算数</w:t>
      </w:r>
      <w:r>
        <w:rPr>
          <w:rFonts w:hint="eastAsia" w:eastAsia="方正仿宋_GBK"/>
          <w:sz w:val="32"/>
          <w:szCs w:val="32"/>
        </w:rPr>
        <w:t>与</w:t>
      </w:r>
      <w:r>
        <w:rPr>
          <w:rFonts w:eastAsia="方正仿宋_GBK"/>
          <w:sz w:val="32"/>
          <w:szCs w:val="32"/>
        </w:rPr>
        <w:t>预算数</w:t>
      </w:r>
      <w:r>
        <w:rPr>
          <w:rFonts w:hint="eastAsia" w:eastAsia="方正仿宋_GBK"/>
          <w:sz w:val="32"/>
          <w:szCs w:val="32"/>
        </w:rPr>
        <w:t>持平</w:t>
      </w:r>
      <w:r>
        <w:rPr>
          <w:rFonts w:eastAsia="方正仿宋_GBK"/>
          <w:sz w:val="32"/>
          <w:szCs w:val="32"/>
        </w:rPr>
        <w:t>的主要原因是强化“三公”经费管理，从严控制“三公”经费支出。</w:t>
      </w:r>
    </w:p>
    <w:p>
      <w:pPr>
        <w:spacing w:line="600" w:lineRule="exact"/>
        <w:ind w:firstLine="642" w:firstLineChars="200"/>
        <w:outlineLvl w:val="2"/>
        <w:rPr>
          <w:rFonts w:ascii="方正楷体_GBK" w:hAnsi="方正楷体_GBK" w:eastAsia="方正楷体_GBK" w:cs="方正楷体_GBK"/>
          <w:b/>
          <w:sz w:val="32"/>
          <w:szCs w:val="32"/>
        </w:rPr>
      </w:pPr>
      <w:bookmarkStart w:id="48" w:name="_Toc15377217"/>
      <w:r>
        <w:rPr>
          <w:rFonts w:hint="eastAsia" w:ascii="方正楷体_GBK" w:hAnsi="方正楷体_GBK" w:eastAsia="方正楷体_GBK" w:cs="方正楷体_GBK"/>
          <w:b/>
          <w:sz w:val="32"/>
          <w:szCs w:val="32"/>
        </w:rPr>
        <w:t>（二）财政拨款“三公”经费支出决算具体情况说明</w:t>
      </w:r>
      <w:bookmarkEnd w:id="48"/>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年度财政拨款“三公”经费支出决算中，因公出国（境）费支出决算0万元，占0%；公务用车购置及运行维护费支出决算</w:t>
      </w:r>
      <w:r>
        <w:rPr>
          <w:rFonts w:hint="eastAsia" w:eastAsia="方正仿宋_GBK"/>
          <w:sz w:val="32"/>
          <w:szCs w:val="32"/>
        </w:rPr>
        <w:t>3.07</w:t>
      </w:r>
      <w:r>
        <w:rPr>
          <w:rFonts w:eastAsia="方正仿宋_GBK"/>
          <w:sz w:val="32"/>
          <w:szCs w:val="32"/>
        </w:rPr>
        <w:t>万元，占</w:t>
      </w:r>
      <w:r>
        <w:rPr>
          <w:rFonts w:hint="eastAsia" w:eastAsia="方正仿宋_GBK"/>
          <w:sz w:val="32"/>
          <w:szCs w:val="32"/>
        </w:rPr>
        <w:t>63.</w:t>
      </w:r>
      <w:r>
        <w:rPr>
          <w:rFonts w:hint="eastAsia" w:eastAsia="方正仿宋_GBK"/>
          <w:sz w:val="32"/>
          <w:szCs w:val="32"/>
          <w:lang w:val="en-US" w:eastAsia="zh-CN"/>
        </w:rPr>
        <w:t>6</w:t>
      </w:r>
      <w:r>
        <w:rPr>
          <w:rFonts w:eastAsia="方正仿宋_GBK"/>
          <w:sz w:val="32"/>
          <w:szCs w:val="32"/>
        </w:rPr>
        <w:t>%；公务接待费支出决算1.</w:t>
      </w:r>
      <w:r>
        <w:rPr>
          <w:rFonts w:hint="eastAsia" w:eastAsia="方正仿宋_GBK"/>
          <w:sz w:val="32"/>
          <w:szCs w:val="32"/>
        </w:rPr>
        <w:t>76</w:t>
      </w:r>
      <w:r>
        <w:rPr>
          <w:rFonts w:eastAsia="方正仿宋_GBK"/>
          <w:sz w:val="32"/>
          <w:szCs w:val="32"/>
        </w:rPr>
        <w:t>万元，占</w:t>
      </w:r>
      <w:r>
        <w:rPr>
          <w:rFonts w:hint="eastAsia" w:eastAsia="方正仿宋_GBK"/>
          <w:sz w:val="32"/>
          <w:szCs w:val="32"/>
        </w:rPr>
        <w:t>36.4</w:t>
      </w:r>
      <w:r>
        <w:rPr>
          <w:rFonts w:eastAsia="方正仿宋_GBK"/>
          <w:sz w:val="32"/>
          <w:szCs w:val="32"/>
        </w:rPr>
        <w:t>%。具体情况如下：</w:t>
      </w:r>
    </w:p>
    <w:p>
      <w:pPr>
        <w:pStyle w:val="9"/>
        <w:ind w:left="0" w:leftChars="0" w:firstLine="0" w:firstLineChars="0"/>
        <w:jc w:val="center"/>
        <w:rPr>
          <w:rFonts w:eastAsia="仿宋_GB2312" w:cs="仿宋_GB2312"/>
          <w:sz w:val="32"/>
        </w:rPr>
      </w:pPr>
      <w:r>
        <w:pict>
          <v:shape id="_x0000_s2060" o:spid="_x0000_s2060" o:spt="75" alt="olechartimg_1757384323061195_904306688" type="#_x0000_t75" style="position:absolute;left:0pt;margin-left:1.2pt;margin-top:0.35pt;height:215pt;width:409.9pt;mso-wrap-distance-bottom:0pt;mso-wrap-distance-top:0pt;z-index:251662336;mso-width-relative:page;mso-height-relative:page;" o:ole="t" filled="f" o:preferrelative="t" stroked="f" coordsize="21600,21600">
            <v:path/>
            <v:fill on="f" focussize="0,0"/>
            <v:stroke on="f"/>
            <v:imagedata r:id="rId21" o:title="oleetimg_1788328639401462_85370880"/>
            <o:lock v:ext="edit" aspectratio="f"/>
            <w10:wrap type="topAndBottom"/>
          </v:shape>
          <o:OLEObject Type="Embed" ProgID="Excel.Sheet.8" ShapeID="_x0000_s2060" DrawAspect="Content" ObjectID="_1468075731" r:id="rId20">
            <o:LockedField>false</o:LockedField>
          </o:OLEObject>
        </w:pict>
      </w:r>
      <w:r>
        <w:rPr>
          <w:rFonts w:hint="eastAsia" w:eastAsia="仿宋_GB2312" w:cs="仿宋_GB2312"/>
          <w:sz w:val="32"/>
        </w:rPr>
        <w:t>（图7：财政拨款“三公”经费支出结构）</w:t>
      </w:r>
    </w:p>
    <w:p>
      <w:pPr>
        <w:spacing w:line="560" w:lineRule="exact"/>
        <w:ind w:firstLine="640"/>
        <w:rPr>
          <w:rFonts w:ascii="Times New Roman" w:hAnsi="Times New Roman" w:eastAsia="方正仿宋_GBK" w:cs="Times New Roman"/>
          <w:kern w:val="2"/>
          <w:sz w:val="32"/>
          <w:szCs w:val="32"/>
          <w:lang w:val="en-US" w:eastAsia="zh-CN" w:bidi="ar-SA"/>
        </w:rPr>
      </w:pPr>
      <w:r>
        <w:rPr>
          <w:rFonts w:eastAsia="方正仿宋_GBK"/>
          <w:b/>
          <w:bCs/>
          <w:sz w:val="32"/>
          <w:szCs w:val="32"/>
        </w:rPr>
        <w:t>1.因公出国（境）经费支出0万元，完成预算0%。</w:t>
      </w:r>
      <w:r>
        <w:rPr>
          <w:rFonts w:ascii="Times New Roman" w:hAnsi="Times New Roman" w:eastAsia="方正仿宋_GBK" w:cs="Times New Roman"/>
          <w:kern w:val="2"/>
          <w:sz w:val="32"/>
          <w:szCs w:val="32"/>
          <w:lang w:val="en-US" w:eastAsia="zh-CN" w:bidi="ar-SA"/>
        </w:rPr>
        <w:t>全年安排因公出国（境）团组0次，出国（境）0人。因公出国（境）支出决算与</w:t>
      </w:r>
      <w:r>
        <w:rPr>
          <w:rFonts w:hint="eastAsia" w:ascii="Times New Roman" w:hAnsi="Times New Roman" w:eastAsia="方正仿宋_GBK" w:cs="Times New Roman"/>
          <w:kern w:val="2"/>
          <w:sz w:val="32"/>
          <w:szCs w:val="32"/>
          <w:lang w:val="en-US" w:eastAsia="zh-CN" w:bidi="ar-SA"/>
        </w:rPr>
        <w:t>上年度</w:t>
      </w:r>
      <w:r>
        <w:rPr>
          <w:rFonts w:ascii="Times New Roman" w:hAnsi="Times New Roman" w:eastAsia="方正仿宋_GBK" w:cs="Times New Roman"/>
          <w:kern w:val="2"/>
          <w:sz w:val="32"/>
          <w:szCs w:val="32"/>
          <w:lang w:val="en-US" w:eastAsia="zh-CN" w:bidi="ar-SA"/>
        </w:rPr>
        <w:t>持平。主要原因是</w:t>
      </w:r>
      <w:r>
        <w:rPr>
          <w:rFonts w:hint="eastAsia" w:ascii="Times New Roman" w:hAnsi="Times New Roman" w:eastAsia="方正仿宋_GBK" w:cs="Times New Roman"/>
          <w:kern w:val="2"/>
          <w:sz w:val="32"/>
          <w:szCs w:val="32"/>
          <w:lang w:val="en-US" w:eastAsia="zh-CN" w:bidi="ar-SA"/>
        </w:rPr>
        <w:t>两年</w:t>
      </w:r>
      <w:r>
        <w:rPr>
          <w:rFonts w:ascii="Times New Roman" w:hAnsi="Times New Roman" w:eastAsia="方正仿宋_GBK" w:cs="Times New Roman"/>
          <w:kern w:val="2"/>
          <w:sz w:val="32"/>
          <w:szCs w:val="32"/>
          <w:lang w:val="en-US" w:eastAsia="zh-CN" w:bidi="ar-SA"/>
        </w:rPr>
        <w:t>均无因公出国境情况。</w:t>
      </w:r>
    </w:p>
    <w:p>
      <w:pPr>
        <w:pStyle w:val="28"/>
        <w:spacing w:line="600" w:lineRule="exact"/>
        <w:ind w:left="0" w:leftChars="0" w:firstLine="642" w:firstLineChars="200"/>
        <w:jc w:val="left"/>
        <w:outlineLvl w:val="1"/>
        <w:rPr>
          <w:rFonts w:eastAsia="方正仿宋_GBK"/>
          <w:sz w:val="32"/>
          <w:szCs w:val="32"/>
        </w:rPr>
      </w:pPr>
      <w:r>
        <w:rPr>
          <w:rFonts w:eastAsia="方正仿宋_GBK"/>
          <w:b/>
          <w:bCs/>
          <w:sz w:val="32"/>
          <w:szCs w:val="32"/>
        </w:rPr>
        <w:t>2.公务用车购置及运行维护费支出</w:t>
      </w:r>
      <w:r>
        <w:rPr>
          <w:rFonts w:hint="eastAsia" w:eastAsia="方正仿宋_GBK"/>
          <w:b/>
          <w:bCs/>
          <w:sz w:val="32"/>
          <w:szCs w:val="32"/>
        </w:rPr>
        <w:t>3.07</w:t>
      </w:r>
      <w:r>
        <w:rPr>
          <w:rFonts w:eastAsia="方正仿宋_GBK"/>
          <w:b/>
          <w:bCs/>
          <w:sz w:val="32"/>
          <w:szCs w:val="32"/>
        </w:rPr>
        <w:t>万元，完成预算100%。</w:t>
      </w:r>
      <w:r>
        <w:rPr>
          <w:rFonts w:eastAsia="方正仿宋_GBK"/>
          <w:sz w:val="32"/>
          <w:szCs w:val="32"/>
        </w:rPr>
        <w:t>公务用车购置及运行维护费支出决算比</w:t>
      </w:r>
      <w:r>
        <w:rPr>
          <w:rFonts w:hint="eastAsia" w:eastAsia="方正仿宋_GBK"/>
          <w:sz w:val="32"/>
          <w:szCs w:val="32"/>
        </w:rPr>
        <w:t>上</w:t>
      </w:r>
      <w:r>
        <w:rPr>
          <w:rFonts w:eastAsia="方正仿宋_GBK"/>
          <w:sz w:val="32"/>
          <w:szCs w:val="32"/>
        </w:rPr>
        <w:t>年度</w:t>
      </w:r>
      <w:r>
        <w:rPr>
          <w:rFonts w:hint="eastAsia" w:eastAsia="方正仿宋_GBK"/>
          <w:sz w:val="32"/>
          <w:szCs w:val="32"/>
        </w:rPr>
        <w:t>减少17.82</w:t>
      </w:r>
      <w:r>
        <w:rPr>
          <w:rFonts w:eastAsia="方正仿宋_GBK"/>
          <w:sz w:val="32"/>
          <w:szCs w:val="32"/>
        </w:rPr>
        <w:t>万元，</w:t>
      </w:r>
      <w:r>
        <w:rPr>
          <w:rFonts w:hint="eastAsia" w:eastAsia="方正仿宋_GBK"/>
          <w:sz w:val="32"/>
          <w:szCs w:val="32"/>
        </w:rPr>
        <w:t>下降85.3</w:t>
      </w:r>
      <w:r>
        <w:rPr>
          <w:rFonts w:eastAsia="方正仿宋_GBK"/>
          <w:sz w:val="32"/>
          <w:szCs w:val="32"/>
        </w:rPr>
        <w:t>%。主要原因是</w:t>
      </w:r>
      <w:r>
        <w:rPr>
          <w:rFonts w:hint="eastAsia" w:eastAsia="方正仿宋_GBK"/>
          <w:sz w:val="32"/>
          <w:szCs w:val="32"/>
        </w:rPr>
        <w:t>上年度新购公务用车1辆，本年度比上年度减少公务</w:t>
      </w:r>
      <w:r>
        <w:rPr>
          <w:rFonts w:hint="eastAsia" w:eastAsia="方正仿宋_GBK"/>
          <w:sz w:val="32"/>
          <w:szCs w:val="32"/>
          <w:lang w:eastAsia="zh-CN"/>
        </w:rPr>
        <w:t>用</w:t>
      </w:r>
      <w:r>
        <w:rPr>
          <w:rFonts w:hint="eastAsia" w:eastAsia="方正仿宋_GBK"/>
          <w:sz w:val="32"/>
          <w:szCs w:val="32"/>
        </w:rPr>
        <w:t>车购置经费</w:t>
      </w:r>
      <w:r>
        <w:rPr>
          <w:rFonts w:eastAsia="方正仿宋_GBK"/>
          <w:sz w:val="32"/>
          <w:szCs w:val="32"/>
        </w:rPr>
        <w:t>。</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其中：公务用车购置支出</w:t>
      </w:r>
      <w:r>
        <w:rPr>
          <w:rFonts w:hint="eastAsia" w:eastAsia="方正仿宋_GBK"/>
          <w:sz w:val="32"/>
          <w:szCs w:val="32"/>
        </w:rPr>
        <w:t>0</w:t>
      </w:r>
      <w:r>
        <w:rPr>
          <w:rFonts w:eastAsia="方正仿宋_GBK"/>
          <w:sz w:val="32"/>
          <w:szCs w:val="32"/>
        </w:rPr>
        <w:t>万元。全年按规定更新购置公务用车</w:t>
      </w:r>
      <w:r>
        <w:rPr>
          <w:rFonts w:hint="eastAsia" w:eastAsia="方正仿宋_GBK"/>
          <w:sz w:val="32"/>
          <w:szCs w:val="32"/>
        </w:rPr>
        <w:t>0</w:t>
      </w:r>
      <w:r>
        <w:rPr>
          <w:rFonts w:eastAsia="方正仿宋_GBK"/>
          <w:sz w:val="32"/>
          <w:szCs w:val="32"/>
        </w:rPr>
        <w:t>辆，其中：轿车</w:t>
      </w:r>
      <w:r>
        <w:rPr>
          <w:rFonts w:hint="eastAsia" w:eastAsia="方正仿宋_GBK"/>
          <w:sz w:val="32"/>
          <w:szCs w:val="32"/>
        </w:rPr>
        <w:t>0</w:t>
      </w:r>
      <w:r>
        <w:rPr>
          <w:rFonts w:eastAsia="方正仿宋_GBK"/>
          <w:sz w:val="32"/>
          <w:szCs w:val="32"/>
        </w:rPr>
        <w:t>辆、金额</w:t>
      </w:r>
      <w:r>
        <w:rPr>
          <w:rFonts w:hint="eastAsia" w:eastAsia="方正仿宋_GBK"/>
          <w:sz w:val="32"/>
          <w:szCs w:val="32"/>
        </w:rPr>
        <w:t>0</w:t>
      </w:r>
      <w:r>
        <w:rPr>
          <w:rFonts w:eastAsia="方正仿宋_GBK"/>
          <w:sz w:val="32"/>
          <w:szCs w:val="32"/>
        </w:rPr>
        <w:t>万元，越野车0辆、金额0万元，载客汽车0辆、金额0万元。截至202</w:t>
      </w:r>
      <w:r>
        <w:rPr>
          <w:rFonts w:hint="eastAsia" w:eastAsia="方正仿宋_GBK"/>
          <w:sz w:val="32"/>
          <w:szCs w:val="32"/>
        </w:rPr>
        <w:t>5</w:t>
      </w:r>
      <w:r>
        <w:rPr>
          <w:rFonts w:eastAsia="方正仿宋_GBK"/>
          <w:sz w:val="32"/>
          <w:szCs w:val="32"/>
        </w:rPr>
        <w:t>年12月31日，单位共有公务用车3辆，其中：轿车2辆、越野车1辆、载客汽车0辆。</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公务用车运行维护费支出</w:t>
      </w:r>
      <w:r>
        <w:rPr>
          <w:rFonts w:hint="eastAsia" w:eastAsia="方正仿宋_GBK"/>
          <w:sz w:val="32"/>
          <w:szCs w:val="32"/>
        </w:rPr>
        <w:t>3.07</w:t>
      </w:r>
      <w:r>
        <w:rPr>
          <w:rFonts w:eastAsia="方正仿宋_GBK"/>
          <w:sz w:val="32"/>
          <w:szCs w:val="32"/>
        </w:rPr>
        <w:t>万元。主要用于服务和保障老干部相关工作所需的公务用车燃料费、维修费、过路费、保险费等支出。</w:t>
      </w:r>
    </w:p>
    <w:p>
      <w:pPr>
        <w:pStyle w:val="28"/>
        <w:spacing w:line="600" w:lineRule="exact"/>
        <w:ind w:left="0" w:leftChars="0" w:firstLine="642" w:firstLineChars="200"/>
        <w:jc w:val="left"/>
        <w:outlineLvl w:val="1"/>
        <w:rPr>
          <w:rFonts w:eastAsia="方正仿宋_GBK"/>
          <w:sz w:val="32"/>
          <w:szCs w:val="32"/>
        </w:rPr>
      </w:pPr>
      <w:r>
        <w:rPr>
          <w:rFonts w:eastAsia="方正仿宋_GBK"/>
          <w:b/>
          <w:bCs/>
          <w:sz w:val="32"/>
          <w:szCs w:val="32"/>
        </w:rPr>
        <w:t>3.公务接待费支出</w:t>
      </w:r>
      <w:r>
        <w:rPr>
          <w:rFonts w:hint="eastAsia" w:eastAsia="方正仿宋_GBK"/>
          <w:b/>
          <w:bCs/>
          <w:sz w:val="32"/>
          <w:szCs w:val="32"/>
        </w:rPr>
        <w:t>1.76</w:t>
      </w:r>
      <w:r>
        <w:rPr>
          <w:rFonts w:eastAsia="方正仿宋_GBK"/>
          <w:b/>
          <w:bCs/>
          <w:sz w:val="32"/>
          <w:szCs w:val="32"/>
        </w:rPr>
        <w:t>万元，完成预算100%。</w:t>
      </w:r>
      <w:r>
        <w:rPr>
          <w:rFonts w:eastAsia="方正仿宋_GBK"/>
          <w:sz w:val="32"/>
          <w:szCs w:val="32"/>
        </w:rPr>
        <w:t>公务接待费支出决算比</w:t>
      </w:r>
      <w:r>
        <w:rPr>
          <w:rFonts w:hint="eastAsia" w:eastAsia="方正仿宋_GBK"/>
          <w:sz w:val="32"/>
          <w:szCs w:val="32"/>
        </w:rPr>
        <w:t>上</w:t>
      </w:r>
      <w:r>
        <w:rPr>
          <w:rFonts w:eastAsia="方正仿宋_GBK"/>
          <w:sz w:val="32"/>
          <w:szCs w:val="32"/>
        </w:rPr>
        <w:t>年度增加</w:t>
      </w:r>
      <w:r>
        <w:rPr>
          <w:rFonts w:hint="eastAsia" w:eastAsia="方正仿宋_GBK"/>
          <w:sz w:val="32"/>
          <w:szCs w:val="32"/>
        </w:rPr>
        <w:t>0.47</w:t>
      </w:r>
      <w:r>
        <w:rPr>
          <w:rFonts w:eastAsia="方正仿宋_GBK"/>
          <w:sz w:val="32"/>
          <w:szCs w:val="32"/>
        </w:rPr>
        <w:t>万元，增长</w:t>
      </w:r>
      <w:r>
        <w:rPr>
          <w:rFonts w:hint="eastAsia" w:eastAsia="方正仿宋_GBK"/>
          <w:sz w:val="32"/>
          <w:szCs w:val="32"/>
        </w:rPr>
        <w:t>36.4</w:t>
      </w:r>
      <w:r>
        <w:rPr>
          <w:rFonts w:eastAsia="方正仿宋_GBK"/>
          <w:sz w:val="32"/>
          <w:szCs w:val="32"/>
        </w:rPr>
        <w:t>%。主要原因是根据工作实际</w:t>
      </w:r>
      <w:r>
        <w:rPr>
          <w:rFonts w:hint="eastAsia" w:eastAsia="方正仿宋_GBK"/>
          <w:sz w:val="32"/>
          <w:szCs w:val="32"/>
        </w:rPr>
        <w:t>本年度</w:t>
      </w:r>
      <w:r>
        <w:rPr>
          <w:rFonts w:eastAsia="方正仿宋_GBK"/>
          <w:sz w:val="32"/>
          <w:szCs w:val="32"/>
        </w:rPr>
        <w:t>公务接待批次较上年</w:t>
      </w:r>
      <w:r>
        <w:rPr>
          <w:rFonts w:hint="eastAsia" w:eastAsia="方正仿宋_GBK"/>
          <w:sz w:val="32"/>
          <w:szCs w:val="32"/>
        </w:rPr>
        <w:t>度</w:t>
      </w:r>
      <w:r>
        <w:rPr>
          <w:rFonts w:eastAsia="方正仿宋_GBK"/>
          <w:sz w:val="32"/>
          <w:szCs w:val="32"/>
        </w:rPr>
        <w:t>多。其中：</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国内公务接待支出</w:t>
      </w:r>
      <w:r>
        <w:rPr>
          <w:rFonts w:hint="eastAsia" w:eastAsia="方正仿宋_GBK"/>
          <w:sz w:val="32"/>
          <w:szCs w:val="32"/>
        </w:rPr>
        <w:t>1.76</w:t>
      </w:r>
      <w:r>
        <w:rPr>
          <w:rFonts w:eastAsia="方正仿宋_GBK"/>
          <w:sz w:val="32"/>
          <w:szCs w:val="32"/>
        </w:rPr>
        <w:t>万元，主要用于执行公务、开展业务活动开支的用餐费。国内公务接待</w:t>
      </w:r>
      <w:r>
        <w:rPr>
          <w:rFonts w:hint="eastAsia" w:eastAsia="方正仿宋_GBK"/>
          <w:sz w:val="32"/>
          <w:szCs w:val="32"/>
        </w:rPr>
        <w:t>17</w:t>
      </w:r>
      <w:r>
        <w:rPr>
          <w:rFonts w:eastAsia="方正仿宋_GBK"/>
          <w:sz w:val="32"/>
          <w:szCs w:val="32"/>
        </w:rPr>
        <w:t>批次，</w:t>
      </w:r>
      <w:r>
        <w:rPr>
          <w:rFonts w:hint="eastAsia" w:eastAsia="方正仿宋_GBK"/>
          <w:sz w:val="32"/>
          <w:szCs w:val="32"/>
        </w:rPr>
        <w:t>84</w:t>
      </w:r>
      <w:r>
        <w:rPr>
          <w:rFonts w:eastAsia="方正仿宋_GBK"/>
          <w:sz w:val="32"/>
          <w:szCs w:val="32"/>
        </w:rPr>
        <w:t>人次（不包括陪同人员），共计支出</w:t>
      </w:r>
      <w:r>
        <w:rPr>
          <w:rFonts w:hint="eastAsia" w:eastAsia="方正仿宋_GBK"/>
          <w:sz w:val="32"/>
          <w:szCs w:val="32"/>
        </w:rPr>
        <w:t>1.76</w:t>
      </w:r>
      <w:r>
        <w:rPr>
          <w:rFonts w:eastAsia="方正仿宋_GBK"/>
          <w:sz w:val="32"/>
          <w:szCs w:val="32"/>
        </w:rPr>
        <w:t>万元，具体内容包括：</w:t>
      </w:r>
      <w:r>
        <w:rPr>
          <w:rFonts w:hint="eastAsia" w:eastAsia="方正仿宋_GBK"/>
          <w:sz w:val="32"/>
          <w:szCs w:val="32"/>
        </w:rPr>
        <w:t>上级部门来攀调研工作、</w:t>
      </w:r>
      <w:r>
        <w:rPr>
          <w:rFonts w:hint="eastAsia" w:eastAsia="方正仿宋_GBK"/>
          <w:sz w:val="32"/>
          <w:szCs w:val="32"/>
          <w:lang w:eastAsia="zh-CN"/>
        </w:rPr>
        <w:t>兄弟</w:t>
      </w:r>
      <w:r>
        <w:rPr>
          <w:rFonts w:hint="eastAsia" w:eastAsia="方正仿宋_GBK"/>
          <w:sz w:val="32"/>
          <w:szCs w:val="32"/>
        </w:rPr>
        <w:t>市州老干部</w:t>
      </w:r>
      <w:r>
        <w:rPr>
          <w:rFonts w:hint="eastAsia" w:eastAsia="方正仿宋_GBK"/>
          <w:sz w:val="32"/>
          <w:szCs w:val="32"/>
          <w:lang w:eastAsia="zh-CN"/>
        </w:rPr>
        <w:t>工作部门</w:t>
      </w:r>
      <w:r>
        <w:rPr>
          <w:rFonts w:hint="eastAsia" w:eastAsia="方正仿宋_GBK"/>
          <w:sz w:val="32"/>
          <w:szCs w:val="32"/>
        </w:rPr>
        <w:t>来攀考察</w:t>
      </w:r>
      <w:r>
        <w:rPr>
          <w:rFonts w:hint="eastAsia" w:eastAsia="方正仿宋_GBK"/>
          <w:sz w:val="32"/>
          <w:szCs w:val="32"/>
          <w:lang w:eastAsia="zh-CN"/>
        </w:rPr>
        <w:t>交流</w:t>
      </w:r>
      <w:r>
        <w:rPr>
          <w:rFonts w:hint="eastAsia" w:eastAsia="方正仿宋_GBK"/>
          <w:sz w:val="32"/>
          <w:szCs w:val="32"/>
        </w:rPr>
        <w:t>等公务接待用餐费用。</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外事接待支出0万元，外事接待0批次，0人次（不包括陪同人员），共计支出0万元。</w:t>
      </w:r>
    </w:p>
    <w:p>
      <w:pPr>
        <w:pStyle w:val="28"/>
        <w:spacing w:line="600" w:lineRule="exact"/>
        <w:ind w:firstLine="643"/>
        <w:outlineLvl w:val="1"/>
        <w:rPr>
          <w:rFonts w:ascii="方正黑体_GBK" w:hAnsi="方正黑体_GBK" w:eastAsia="方正黑体_GBK" w:cs="方正黑体_GBK"/>
          <w:b w:val="0"/>
          <w:bCs w:val="0"/>
          <w:sz w:val="32"/>
          <w:szCs w:val="32"/>
        </w:rPr>
      </w:pPr>
      <w:bookmarkStart w:id="49" w:name="_Toc15377218"/>
      <w:bookmarkStart w:id="50" w:name="_Toc15396610"/>
      <w:r>
        <w:rPr>
          <w:rFonts w:hint="eastAsia" w:ascii="方正黑体_GBK" w:hAnsi="方正黑体_GBK" w:eastAsia="方正黑体_GBK" w:cs="方正黑体_GBK"/>
          <w:b w:val="0"/>
          <w:bCs w:val="0"/>
          <w:sz w:val="32"/>
          <w:szCs w:val="32"/>
        </w:rPr>
        <w:t>八、政府性基金预算支出决算情况说明</w:t>
      </w:r>
      <w:bookmarkEnd w:id="49"/>
      <w:bookmarkEnd w:id="50"/>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2025年度政府性基金预算财政拨款支出38.86万元，占本年支出合计的4.1%。与上年度相比，政府性基金预算财政拨款支出增加38.86万元，增长100%。主要变动原因</w:t>
      </w:r>
      <w:r>
        <w:rPr>
          <w:rFonts w:hint="eastAsia" w:eastAsia="方正仿宋_GBK"/>
          <w:sz w:val="32"/>
          <w:szCs w:val="32"/>
          <w:lang w:eastAsia="zh-CN"/>
        </w:rPr>
        <w:t>为本年度</w:t>
      </w:r>
      <w:r>
        <w:rPr>
          <w:rFonts w:hint="eastAsia" w:eastAsia="方正仿宋_GBK"/>
          <w:sz w:val="32"/>
          <w:szCs w:val="32"/>
        </w:rPr>
        <w:t>支付老年教育提升示范项目装修工程尾款，追加</w:t>
      </w:r>
      <w:r>
        <w:rPr>
          <w:rFonts w:eastAsia="方正仿宋_GBK"/>
          <w:sz w:val="32"/>
          <w:szCs w:val="32"/>
        </w:rPr>
        <w:t>养老服务业发展补助专项资金</w:t>
      </w:r>
      <w:r>
        <w:rPr>
          <w:rFonts w:hint="eastAsia" w:eastAsia="方正仿宋_GBK"/>
          <w:sz w:val="32"/>
          <w:szCs w:val="32"/>
        </w:rPr>
        <w:t>。</w:t>
      </w:r>
    </w:p>
    <w:p>
      <w:pPr>
        <w:pStyle w:val="28"/>
        <w:spacing w:line="600" w:lineRule="exact"/>
        <w:ind w:firstLine="643"/>
        <w:outlineLvl w:val="1"/>
        <w:rPr>
          <w:rFonts w:ascii="方正黑体_GBK" w:hAnsi="方正黑体_GBK" w:eastAsia="方正黑体_GBK" w:cs="方正黑体_GBK"/>
          <w:b w:val="0"/>
          <w:bCs w:val="0"/>
          <w:sz w:val="32"/>
          <w:szCs w:val="32"/>
        </w:rPr>
      </w:pPr>
      <w:bookmarkStart w:id="51" w:name="_Toc15377219"/>
      <w:bookmarkStart w:id="52" w:name="_Toc15396611"/>
      <w:r>
        <w:rPr>
          <w:rFonts w:hint="eastAsia" w:ascii="方正黑体_GBK" w:hAnsi="方正黑体_GBK" w:eastAsia="方正黑体_GBK" w:cs="方正黑体_GBK"/>
          <w:b w:val="0"/>
          <w:bCs w:val="0"/>
          <w:sz w:val="32"/>
          <w:szCs w:val="32"/>
        </w:rPr>
        <w:t>九、国有资本经营预算支出决算情况说明</w:t>
      </w:r>
      <w:bookmarkEnd w:id="51"/>
      <w:bookmarkEnd w:id="52"/>
    </w:p>
    <w:p>
      <w:pPr>
        <w:spacing w:line="600" w:lineRule="exact"/>
        <w:ind w:firstLine="640"/>
        <w:rPr>
          <w:rFonts w:eastAsia="方正仿宋_GBK"/>
          <w:sz w:val="32"/>
          <w:szCs w:val="32"/>
        </w:rPr>
      </w:pPr>
      <w:r>
        <w:rPr>
          <w:rFonts w:hint="eastAsia" w:ascii="Times New Roman" w:hAnsi="Times New Roman" w:eastAsia="方正仿宋_GBK" w:cs="Times New Roman"/>
          <w:kern w:val="2"/>
          <w:sz w:val="32"/>
          <w:szCs w:val="32"/>
          <w:lang w:val="en-US" w:eastAsia="zh-CN" w:bidi="ar-SA"/>
        </w:rPr>
        <w:t>2025年度国有资本经营预算财政拨款支出0万元，与上年度持平。</w:t>
      </w:r>
    </w:p>
    <w:p>
      <w:pPr>
        <w:pStyle w:val="28"/>
        <w:spacing w:line="600" w:lineRule="exact"/>
        <w:ind w:firstLine="643"/>
        <w:outlineLvl w:val="1"/>
        <w:rPr>
          <w:rFonts w:ascii="方正黑体_GBK" w:hAnsi="方正黑体_GBK" w:eastAsia="方正黑体_GBK" w:cs="方正黑体_GBK"/>
          <w:b w:val="0"/>
          <w:bCs w:val="0"/>
          <w:sz w:val="32"/>
          <w:szCs w:val="32"/>
        </w:rPr>
      </w:pPr>
      <w:bookmarkStart w:id="53" w:name="_Toc15396612"/>
      <w:bookmarkStart w:id="54" w:name="_Toc15377221"/>
      <w:r>
        <w:rPr>
          <w:rFonts w:hint="eastAsia" w:ascii="方正黑体_GBK" w:hAnsi="方正黑体_GBK" w:eastAsia="方正黑体_GBK" w:cs="方正黑体_GBK"/>
          <w:b w:val="0"/>
          <w:bCs w:val="0"/>
          <w:sz w:val="32"/>
          <w:szCs w:val="32"/>
        </w:rPr>
        <w:t>十、其他重要事项的情况说明</w:t>
      </w:r>
      <w:bookmarkEnd w:id="53"/>
      <w:bookmarkEnd w:id="54"/>
    </w:p>
    <w:p>
      <w:pPr>
        <w:spacing w:line="600" w:lineRule="exact"/>
        <w:ind w:firstLine="642" w:firstLineChars="200"/>
        <w:outlineLvl w:val="2"/>
        <w:rPr>
          <w:rFonts w:ascii="方正楷体_GBK" w:hAnsi="方正楷体_GBK" w:eastAsia="方正楷体_GBK" w:cs="方正楷体_GBK"/>
          <w:b/>
          <w:sz w:val="32"/>
          <w:szCs w:val="32"/>
        </w:rPr>
      </w:pPr>
      <w:bookmarkStart w:id="55" w:name="_Toc15377222"/>
      <w:r>
        <w:rPr>
          <w:rFonts w:hint="eastAsia" w:ascii="方正楷体_GBK" w:hAnsi="方正楷体_GBK" w:eastAsia="方正楷体_GBK" w:cs="方正楷体_GBK"/>
          <w:b/>
          <w:sz w:val="32"/>
          <w:szCs w:val="32"/>
        </w:rPr>
        <w:t>（一）机关运行经费支出情况</w:t>
      </w:r>
      <w:bookmarkEnd w:id="55"/>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2025年度，中国共产党攀枝花市委员会老干部局机关运行经费支出63.9</w:t>
      </w:r>
      <w:r>
        <w:rPr>
          <w:rFonts w:hint="eastAsia" w:eastAsia="方正仿宋_GBK"/>
          <w:sz w:val="32"/>
          <w:szCs w:val="32"/>
          <w:lang w:val="en-US" w:eastAsia="zh-CN"/>
        </w:rPr>
        <w:t>1</w:t>
      </w:r>
      <w:r>
        <w:rPr>
          <w:rFonts w:hint="eastAsia" w:eastAsia="方正仿宋_GBK"/>
          <w:sz w:val="32"/>
          <w:szCs w:val="32"/>
        </w:rPr>
        <w:t>万元，比上年度减少3万元，下降4.5%。主要原因是厉行勤俭节约，严控各类一般性支出。</w:t>
      </w:r>
    </w:p>
    <w:p>
      <w:pPr>
        <w:spacing w:line="600" w:lineRule="exact"/>
        <w:ind w:firstLine="642" w:firstLineChars="200"/>
        <w:outlineLvl w:val="2"/>
        <w:rPr>
          <w:rFonts w:ascii="方正楷体_GBK" w:hAnsi="方正楷体_GBK" w:eastAsia="方正楷体_GBK" w:cs="方正楷体_GBK"/>
          <w:b/>
          <w:sz w:val="32"/>
          <w:szCs w:val="32"/>
        </w:rPr>
      </w:pPr>
      <w:bookmarkStart w:id="56" w:name="_Toc15377223"/>
      <w:r>
        <w:rPr>
          <w:rFonts w:hint="eastAsia" w:ascii="方正楷体_GBK" w:hAnsi="方正楷体_GBK" w:eastAsia="方正楷体_GBK" w:cs="方正楷体_GBK"/>
          <w:b/>
          <w:sz w:val="32"/>
          <w:szCs w:val="32"/>
        </w:rPr>
        <w:t>（二）政府采购支出情况</w:t>
      </w:r>
      <w:bookmarkEnd w:id="56"/>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2025年度，中国共产党攀枝花市委员会老干部局政府采购支出总额3.05万元，其中：政府采购货物支出0.79万元、政府采购工程支出0万元、政府采购服务支出2.26万元。主要用于</w:t>
      </w:r>
      <w:r>
        <w:rPr>
          <w:rFonts w:hint="eastAsia" w:eastAsia="方正仿宋_GBK"/>
          <w:sz w:val="32"/>
          <w:szCs w:val="32"/>
          <w:lang w:eastAsia="zh-CN"/>
        </w:rPr>
        <w:t>采购办公所需空调，</w:t>
      </w:r>
      <w:r>
        <w:rPr>
          <w:rFonts w:hint="eastAsia" w:eastAsia="方正仿宋_GBK"/>
          <w:sz w:val="32"/>
          <w:szCs w:val="32"/>
        </w:rPr>
        <w:t>公务用车维修、加油和购买保险</w:t>
      </w:r>
      <w:r>
        <w:rPr>
          <w:rFonts w:hint="eastAsia" w:eastAsia="方正仿宋_GBK"/>
          <w:sz w:val="32"/>
          <w:szCs w:val="32"/>
          <w:lang w:eastAsia="zh-CN"/>
        </w:rPr>
        <w:t>等</w:t>
      </w:r>
      <w:r>
        <w:rPr>
          <w:rFonts w:hint="eastAsia" w:eastAsia="方正仿宋_GBK"/>
          <w:sz w:val="32"/>
          <w:szCs w:val="32"/>
        </w:rPr>
        <w:t>。授予中小企业合同金额0.98万元，占政府采购支出总额的32.1%，其中：授予小微企业合同金额0.79万元，占政府采购支出总额的25.9%。</w:t>
      </w:r>
    </w:p>
    <w:p>
      <w:pPr>
        <w:spacing w:line="600" w:lineRule="exact"/>
        <w:ind w:firstLine="642" w:firstLineChars="200"/>
        <w:outlineLvl w:val="2"/>
        <w:rPr>
          <w:rFonts w:ascii="方正楷体_GBK" w:hAnsi="方正楷体_GBK" w:eastAsia="方正楷体_GBK" w:cs="方正楷体_GBK"/>
          <w:b/>
          <w:sz w:val="32"/>
          <w:szCs w:val="32"/>
        </w:rPr>
      </w:pPr>
      <w:bookmarkStart w:id="57" w:name="_Toc15377224"/>
      <w:r>
        <w:rPr>
          <w:rFonts w:hint="eastAsia" w:ascii="方正楷体_GBK" w:hAnsi="方正楷体_GBK" w:eastAsia="方正楷体_GBK" w:cs="方正楷体_GBK"/>
          <w:b/>
          <w:sz w:val="32"/>
          <w:szCs w:val="32"/>
        </w:rPr>
        <w:t>（三）国有资产占有使用情况</w:t>
      </w:r>
      <w:bookmarkEnd w:id="57"/>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截至2025年12月31日，中国共产党攀枝花市委员会老干部局共有车辆3辆，其中：副部（省）级及以上领导用车0辆、主要负责人用车0辆、机要通信用车0辆、应急保障用车0辆、执法执勤用车0辆、特种专业技术用车0辆、离退休干部服务用车0辆、其他用车3辆，其他用车主要用于</w:t>
      </w:r>
      <w:r>
        <w:rPr>
          <w:rFonts w:hint="eastAsia" w:eastAsia="方正仿宋_GBK"/>
          <w:sz w:val="32"/>
          <w:szCs w:val="32"/>
          <w:lang w:eastAsia="zh-CN"/>
        </w:rPr>
        <w:t>开展老干部服务</w:t>
      </w:r>
      <w:r>
        <w:rPr>
          <w:rFonts w:hint="eastAsia" w:eastAsia="方正仿宋_GBK"/>
          <w:sz w:val="32"/>
          <w:szCs w:val="32"/>
        </w:rPr>
        <w:t>工作。单价100万元（含）以上设备（不含车辆）0台（套）。</w:t>
      </w:r>
    </w:p>
    <w:p>
      <w:pPr>
        <w:spacing w:line="600" w:lineRule="exact"/>
        <w:ind w:firstLine="642" w:firstLineChars="200"/>
        <w:outlineLvl w:val="2"/>
        <w:rPr>
          <w:rFonts w:ascii="方正楷体_GBK" w:hAnsi="方正楷体_GBK" w:eastAsia="方正楷体_GBK" w:cs="方正楷体_GBK"/>
          <w:b/>
          <w:sz w:val="32"/>
          <w:szCs w:val="32"/>
        </w:rPr>
      </w:pPr>
      <w:r>
        <w:rPr>
          <w:rFonts w:hint="eastAsia" w:ascii="方正楷体_GBK" w:hAnsi="方正楷体_GBK" w:eastAsia="方正楷体_GBK" w:cs="方正楷体_GBK"/>
          <w:b/>
          <w:sz w:val="32"/>
          <w:szCs w:val="32"/>
        </w:rPr>
        <w:t>（四）预算绩效管理情况</w:t>
      </w:r>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根据预算绩效管理要求，中国共产党攀枝花市委员会老干部局在2025年度组织对老干部活动经费、老年大学办学经费、养老服务业发展补助资金（省级）、关工委综合业务费等</w:t>
      </w:r>
      <w:r>
        <w:rPr>
          <w:rFonts w:hint="eastAsia" w:eastAsia="方正仿宋_GBK"/>
          <w:sz w:val="32"/>
          <w:szCs w:val="32"/>
          <w:lang w:val="en-US" w:eastAsia="zh-CN"/>
        </w:rPr>
        <w:t>10</w:t>
      </w:r>
      <w:r>
        <w:rPr>
          <w:rFonts w:hint="eastAsia" w:eastAsia="方正仿宋_GBK"/>
          <w:sz w:val="32"/>
          <w:szCs w:val="32"/>
        </w:rPr>
        <w:t>个项目开展了事前绩效评估，对10个项目编制了绩效目标，预算执行过程中，选取10个项目开展绩效监控。</w:t>
      </w:r>
    </w:p>
    <w:p>
      <w:pPr>
        <w:pStyle w:val="2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outlineLvl w:val="1"/>
        <w:rPr>
          <w:rFonts w:hint="eastAsia" w:eastAsia="方正仿宋_GBK"/>
          <w:sz w:val="32"/>
          <w:szCs w:val="32"/>
        </w:rPr>
      </w:pPr>
      <w:r>
        <w:rPr>
          <w:rFonts w:hint="eastAsia" w:eastAsia="方正仿宋_GBK"/>
          <w:sz w:val="32"/>
          <w:szCs w:val="32"/>
        </w:rPr>
        <w:t>组织对2025年度一般公共预算、政府性基金预算全面开展绩效自评，形成中共攀枝花市委老干部局部门</w:t>
      </w:r>
      <w:r>
        <w:rPr>
          <w:rFonts w:hint="eastAsia" w:eastAsia="方正仿宋_GBK"/>
          <w:sz w:val="32"/>
          <w:szCs w:val="32"/>
          <w:lang w:eastAsia="zh-CN"/>
        </w:rPr>
        <w:t>预算</w:t>
      </w:r>
      <w:r>
        <w:rPr>
          <w:rFonts w:hint="eastAsia" w:eastAsia="方正仿宋_GBK"/>
          <w:sz w:val="32"/>
          <w:szCs w:val="32"/>
        </w:rPr>
        <w:t>绩效自评报告、市级部门关工委工作经费专项预算项目</w:t>
      </w:r>
      <w:r>
        <w:rPr>
          <w:rFonts w:hint="eastAsia" w:eastAsia="方正仿宋_GBK"/>
          <w:sz w:val="32"/>
          <w:szCs w:val="32"/>
          <w:lang w:eastAsia="zh-CN"/>
        </w:rPr>
        <w:t>支出</w:t>
      </w:r>
      <w:r>
        <w:rPr>
          <w:rFonts w:hint="eastAsia" w:eastAsia="方正仿宋_GBK"/>
          <w:sz w:val="32"/>
          <w:szCs w:val="32"/>
        </w:rPr>
        <w:t>绩效自评报告，其中，市委老干部局部门</w:t>
      </w:r>
      <w:r>
        <w:rPr>
          <w:rFonts w:hint="eastAsia" w:eastAsia="方正仿宋_GBK"/>
          <w:sz w:val="32"/>
          <w:szCs w:val="32"/>
          <w:lang w:eastAsia="zh-CN"/>
        </w:rPr>
        <w:t>预算</w:t>
      </w:r>
      <w:r>
        <w:rPr>
          <w:rFonts w:hint="eastAsia" w:eastAsia="方正仿宋_GBK"/>
          <w:sz w:val="32"/>
          <w:szCs w:val="32"/>
        </w:rPr>
        <w:t>绩效自评得分为</w:t>
      </w:r>
      <w:r>
        <w:rPr>
          <w:rFonts w:hint="eastAsia" w:eastAsia="方正仿宋_GBK"/>
          <w:sz w:val="32"/>
          <w:szCs w:val="32"/>
          <w:lang w:val="en-US" w:eastAsia="zh-CN"/>
        </w:rPr>
        <w:t>90.42</w:t>
      </w:r>
      <w:r>
        <w:rPr>
          <w:rFonts w:hint="eastAsia" w:eastAsia="方正仿宋_GBK"/>
          <w:sz w:val="32"/>
          <w:szCs w:val="32"/>
        </w:rPr>
        <w:t>分，绩效自评综述</w:t>
      </w:r>
      <w:r>
        <w:rPr>
          <w:rFonts w:hint="eastAsia" w:eastAsia="方正仿宋_GBK"/>
          <w:sz w:val="32"/>
          <w:szCs w:val="32"/>
          <w:lang w:eastAsia="zh-CN"/>
        </w:rPr>
        <w:t>：</w:t>
      </w:r>
      <w:r>
        <w:rPr>
          <w:rFonts w:hint="eastAsia" w:eastAsia="方正仿宋_GBK"/>
          <w:sz w:val="32"/>
          <w:szCs w:val="32"/>
        </w:rPr>
        <w:t>市委老干部局高度重视预算绩效管理，履职效能显著，预算执行规范，财务管理合规，资金使用高效，资产管理和采购管理规范，项目绩效目标实现较好</w:t>
      </w:r>
      <w:r>
        <w:rPr>
          <w:rFonts w:hint="eastAsia" w:eastAsia="方正仿宋_GBK"/>
          <w:sz w:val="32"/>
          <w:szCs w:val="32"/>
          <w:lang w:eastAsia="zh-CN"/>
        </w:rPr>
        <w:t>；</w:t>
      </w:r>
      <w:r>
        <w:rPr>
          <w:rFonts w:hint="eastAsia" w:eastAsia="方正仿宋_GBK"/>
          <w:sz w:val="32"/>
          <w:szCs w:val="32"/>
          <w:lang w:val="zh-CN"/>
        </w:rPr>
        <w:t>市级部门关工委工作经费专项预算项目</w:t>
      </w:r>
      <w:r>
        <w:rPr>
          <w:rFonts w:hint="eastAsia" w:eastAsia="方正仿宋_GBK"/>
          <w:sz w:val="32"/>
          <w:szCs w:val="32"/>
        </w:rPr>
        <w:t>绩效自评得分为</w:t>
      </w:r>
      <w:r>
        <w:rPr>
          <w:rFonts w:hint="eastAsia" w:eastAsia="方正仿宋_GBK"/>
          <w:sz w:val="32"/>
          <w:szCs w:val="32"/>
          <w:lang w:val="en-US" w:eastAsia="zh-CN"/>
        </w:rPr>
        <w:t>88.85</w:t>
      </w:r>
      <w:r>
        <w:rPr>
          <w:rFonts w:hint="eastAsia" w:eastAsia="方正仿宋_GBK"/>
          <w:sz w:val="32"/>
          <w:szCs w:val="32"/>
        </w:rPr>
        <w:t>分，绩效自评综述：</w:t>
      </w:r>
      <w:r>
        <w:rPr>
          <w:rFonts w:hint="eastAsia" w:eastAsia="方正仿宋_GBK"/>
          <w:sz w:val="32"/>
          <w:szCs w:val="32"/>
          <w:lang w:eastAsia="zh-CN"/>
        </w:rPr>
        <w:t>项目</w:t>
      </w:r>
      <w:r>
        <w:rPr>
          <w:rFonts w:hint="eastAsia" w:eastAsia="方正仿宋_GBK"/>
          <w:sz w:val="32"/>
          <w:szCs w:val="32"/>
          <w:lang w:val="zh-CN"/>
        </w:rPr>
        <w:t>立项依据充分、程序规范，实施过程管理严格，资金使用合规高效，在加强青少年思想道德建设、关爱困难青少年等方面取得了良好成效，全面实现了预期绩效目标。</w:t>
      </w:r>
      <w:r>
        <w:rPr>
          <w:rFonts w:hint="eastAsia" w:eastAsia="方正仿宋_GBK"/>
          <w:sz w:val="32"/>
          <w:szCs w:val="32"/>
        </w:rPr>
        <w:t>绩效自评报告详见附件。</w:t>
      </w:r>
    </w:p>
    <w:p>
      <w:pPr>
        <w:pStyle w:val="28"/>
        <w:spacing w:line="600" w:lineRule="exact"/>
        <w:ind w:left="0" w:leftChars="0" w:firstLine="640" w:firstLineChars="200"/>
        <w:jc w:val="left"/>
        <w:outlineLvl w:val="1"/>
        <w:rPr>
          <w:rFonts w:hint="eastAsia" w:eastAsia="方正仿宋_GBK"/>
          <w:sz w:val="32"/>
          <w:szCs w:val="32"/>
        </w:rPr>
      </w:pPr>
    </w:p>
    <w:p>
      <w:pPr>
        <w:pStyle w:val="6"/>
        <w:rPr>
          <w:rFonts w:eastAsia="仿宋_GB2312" w:cs="仿宋_GB2312"/>
          <w:sz w:val="32"/>
          <w:szCs w:val="32"/>
        </w:rPr>
      </w:pPr>
    </w:p>
    <w:p>
      <w:pPr>
        <w:rPr>
          <w:rFonts w:eastAsia="仿宋_GB2312" w:cs="仿宋_GB2312"/>
          <w:sz w:val="32"/>
          <w:szCs w:val="32"/>
        </w:rPr>
      </w:pPr>
    </w:p>
    <w:p>
      <w:pPr>
        <w:spacing w:line="600" w:lineRule="exact"/>
        <w:jc w:val="center"/>
        <w:outlineLvl w:val="0"/>
        <w:rPr>
          <w:rFonts w:hint="eastAsia" w:eastAsia="黑体"/>
          <w:sz w:val="44"/>
          <w:szCs w:val="44"/>
        </w:rPr>
      </w:pPr>
      <w:bookmarkStart w:id="58" w:name="_Toc15396613"/>
      <w:bookmarkStart w:id="59" w:name="_Toc15377225"/>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eastAsia="黑体"/>
          <w:sz w:val="44"/>
          <w:szCs w:val="44"/>
        </w:rPr>
      </w:pPr>
      <w:r>
        <w:rPr>
          <w:rFonts w:hint="eastAsia" w:ascii="方正小标宋简体" w:hAnsi="方正小标宋简体" w:eastAsia="方正小标宋简体" w:cs="方正小标宋简体"/>
          <w:sz w:val="44"/>
          <w:szCs w:val="44"/>
        </w:rPr>
        <w:t>第三部分</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名词解释</w:t>
      </w:r>
      <w:bookmarkEnd w:id="58"/>
      <w:bookmarkEnd w:id="59"/>
    </w:p>
    <w:p>
      <w:pPr>
        <w:spacing w:line="600" w:lineRule="exact"/>
        <w:jc w:val="left"/>
        <w:rPr>
          <w:b/>
          <w:sz w:val="44"/>
          <w:szCs w:val="44"/>
        </w:rPr>
      </w:pP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1.财政拨款收入：指单位从同级财政部门取得的财政预算资金。</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2</w:t>
      </w:r>
      <w:r>
        <w:rPr>
          <w:rFonts w:hint="eastAsia" w:eastAsia="方正仿宋_GBK"/>
          <w:sz w:val="32"/>
          <w:szCs w:val="32"/>
          <w:lang w:val="zh-CN"/>
        </w:rPr>
        <w:t>.一般公共服务支出（类）其他共产党事务支出（款）行政运行（项）:指行政单位（包括实行公务员管理的事业单位）的基本支出。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3</w:t>
      </w:r>
      <w:r>
        <w:rPr>
          <w:rFonts w:hint="eastAsia" w:eastAsia="方正仿宋_GBK"/>
          <w:sz w:val="32"/>
          <w:szCs w:val="32"/>
          <w:lang w:val="zh-CN"/>
        </w:rPr>
        <w:t>.一般公共服务支出（类）其他共产党事务支出（款）一般行政管理事务（项）:指行政单位（包括实行公务员管理的事业单位）未单独设置项级科目的其他项目支出。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4.</w:t>
      </w:r>
      <w:r>
        <w:rPr>
          <w:rFonts w:hint="eastAsia" w:eastAsia="方正仿宋_GBK"/>
          <w:sz w:val="32"/>
          <w:szCs w:val="32"/>
          <w:lang w:val="zh-CN"/>
        </w:rPr>
        <w:t>一般公共服务支出（类）其他共产党事务支出（款）事业运行（项）:指事业单位的基本支出，不包括行政单位（包括实行公务员管理的事业单位）后勤服务中心、医务室等附属事业单位。</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5</w:t>
      </w:r>
      <w:r>
        <w:rPr>
          <w:rFonts w:hint="eastAsia" w:eastAsia="方正仿宋_GBK"/>
          <w:sz w:val="32"/>
          <w:szCs w:val="32"/>
          <w:lang w:val="zh-CN"/>
        </w:rPr>
        <w:t>.一般公共服务支出（类）其他共产党事务支出（款）其他共产党事务支出（项）:指除上述项目以外其他用于中国共产党事务的支出。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6.</w:t>
      </w:r>
      <w:r>
        <w:rPr>
          <w:rFonts w:hint="eastAsia" w:eastAsia="方正仿宋_GBK"/>
          <w:sz w:val="32"/>
          <w:szCs w:val="32"/>
          <w:lang w:val="zh-CN"/>
        </w:rPr>
        <w:t>教育支出（类）其他教育支出（款）其他教育支出（项）:指其他用于教育方面的支出。</w:t>
      </w:r>
    </w:p>
    <w:p>
      <w:pPr>
        <w:pStyle w:val="28"/>
        <w:spacing w:line="600" w:lineRule="exact"/>
        <w:ind w:left="0" w:leftChars="0" w:firstLine="640" w:firstLineChars="200"/>
        <w:jc w:val="left"/>
        <w:outlineLvl w:val="1"/>
        <w:rPr>
          <w:rFonts w:hint="eastAsia" w:eastAsia="方正仿宋_GBK"/>
          <w:sz w:val="32"/>
          <w:szCs w:val="32"/>
          <w:lang w:val="en-US" w:eastAsia="zh-CN"/>
        </w:rPr>
      </w:pPr>
      <w:r>
        <w:rPr>
          <w:rFonts w:hint="eastAsia" w:eastAsia="方正仿宋_GBK"/>
          <w:sz w:val="32"/>
          <w:szCs w:val="32"/>
          <w:lang w:val="en-US" w:eastAsia="zh-CN"/>
        </w:rPr>
        <w:t>7.</w:t>
      </w:r>
      <w:r>
        <w:rPr>
          <w:rFonts w:hint="eastAsia" w:eastAsia="方正仿宋_GBK"/>
          <w:sz w:val="32"/>
          <w:szCs w:val="32"/>
          <w:lang w:val="zh-CN"/>
        </w:rPr>
        <w:t>社会保障和就业（类）行政事业单位养老支出（款）行政单位离退休（项）:指行政单位（包括实行公务员管理的事业单位）开支的离退休经费。</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8.</w:t>
      </w:r>
      <w:r>
        <w:rPr>
          <w:rFonts w:hint="eastAsia" w:eastAsia="方正仿宋_GBK"/>
          <w:sz w:val="32"/>
          <w:szCs w:val="32"/>
          <w:lang w:val="zh-CN"/>
        </w:rPr>
        <w:t>社会保障和就业（类）行政事业单位养老支出（款）机关事业单位基本养老保险缴费支出（项）:指机关事业单位实施养老保险制度由单位缴纳的基本养老保险费支出。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9</w:t>
      </w:r>
      <w:r>
        <w:rPr>
          <w:rFonts w:hint="eastAsia" w:eastAsia="方正仿宋_GBK"/>
          <w:sz w:val="32"/>
          <w:szCs w:val="32"/>
          <w:lang w:val="zh-CN"/>
        </w:rPr>
        <w:t>.社会保障和就业（类）社会福利（款）儿童福利（项）:指对儿童提供福利服务方面的支出。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10</w:t>
      </w:r>
      <w:r>
        <w:rPr>
          <w:rFonts w:hint="eastAsia" w:eastAsia="方正仿宋_GBK"/>
          <w:sz w:val="32"/>
          <w:szCs w:val="32"/>
          <w:lang w:val="zh-CN"/>
        </w:rPr>
        <w:t>.社会保障和就业（类）社会福利（款）养老服务（项）:指财政在养老服务方面的补助支出，包括支持居家养老服务、社区养老服务和机构养老服务的支出，对养老服务机构的运营、建设补助支出等。</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11</w:t>
      </w:r>
      <w:r>
        <w:rPr>
          <w:rFonts w:hint="eastAsia" w:eastAsia="方正仿宋_GBK"/>
          <w:sz w:val="32"/>
          <w:szCs w:val="32"/>
          <w:lang w:val="zh-CN"/>
        </w:rPr>
        <w:t>.社会保障和就业（类）其他社会保障和就业支出（款）其他社会保障和就业支出（项）:指其他用于社会保障和就业方面的支出。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2</w:t>
      </w:r>
      <w:r>
        <w:rPr>
          <w:rFonts w:hint="eastAsia" w:eastAsia="方正仿宋_GBK"/>
          <w:sz w:val="32"/>
          <w:szCs w:val="32"/>
          <w:lang w:val="zh-CN"/>
        </w:rPr>
        <w:t>.卫生健康支出（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3</w:t>
      </w:r>
      <w:r>
        <w:rPr>
          <w:rFonts w:hint="eastAsia" w:eastAsia="方正仿宋_GBK"/>
          <w:sz w:val="32"/>
          <w:szCs w:val="32"/>
          <w:lang w:val="zh-CN"/>
        </w:rPr>
        <w:t>.卫生健康支出（类）行政事业单位医疗（款）事业单位医疗（项）:指财政部门安排的事业单位基本医疗保险缴费经费，未参加医疗保险的事业单位的公费医疗经费，按国家规定享受离休人员待遇的医疗经费。</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4</w:t>
      </w:r>
      <w:r>
        <w:rPr>
          <w:rFonts w:hint="eastAsia" w:eastAsia="方正仿宋_GBK"/>
          <w:sz w:val="32"/>
          <w:szCs w:val="32"/>
          <w:lang w:val="zh-CN"/>
        </w:rPr>
        <w:t>.卫生健康支出（类）行政事业单位医疗（款）公务员医疗补助（项）：指财政部门安排的公务员医疗补助经费。</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5</w:t>
      </w:r>
      <w:r>
        <w:rPr>
          <w:rFonts w:hint="eastAsia" w:eastAsia="方正仿宋_GBK"/>
          <w:sz w:val="32"/>
          <w:szCs w:val="32"/>
          <w:lang w:val="zh-CN"/>
        </w:rPr>
        <w:t>.卫生健康支出（类）行政事业单位医疗（款）其他行政事业单位医疗支出（项）：指其他用于行政事业单位医疗方面的支出。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6</w:t>
      </w:r>
      <w:r>
        <w:rPr>
          <w:rFonts w:hint="eastAsia" w:eastAsia="方正仿宋_GBK"/>
          <w:sz w:val="32"/>
          <w:szCs w:val="32"/>
          <w:lang w:val="zh-CN"/>
        </w:rPr>
        <w:t>.城乡社区支出（类）国有土地使用权出让收入安排的支出（款）其他国有土地使用权出让收入安排的支出（项）：指土地出让收入用于其他方面的支出。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rPr>
        <w:t>1</w:t>
      </w:r>
      <w:r>
        <w:rPr>
          <w:rFonts w:hint="eastAsia" w:eastAsia="方正仿宋_GBK"/>
          <w:sz w:val="32"/>
          <w:szCs w:val="32"/>
          <w:lang w:val="en-US" w:eastAsia="zh-CN"/>
        </w:rPr>
        <w:t>7</w:t>
      </w:r>
      <w:r>
        <w:rPr>
          <w:rFonts w:hint="eastAsia" w:eastAsia="方正仿宋_GBK"/>
          <w:sz w:val="32"/>
          <w:szCs w:val="32"/>
          <w:lang w:val="zh-CN"/>
        </w:rPr>
        <w:t>.住房保障（类）住房改革支出（款）住房公积金（项）:指行政事业单位按人力资源和社会保障部、财政部规定的基本工资和津贴补贴以及规定比例为职工缴纳的住房公积金。</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18</w:t>
      </w:r>
      <w:r>
        <w:rPr>
          <w:rFonts w:hint="eastAsia" w:eastAsia="方正仿宋_GBK"/>
          <w:sz w:val="32"/>
          <w:szCs w:val="32"/>
          <w:lang w:val="zh-CN"/>
        </w:rPr>
        <w:t>.基本支出：指为保障机构正常运转、完成日常工作任务而发生的人员支出和公用支出。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19</w:t>
      </w:r>
      <w:r>
        <w:rPr>
          <w:rFonts w:hint="eastAsia" w:eastAsia="方正仿宋_GBK"/>
          <w:sz w:val="32"/>
          <w:szCs w:val="32"/>
          <w:lang w:val="zh-CN"/>
        </w:rPr>
        <w:t xml:space="preserve">.项目支出：指在基本支出之外为完成特定行政任务和事业发展目标所发生的支出。 </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20</w:t>
      </w:r>
      <w:r>
        <w:rPr>
          <w:rFonts w:hint="eastAsia" w:eastAsia="方正仿宋_GBK"/>
          <w:sz w:val="32"/>
          <w:szCs w:val="32"/>
          <w:lang w:val="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rPr>
        <w:t>2</w:t>
      </w:r>
      <w:r>
        <w:rPr>
          <w:rFonts w:hint="eastAsia" w:eastAsia="方正仿宋_GBK"/>
          <w:sz w:val="32"/>
          <w:szCs w:val="32"/>
          <w:lang w:val="en-US" w:eastAsia="zh-CN"/>
        </w:rPr>
        <w:t>1</w:t>
      </w:r>
      <w:r>
        <w:rPr>
          <w:rFonts w:hint="eastAsia" w:eastAsia="方正仿宋_GBK"/>
          <w:sz w:val="32"/>
          <w:szCs w:val="32"/>
          <w:lang w:val="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600" w:lineRule="exact"/>
        <w:ind w:left="0" w:leftChars="0" w:firstLine="640" w:firstLineChars="200"/>
        <w:jc w:val="left"/>
        <w:outlineLvl w:val="1"/>
        <w:rPr>
          <w:rFonts w:hint="eastAsia" w:eastAsia="方正仿宋_GBK"/>
          <w:sz w:val="32"/>
          <w:szCs w:val="32"/>
          <w:lang w:val="zh-CN"/>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第四部分</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附件</w:t>
      </w:r>
      <w:bookmarkEnd w:id="18"/>
    </w:p>
    <w:p>
      <w:pPr>
        <w:spacing w:line="572" w:lineRule="exact"/>
        <w:jc w:val="left"/>
        <w:outlineLvl w:val="0"/>
        <w:rPr>
          <w:rFonts w:eastAsia="黑体" w:cs="黑体"/>
          <w:color w:val="FF0000"/>
          <w:sz w:val="32"/>
          <w:szCs w:val="32"/>
        </w:rPr>
      </w:pPr>
    </w:p>
    <w:p>
      <w:pPr>
        <w:spacing w:line="600" w:lineRule="exact"/>
        <w:ind w:firstLine="645"/>
        <w:rPr>
          <w:rFonts w:hint="eastAsia" w:ascii="Times New Roman" w:hAnsi="Times New Roman" w:eastAsia="方正仿宋_GBK"/>
          <w:sz w:val="33"/>
          <w:szCs w:val="33"/>
        </w:rPr>
      </w:pPr>
      <w:bookmarkStart w:id="60" w:name="_Toc15396618"/>
      <w:r>
        <w:rPr>
          <w:rFonts w:hint="eastAsia" w:ascii="Times New Roman" w:hAnsi="Times New Roman" w:eastAsia="方正仿宋_GBK"/>
          <w:sz w:val="33"/>
          <w:szCs w:val="33"/>
        </w:rPr>
        <w:t>部门预算项目支出绩效自评表（202</w:t>
      </w:r>
      <w:r>
        <w:rPr>
          <w:rFonts w:hint="eastAsia" w:eastAsia="方正仿宋_GBK"/>
          <w:sz w:val="33"/>
          <w:szCs w:val="33"/>
          <w:lang w:val="en-US" w:eastAsia="zh-CN"/>
        </w:rPr>
        <w:t>5</w:t>
      </w:r>
      <w:r>
        <w:rPr>
          <w:rFonts w:hint="eastAsia" w:ascii="Times New Roman" w:hAnsi="Times New Roman" w:eastAsia="方正仿宋_GBK"/>
          <w:sz w:val="33"/>
          <w:szCs w:val="33"/>
        </w:rPr>
        <w:t>年度）（见附件</w:t>
      </w:r>
      <w:r>
        <w:rPr>
          <w:rFonts w:hint="eastAsia" w:eastAsia="方正仿宋_GBK"/>
          <w:sz w:val="33"/>
          <w:szCs w:val="33"/>
          <w:lang w:val="en-US" w:eastAsia="zh-CN"/>
        </w:rPr>
        <w:t>3</w:t>
      </w:r>
      <w:r>
        <w:rPr>
          <w:rFonts w:hint="eastAsia" w:ascii="Times New Roman" w:hAnsi="Times New Roman" w:eastAsia="方正仿宋_GBK"/>
          <w:sz w:val="33"/>
          <w:szCs w:val="33"/>
        </w:rPr>
        <w:t>）</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br w:type="page"/>
      </w:r>
    </w:p>
    <w:p>
      <w:pPr>
        <w:widowControl/>
        <w:jc w:val="center"/>
        <w:rPr>
          <w:rFonts w:eastAsia="仿宋"/>
        </w:rPr>
      </w:pPr>
      <w:r>
        <w:rPr>
          <w:rFonts w:hint="eastAsia" w:eastAsia="黑体"/>
          <w:sz w:val="44"/>
          <w:szCs w:val="44"/>
        </w:rPr>
        <w:t>第</w:t>
      </w:r>
      <w:r>
        <w:rPr>
          <w:rStyle w:val="29"/>
          <w:rFonts w:hint="eastAsia" w:eastAsia="黑体"/>
          <w:b w:val="0"/>
        </w:rPr>
        <w:t>五部分</w:t>
      </w:r>
      <w:r>
        <w:rPr>
          <w:rStyle w:val="29"/>
          <w:rFonts w:hint="eastAsia" w:eastAsia="黑体"/>
          <w:b w:val="0"/>
          <w:lang w:val="en-US" w:eastAsia="zh-CN"/>
        </w:rPr>
        <w:t xml:space="preserve">  </w:t>
      </w:r>
      <w:r>
        <w:rPr>
          <w:rStyle w:val="29"/>
          <w:rFonts w:hint="eastAsia" w:eastAsia="黑体"/>
          <w:b w:val="0"/>
        </w:rPr>
        <w:t>附表</w:t>
      </w:r>
      <w:bookmarkEnd w:id="19"/>
      <w:bookmarkEnd w:id="60"/>
      <w:bookmarkStart w:id="61" w:name="_Toc15396619"/>
    </w:p>
    <w:p>
      <w:pPr>
        <w:pStyle w:val="16"/>
        <w:adjustRightInd w:val="0"/>
        <w:snapToGrid w:val="0"/>
        <w:spacing w:line="560" w:lineRule="exact"/>
        <w:jc w:val="left"/>
        <w:rPr>
          <w:rFonts w:eastAsia="仿宋_GB2312" w:cs="仿宋_GB2312"/>
          <w:sz w:val="32"/>
          <w:szCs w:val="32"/>
        </w:rPr>
      </w:pPr>
    </w:p>
    <w:p>
      <w:pPr>
        <w:pStyle w:val="16"/>
        <w:adjustRightInd w:val="0"/>
        <w:snapToGrid w:val="0"/>
        <w:spacing w:line="560" w:lineRule="exact"/>
        <w:jc w:val="left"/>
        <w:rPr>
          <w:rFonts w:eastAsia="方正仿宋_GBK"/>
          <w:sz w:val="32"/>
          <w:szCs w:val="32"/>
        </w:rPr>
      </w:pPr>
      <w:r>
        <w:rPr>
          <w:rFonts w:eastAsia="方正仿宋_GBK"/>
          <w:sz w:val="32"/>
          <w:szCs w:val="32"/>
        </w:rPr>
        <w:t>一、收入支出决算总表</w:t>
      </w:r>
      <w:bookmarkEnd w:id="61"/>
    </w:p>
    <w:p>
      <w:pPr>
        <w:pStyle w:val="16"/>
        <w:adjustRightInd w:val="0"/>
        <w:snapToGrid w:val="0"/>
        <w:spacing w:line="560" w:lineRule="exact"/>
        <w:jc w:val="left"/>
        <w:rPr>
          <w:rFonts w:eastAsia="方正仿宋_GBK"/>
          <w:sz w:val="32"/>
          <w:szCs w:val="32"/>
        </w:rPr>
      </w:pPr>
      <w:bookmarkStart w:id="62" w:name="_Toc15396620"/>
      <w:r>
        <w:rPr>
          <w:rFonts w:eastAsia="方正仿宋_GBK"/>
          <w:sz w:val="32"/>
          <w:szCs w:val="32"/>
        </w:rPr>
        <w:t>二、收入决算表</w:t>
      </w:r>
      <w:bookmarkEnd w:id="62"/>
    </w:p>
    <w:p>
      <w:pPr>
        <w:pStyle w:val="16"/>
        <w:adjustRightInd w:val="0"/>
        <w:snapToGrid w:val="0"/>
        <w:spacing w:line="560" w:lineRule="exact"/>
        <w:jc w:val="left"/>
        <w:rPr>
          <w:rFonts w:eastAsia="方正仿宋_GBK"/>
          <w:sz w:val="32"/>
          <w:szCs w:val="32"/>
        </w:rPr>
      </w:pPr>
      <w:bookmarkStart w:id="63" w:name="_Toc15396621"/>
      <w:r>
        <w:rPr>
          <w:rFonts w:eastAsia="方正仿宋_GBK"/>
          <w:sz w:val="32"/>
          <w:szCs w:val="32"/>
        </w:rPr>
        <w:t>三、支出决算表</w:t>
      </w:r>
      <w:bookmarkEnd w:id="63"/>
    </w:p>
    <w:p>
      <w:pPr>
        <w:pStyle w:val="16"/>
        <w:adjustRightInd w:val="0"/>
        <w:snapToGrid w:val="0"/>
        <w:spacing w:line="560" w:lineRule="exact"/>
        <w:jc w:val="left"/>
        <w:rPr>
          <w:rFonts w:eastAsia="方正仿宋_GBK"/>
          <w:sz w:val="32"/>
          <w:szCs w:val="32"/>
        </w:rPr>
      </w:pPr>
      <w:bookmarkStart w:id="64" w:name="_Toc15396622"/>
      <w:r>
        <w:rPr>
          <w:rFonts w:eastAsia="方正仿宋_GBK"/>
          <w:sz w:val="32"/>
          <w:szCs w:val="32"/>
        </w:rPr>
        <w:t>四、财政拨款收入支出决算总表</w:t>
      </w:r>
      <w:bookmarkEnd w:id="64"/>
    </w:p>
    <w:p>
      <w:pPr>
        <w:pStyle w:val="16"/>
        <w:adjustRightInd w:val="0"/>
        <w:snapToGrid w:val="0"/>
        <w:spacing w:line="560" w:lineRule="exact"/>
        <w:jc w:val="left"/>
        <w:rPr>
          <w:rFonts w:eastAsia="方正仿宋_GBK"/>
          <w:sz w:val="32"/>
          <w:szCs w:val="32"/>
        </w:rPr>
      </w:pPr>
      <w:bookmarkStart w:id="65" w:name="_Toc15396623"/>
      <w:r>
        <w:rPr>
          <w:rFonts w:eastAsia="方正仿宋_GBK"/>
          <w:sz w:val="32"/>
          <w:szCs w:val="32"/>
        </w:rPr>
        <w:t>五、财政拨款支出决算明细表</w:t>
      </w:r>
      <w:bookmarkEnd w:id="65"/>
      <w:bookmarkStart w:id="66" w:name="_Toc15396624"/>
    </w:p>
    <w:p>
      <w:pPr>
        <w:pStyle w:val="16"/>
        <w:adjustRightInd w:val="0"/>
        <w:snapToGrid w:val="0"/>
        <w:spacing w:line="560" w:lineRule="exact"/>
        <w:jc w:val="left"/>
        <w:rPr>
          <w:rFonts w:eastAsia="方正仿宋_GBK"/>
          <w:sz w:val="32"/>
          <w:szCs w:val="32"/>
        </w:rPr>
      </w:pPr>
      <w:r>
        <w:rPr>
          <w:rFonts w:eastAsia="方正仿宋_GBK"/>
          <w:sz w:val="32"/>
          <w:szCs w:val="32"/>
        </w:rPr>
        <w:t>六、一般公共预算财政拨款支出决算表</w:t>
      </w:r>
      <w:bookmarkEnd w:id="66"/>
    </w:p>
    <w:p>
      <w:pPr>
        <w:pStyle w:val="16"/>
        <w:adjustRightInd w:val="0"/>
        <w:snapToGrid w:val="0"/>
        <w:spacing w:line="560" w:lineRule="exact"/>
        <w:jc w:val="left"/>
        <w:rPr>
          <w:rFonts w:eastAsia="方正仿宋_GBK"/>
          <w:sz w:val="32"/>
          <w:szCs w:val="32"/>
        </w:rPr>
      </w:pPr>
      <w:bookmarkStart w:id="67" w:name="_Toc15396625"/>
      <w:r>
        <w:rPr>
          <w:rFonts w:eastAsia="方正仿宋_GBK"/>
          <w:sz w:val="32"/>
          <w:szCs w:val="32"/>
        </w:rPr>
        <w:t>七、一般公共预算财政拨款支出决算明细表</w:t>
      </w:r>
      <w:bookmarkEnd w:id="67"/>
    </w:p>
    <w:p>
      <w:pPr>
        <w:pStyle w:val="16"/>
        <w:adjustRightInd w:val="0"/>
        <w:snapToGrid w:val="0"/>
        <w:spacing w:line="560" w:lineRule="exact"/>
        <w:jc w:val="left"/>
        <w:rPr>
          <w:rFonts w:eastAsia="方正仿宋_GBK"/>
          <w:sz w:val="32"/>
          <w:szCs w:val="32"/>
        </w:rPr>
      </w:pPr>
      <w:bookmarkStart w:id="68" w:name="_Toc15396626"/>
      <w:r>
        <w:rPr>
          <w:rFonts w:eastAsia="方正仿宋_GBK"/>
          <w:sz w:val="32"/>
          <w:szCs w:val="32"/>
        </w:rPr>
        <w:t>八、一般公共预算财政拨款基本支出决算表</w:t>
      </w:r>
      <w:bookmarkEnd w:id="68"/>
    </w:p>
    <w:p>
      <w:pPr>
        <w:pStyle w:val="16"/>
        <w:adjustRightInd w:val="0"/>
        <w:snapToGrid w:val="0"/>
        <w:spacing w:line="560" w:lineRule="exact"/>
        <w:jc w:val="left"/>
        <w:rPr>
          <w:rFonts w:eastAsia="方正仿宋_GBK"/>
          <w:sz w:val="32"/>
          <w:szCs w:val="32"/>
        </w:rPr>
      </w:pPr>
      <w:bookmarkStart w:id="69" w:name="_Toc15396627"/>
      <w:r>
        <w:rPr>
          <w:rFonts w:eastAsia="方正仿宋_GBK"/>
          <w:sz w:val="32"/>
          <w:szCs w:val="32"/>
        </w:rPr>
        <w:t>九、一般公共预算财政拨款项目支出决算表</w:t>
      </w:r>
      <w:bookmarkEnd w:id="69"/>
    </w:p>
    <w:p>
      <w:pPr>
        <w:pStyle w:val="16"/>
        <w:adjustRightInd w:val="0"/>
        <w:snapToGrid w:val="0"/>
        <w:spacing w:line="560" w:lineRule="exact"/>
        <w:jc w:val="left"/>
        <w:rPr>
          <w:rFonts w:eastAsia="方正仿宋_GBK"/>
          <w:sz w:val="32"/>
          <w:szCs w:val="32"/>
        </w:rPr>
      </w:pPr>
      <w:bookmarkStart w:id="70" w:name="_Toc15396628"/>
      <w:r>
        <w:rPr>
          <w:rFonts w:eastAsia="方正仿宋_GBK"/>
          <w:sz w:val="32"/>
          <w:szCs w:val="32"/>
        </w:rPr>
        <w:t>十、</w:t>
      </w:r>
      <w:bookmarkEnd w:id="70"/>
      <w:r>
        <w:rPr>
          <w:rFonts w:eastAsia="方正仿宋_GBK"/>
          <w:sz w:val="32"/>
          <w:szCs w:val="32"/>
        </w:rPr>
        <w:t>政府性基金预算财政拨款收入支出决算表</w:t>
      </w:r>
    </w:p>
    <w:p>
      <w:pPr>
        <w:pStyle w:val="16"/>
        <w:adjustRightInd w:val="0"/>
        <w:snapToGrid w:val="0"/>
        <w:spacing w:line="560" w:lineRule="exact"/>
        <w:jc w:val="left"/>
        <w:rPr>
          <w:rFonts w:eastAsia="方正仿宋_GBK"/>
          <w:sz w:val="32"/>
          <w:szCs w:val="32"/>
        </w:rPr>
      </w:pPr>
      <w:bookmarkStart w:id="71" w:name="_Toc15396629"/>
      <w:r>
        <w:rPr>
          <w:rFonts w:eastAsia="方正仿宋_GBK"/>
          <w:sz w:val="32"/>
          <w:szCs w:val="32"/>
        </w:rPr>
        <w:t>十一、</w:t>
      </w:r>
      <w:bookmarkEnd w:id="71"/>
      <w:r>
        <w:rPr>
          <w:rFonts w:eastAsia="方正仿宋_GBK"/>
          <w:sz w:val="32"/>
          <w:szCs w:val="32"/>
        </w:rPr>
        <w:t>国有资本经营预算财政拨款收入支出决算表</w:t>
      </w:r>
    </w:p>
    <w:p>
      <w:pPr>
        <w:pStyle w:val="16"/>
        <w:adjustRightInd w:val="0"/>
        <w:snapToGrid w:val="0"/>
        <w:spacing w:line="560" w:lineRule="exact"/>
        <w:jc w:val="left"/>
        <w:rPr>
          <w:rFonts w:eastAsia="方正仿宋_GBK"/>
          <w:sz w:val="32"/>
          <w:szCs w:val="32"/>
        </w:rPr>
      </w:pPr>
      <w:bookmarkStart w:id="72" w:name="_Toc15396630"/>
      <w:r>
        <w:rPr>
          <w:rFonts w:eastAsia="方正仿宋_GBK"/>
          <w:sz w:val="32"/>
          <w:szCs w:val="32"/>
        </w:rPr>
        <w:t>十二、</w:t>
      </w:r>
      <w:bookmarkEnd w:id="72"/>
      <w:r>
        <w:rPr>
          <w:rFonts w:eastAsia="方正仿宋_GBK"/>
          <w:sz w:val="32"/>
          <w:szCs w:val="32"/>
        </w:rPr>
        <w:t>国有资本经营预算财政拨款支出决算表</w:t>
      </w:r>
    </w:p>
    <w:p>
      <w:pPr>
        <w:pStyle w:val="16"/>
        <w:adjustRightInd w:val="0"/>
        <w:snapToGrid w:val="0"/>
        <w:spacing w:line="560" w:lineRule="exact"/>
        <w:jc w:val="left"/>
        <w:rPr>
          <w:rFonts w:eastAsia="方正仿宋_GBK"/>
          <w:sz w:val="32"/>
          <w:szCs w:val="32"/>
        </w:rPr>
      </w:pPr>
      <w:bookmarkStart w:id="73" w:name="_Toc15396631"/>
      <w:r>
        <w:rPr>
          <w:rFonts w:eastAsia="方正仿宋_GBK"/>
          <w:sz w:val="32"/>
          <w:szCs w:val="32"/>
        </w:rPr>
        <w:t>十三、</w:t>
      </w:r>
      <w:bookmarkEnd w:id="73"/>
      <w:r>
        <w:rPr>
          <w:rFonts w:eastAsia="方正仿宋_GBK"/>
          <w:sz w:val="32"/>
          <w:szCs w:val="32"/>
        </w:rPr>
        <w:t>财政拨款“三公”经费支出决算表</w:t>
      </w:r>
    </w:p>
    <w:p>
      <w:pPr>
        <w:rPr>
          <w:rFonts w:eastAsia="方正仿宋_GBK"/>
          <w:sz w:val="32"/>
          <w:szCs w:val="32"/>
        </w:rPr>
      </w:pPr>
    </w:p>
    <w:sectPr>
      <w:footerReference r:id="rId6" w:type="first"/>
      <w:footerReference r:id="rId5" w:type="default"/>
      <w:pgSz w:w="11850" w:h="16840"/>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yh7uYIgIAADc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Moe7mCICAAA3BAAADgAAAAAAAAABACAAAAA1AQAAZHJzL2Uyb0RvYy54&#10;bWxQSwUGAAAAAAYABgBZAQAAy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12</w:t>
                    </w:r>
                    <w:r>
                      <w:fldChar w:fldCharType="end"/>
                    </w: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WFWiqIQ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WFWiqIQIAADcEAAAOAAAAAAAAAAEAIAAAADUBAABkcnMvZTJvRG9jLnht&#10;bFBLBQYAAAAABgAGAFkBAADI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266B7"/>
    <w:rsid w:val="000468DB"/>
    <w:rsid w:val="0005685A"/>
    <w:rsid w:val="0006487A"/>
    <w:rsid w:val="00065F8F"/>
    <w:rsid w:val="00070A43"/>
    <w:rsid w:val="000768F2"/>
    <w:rsid w:val="0009184B"/>
    <w:rsid w:val="00094236"/>
    <w:rsid w:val="0009593C"/>
    <w:rsid w:val="00097322"/>
    <w:rsid w:val="000A6A92"/>
    <w:rsid w:val="000B047F"/>
    <w:rsid w:val="000B4ECE"/>
    <w:rsid w:val="000B5923"/>
    <w:rsid w:val="000B5A48"/>
    <w:rsid w:val="000B6FF3"/>
    <w:rsid w:val="000B7398"/>
    <w:rsid w:val="000C1634"/>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04B8"/>
    <w:rsid w:val="001C0962"/>
    <w:rsid w:val="001D7531"/>
    <w:rsid w:val="001E737D"/>
    <w:rsid w:val="001F0592"/>
    <w:rsid w:val="001F7506"/>
    <w:rsid w:val="002006CD"/>
    <w:rsid w:val="00202B36"/>
    <w:rsid w:val="00204B7A"/>
    <w:rsid w:val="00204CDE"/>
    <w:rsid w:val="0021101A"/>
    <w:rsid w:val="00220536"/>
    <w:rsid w:val="00235629"/>
    <w:rsid w:val="00256F1E"/>
    <w:rsid w:val="00260C38"/>
    <w:rsid w:val="002616C0"/>
    <w:rsid w:val="00265372"/>
    <w:rsid w:val="002662AA"/>
    <w:rsid w:val="00273DB9"/>
    <w:rsid w:val="00280496"/>
    <w:rsid w:val="00294DC9"/>
    <w:rsid w:val="00295495"/>
    <w:rsid w:val="002A31DE"/>
    <w:rsid w:val="002B2613"/>
    <w:rsid w:val="002D6D05"/>
    <w:rsid w:val="002F1818"/>
    <w:rsid w:val="002F567B"/>
    <w:rsid w:val="003216A9"/>
    <w:rsid w:val="00335A74"/>
    <w:rsid w:val="0036561B"/>
    <w:rsid w:val="0037013F"/>
    <w:rsid w:val="0037345B"/>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62D4A"/>
    <w:rsid w:val="00471401"/>
    <w:rsid w:val="00473267"/>
    <w:rsid w:val="00473F31"/>
    <w:rsid w:val="0048263A"/>
    <w:rsid w:val="00487E5D"/>
    <w:rsid w:val="004A711F"/>
    <w:rsid w:val="004B199D"/>
    <w:rsid w:val="004B4690"/>
    <w:rsid w:val="004D5FA4"/>
    <w:rsid w:val="004E0A2D"/>
    <w:rsid w:val="004E206B"/>
    <w:rsid w:val="004E5095"/>
    <w:rsid w:val="004E6DF7"/>
    <w:rsid w:val="004F0FBD"/>
    <w:rsid w:val="004F6C30"/>
    <w:rsid w:val="00505A47"/>
    <w:rsid w:val="00512FDA"/>
    <w:rsid w:val="00520DA0"/>
    <w:rsid w:val="005664BB"/>
    <w:rsid w:val="00566FFA"/>
    <w:rsid w:val="0057481D"/>
    <w:rsid w:val="005830E0"/>
    <w:rsid w:val="0058486E"/>
    <w:rsid w:val="00585B33"/>
    <w:rsid w:val="0059014D"/>
    <w:rsid w:val="005A2ED9"/>
    <w:rsid w:val="005B5C64"/>
    <w:rsid w:val="005B780B"/>
    <w:rsid w:val="005C5337"/>
    <w:rsid w:val="005C6BD0"/>
    <w:rsid w:val="005D1C8B"/>
    <w:rsid w:val="005D468D"/>
    <w:rsid w:val="005D5CED"/>
    <w:rsid w:val="005F1291"/>
    <w:rsid w:val="005F1A4C"/>
    <w:rsid w:val="006007C8"/>
    <w:rsid w:val="00605688"/>
    <w:rsid w:val="006070AF"/>
    <w:rsid w:val="00607E6C"/>
    <w:rsid w:val="006101B1"/>
    <w:rsid w:val="0061124A"/>
    <w:rsid w:val="006133CC"/>
    <w:rsid w:val="00614E44"/>
    <w:rsid w:val="0062270A"/>
    <w:rsid w:val="00622830"/>
    <w:rsid w:val="00623DA0"/>
    <w:rsid w:val="00630AEF"/>
    <w:rsid w:val="006325F8"/>
    <w:rsid w:val="00633463"/>
    <w:rsid w:val="00634C9A"/>
    <w:rsid w:val="006440E4"/>
    <w:rsid w:val="0066019C"/>
    <w:rsid w:val="0066343B"/>
    <w:rsid w:val="00664777"/>
    <w:rsid w:val="006655BF"/>
    <w:rsid w:val="006748A4"/>
    <w:rsid w:val="00681A31"/>
    <w:rsid w:val="00683E73"/>
    <w:rsid w:val="00695292"/>
    <w:rsid w:val="006A3141"/>
    <w:rsid w:val="006A5E34"/>
    <w:rsid w:val="006B2422"/>
    <w:rsid w:val="006B2B9A"/>
    <w:rsid w:val="006C1937"/>
    <w:rsid w:val="006F020C"/>
    <w:rsid w:val="007127B7"/>
    <w:rsid w:val="0071798E"/>
    <w:rsid w:val="007416B6"/>
    <w:rsid w:val="00741A39"/>
    <w:rsid w:val="00746F48"/>
    <w:rsid w:val="0075404D"/>
    <w:rsid w:val="0076182A"/>
    <w:rsid w:val="00767B7E"/>
    <w:rsid w:val="0077567F"/>
    <w:rsid w:val="007770C3"/>
    <w:rsid w:val="00784D24"/>
    <w:rsid w:val="00785FBA"/>
    <w:rsid w:val="00786E4A"/>
    <w:rsid w:val="007875EB"/>
    <w:rsid w:val="0079426B"/>
    <w:rsid w:val="007C5F69"/>
    <w:rsid w:val="007D1682"/>
    <w:rsid w:val="007D312A"/>
    <w:rsid w:val="007D3F19"/>
    <w:rsid w:val="007E23B0"/>
    <w:rsid w:val="007E23E5"/>
    <w:rsid w:val="007F1991"/>
    <w:rsid w:val="007F2C2F"/>
    <w:rsid w:val="007F55FC"/>
    <w:rsid w:val="007F5665"/>
    <w:rsid w:val="00800112"/>
    <w:rsid w:val="00813348"/>
    <w:rsid w:val="008253BB"/>
    <w:rsid w:val="00830D57"/>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5BA5"/>
    <w:rsid w:val="00946945"/>
    <w:rsid w:val="00951248"/>
    <w:rsid w:val="0095152F"/>
    <w:rsid w:val="00954C49"/>
    <w:rsid w:val="00955E37"/>
    <w:rsid w:val="0097099F"/>
    <w:rsid w:val="00971997"/>
    <w:rsid w:val="00971FFC"/>
    <w:rsid w:val="0097619B"/>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2DDD"/>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2910"/>
    <w:rsid w:val="00B53C56"/>
    <w:rsid w:val="00B57DAF"/>
    <w:rsid w:val="00B77EA6"/>
    <w:rsid w:val="00B81598"/>
    <w:rsid w:val="00B841F1"/>
    <w:rsid w:val="00B863FD"/>
    <w:rsid w:val="00B944D6"/>
    <w:rsid w:val="00BB4DF0"/>
    <w:rsid w:val="00BC289F"/>
    <w:rsid w:val="00BC2D50"/>
    <w:rsid w:val="00BC5361"/>
    <w:rsid w:val="00BC5460"/>
    <w:rsid w:val="00BC6B50"/>
    <w:rsid w:val="00BD0E25"/>
    <w:rsid w:val="00BF5BD6"/>
    <w:rsid w:val="00C03E31"/>
    <w:rsid w:val="00C33E72"/>
    <w:rsid w:val="00C34B5E"/>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1A5B"/>
    <w:rsid w:val="00DA316F"/>
    <w:rsid w:val="00DA634F"/>
    <w:rsid w:val="00DA65AC"/>
    <w:rsid w:val="00DA72FD"/>
    <w:rsid w:val="00DB1913"/>
    <w:rsid w:val="00DC410D"/>
    <w:rsid w:val="00DC5A81"/>
    <w:rsid w:val="00DC68CA"/>
    <w:rsid w:val="00DC7CBA"/>
    <w:rsid w:val="00DD73B7"/>
    <w:rsid w:val="00DF05B0"/>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C7807"/>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2910"/>
    <w:rsid w:val="00F36D8F"/>
    <w:rsid w:val="00F417B1"/>
    <w:rsid w:val="00F45853"/>
    <w:rsid w:val="00F47B96"/>
    <w:rsid w:val="00F602DF"/>
    <w:rsid w:val="00F754A1"/>
    <w:rsid w:val="00F81FD9"/>
    <w:rsid w:val="00F841AA"/>
    <w:rsid w:val="00F84A94"/>
    <w:rsid w:val="00F87E96"/>
    <w:rsid w:val="00FA23E8"/>
    <w:rsid w:val="00FD0752"/>
    <w:rsid w:val="00FD3CC1"/>
    <w:rsid w:val="00FF1E02"/>
    <w:rsid w:val="00FF299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0F9F4FAA"/>
    <w:rsid w:val="0FEB4FE7"/>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7F706B"/>
    <w:rsid w:val="1BE8440E"/>
    <w:rsid w:val="1D155CEE"/>
    <w:rsid w:val="1D1638FE"/>
    <w:rsid w:val="1E312DEB"/>
    <w:rsid w:val="1E740ACF"/>
    <w:rsid w:val="1FA6C49A"/>
    <w:rsid w:val="1FF35744"/>
    <w:rsid w:val="1FF6BC77"/>
    <w:rsid w:val="1FFA99A6"/>
    <w:rsid w:val="2186353C"/>
    <w:rsid w:val="233F965C"/>
    <w:rsid w:val="23860B96"/>
    <w:rsid w:val="240371BF"/>
    <w:rsid w:val="244F3473"/>
    <w:rsid w:val="24C97D99"/>
    <w:rsid w:val="25A718F0"/>
    <w:rsid w:val="25BB59F6"/>
    <w:rsid w:val="260F557C"/>
    <w:rsid w:val="26970054"/>
    <w:rsid w:val="281408E2"/>
    <w:rsid w:val="29FD04D3"/>
    <w:rsid w:val="2BBC25DE"/>
    <w:rsid w:val="2BFF7BC6"/>
    <w:rsid w:val="2C8A61B5"/>
    <w:rsid w:val="2DF04E50"/>
    <w:rsid w:val="2E586DFA"/>
    <w:rsid w:val="2F040D46"/>
    <w:rsid w:val="2F6B035B"/>
    <w:rsid w:val="2FAE5751"/>
    <w:rsid w:val="2FB1A395"/>
    <w:rsid w:val="2FD9A7D8"/>
    <w:rsid w:val="2FDBF714"/>
    <w:rsid w:val="2FF8A06F"/>
    <w:rsid w:val="2FFD884D"/>
    <w:rsid w:val="30AB6865"/>
    <w:rsid w:val="319F7F4E"/>
    <w:rsid w:val="32BD1EF1"/>
    <w:rsid w:val="3304709D"/>
    <w:rsid w:val="336F3736"/>
    <w:rsid w:val="33A773CB"/>
    <w:rsid w:val="349D6851"/>
    <w:rsid w:val="36AA5135"/>
    <w:rsid w:val="36BE0DA7"/>
    <w:rsid w:val="36E7533D"/>
    <w:rsid w:val="373FCB63"/>
    <w:rsid w:val="376148A2"/>
    <w:rsid w:val="376B6AA6"/>
    <w:rsid w:val="376D39B2"/>
    <w:rsid w:val="3788C9DC"/>
    <w:rsid w:val="37E16F03"/>
    <w:rsid w:val="37F3B609"/>
    <w:rsid w:val="37F53A3B"/>
    <w:rsid w:val="37F7B166"/>
    <w:rsid w:val="389B6C89"/>
    <w:rsid w:val="38D469F0"/>
    <w:rsid w:val="39627CCD"/>
    <w:rsid w:val="397BAF1F"/>
    <w:rsid w:val="3A1BBF2D"/>
    <w:rsid w:val="3A7F971F"/>
    <w:rsid w:val="3AB79AF3"/>
    <w:rsid w:val="3AE834C0"/>
    <w:rsid w:val="3B7EF35A"/>
    <w:rsid w:val="3B9FDB6C"/>
    <w:rsid w:val="3BBB0A6B"/>
    <w:rsid w:val="3BE75CEC"/>
    <w:rsid w:val="3BF5BC2F"/>
    <w:rsid w:val="3CEBA265"/>
    <w:rsid w:val="3D98207C"/>
    <w:rsid w:val="3D9BDA47"/>
    <w:rsid w:val="3DEE7CF3"/>
    <w:rsid w:val="3DFD81E4"/>
    <w:rsid w:val="3E740A63"/>
    <w:rsid w:val="3E78745D"/>
    <w:rsid w:val="3EE17838"/>
    <w:rsid w:val="3F55381A"/>
    <w:rsid w:val="3F5B302A"/>
    <w:rsid w:val="3F7D0989"/>
    <w:rsid w:val="3F7F7599"/>
    <w:rsid w:val="3FB14065"/>
    <w:rsid w:val="3FF4CAE0"/>
    <w:rsid w:val="3FF7B227"/>
    <w:rsid w:val="44E268DA"/>
    <w:rsid w:val="450D13D7"/>
    <w:rsid w:val="45506656"/>
    <w:rsid w:val="45A1FC44"/>
    <w:rsid w:val="486A6C7A"/>
    <w:rsid w:val="4A627F82"/>
    <w:rsid w:val="4B0E749A"/>
    <w:rsid w:val="4B2477C4"/>
    <w:rsid w:val="4B4F25DA"/>
    <w:rsid w:val="4BE068DB"/>
    <w:rsid w:val="4D577224"/>
    <w:rsid w:val="4DBF1CEB"/>
    <w:rsid w:val="4DF0007C"/>
    <w:rsid w:val="4EAB630A"/>
    <w:rsid w:val="4ECE2238"/>
    <w:rsid w:val="4F3B5AF6"/>
    <w:rsid w:val="4F833267"/>
    <w:rsid w:val="4FE9BD67"/>
    <w:rsid w:val="4FF1F930"/>
    <w:rsid w:val="4FFB052F"/>
    <w:rsid w:val="537E6D0A"/>
    <w:rsid w:val="53EF1BCB"/>
    <w:rsid w:val="53F74C96"/>
    <w:rsid w:val="55170BA8"/>
    <w:rsid w:val="553218C9"/>
    <w:rsid w:val="553FA428"/>
    <w:rsid w:val="567E1AA5"/>
    <w:rsid w:val="56E47B74"/>
    <w:rsid w:val="57175D52"/>
    <w:rsid w:val="5779BA2C"/>
    <w:rsid w:val="57BD3DD4"/>
    <w:rsid w:val="5AEE00BF"/>
    <w:rsid w:val="5AF92295"/>
    <w:rsid w:val="5AFF2B75"/>
    <w:rsid w:val="5B250254"/>
    <w:rsid w:val="5B995AD8"/>
    <w:rsid w:val="5BC78E14"/>
    <w:rsid w:val="5BDD79E6"/>
    <w:rsid w:val="5BF561CA"/>
    <w:rsid w:val="5BFF5DFC"/>
    <w:rsid w:val="5C7F0C9A"/>
    <w:rsid w:val="5CD71FC4"/>
    <w:rsid w:val="5D1F11B5"/>
    <w:rsid w:val="5D695134"/>
    <w:rsid w:val="5DAE1B18"/>
    <w:rsid w:val="5DE7D9E5"/>
    <w:rsid w:val="5E3B22BF"/>
    <w:rsid w:val="5ECEC941"/>
    <w:rsid w:val="5EFEF5E8"/>
    <w:rsid w:val="5F8F782A"/>
    <w:rsid w:val="5FB5BF56"/>
    <w:rsid w:val="5FBF9FF3"/>
    <w:rsid w:val="5FCD4E2C"/>
    <w:rsid w:val="5FE746B5"/>
    <w:rsid w:val="5FEF394A"/>
    <w:rsid w:val="5FF1A080"/>
    <w:rsid w:val="5FF67715"/>
    <w:rsid w:val="5FF7DB61"/>
    <w:rsid w:val="5FFC71D1"/>
    <w:rsid w:val="62BF3928"/>
    <w:rsid w:val="63B3701E"/>
    <w:rsid w:val="647F5392"/>
    <w:rsid w:val="654F6A0E"/>
    <w:rsid w:val="65E66580"/>
    <w:rsid w:val="664B1D71"/>
    <w:rsid w:val="664B4E8E"/>
    <w:rsid w:val="67277B67"/>
    <w:rsid w:val="67AA3209"/>
    <w:rsid w:val="67E9A10E"/>
    <w:rsid w:val="67EFF0F3"/>
    <w:rsid w:val="67F792DC"/>
    <w:rsid w:val="698D0931"/>
    <w:rsid w:val="69BF40A4"/>
    <w:rsid w:val="6A7FE5F3"/>
    <w:rsid w:val="6AF7BA4B"/>
    <w:rsid w:val="6B053271"/>
    <w:rsid w:val="6B7D9399"/>
    <w:rsid w:val="6BDD78B3"/>
    <w:rsid w:val="6BFCF1A2"/>
    <w:rsid w:val="6C4A05C8"/>
    <w:rsid w:val="6C8742B8"/>
    <w:rsid w:val="6CF647ED"/>
    <w:rsid w:val="6DBF5E93"/>
    <w:rsid w:val="6DFD71F5"/>
    <w:rsid w:val="6DFF077E"/>
    <w:rsid w:val="6E714EF0"/>
    <w:rsid w:val="6E7E3605"/>
    <w:rsid w:val="6E7FDCC7"/>
    <w:rsid w:val="6ED6A62E"/>
    <w:rsid w:val="6EE00B15"/>
    <w:rsid w:val="6F5FCB77"/>
    <w:rsid w:val="6F6FB3EB"/>
    <w:rsid w:val="6F8731EA"/>
    <w:rsid w:val="6F9091A3"/>
    <w:rsid w:val="6F91F0DE"/>
    <w:rsid w:val="6FBE35B9"/>
    <w:rsid w:val="6FCE6052"/>
    <w:rsid w:val="6FCF64EB"/>
    <w:rsid w:val="6FD57C00"/>
    <w:rsid w:val="6FD7224E"/>
    <w:rsid w:val="6FEFFFD8"/>
    <w:rsid w:val="6FF5CC65"/>
    <w:rsid w:val="6FF728F5"/>
    <w:rsid w:val="6FFB47EC"/>
    <w:rsid w:val="6FFB9788"/>
    <w:rsid w:val="6FFCDE30"/>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62E192"/>
    <w:rsid w:val="76BF0511"/>
    <w:rsid w:val="76E3355F"/>
    <w:rsid w:val="76FF5125"/>
    <w:rsid w:val="770B4365"/>
    <w:rsid w:val="7749680B"/>
    <w:rsid w:val="776F6FFA"/>
    <w:rsid w:val="777E6149"/>
    <w:rsid w:val="778769C8"/>
    <w:rsid w:val="77A75DCA"/>
    <w:rsid w:val="77BFD885"/>
    <w:rsid w:val="77C7E6F3"/>
    <w:rsid w:val="77DC22F5"/>
    <w:rsid w:val="77FBE1BA"/>
    <w:rsid w:val="783E271A"/>
    <w:rsid w:val="78616DE9"/>
    <w:rsid w:val="786B848F"/>
    <w:rsid w:val="78E875D7"/>
    <w:rsid w:val="79086DAD"/>
    <w:rsid w:val="795D77B8"/>
    <w:rsid w:val="797FFBCE"/>
    <w:rsid w:val="79D7FD79"/>
    <w:rsid w:val="79EA36BF"/>
    <w:rsid w:val="79EE5BA4"/>
    <w:rsid w:val="7A36C3EA"/>
    <w:rsid w:val="7A57C251"/>
    <w:rsid w:val="7A894339"/>
    <w:rsid w:val="7AD284E8"/>
    <w:rsid w:val="7AFF7572"/>
    <w:rsid w:val="7B662089"/>
    <w:rsid w:val="7B6C7DFB"/>
    <w:rsid w:val="7B77897F"/>
    <w:rsid w:val="7B9BAAAE"/>
    <w:rsid w:val="7BBB6CF5"/>
    <w:rsid w:val="7BBF0274"/>
    <w:rsid w:val="7BBFBED0"/>
    <w:rsid w:val="7BC3E394"/>
    <w:rsid w:val="7BF7FCAD"/>
    <w:rsid w:val="7BFF6078"/>
    <w:rsid w:val="7BFFC2AC"/>
    <w:rsid w:val="7C1F3737"/>
    <w:rsid w:val="7CBFC87B"/>
    <w:rsid w:val="7CDF53E2"/>
    <w:rsid w:val="7CFE0F48"/>
    <w:rsid w:val="7D272ABC"/>
    <w:rsid w:val="7D7EC23E"/>
    <w:rsid w:val="7DB76CE3"/>
    <w:rsid w:val="7DC68A81"/>
    <w:rsid w:val="7DF231E8"/>
    <w:rsid w:val="7DFCE04D"/>
    <w:rsid w:val="7E7E2355"/>
    <w:rsid w:val="7E8ADEBF"/>
    <w:rsid w:val="7EB482FC"/>
    <w:rsid w:val="7EEF11D3"/>
    <w:rsid w:val="7EFD6C32"/>
    <w:rsid w:val="7EFE4840"/>
    <w:rsid w:val="7EFF61FF"/>
    <w:rsid w:val="7F0971A6"/>
    <w:rsid w:val="7F1D62E7"/>
    <w:rsid w:val="7F3F679B"/>
    <w:rsid w:val="7F4FC4EF"/>
    <w:rsid w:val="7F5E4D54"/>
    <w:rsid w:val="7F6E0135"/>
    <w:rsid w:val="7F79F205"/>
    <w:rsid w:val="7F7D0B0C"/>
    <w:rsid w:val="7F7FA198"/>
    <w:rsid w:val="7F8FFFB5"/>
    <w:rsid w:val="7FA30C79"/>
    <w:rsid w:val="7FA79C44"/>
    <w:rsid w:val="7FAF8ABF"/>
    <w:rsid w:val="7FB40A0E"/>
    <w:rsid w:val="7FB7269E"/>
    <w:rsid w:val="7FC96657"/>
    <w:rsid w:val="7FDA9588"/>
    <w:rsid w:val="7FDE1A1C"/>
    <w:rsid w:val="7FDF220F"/>
    <w:rsid w:val="7FE3A530"/>
    <w:rsid w:val="7FEDC5F7"/>
    <w:rsid w:val="7FEDD9DE"/>
    <w:rsid w:val="7FEE6A1B"/>
    <w:rsid w:val="7FEF07FB"/>
    <w:rsid w:val="7FF3EDA9"/>
    <w:rsid w:val="7FF5890D"/>
    <w:rsid w:val="7FF61FD2"/>
    <w:rsid w:val="7FF93490"/>
    <w:rsid w:val="7FF948FB"/>
    <w:rsid w:val="7FFAD365"/>
    <w:rsid w:val="7FFB78E8"/>
    <w:rsid w:val="7FFF77FA"/>
    <w:rsid w:val="879B6DE5"/>
    <w:rsid w:val="87F28FA4"/>
    <w:rsid w:val="8CBA2037"/>
    <w:rsid w:val="8FEC5B4B"/>
    <w:rsid w:val="92FED178"/>
    <w:rsid w:val="99FF2014"/>
    <w:rsid w:val="9AFFF7C5"/>
    <w:rsid w:val="9BB3048B"/>
    <w:rsid w:val="9D776FF5"/>
    <w:rsid w:val="9EDCEAAA"/>
    <w:rsid w:val="9F7737A7"/>
    <w:rsid w:val="9FF80121"/>
    <w:rsid w:val="9FFC715C"/>
    <w:rsid w:val="A6DD0D7F"/>
    <w:rsid w:val="A7BFC905"/>
    <w:rsid w:val="A86F5D32"/>
    <w:rsid w:val="ACFF4FBB"/>
    <w:rsid w:val="ADC6F725"/>
    <w:rsid w:val="AEF725D2"/>
    <w:rsid w:val="AF6A8FCB"/>
    <w:rsid w:val="AFEC6363"/>
    <w:rsid w:val="AFF65AB8"/>
    <w:rsid w:val="AFFAFFBF"/>
    <w:rsid w:val="B16DE885"/>
    <w:rsid w:val="B5EF6A5A"/>
    <w:rsid w:val="B6AE2EAC"/>
    <w:rsid w:val="B727B76B"/>
    <w:rsid w:val="B77F3DA8"/>
    <w:rsid w:val="B7CF06AB"/>
    <w:rsid w:val="B7CFA926"/>
    <w:rsid w:val="B7F8786B"/>
    <w:rsid w:val="B9D7AA88"/>
    <w:rsid w:val="BABB6AA1"/>
    <w:rsid w:val="BB2F4199"/>
    <w:rsid w:val="BB314ED2"/>
    <w:rsid w:val="BBB3AC9F"/>
    <w:rsid w:val="BBFC37E3"/>
    <w:rsid w:val="BCFFB442"/>
    <w:rsid w:val="BD079C78"/>
    <w:rsid w:val="BD733540"/>
    <w:rsid w:val="BDFB2B72"/>
    <w:rsid w:val="BE3BD82E"/>
    <w:rsid w:val="BEEDCEFF"/>
    <w:rsid w:val="BF3735D5"/>
    <w:rsid w:val="BF7BE0BD"/>
    <w:rsid w:val="BF7F09AC"/>
    <w:rsid w:val="BFD475C3"/>
    <w:rsid w:val="BFDE5EA6"/>
    <w:rsid w:val="BFFD4BE0"/>
    <w:rsid w:val="BFFDB02C"/>
    <w:rsid w:val="C1B76B8B"/>
    <w:rsid w:val="C7FF5CC7"/>
    <w:rsid w:val="C92F9465"/>
    <w:rsid w:val="CBEFBCD2"/>
    <w:rsid w:val="CDD29A01"/>
    <w:rsid w:val="CDE1999F"/>
    <w:rsid w:val="CF6FC6F3"/>
    <w:rsid w:val="CFB8AC61"/>
    <w:rsid w:val="CFD3D3D7"/>
    <w:rsid w:val="CFDF1009"/>
    <w:rsid w:val="D1DF50DD"/>
    <w:rsid w:val="D3D79F0D"/>
    <w:rsid w:val="D6E6735D"/>
    <w:rsid w:val="D7D7B16A"/>
    <w:rsid w:val="D8D6DB89"/>
    <w:rsid w:val="D97B4EAF"/>
    <w:rsid w:val="D9AF105C"/>
    <w:rsid w:val="DB6F4CAB"/>
    <w:rsid w:val="DB777682"/>
    <w:rsid w:val="DBDBCEE4"/>
    <w:rsid w:val="DBFBCCB8"/>
    <w:rsid w:val="DCEF2B5B"/>
    <w:rsid w:val="DCF2CC3E"/>
    <w:rsid w:val="DD1FB521"/>
    <w:rsid w:val="DDDC793E"/>
    <w:rsid w:val="DE25D170"/>
    <w:rsid w:val="DE590B97"/>
    <w:rsid w:val="DE7E144C"/>
    <w:rsid w:val="DEBDF11D"/>
    <w:rsid w:val="DEFBFEAE"/>
    <w:rsid w:val="DEFE7400"/>
    <w:rsid w:val="DEFEF19D"/>
    <w:rsid w:val="DF1F3B80"/>
    <w:rsid w:val="DF6F9789"/>
    <w:rsid w:val="DF7865BB"/>
    <w:rsid w:val="DF7ECA22"/>
    <w:rsid w:val="DFE9BE81"/>
    <w:rsid w:val="DFF74977"/>
    <w:rsid w:val="DFFFA9E8"/>
    <w:rsid w:val="E25F6C00"/>
    <w:rsid w:val="E5ED1A94"/>
    <w:rsid w:val="E5F4E9DC"/>
    <w:rsid w:val="E6FB423E"/>
    <w:rsid w:val="E70FE695"/>
    <w:rsid w:val="E775AF68"/>
    <w:rsid w:val="E7AC391B"/>
    <w:rsid w:val="E8EFCA3B"/>
    <w:rsid w:val="EAEB31E3"/>
    <w:rsid w:val="EB2E368B"/>
    <w:rsid w:val="EB69BFEC"/>
    <w:rsid w:val="EBFD7EFC"/>
    <w:rsid w:val="EBFF86F8"/>
    <w:rsid w:val="ECFED1BC"/>
    <w:rsid w:val="ED1D69BB"/>
    <w:rsid w:val="ED3EF1D8"/>
    <w:rsid w:val="ED7FD312"/>
    <w:rsid w:val="EDEF4794"/>
    <w:rsid w:val="EF08304C"/>
    <w:rsid w:val="EF2E1AC6"/>
    <w:rsid w:val="EF53993F"/>
    <w:rsid w:val="EF6FD633"/>
    <w:rsid w:val="EF7F2EC3"/>
    <w:rsid w:val="EFAF9814"/>
    <w:rsid w:val="EFBFB2F4"/>
    <w:rsid w:val="EFBFFA21"/>
    <w:rsid w:val="EFCF644B"/>
    <w:rsid w:val="EFDF178B"/>
    <w:rsid w:val="EFE24501"/>
    <w:rsid w:val="EFEF5720"/>
    <w:rsid w:val="EFFF90E8"/>
    <w:rsid w:val="F0DE4EDD"/>
    <w:rsid w:val="F2BEBCB8"/>
    <w:rsid w:val="F35751F1"/>
    <w:rsid w:val="F36FB518"/>
    <w:rsid w:val="F39B2528"/>
    <w:rsid w:val="F3DE1A04"/>
    <w:rsid w:val="F3F722E5"/>
    <w:rsid w:val="F4F4EA74"/>
    <w:rsid w:val="F4FBCD07"/>
    <w:rsid w:val="F5FFF27A"/>
    <w:rsid w:val="F6FEE979"/>
    <w:rsid w:val="F71F4175"/>
    <w:rsid w:val="F75B87DC"/>
    <w:rsid w:val="F77EB3C1"/>
    <w:rsid w:val="F7BE3335"/>
    <w:rsid w:val="F7CF2BFE"/>
    <w:rsid w:val="F7FB277E"/>
    <w:rsid w:val="F92F900A"/>
    <w:rsid w:val="F9922091"/>
    <w:rsid w:val="F9977E36"/>
    <w:rsid w:val="FA5F1E70"/>
    <w:rsid w:val="FA5FDB97"/>
    <w:rsid w:val="FA7C1491"/>
    <w:rsid w:val="FAFF430E"/>
    <w:rsid w:val="FB130C4A"/>
    <w:rsid w:val="FB2F0BF3"/>
    <w:rsid w:val="FB326754"/>
    <w:rsid w:val="FB73F494"/>
    <w:rsid w:val="FB7E31B0"/>
    <w:rsid w:val="FB7F486A"/>
    <w:rsid w:val="FBD3041B"/>
    <w:rsid w:val="FBD7FD9E"/>
    <w:rsid w:val="FBF78A5E"/>
    <w:rsid w:val="FBFF5B2E"/>
    <w:rsid w:val="FBFF9045"/>
    <w:rsid w:val="FC3548A9"/>
    <w:rsid w:val="FD7FFE2B"/>
    <w:rsid w:val="FDB3A803"/>
    <w:rsid w:val="FDB474E1"/>
    <w:rsid w:val="FDB50F28"/>
    <w:rsid w:val="FDDD8E7E"/>
    <w:rsid w:val="FDDE59B4"/>
    <w:rsid w:val="FDEBA201"/>
    <w:rsid w:val="FDED5535"/>
    <w:rsid w:val="FDEE196B"/>
    <w:rsid w:val="FDF759E4"/>
    <w:rsid w:val="FDFE6575"/>
    <w:rsid w:val="FDFF1E1E"/>
    <w:rsid w:val="FE66CC05"/>
    <w:rsid w:val="FE7483E3"/>
    <w:rsid w:val="FE8F20B4"/>
    <w:rsid w:val="FEDFDDC2"/>
    <w:rsid w:val="FEE95A73"/>
    <w:rsid w:val="FEED32F6"/>
    <w:rsid w:val="FEF781DD"/>
    <w:rsid w:val="FEFBCE9C"/>
    <w:rsid w:val="FEFFE892"/>
    <w:rsid w:val="FF3F7E3F"/>
    <w:rsid w:val="FF5F8AE5"/>
    <w:rsid w:val="FF6F3F01"/>
    <w:rsid w:val="FF6FC11C"/>
    <w:rsid w:val="FF75803D"/>
    <w:rsid w:val="FF7BE737"/>
    <w:rsid w:val="FFBA12D7"/>
    <w:rsid w:val="FFBF9808"/>
    <w:rsid w:val="FFCBD314"/>
    <w:rsid w:val="FFCEBF7F"/>
    <w:rsid w:val="FFCFEE6E"/>
    <w:rsid w:val="FFD2AEDE"/>
    <w:rsid w:val="FFD71EFF"/>
    <w:rsid w:val="FFDB0B43"/>
    <w:rsid w:val="FFDFF91C"/>
    <w:rsid w:val="FFDFFAEE"/>
    <w:rsid w:val="FFEF6777"/>
    <w:rsid w:val="FFEFD94D"/>
    <w:rsid w:val="FFF9B57B"/>
    <w:rsid w:val="FFFD1894"/>
    <w:rsid w:val="FFFD61D9"/>
    <w:rsid w:val="FFFD8F59"/>
    <w:rsid w:val="FFFF2BB1"/>
    <w:rsid w:val="FFFFB04D"/>
    <w:rsid w:val="FFFFEE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Salutation"/>
    <w:basedOn w:val="1"/>
    <w:next w:val="1"/>
    <w:qFormat/>
    <w:uiPriority w:val="0"/>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Char"/>
    <w:link w:val="13"/>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Char"/>
    <w:link w:val="12"/>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8"/>
    <w:link w:val="11"/>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7.png"/><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oleObject" Target="embeddings/oleObject6.bin"/><Relationship Id="rId17" Type="http://schemas.openxmlformats.org/officeDocument/2006/relationships/image" Target="media/image5.png"/><Relationship Id="rId16" Type="http://schemas.openxmlformats.org/officeDocument/2006/relationships/oleObject" Target="embeddings/oleObject5.bin"/><Relationship Id="rId15" Type="http://schemas.openxmlformats.org/officeDocument/2006/relationships/image" Target="media/image4.png"/><Relationship Id="rId14" Type="http://schemas.openxmlformats.org/officeDocument/2006/relationships/oleObject" Target="embeddings/oleObject4.bin"/><Relationship Id="rId13" Type="http://schemas.openxmlformats.org/officeDocument/2006/relationships/image" Target="media/image3.png"/><Relationship Id="rId12" Type="http://schemas.openxmlformats.org/officeDocument/2006/relationships/oleObject" Target="embeddings/oleObject3.bin"/><Relationship Id="rId11" Type="http://schemas.openxmlformats.org/officeDocument/2006/relationships/image" Target="media/image2.png"/><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057"/>
    <customShpInfo spid="_x0000_s2061"/>
    <customShpInfo spid="_x0000_s2058"/>
    <customShpInfo spid="_x0000_s2059"/>
    <customShpInfo spid="_x0000_s2062"/>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40</Pages>
  <Words>16613</Words>
  <Characters>1359</Characters>
  <Lines>11</Lines>
  <Paragraphs>35</Paragraphs>
  <TotalTime>0</TotalTime>
  <ScaleCrop>false</ScaleCrop>
  <LinksUpToDate>false</LinksUpToDate>
  <CharactersWithSpaces>17937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2025-09-13T17:46:00Z</dcterms:created>
  <dc:creator>曹颖</dc:creator>
  <cp:lastModifiedBy>user</cp:lastModifiedBy>
  <cp:lastPrinted>2026-09-06T09:36:00Z</cp:lastPrinted>
  <dcterms:modified xsi:type="dcterms:W3CDTF">2026-09-11T12:03:19Z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04787F2533EB45DC91BCDE4AB213247F</vt:lpwstr>
  </property>
</Properties>
</file>