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77425"/>
      <w:bookmarkStart w:id="1" w:name="_Toc15396597"/>
      <w:bookmarkStart w:id="2" w:name="_Toc15378441"/>
      <w:bookmarkStart w:id="3" w:name="_Toc15377193"/>
      <w:bookmarkStart w:id="4" w:name="_Toc15396475"/>
      <w:bookmarkStart w:id="5" w:name="_Toc15306267"/>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2"/>
        <w:ind w:left="0" w:leftChars="0" w:firstLine="0" w:firstLineChars="0"/>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77426"/>
      <w:bookmarkStart w:id="8" w:name="_Toc15378442"/>
      <w:bookmarkStart w:id="9" w:name="_Toc15396476"/>
      <w:bookmarkStart w:id="10" w:name="_Toc15396598"/>
      <w:r>
        <w:rPr>
          <w:rFonts w:hint="eastAsia" w:ascii="Times New Roman" w:eastAsia="方正小标宋简体" w:cs="Times New Roman"/>
          <w:color w:val="auto"/>
          <w:kern w:val="2"/>
          <w:sz w:val="44"/>
          <w:szCs w:val="44"/>
          <w:highlight w:val="none"/>
          <w:lang w:val="en-US" w:eastAsia="zh-CN" w:bidi="ar-SA"/>
        </w:rPr>
        <w:t>2025</w:t>
      </w:r>
      <w:r>
        <w:rPr>
          <w:rFonts w:hint="eastAsia" w:ascii="Times New Roman" w:hAnsi="Times New Roman" w:eastAsia="方正小标宋简体" w:cs="Times New Roman"/>
          <w:color w:val="auto"/>
          <w:kern w:val="2"/>
          <w:sz w:val="44"/>
          <w:szCs w:val="44"/>
          <w:highlight w:val="none"/>
          <w:lang w:val="en-US" w:eastAsia="zh-CN" w:bidi="ar-SA"/>
        </w:rPr>
        <w:t>年度</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攀枝花市东区人民法院</w:t>
      </w: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r>
        <w:rPr>
          <w:rFonts w:hint="eastAsia" w:ascii="Times New Roman" w:hAnsi="Times New Roman" w:eastAsia="方正小标宋简体" w:cs="Times New Roman"/>
          <w:color w:val="auto"/>
          <w:kern w:val="2"/>
          <w:sz w:val="44"/>
          <w:szCs w:val="44"/>
          <w:highlight w:val="none"/>
          <w:lang w:val="en-US" w:eastAsia="zh-CN" w:bidi="ar-SA"/>
        </w:rPr>
        <w:t>公开说明</w:t>
      </w:r>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default" w:ascii="Times New Roman" w:hAnsi="Times New Roman" w:eastAsia="仿宋_GB2312" w:cs="仿宋_GB2312"/>
          <w:color w:val="auto"/>
          <w:sz w:val="32"/>
          <w:szCs w:val="32"/>
          <w:highlight w:val="none"/>
          <w:lang w:val="en" w:eastAsia="zh-CN"/>
        </w:rPr>
        <w:t>9</w:t>
      </w:r>
      <w:r>
        <w:rPr>
          <w:rFonts w:hint="eastAsia" w:ascii="Times New Roman" w:hAnsi="Times New Roman" w:eastAsia="仿宋_GB2312" w:cs="仿宋_GB2312"/>
          <w:color w:val="auto"/>
          <w:sz w:val="32"/>
          <w:szCs w:val="32"/>
          <w:highlight w:val="none"/>
        </w:rPr>
        <w:t>月</w:t>
      </w:r>
      <w:r>
        <w:rPr>
          <w:rFonts w:hint="default" w:ascii="Times New Roman" w:hAnsi="Times New Roman" w:eastAsia="仿宋_GB2312" w:cs="仿宋_GB2312"/>
          <w:color w:val="auto"/>
          <w:sz w:val="32"/>
          <w:szCs w:val="32"/>
          <w:highlight w:val="none"/>
          <w:lang w:val="en" w:eastAsia="zh-CN"/>
        </w:rPr>
        <w:t>10</w:t>
      </w:r>
      <w:bookmarkStart w:id="103" w:name="_GoBack"/>
      <w:bookmarkEnd w:id="103"/>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70348"/>
        <w15:color w:val="DBDBDB"/>
        <w:docPartObj>
          <w:docPartGallery w:val="Table of Contents"/>
          <w:docPartUnique/>
        </w:docPartObj>
      </w:sdtPr>
      <w:sdtEndPr>
        <w:rPr>
          <w:rFonts w:hint="eastAsia" w:ascii="Times New Roman" w:hAnsi="Times New Roman" w:eastAsia="宋体" w:cs="Times New Roman"/>
          <w:b/>
          <w:bCs/>
          <w:kern w:val="44"/>
          <w:sz w:val="44"/>
          <w:szCs w:val="44"/>
          <w:lang w:val="en-US" w:eastAsia="zh-CN" w:bidi="ar-SA"/>
        </w:rPr>
      </w:sdtEndPr>
      <w:sdtContent>
        <w:p>
          <w:pPr>
            <w:spacing w:before="0" w:beforeLines="0" w:after="0" w:afterLines="0" w:line="240" w:lineRule="auto"/>
            <w:ind w:left="0" w:leftChars="0" w:right="0" w:rightChars="0" w:firstLine="0" w:firstLineChars="0"/>
            <w:jc w:val="center"/>
          </w:pPr>
          <w:bookmarkStart w:id="12" w:name="_Toc15377196"/>
          <w:bookmarkStart w:id="13" w:name="_Toc15396599"/>
        </w:p>
        <w:p>
          <w:pPr>
            <w:pStyle w:val="38"/>
            <w:tabs>
              <w:tab w:val="right" w:leader="dot" w:pos="8306"/>
            </w:tabs>
            <w:rPr>
              <w:rFonts w:hint="eastAsia" w:ascii="黑体" w:hAnsi="黑体" w:eastAsia="黑体" w:cs="黑体"/>
              <w:b/>
              <w:sz w:val="32"/>
              <w:szCs w:val="32"/>
            </w:rPr>
          </w:pPr>
          <w:r>
            <w:rPr>
              <w:rFonts w:hint="eastAsia"/>
            </w:rPr>
            <w:fldChar w:fldCharType="begin"/>
          </w:r>
          <w:r>
            <w:rPr>
              <w:rFonts w:hint="eastAsia"/>
            </w:rPr>
            <w:instrText xml:space="preserve">TOC \o "1-2" \h \u </w:instrText>
          </w:r>
          <w:r>
            <w:rPr>
              <w:rFonts w:hint="eastAsia"/>
            </w:rPr>
            <w:fldChar w:fldCharType="separate"/>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_Toc23669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第一部分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 xml:space="preserve"> </w:t>
          </w:r>
          <w:r>
            <w:rPr>
              <w:rFonts w:hint="eastAsia" w:ascii="黑体" w:hAnsi="黑体" w:eastAsia="黑体" w:cs="黑体"/>
              <w:b/>
              <w:sz w:val="32"/>
              <w:szCs w:val="32"/>
              <w:lang w:eastAsia="zh-CN"/>
            </w:rPr>
            <w:t>单位</w:t>
          </w:r>
          <w:r>
            <w:rPr>
              <w:rFonts w:hint="eastAsia" w:ascii="黑体" w:hAnsi="黑体" w:eastAsia="黑体" w:cs="黑体"/>
              <w:b/>
              <w:sz w:val="32"/>
              <w:szCs w:val="32"/>
            </w:rPr>
            <w:t>概况</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_Toc23669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1</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_Toc20821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一、单位职责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_Toc20821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_Toc8701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_Toc8701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8"/>
            <w:tabs>
              <w:tab w:val="right" w:leader="dot" w:pos="8306"/>
            </w:tabs>
            <w:rPr>
              <w:rFonts w:hint="eastAsia" w:ascii="黑体" w:hAnsi="黑体" w:eastAsia="黑体" w:cs="黑体"/>
              <w:b/>
              <w:sz w:val="32"/>
              <w:szCs w:val="32"/>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_Toc8223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第二部分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 xml:space="preserve"> </w:t>
          </w:r>
          <w:r>
            <w:rPr>
              <w:rFonts w:hint="eastAsia" w:ascii="黑体" w:hAnsi="黑体" w:eastAsia="黑体" w:cs="黑体"/>
              <w:b/>
              <w:sz w:val="32"/>
              <w:szCs w:val="32"/>
              <w:lang w:val="en-US" w:eastAsia="zh-CN"/>
            </w:rPr>
            <w:t>2025年度单位</w:t>
          </w:r>
          <w:r>
            <w:rPr>
              <w:rFonts w:hint="eastAsia" w:ascii="黑体" w:hAnsi="黑体" w:eastAsia="黑体" w:cs="黑体"/>
              <w:b/>
              <w:sz w:val="32"/>
              <w:szCs w:val="32"/>
            </w:rPr>
            <w:t>决算情况说明</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_Toc8223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4</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_Toc7064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_Toc7064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_Toc15579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_Toc15579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_Toc19000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_Toc11367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_Toc11367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_Toc16016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_Toc16016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_Toc21893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_Toc21893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_Toc23701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_Toc23701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8"/>
            <w:tabs>
              <w:tab w:val="right" w:leader="dot" w:pos="8306"/>
            </w:tabs>
            <w:rPr>
              <w:rFonts w:hint="eastAsia" w:ascii="黑体" w:hAnsi="黑体" w:eastAsia="黑体" w:cs="黑体"/>
              <w:b/>
              <w:sz w:val="32"/>
              <w:szCs w:val="32"/>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_Toc8307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w:t>
          </w:r>
          <w:r>
            <w:rPr>
              <w:rFonts w:hint="eastAsia" w:ascii="黑体" w:hAnsi="黑体" w:eastAsia="黑体" w:cs="黑体"/>
              <w:b/>
              <w:sz w:val="32"/>
              <w:szCs w:val="32"/>
              <w:lang w:eastAsia="zh-CN"/>
            </w:rPr>
            <w:t>三</w:t>
          </w:r>
          <w:r>
            <w:rPr>
              <w:rFonts w:hint="eastAsia" w:ascii="黑体" w:hAnsi="黑体" w:eastAsia="黑体" w:cs="黑体"/>
              <w:b/>
              <w:sz w:val="32"/>
              <w:szCs w:val="32"/>
            </w:rPr>
            <w:t>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名词解释</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_Toc8307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17</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8"/>
            <w:tabs>
              <w:tab w:val="right" w:leader="dot" w:pos="8306"/>
            </w:tabs>
            <w:rPr>
              <w:rFonts w:hint="eastAsia" w:ascii="黑体" w:hAnsi="黑体" w:eastAsia="黑体" w:cs="黑体"/>
              <w:b/>
              <w:sz w:val="32"/>
              <w:szCs w:val="32"/>
              <w:lang w:val="en-US" w:eastAsia="zh-CN"/>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_Toc8307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w:t>
          </w:r>
          <w:r>
            <w:rPr>
              <w:rFonts w:hint="eastAsia" w:ascii="黑体" w:hAnsi="黑体" w:eastAsia="黑体" w:cs="黑体"/>
              <w:b/>
              <w:sz w:val="32"/>
              <w:szCs w:val="32"/>
              <w:lang w:eastAsia="zh-CN"/>
            </w:rPr>
            <w:t>四</w:t>
          </w:r>
          <w:r>
            <w:rPr>
              <w:rFonts w:hint="eastAsia" w:ascii="黑体" w:hAnsi="黑体" w:eastAsia="黑体" w:cs="黑体"/>
              <w:b/>
              <w:sz w:val="32"/>
              <w:szCs w:val="32"/>
            </w:rPr>
            <w:t>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附件</w:t>
          </w:r>
          <w:r>
            <w:rPr>
              <w:rFonts w:hint="eastAsia" w:ascii="黑体" w:hAnsi="黑体" w:eastAsia="黑体" w:cs="黑体"/>
              <w:b/>
              <w:sz w:val="32"/>
              <w:szCs w:val="32"/>
            </w:rPr>
            <w:tab/>
          </w:r>
          <w:r>
            <w:rPr>
              <w:rFonts w:hint="eastAsia" w:ascii="黑体" w:hAnsi="黑体" w:eastAsia="黑体" w:cs="黑体"/>
              <w:b/>
              <w:sz w:val="32"/>
              <w:szCs w:val="32"/>
              <w:lang w:val="en-US" w:eastAsia="zh-CN"/>
            </w:rPr>
            <w:t>3</w:t>
          </w:r>
          <w:r>
            <w:rPr>
              <w:rFonts w:hint="eastAsia" w:ascii="黑体" w:hAnsi="黑体" w:eastAsia="黑体" w:cs="黑体"/>
              <w:b/>
              <w:sz w:val="32"/>
              <w:szCs w:val="32"/>
            </w:rPr>
            <w:fldChar w:fldCharType="end"/>
          </w:r>
          <w:r>
            <w:rPr>
              <w:rFonts w:hint="eastAsia" w:ascii="黑体" w:hAnsi="黑体" w:eastAsia="黑体" w:cs="黑体"/>
              <w:b/>
              <w:sz w:val="32"/>
              <w:szCs w:val="32"/>
              <w:lang w:val="en-US" w:eastAsia="zh-CN"/>
            </w:rPr>
            <w:t>0</w:t>
          </w:r>
        </w:p>
        <w:p>
          <w:pPr>
            <w:pStyle w:val="38"/>
            <w:tabs>
              <w:tab w:val="right" w:leader="dot" w:pos="8306"/>
            </w:tabs>
            <w:rPr>
              <w:rFonts w:hint="eastAsia" w:ascii="黑体" w:hAnsi="黑体" w:eastAsia="黑体" w:cs="黑体"/>
              <w:b/>
              <w:sz w:val="32"/>
              <w:szCs w:val="32"/>
              <w:lang w:val="en-US" w:eastAsia="zh-CN"/>
            </w:rPr>
          </w:pPr>
        </w:p>
        <w:p>
          <w:pPr>
            <w:pStyle w:val="38"/>
            <w:tabs>
              <w:tab w:val="right" w:leader="dot" w:pos="8306"/>
            </w:tabs>
            <w:rPr>
              <w:rFonts w:hint="eastAsia" w:ascii="黑体" w:hAnsi="黑体" w:eastAsia="黑体" w:cs="黑体"/>
              <w:b/>
              <w:sz w:val="32"/>
              <w:szCs w:val="32"/>
              <w:lang w:val="en-US" w:eastAsia="zh-CN"/>
            </w:rPr>
          </w:pPr>
        </w:p>
        <w:p>
          <w:pPr>
            <w:pStyle w:val="38"/>
            <w:tabs>
              <w:tab w:val="right" w:leader="dot" w:pos="8306"/>
            </w:tabs>
            <w:rPr>
              <w:rFonts w:hint="eastAsia" w:ascii="黑体" w:hAnsi="黑体" w:eastAsia="黑体" w:cs="黑体"/>
              <w:b/>
              <w:sz w:val="32"/>
              <w:szCs w:val="32"/>
            </w:rPr>
          </w:pPr>
        </w:p>
        <w:p>
          <w:pPr>
            <w:pStyle w:val="38"/>
            <w:tabs>
              <w:tab w:val="right" w:leader="dot" w:pos="8306"/>
            </w:tabs>
            <w:rPr>
              <w:b/>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_Toc25223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w:t>
          </w:r>
          <w:r>
            <w:rPr>
              <w:rFonts w:hint="eastAsia" w:ascii="黑体" w:hAnsi="黑体" w:eastAsia="黑体" w:cs="黑体"/>
              <w:b/>
              <w:sz w:val="32"/>
              <w:szCs w:val="32"/>
              <w:lang w:eastAsia="zh-CN"/>
            </w:rPr>
            <w:t>五</w:t>
          </w:r>
          <w:r>
            <w:rPr>
              <w:rFonts w:hint="eastAsia" w:ascii="黑体" w:hAnsi="黑体" w:eastAsia="黑体" w:cs="黑体"/>
              <w:b/>
              <w:sz w:val="32"/>
              <w:szCs w:val="32"/>
            </w:rPr>
            <w:t xml:space="preserve">部分 </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附表</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_Toc25223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23</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_Toc17053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_Toc17053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_Toc5927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_Toc5927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_Toc10953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_Toc26776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_Toc26776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_Toc27193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_Toc27193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_Toc24348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_Toc32254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_Toc32254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_Toc29719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十一、国有资本经营预算</w:t>
          </w:r>
          <w:r>
            <w:rPr>
              <w:rFonts w:hint="eastAsia" w:ascii="仿宋_GB2312" w:hAnsi="仿宋_GB2312" w:eastAsia="仿宋_GB2312" w:cs="仿宋_GB2312"/>
              <w:sz w:val="32"/>
              <w:szCs w:val="32"/>
              <w:lang w:eastAsia="zh-CN"/>
            </w:rPr>
            <w:t>财政拨款收入</w:t>
          </w:r>
          <w:r>
            <w:rPr>
              <w:rFonts w:hint="eastAsia" w:ascii="仿宋_GB2312" w:hAnsi="仿宋_GB2312" w:eastAsia="仿宋_GB2312" w:cs="仿宋_GB2312"/>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_Toc29119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lang w:eastAsia="zh-CN"/>
            </w:rPr>
            <w:t>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_Toc7774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十三、</w:t>
          </w:r>
          <w:r>
            <w:rPr>
              <w:rFonts w:hint="eastAsia" w:ascii="仿宋_GB2312" w:hAnsi="仿宋_GB2312" w:eastAsia="仿宋_GB2312" w:cs="仿宋_GB2312"/>
              <w:sz w:val="32"/>
              <w:szCs w:val="32"/>
              <w:lang w:eastAsia="zh-CN"/>
            </w:rPr>
            <w:t>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_Toc7774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
            <w:bidi w:val="0"/>
            <w:jc w:val="center"/>
            <w:outlineLvl w:val="9"/>
            <w:rPr>
              <w:rFonts w:hint="eastAsia"/>
            </w:rPr>
          </w:pPr>
          <w:r>
            <w:rPr>
              <w:rFonts w:hint="eastAsia"/>
              <w:b/>
            </w:rPr>
            <w:fldChar w:fldCharType="end"/>
          </w:r>
        </w:p>
      </w:sdtContent>
    </w:sdt>
    <w:p>
      <w:pPr>
        <w:rPr>
          <w:rFonts w:hint="eastAsia"/>
        </w:rPr>
        <w:sectPr>
          <w:headerReference r:id="rId5" w:type="default"/>
          <w:footerReference r:id="rId6" w:type="default"/>
          <w:pgSz w:w="11906" w:h="16838"/>
          <w:pgMar w:top="1440" w:right="1800" w:bottom="1440" w:left="1800" w:header="851" w:footer="992" w:gutter="0"/>
          <w:pgNumType w:fmt="numberInDash" w:start="1"/>
          <w:cols w:space="425" w:num="1"/>
          <w:titlePg/>
          <w:docGrid w:type="lines" w:linePitch="312" w:charSpace="0"/>
        </w:sectPr>
      </w:pPr>
    </w:p>
    <w:p>
      <w:pPr>
        <w:pStyle w:val="3"/>
        <w:bidi w:val="0"/>
        <w:jc w:val="center"/>
        <w:rPr>
          <w:rFonts w:ascii="Times New Roman" w:hAnsi="Times New Roman" w:eastAsia="黑体"/>
          <w:color w:val="auto"/>
          <w:sz w:val="32"/>
          <w:szCs w:val="32"/>
          <w:highlight w:val="none"/>
        </w:rPr>
      </w:pPr>
      <w:bookmarkStart w:id="14" w:name="_Toc23669"/>
      <w:r>
        <w:rPr>
          <w:rFonts w:hint="eastAsia"/>
        </w:rPr>
        <w:t>第一部分</w:t>
      </w:r>
      <w:r>
        <w:rPr>
          <w:rFonts w:hint="eastAsia"/>
          <w:lang w:val="en-US" w:eastAsia="zh-CN"/>
        </w:rPr>
        <w:t xml:space="preserve"> </w:t>
      </w:r>
      <w:r>
        <w:rPr>
          <w:rFonts w:hint="eastAsia"/>
        </w:rPr>
        <w:t xml:space="preserve"> </w:t>
      </w:r>
      <w:r>
        <w:rPr>
          <w:rFonts w:hint="eastAsia"/>
          <w:lang w:eastAsia="zh-CN"/>
        </w:rPr>
        <w:t>单位</w:t>
      </w:r>
      <w:r>
        <w:rPr>
          <w:rFonts w:hint="eastAsia"/>
        </w:rPr>
        <w:t>概况</w:t>
      </w:r>
      <w:bookmarkEnd w:id="12"/>
      <w:bookmarkEnd w:id="13"/>
      <w:bookmarkEnd w:id="14"/>
    </w:p>
    <w:p>
      <w:pPr>
        <w:pStyle w:val="4"/>
        <w:numPr>
          <w:ilvl w:val="0"/>
          <w:numId w:val="1"/>
        </w:numPr>
        <w:bidi w:val="0"/>
        <w:rPr>
          <w:rFonts w:hint="eastAsia" w:ascii="黑体" w:hAnsi="黑体" w:eastAsia="黑体" w:cs="黑体"/>
          <w:lang w:eastAsia="zh-CN"/>
        </w:rPr>
      </w:pPr>
      <w:bookmarkStart w:id="15" w:name="_Toc20821"/>
      <w:r>
        <w:rPr>
          <w:rFonts w:hint="eastAsia" w:ascii="黑体" w:hAnsi="黑体" w:cs="黑体"/>
          <w:lang w:eastAsia="zh-CN"/>
        </w:rPr>
        <w:t>单位</w:t>
      </w:r>
      <w:r>
        <w:rPr>
          <w:rFonts w:hint="eastAsia" w:ascii="黑体" w:hAnsi="黑体" w:eastAsia="黑体" w:cs="黑体"/>
          <w:lang w:eastAsia="zh-CN"/>
        </w:rPr>
        <w:t>职责</w:t>
      </w:r>
      <w:bookmarkEnd w:id="15"/>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16" w:name="_Toc24572"/>
      <w:bookmarkStart w:id="17" w:name="_Toc15378445"/>
      <w:bookmarkStart w:id="18" w:name="_Toc15377198"/>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（一）主要职能</w:t>
      </w:r>
      <w:bookmarkEnd w:id="16"/>
    </w:p>
    <w:bookmarkEnd w:id="17"/>
    <w:bookmarkEnd w:id="18"/>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19" w:name="_Toc13818"/>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攀枝花市东区人民法院主管东区范围内的刑事案件、民事案件、行政案件。通过审判活动，惩办一切犯罪分子，解决民事纠纷，维护社会主义法制和社会秩序，保护社会主义的全民所有的财产、劳动群众集体所有的财产，保护公民私人所有的合法财产，保护公民的人身权利、民主权利和其他权利，保障国家的社会主义革命和社会主义建设事业的顺利进行。</w:t>
      </w:r>
      <w:bookmarkEnd w:id="19"/>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20" w:name="_Toc31746"/>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（二）2025年重点工作完成情况</w:t>
      </w:r>
      <w:bookmarkEnd w:id="20"/>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bookmarkStart w:id="21" w:name="_Toc15396601"/>
      <w:bookmarkStart w:id="22" w:name="_Toc15377200"/>
      <w:bookmarkStart w:id="23" w:name="_Toc8701"/>
      <w:r>
        <w:rPr>
          <w:rFonts w:hint="default" w:ascii="Times New Roman" w:hAnsi="Times New Roman" w:eastAsia="方正仿宋_GBK" w:cs="Times New Roman"/>
          <w:color w:val="000000" w:themeColor="text1"/>
          <w:sz w:val="32"/>
          <w:szCs w:val="32"/>
          <w14:textFill>
            <w14:solidFill>
              <w14:schemeClr w14:val="tx1"/>
            </w14:solidFill>
          </w14:textFill>
        </w:rPr>
        <w:t>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年，在区委坚强领导、区人大及其常委会有力监督、区政府大力支持</w:t>
      </w:r>
      <w:r>
        <w:rPr>
          <w:rFonts w:hint="eastAsia"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区政协民主监督和社会各界关心帮助下，区法院坚持以习近平新时代中国特色社会主义思想为指导，深入践行习近平法治思想，全面贯彻党的</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二十大和</w:t>
      </w:r>
      <w:r>
        <w:rPr>
          <w:rFonts w:hint="default" w:ascii="Times New Roman" w:hAnsi="Times New Roman" w:eastAsia="方正仿宋_GBK" w:cs="Times New Roman"/>
          <w:color w:val="000000" w:themeColor="text1"/>
          <w:sz w:val="32"/>
          <w:szCs w:val="32"/>
          <w14:textFill>
            <w14:solidFill>
              <w14:schemeClr w14:val="tx1"/>
            </w14:solidFill>
          </w14:textFill>
        </w:rPr>
        <w:t>二十届</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历次</w:t>
      </w:r>
      <w:r>
        <w:rPr>
          <w:rFonts w:hint="default" w:ascii="Times New Roman" w:hAnsi="Times New Roman" w:eastAsia="方正仿宋_GBK" w:cs="Times New Roman"/>
          <w:color w:val="000000" w:themeColor="text1"/>
          <w:sz w:val="32"/>
          <w:szCs w:val="32"/>
          <w14:textFill>
            <w14:solidFill>
              <w14:schemeClr w14:val="tx1"/>
            </w14:solidFill>
          </w14:textFill>
        </w:rPr>
        <w:t>全会精神，认真落实</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省</w:t>
      </w:r>
      <w:r>
        <w:rPr>
          <w:rFonts w:hint="eastAsia" w:eastAsia="方正仿宋_GBK" w:cs="Times New Roman"/>
          <w:color w:val="000000" w:themeColor="text1"/>
          <w:sz w:val="32"/>
          <w:szCs w:val="32"/>
          <w:lang w:eastAsia="zh-CN"/>
          <w14:textFill>
            <w14:solidFill>
              <w14:schemeClr w14:val="tx1"/>
            </w14:solidFill>
          </w14:textFill>
        </w:rPr>
        <w:t>委</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市</w:t>
      </w:r>
      <w:r>
        <w:rPr>
          <w:rFonts w:hint="eastAsia" w:eastAsia="方正仿宋_GBK" w:cs="Times New Roman"/>
          <w:color w:val="000000" w:themeColor="text1"/>
          <w:sz w:val="32"/>
          <w:szCs w:val="32"/>
          <w:lang w:eastAsia="zh-CN"/>
          <w14:textFill>
            <w14:solidFill>
              <w14:schemeClr w14:val="tx1"/>
            </w14:solidFill>
          </w14:textFill>
        </w:rPr>
        <w:t>委</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区委决策部署，忠实履行宪法和法律赋予的职责，围绕</w:t>
      </w:r>
      <w:r>
        <w:rPr>
          <w:rFonts w:hint="eastAsia"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守正创新、拓优增信</w:t>
      </w:r>
      <w:r>
        <w:rPr>
          <w:rFonts w:hint="eastAsia"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工作主线，实干担当、锐意进取，</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审判执行工作取得新进展、呈现新面貌</w:t>
      </w:r>
      <w:r>
        <w:rPr>
          <w:rFonts w:hint="default" w:ascii="Times New Roman" w:hAnsi="Times New Roman" w:eastAsia="方正仿宋_GBK" w:cs="Times New Roman"/>
          <w:color w:val="000000" w:themeColor="text1"/>
          <w:sz w:val="32"/>
          <w:szCs w:val="32"/>
          <w14:textFill>
            <w14:solidFill>
              <w14:schemeClr w14:val="tx1"/>
            </w14:solidFill>
          </w14:textFill>
        </w:rPr>
        <w:t>。全年共受理各类案件</w:t>
      </w:r>
      <w:r>
        <w:rPr>
          <w:rFonts w:hint="eastAsia" w:eastAsia="方正仿宋_GBK" w:cs="Times New Roman"/>
          <w:color w:val="000000" w:themeColor="text1"/>
          <w:sz w:val="32"/>
          <w:szCs w:val="32"/>
          <w:lang w:val="en-US" w:eastAsia="zh-CN"/>
          <w14:textFill>
            <w14:solidFill>
              <w14:schemeClr w14:val="tx1"/>
            </w14:solidFill>
          </w14:textFill>
        </w:rPr>
        <w:t>12080</w:t>
      </w:r>
      <w:r>
        <w:rPr>
          <w:rFonts w:hint="default" w:ascii="Times New Roman" w:hAnsi="Times New Roman" w:eastAsia="方正仿宋_GBK" w:cs="Times New Roman"/>
          <w:color w:val="000000" w:themeColor="text1"/>
          <w:sz w:val="32"/>
          <w:szCs w:val="32"/>
          <w14:textFill>
            <w14:solidFill>
              <w14:schemeClr w14:val="tx1"/>
            </w14:solidFill>
          </w14:textFill>
        </w:rPr>
        <w:t>件，审、执结各类案件</w:t>
      </w:r>
      <w:r>
        <w:rPr>
          <w:rFonts w:hint="eastAsia" w:eastAsia="方正仿宋_GBK" w:cs="Times New Roman"/>
          <w:color w:val="000000" w:themeColor="text1"/>
          <w:sz w:val="32"/>
          <w:szCs w:val="32"/>
          <w:lang w:val="en-US" w:eastAsia="zh-CN"/>
          <w14:textFill>
            <w14:solidFill>
              <w14:schemeClr w14:val="tx1"/>
            </w14:solidFill>
          </w14:textFill>
        </w:rPr>
        <w:t>11448</w:t>
      </w:r>
      <w:r>
        <w:rPr>
          <w:rFonts w:hint="default" w:ascii="Times New Roman" w:hAnsi="Times New Roman" w:eastAsia="方正仿宋_GBK" w:cs="Times New Roman"/>
          <w:color w:val="000000" w:themeColor="text1"/>
          <w:sz w:val="32"/>
          <w:szCs w:val="32"/>
          <w14:textFill>
            <w14:solidFill>
              <w14:schemeClr w14:val="tx1"/>
            </w14:solidFill>
          </w14:textFill>
        </w:rPr>
        <w:t>件，</w:t>
      </w:r>
      <w:r>
        <w:rPr>
          <w:rFonts w:eastAsia="方正仿宋_GBK"/>
          <w:b w:val="0"/>
          <w:bCs w:val="0"/>
          <w:sz w:val="33"/>
          <w:szCs w:val="33"/>
          <w:lang w:eastAsia="zh-CN"/>
        </w:rPr>
        <w:t>分别同比上升</w:t>
      </w:r>
      <w:r>
        <w:rPr>
          <w:rFonts w:hint="eastAsia" w:eastAsia="方正仿宋_GBK"/>
          <w:b w:val="0"/>
          <w:bCs w:val="0"/>
          <w:sz w:val="33"/>
          <w:szCs w:val="33"/>
          <w:lang w:val="en-US" w:eastAsia="zh-CN"/>
        </w:rPr>
        <w:t>33.7</w:t>
      </w:r>
      <w:r>
        <w:rPr>
          <w:rFonts w:eastAsia="方正仿宋_GBK"/>
          <w:b w:val="0"/>
          <w:bCs w:val="0"/>
          <w:sz w:val="33"/>
          <w:szCs w:val="33"/>
          <w:lang w:eastAsia="zh-CN"/>
        </w:rPr>
        <w:t>%、</w:t>
      </w:r>
      <w:r>
        <w:rPr>
          <w:rFonts w:hint="eastAsia" w:eastAsia="方正仿宋_GBK"/>
          <w:b w:val="0"/>
          <w:bCs w:val="0"/>
          <w:sz w:val="33"/>
          <w:szCs w:val="33"/>
          <w:lang w:val="en-US" w:eastAsia="zh-CN"/>
        </w:rPr>
        <w:t>32.48</w:t>
      </w:r>
      <w:r>
        <w:rPr>
          <w:rFonts w:eastAsia="方正仿宋_GBK"/>
          <w:b w:val="0"/>
          <w:bCs w:val="0"/>
          <w:sz w:val="33"/>
          <w:szCs w:val="33"/>
          <w:lang w:eastAsia="zh-CN"/>
        </w:rPr>
        <w:t>%</w:t>
      </w:r>
      <w:r>
        <w:rPr>
          <w:b w:val="0"/>
          <w:bCs w:val="0"/>
          <w:sz w:val="33"/>
          <w:szCs w:val="33"/>
        </w:rPr>
        <w:t>。</w:t>
      </w:r>
      <w:r>
        <w:rPr>
          <w:rFonts w:hint="default" w:ascii="Times New Roman" w:hAnsi="Times New Roman" w:eastAsia="方正仿宋_GBK" w:cs="Times New Roman"/>
          <w:color w:val="000000" w:themeColor="text1"/>
          <w:sz w:val="32"/>
          <w:szCs w:val="32"/>
          <w14:textFill>
            <w14:solidFill>
              <w14:schemeClr w14:val="tx1"/>
            </w14:solidFill>
          </w14:textFill>
        </w:rPr>
        <w:t>法官人均办案</w:t>
      </w:r>
      <w:r>
        <w:rPr>
          <w:rFonts w:hint="eastAsia" w:eastAsia="方正仿宋_GBK" w:cs="Times New Roman"/>
          <w:color w:val="000000" w:themeColor="text1"/>
          <w:sz w:val="32"/>
          <w:szCs w:val="32"/>
          <w:lang w:val="en-US" w:eastAsia="zh-CN"/>
          <w14:textFill>
            <w14:solidFill>
              <w14:schemeClr w14:val="tx1"/>
            </w14:solidFill>
          </w14:textFill>
        </w:rPr>
        <w:t>355.29</w:t>
      </w:r>
      <w:r>
        <w:rPr>
          <w:rFonts w:hint="default" w:ascii="Times New Roman" w:hAnsi="Times New Roman" w:eastAsia="方正仿宋_GBK" w:cs="Times New Roman"/>
          <w:color w:val="000000" w:themeColor="text1"/>
          <w:sz w:val="32"/>
          <w:szCs w:val="32"/>
          <w14:textFill>
            <w14:solidFill>
              <w14:schemeClr w14:val="tx1"/>
            </w14:solidFill>
          </w14:textFill>
        </w:rPr>
        <w:t>件</w:t>
      </w:r>
      <w:r>
        <w:rPr>
          <w:rFonts w:hint="eastAsia" w:eastAsia="方正仿宋_GBK" w:cs="Times New Roman"/>
          <w:color w:val="000000" w:themeColor="text1"/>
          <w:sz w:val="32"/>
          <w:szCs w:val="32"/>
          <w:lang w:eastAsia="zh-CN"/>
          <w14:textFill>
            <w14:solidFill>
              <w14:schemeClr w14:val="tx1"/>
            </w14:solidFill>
          </w14:textFill>
        </w:rPr>
        <w:t>，同比增加</w:t>
      </w:r>
      <w:r>
        <w:rPr>
          <w:rFonts w:hint="eastAsia" w:eastAsia="方正仿宋_GBK" w:cs="Times New Roman"/>
          <w:color w:val="000000" w:themeColor="text1"/>
          <w:sz w:val="32"/>
          <w:szCs w:val="32"/>
          <w:lang w:val="en-US" w:eastAsia="zh-CN"/>
          <w14:textFill>
            <w14:solidFill>
              <w14:schemeClr w14:val="tx1"/>
            </w14:solidFill>
          </w14:textFill>
        </w:rPr>
        <w:t>89.55件。12项审判质效指标全面达标，执行完毕率等11项主要指标持续优于全国合理区间或全省均值。本年工作亮点是：</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一、坚持政治统领，夯实忠诚根基，政治建设有声有色</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一是提高政治站位，抓实政治建设。二是厚植党建品牌，加强文化建设。</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三是牢守意识形态阵地，防范化解风险。</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二、增强大局意识，扛起硬核担当，服务大局有为有成</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一是依法惩治犯罪，推进平安东区建设。</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二是优化营商环境，激发市场主体活力。</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三是做实行政审判，助推法治政府建设。四是加强生态司法，护航绿色低碳发展。</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三、厚植为民情怀，践行如我在诉，保障民生有情有感</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一是妥善化解民生纠纷，守护万家灯火。</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二是强力推进执行攻坚，兑现胜诉权益。三是全面升级诉讼服务，提升司法体验。打造全流程线上办案。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四、聚力改革突破，全力破题解题，创新实践有力有效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一是抓实审判管理，促进提质增效。二是融入社会治理，拓展解纷路径。三是聚焦法治实践，推进地方性法规适用。四是夯实基层基础，强化科技赋能。</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五、强化夯基固本，全面从严治院，队伍建设有形有魂</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一是提升专业能力，夯实履职根基。二是从严正风肃纪，确保廉洁司法。三是自觉接受监督，促进司法公信。</w:t>
      </w:r>
    </w:p>
    <w:p>
      <w:pPr>
        <w:pStyle w:val="4"/>
        <w:bidi w:val="0"/>
        <w:rPr>
          <w:rFonts w:hint="eastAsia"/>
        </w:rPr>
      </w:pPr>
      <w:r>
        <w:rPr>
          <w:rFonts w:hint="eastAsia"/>
        </w:rPr>
        <w:t>二、机构设置</w:t>
      </w:r>
      <w:bookmarkEnd w:id="21"/>
      <w:bookmarkEnd w:id="22"/>
      <w:bookmarkEnd w:id="23"/>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四川省攀枝花市东区人民法院</w:t>
      </w:r>
      <w:r>
        <w:rPr>
          <w:rFonts w:hint="eastAsia" w:eastAsia="方正仿宋_GBK" w:cs="Times New Roman"/>
          <w:color w:val="000000" w:themeColor="text1"/>
          <w:sz w:val="32"/>
          <w:szCs w:val="32"/>
          <w:lang w:eastAsia="zh-CN"/>
          <w14:textFill>
            <w14:solidFill>
              <w14:schemeClr w14:val="tx1"/>
            </w14:solidFill>
          </w14:textFill>
        </w:rPr>
        <w:t>单位</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为一级预算单位，无</w:t>
      </w:r>
      <w:r>
        <w:rPr>
          <w:rFonts w:hint="eastAsia" w:ascii="Times New Roman" w:hAnsi="Times New Roman" w:eastAsia="方正仿宋_GBK" w:cs="Times New Roman"/>
          <w:color w:val="000000" w:themeColor="text1"/>
          <w:sz w:val="32"/>
          <w:szCs w:val="32"/>
          <w14:textFill>
            <w14:solidFill>
              <w14:schemeClr w14:val="tx1"/>
            </w14:solidFill>
          </w14:textFill>
        </w:rPr>
        <w:t>下属二级</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预算单位</w:t>
      </w:r>
      <w:r>
        <w:rPr>
          <w:rFonts w:hint="eastAsia" w:ascii="Times New Roman" w:hAnsi="Times New Roman" w:eastAsia="方正仿宋_GBK" w:cs="Times New Roman"/>
          <w:color w:val="000000" w:themeColor="text1"/>
          <w:sz w:val="32"/>
          <w:szCs w:val="32"/>
          <w14:textFill>
            <w14:solidFill>
              <w14:schemeClr w14:val="tx1"/>
            </w14:solidFill>
          </w14:textFill>
        </w:rPr>
        <w:t>。</w:t>
      </w:r>
    </w:p>
    <w:p>
      <w:pPr>
        <w:rPr>
          <w:rFonts w:hint="eastAsia"/>
        </w:rPr>
      </w:pPr>
      <w:bookmarkStart w:id="24" w:name="_Toc15396602"/>
      <w:bookmarkStart w:id="25" w:name="_Toc8223"/>
      <w:bookmarkStart w:id="26" w:name="_Toc15377204"/>
      <w:r>
        <w:rPr>
          <w:rFonts w:hint="eastAsia"/>
        </w:rPr>
        <w:br w:type="page"/>
      </w:r>
    </w:p>
    <w:p>
      <w:pPr>
        <w:pStyle w:val="3"/>
        <w:bidi w:val="0"/>
        <w:ind w:left="0" w:leftChars="0" w:firstLine="0" w:firstLineChars="0"/>
        <w:jc w:val="center"/>
      </w:pPr>
      <w:r>
        <w:rPr>
          <w:rFonts w:hint="eastAsia"/>
        </w:rPr>
        <w:t>第二部分</w:t>
      </w:r>
      <w:r>
        <w:rPr>
          <w:rFonts w:hint="eastAsia"/>
          <w:lang w:val="en-US" w:eastAsia="zh-CN"/>
        </w:rPr>
        <w:t xml:space="preserve"> </w:t>
      </w:r>
      <w:r>
        <w:rPr>
          <w:rFonts w:hint="eastAsia"/>
        </w:rPr>
        <w:t xml:space="preserve"> </w:t>
      </w:r>
      <w:r>
        <w:rPr>
          <w:rFonts w:hint="eastAsia"/>
          <w:lang w:val="en-US" w:eastAsia="zh-CN"/>
        </w:rPr>
        <w:t>2025年度单位</w:t>
      </w:r>
      <w:r>
        <w:rPr>
          <w:rFonts w:hint="eastAsia"/>
        </w:rPr>
        <w:t>决算情况说明</w:t>
      </w:r>
      <w:bookmarkEnd w:id="24"/>
      <w:bookmarkEnd w:id="25"/>
      <w:bookmarkEnd w:id="26"/>
    </w:p>
    <w:p>
      <w:pPr>
        <w:pStyle w:val="4"/>
        <w:bidi w:val="0"/>
        <w:rPr>
          <w:rFonts w:hint="eastAsia"/>
        </w:rPr>
      </w:pPr>
      <w:bookmarkStart w:id="27" w:name="_Toc15396603"/>
      <w:bookmarkStart w:id="28" w:name="_Toc15377205"/>
      <w:bookmarkStart w:id="29" w:name="_Toc7064"/>
      <w:r>
        <w:rPr>
          <w:rFonts w:hint="eastAsia"/>
          <w:lang w:eastAsia="zh-CN"/>
        </w:rPr>
        <w:t>一、</w:t>
      </w:r>
      <w:r>
        <w:rPr>
          <w:rFonts w:hint="eastAsia"/>
        </w:rPr>
        <w:t>收入支出决算总体情况说明</w:t>
      </w:r>
      <w:bookmarkEnd w:id="27"/>
      <w:bookmarkEnd w:id="28"/>
      <w:bookmarkEnd w:id="29"/>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30" w:name="_Toc13575"/>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2025年度收入、支出总计均为2887.89万元。与2024年度相比，收入、支出总计各增加134.84万元，增长4.7%。主要变动原因是</w:t>
      </w:r>
      <w:bookmarkEnd w:id="30"/>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2025年省级专项项目资金执行率</w:t>
      </w:r>
      <w:r>
        <w:rPr>
          <w:rFonts w:hint="eastAsia" w:eastAsia="方正仿宋_GBK" w:cs="Times New Roman"/>
          <w:color w:val="000000" w:themeColor="text1"/>
          <w:sz w:val="32"/>
          <w:szCs w:val="32"/>
          <w:lang w:val="en-US" w:eastAsia="zh-CN"/>
          <w14:textFill>
            <w14:solidFill>
              <w14:schemeClr w14:val="tx1"/>
            </w14:solidFill>
          </w14:textFill>
        </w:rPr>
        <w:t>和市级“办案经费”项目资金执行率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较上一年度有较大幅度增长。</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default" w:eastAsia="仿宋_GB2312" w:cs="仿宋_GB2312"/>
          <w:color w:val="auto"/>
          <w:sz w:val="32"/>
          <w:szCs w:val="32"/>
          <w:highlight w:val="none"/>
          <w:lang w:val="en-US" w:eastAsia="zh-CN"/>
        </w:rPr>
      </w:pPr>
      <w:r>
        <w:rPr>
          <w:rFonts w:hint="default" w:eastAsia="仿宋_GB2312" w:cs="仿宋_GB2312"/>
          <w:color w:val="auto"/>
          <w:sz w:val="32"/>
          <w:szCs w:val="32"/>
          <w:highlight w:val="none"/>
          <w:lang w:val="en-US" w:eastAsia="zh-CN"/>
        </w:rPr>
        <w:drawing>
          <wp:inline distT="0" distB="0" distL="114300" distR="114300">
            <wp:extent cx="4924425" cy="3657600"/>
            <wp:effectExtent l="0" t="0" r="9525" b="0"/>
            <wp:docPr id="1" name="图片 1" descr="图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图1"/>
                    <pic:cNvPicPr>
                      <a:picLocks noChangeAspect="true"/>
                    </pic:cNvPicPr>
                  </pic:nvPicPr>
                  <pic:blipFill>
                    <a:blip r:embed="rId10"/>
                    <a:stretch>
                      <a:fillRect/>
                    </a:stretch>
                  </pic:blipFill>
                  <pic:spPr>
                    <a:xfrm>
                      <a:off x="0" y="0"/>
                      <a:ext cx="4924425" cy="36576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pPr>
        <w:pStyle w:val="4"/>
        <w:bidi w:val="0"/>
        <w:rPr>
          <w:rFonts w:hint="eastAsia"/>
          <w:lang w:eastAsia="zh-CN"/>
        </w:rPr>
      </w:pPr>
      <w:bookmarkStart w:id="31" w:name="_Toc15396604"/>
      <w:bookmarkStart w:id="32" w:name="_Toc15579"/>
      <w:bookmarkStart w:id="33" w:name="_Toc15377206"/>
      <w:r>
        <w:rPr>
          <w:rFonts w:hint="eastAsia"/>
          <w:lang w:eastAsia="zh-CN"/>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34" w:name="_Toc491"/>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本年收入合计3022.73万元，其中：一般公共预算财政拨款收入2523.88万元，占83.5%；政府性基金预算财政拨款收入0万元，占0%；国有资本经营预算财政拨款收入0万元，占0%；上级补助收入0万元，占0%；事业收入0万元，占0%；经营收入0万元，占0%；附属单位上缴收入0万元，占0%；其他收入498.85万元，占16.5%。</w:t>
      </w:r>
      <w:bookmarkEnd w:id="34"/>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drawing>
          <wp:inline distT="0" distB="0" distL="114300" distR="114300">
            <wp:extent cx="5029200" cy="3667125"/>
            <wp:effectExtent l="0" t="0" r="0" b="9525"/>
            <wp:docPr id="2" name="图片 2" descr="图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图2"/>
                    <pic:cNvPicPr>
                      <a:picLocks noChangeAspect="true"/>
                    </pic:cNvPicPr>
                  </pic:nvPicPr>
                  <pic:blipFill>
                    <a:blip r:embed="rId11"/>
                    <a:stretch>
                      <a:fillRect/>
                    </a:stretch>
                  </pic:blipFill>
                  <pic:spPr>
                    <a:xfrm>
                      <a:off x="0" y="0"/>
                      <a:ext cx="5029200" cy="3667125"/>
                    </a:xfrm>
                    <a:prstGeom prst="rect">
                      <a:avLst/>
                    </a:prstGeom>
                  </pic:spPr>
                </pic:pic>
              </a:graphicData>
            </a:graphic>
          </wp:inline>
        </w:drawing>
      </w:r>
    </w:p>
    <w:p>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w:t>
      </w:r>
    </w:p>
    <w:p>
      <w:pPr>
        <w:pStyle w:val="4"/>
        <w:bidi w:val="0"/>
        <w:rPr>
          <w:rFonts w:hint="eastAsia"/>
        </w:rPr>
      </w:pPr>
      <w:bookmarkStart w:id="35" w:name="_Toc15377207"/>
      <w:bookmarkStart w:id="36" w:name="_Toc15396605"/>
      <w:bookmarkStart w:id="37" w:name="_Toc21063"/>
      <w:r>
        <w:rPr>
          <w:rFonts w:hint="eastAsia"/>
          <w:lang w:eastAsia="zh-CN"/>
        </w:rPr>
        <w:t>三、</w:t>
      </w:r>
      <w:r>
        <w:rPr>
          <w:rFonts w:hint="eastAsia"/>
        </w:rPr>
        <w:t>支出决算情况说明</w:t>
      </w:r>
      <w:bookmarkEnd w:id="35"/>
      <w:bookmarkEnd w:id="36"/>
      <w:bookmarkEnd w:id="37"/>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38" w:name="_Toc8955"/>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2025年度本年支出合计3022.73万元，其中：基本支出2319.3万元，占76.7%；项目支出703.44万元，占23.3%；上缴上级支出0万元，占0%；经营支出0万元，占0%；对附属单位补助支出0万元，占0%。</w:t>
      </w:r>
      <w:bookmarkEnd w:id="38"/>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drawing>
          <wp:inline distT="0" distB="0" distL="114300" distR="114300">
            <wp:extent cx="5057775" cy="3705225"/>
            <wp:effectExtent l="0" t="0" r="9525" b="9525"/>
            <wp:docPr id="3" name="图片 3" descr="图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图3"/>
                    <pic:cNvPicPr>
                      <a:picLocks noChangeAspect="true"/>
                    </pic:cNvPicPr>
                  </pic:nvPicPr>
                  <pic:blipFill>
                    <a:blip r:embed="rId12"/>
                    <a:stretch>
                      <a:fillRect/>
                    </a:stretch>
                  </pic:blipFill>
                  <pic:spPr>
                    <a:xfrm>
                      <a:off x="0" y="0"/>
                      <a:ext cx="5057775" cy="3705225"/>
                    </a:xfrm>
                    <a:prstGeom prst="rect">
                      <a:avLst/>
                    </a:prstGeom>
                  </pic:spPr>
                </pic:pic>
              </a:graphicData>
            </a:graphic>
          </wp:inline>
        </w:drawing>
      </w:r>
    </w:p>
    <w:p>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p>
    <w:p>
      <w:pPr>
        <w:pStyle w:val="4"/>
        <w:bidi w:val="0"/>
      </w:pPr>
      <w:bookmarkStart w:id="39" w:name="_Toc19000"/>
      <w:bookmarkStart w:id="40" w:name="_Toc15377208"/>
      <w:bookmarkStart w:id="41" w:name="_Toc15396606"/>
      <w:r>
        <w:rPr>
          <w:rFonts w:hint="eastAsia"/>
        </w:rPr>
        <w:t>四、财政拨款收入支出决算总体情况说明</w:t>
      </w:r>
      <w:bookmarkEnd w:id="39"/>
      <w:bookmarkEnd w:id="40"/>
      <w:bookmarkEnd w:id="41"/>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2025年度财政拨款收入、支出总计均为2523.88万元。与2024年度相比，财政拨款收入总计、支出总计各增加156.71万元，增加6.6%。主要原因是2025年省级专项项目资金执行率</w:t>
      </w:r>
      <w:r>
        <w:rPr>
          <w:rFonts w:hint="eastAsia" w:eastAsia="方正仿宋_GBK" w:cs="Times New Roman"/>
          <w:color w:val="000000" w:themeColor="text1"/>
          <w:sz w:val="32"/>
          <w:szCs w:val="32"/>
          <w:lang w:val="en-US" w:eastAsia="zh-CN"/>
          <w14:textFill>
            <w14:solidFill>
              <w14:schemeClr w14:val="tx1"/>
            </w14:solidFill>
          </w14:textFill>
        </w:rPr>
        <w:t>和市级“办案经费”项目资金执行率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较上一年度有较大幅度增长。</w:t>
      </w:r>
    </w:p>
    <w:p>
      <w:pPr>
        <w:rPr>
          <w:rFonts w:hint="eastAsia"/>
          <w:lang w:val="en-US" w:eastAsia="zh-CN"/>
        </w:rPr>
      </w:pPr>
    </w:p>
    <w:p>
      <w:pPr>
        <w:pStyle w:val="2"/>
        <w:spacing w:line="240" w:lineRule="auto"/>
        <w:rPr>
          <w:rFonts w:hint="eastAsia"/>
          <w:lang w:val="en-US" w:eastAsia="zh-CN"/>
        </w:rPr>
      </w:pPr>
      <w:r>
        <w:rPr>
          <w:rFonts w:hint="eastAsia"/>
          <w:lang w:val="en-US" w:eastAsia="zh-CN"/>
        </w:rPr>
        <w:drawing>
          <wp:inline distT="0" distB="0" distL="114300" distR="114300">
            <wp:extent cx="4924425" cy="3648075"/>
            <wp:effectExtent l="0" t="0" r="9525" b="9525"/>
            <wp:docPr id="4" name="图片 4" descr="图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图4"/>
                    <pic:cNvPicPr>
                      <a:picLocks noChangeAspect="true"/>
                    </pic:cNvPicPr>
                  </pic:nvPicPr>
                  <pic:blipFill>
                    <a:blip r:embed="rId13"/>
                    <a:stretch>
                      <a:fillRect/>
                    </a:stretch>
                  </pic:blipFill>
                  <pic:spPr>
                    <a:xfrm>
                      <a:off x="0" y="0"/>
                      <a:ext cx="4924425" cy="3648075"/>
                    </a:xfrm>
                    <a:prstGeom prst="rect">
                      <a:avLst/>
                    </a:prstGeom>
                  </pic:spPr>
                </pic:pic>
              </a:graphicData>
            </a:graphic>
          </wp:inline>
        </w:drawing>
      </w:r>
    </w:p>
    <w:p>
      <w:pPr>
        <w:spacing w:line="600" w:lineRule="exact"/>
        <w:ind w:firstLine="640" w:firstLineChars="20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r>
        <w:rPr>
          <w:rFonts w:hint="eastAsia" w:eastAsia="仿宋_GB2312" w:cs="仿宋_GB2312"/>
          <w:color w:val="auto"/>
          <w:kern w:val="2"/>
          <w:sz w:val="32"/>
          <w:szCs w:val="32"/>
          <w:highlight w:val="none"/>
          <w:lang w:val="en-US" w:eastAsia="zh-CN" w:bidi="ar-SA"/>
        </w:rPr>
        <w:t>图</w:t>
      </w:r>
    </w:p>
    <w:p>
      <w:pPr>
        <w:pStyle w:val="4"/>
        <w:bidi w:val="0"/>
      </w:pPr>
      <w:bookmarkStart w:id="42" w:name="_Toc11367"/>
      <w:bookmarkStart w:id="43" w:name="_Toc15377209"/>
      <w:bookmarkStart w:id="44" w:name="_Toc15396607"/>
      <w:r>
        <w:rPr>
          <w:rFonts w:hint="eastAsia"/>
        </w:rPr>
        <w:t>五、一般公共预算财政拨款支出决算情况说明</w:t>
      </w:r>
      <w:bookmarkEnd w:id="42"/>
      <w:bookmarkEnd w:id="43"/>
      <w:bookmarkEnd w:id="44"/>
    </w:p>
    <w:p>
      <w:pPr>
        <w:spacing w:line="600" w:lineRule="exact"/>
        <w:ind w:firstLine="640"/>
        <w:rPr>
          <w:rFonts w:hint="eastAsia" w:ascii="Times New Roman" w:hAnsi="Times New Roman" w:eastAsia="楷体_GB2312" w:cs="楷体_GB2312"/>
          <w:b/>
          <w:color w:val="auto"/>
          <w:sz w:val="32"/>
          <w:szCs w:val="32"/>
          <w:highlight w:val="none"/>
        </w:rPr>
      </w:pPr>
      <w:bookmarkStart w:id="45"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5"/>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2025年度一般公共预算财政拨款支出2523.88万元，占本年支出合计的83.5%。与2024年度相比，一般公共预算财政拨款支出增加156.71万元，增加6.6%。主要原因是2025年省级专项项目资金执行率</w:t>
      </w:r>
      <w:r>
        <w:rPr>
          <w:rFonts w:hint="eastAsia" w:eastAsia="方正仿宋_GBK" w:cs="Times New Roman"/>
          <w:color w:val="000000" w:themeColor="text1"/>
          <w:sz w:val="32"/>
          <w:szCs w:val="32"/>
          <w:lang w:val="en-US" w:eastAsia="zh-CN"/>
          <w14:textFill>
            <w14:solidFill>
              <w14:schemeClr w14:val="tx1"/>
            </w14:solidFill>
          </w14:textFill>
        </w:rPr>
        <w:t>和市级“办案经费”项目资金执行率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较上一年度有较大幅度增长。</w:t>
      </w:r>
    </w:p>
    <w:p>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5038725" cy="3676650"/>
            <wp:effectExtent l="0" t="0" r="9525" b="0"/>
            <wp:docPr id="6" name="图片 6" descr="图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图5"/>
                    <pic:cNvPicPr>
                      <a:picLocks noChangeAspect="true"/>
                    </pic:cNvPicPr>
                  </pic:nvPicPr>
                  <pic:blipFill>
                    <a:blip r:embed="rId14"/>
                    <a:stretch>
                      <a:fillRect/>
                    </a:stretch>
                  </pic:blipFill>
                  <pic:spPr>
                    <a:xfrm>
                      <a:off x="0" y="0"/>
                      <a:ext cx="5038725" cy="3676650"/>
                    </a:xfrm>
                    <a:prstGeom prst="rect">
                      <a:avLst/>
                    </a:prstGeom>
                  </pic:spPr>
                </pic:pic>
              </a:graphicData>
            </a:graphic>
          </wp:inline>
        </w:drawing>
      </w:r>
    </w:p>
    <w:p>
      <w:pPr>
        <w:spacing w:line="600" w:lineRule="exact"/>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r>
        <w:rPr>
          <w:rFonts w:hint="eastAsia" w:eastAsia="仿宋_GB2312" w:cs="仿宋_GB2312"/>
          <w:color w:val="auto"/>
          <w:kern w:val="2"/>
          <w:sz w:val="32"/>
          <w:szCs w:val="32"/>
          <w:highlight w:val="none"/>
          <w:lang w:val="en-US" w:eastAsia="zh-CN" w:bidi="ar-SA"/>
        </w:rPr>
        <w:t>图</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6"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6"/>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2025年度一般公共预算财政拨款支出2523.88万元，主要用于以下方面：公共安全支出2077.83万元，占82.3%；社会保障和就业支出198.27万元，占7.9%；卫生健康支出107.87万元，占4.3%；住房保障支出139.9万元，占5.5%。</w:t>
      </w:r>
    </w:p>
    <w:p>
      <w:pPr>
        <w:pStyle w:val="2"/>
        <w:spacing w:line="240" w:lineRule="auto"/>
        <w:jc w:val="center"/>
        <w:rPr>
          <w:rFonts w:hint="default"/>
          <w:lang w:eastAsia="zh-CN"/>
        </w:rPr>
      </w:pPr>
      <w:r>
        <w:rPr>
          <w:rFonts w:hint="default"/>
          <w:lang w:eastAsia="zh-CN"/>
        </w:rPr>
        <w:drawing>
          <wp:inline distT="0" distB="0" distL="114300" distR="114300">
            <wp:extent cx="5010150" cy="3714750"/>
            <wp:effectExtent l="0" t="0" r="0" b="0"/>
            <wp:docPr id="7" name="图片 7" descr="图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图6"/>
                    <pic:cNvPicPr>
                      <a:picLocks noChangeAspect="true"/>
                    </pic:cNvPicPr>
                  </pic:nvPicPr>
                  <pic:blipFill>
                    <a:blip r:embed="rId15"/>
                    <a:stretch>
                      <a:fillRect/>
                    </a:stretch>
                  </pic:blipFill>
                  <pic:spPr>
                    <a:xfrm>
                      <a:off x="0" y="0"/>
                      <a:ext cx="5010150" cy="3714750"/>
                    </a:xfrm>
                    <a:prstGeom prst="rect">
                      <a:avLst/>
                    </a:prstGeom>
                  </pic:spPr>
                </pic:pic>
              </a:graphicData>
            </a:graphic>
          </wp:inline>
        </w:drawing>
      </w: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w:t>
      </w:r>
      <w:r>
        <w:rPr>
          <w:rFonts w:hint="eastAsia" w:eastAsia="仿宋_GB2312" w:cs="仿宋_GB2312"/>
          <w:color w:val="auto"/>
          <w:kern w:val="2"/>
          <w:sz w:val="32"/>
          <w:szCs w:val="32"/>
          <w:highlight w:val="none"/>
          <w:lang w:val="en-US" w:eastAsia="zh-CN" w:bidi="ar-SA"/>
        </w:rPr>
        <w:t>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7"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7"/>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48" w:name="_Toc15378460"/>
      <w:bookmarkStart w:id="49" w:name="_Toc15377444"/>
      <w:bookmarkStart w:id="50" w:name="_Toc15377213"/>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2025年度一般公共预算财政拨款支出决算数为2523.88万元，完成预算100%。其中：</w:t>
      </w:r>
      <w:bookmarkEnd w:id="48"/>
      <w:bookmarkEnd w:id="49"/>
      <w:bookmarkEnd w:id="50"/>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公共安全支出（类）法院（款）行政运行（项）</w:t>
      </w:r>
      <w:r>
        <w:rPr>
          <w:rStyle w:val="19"/>
          <w:rFonts w:ascii="仿宋" w:hAnsi="仿宋" w:eastAsia="仿宋"/>
          <w:bCs/>
          <w:color w:val="000000"/>
          <w:sz w:val="32"/>
          <w:szCs w:val="32"/>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支出决算为1488.07万元，完成预算100%。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cstheme="minorBidi"/>
          <w:bCs/>
          <w:color w:val="000000"/>
          <w:sz w:val="32"/>
          <w:szCs w:val="32"/>
        </w:rPr>
        <w:t>公共安全支出（类）法院（款）</w:t>
      </w:r>
      <w:r>
        <w:rPr>
          <w:rStyle w:val="19"/>
          <w:rFonts w:hint="eastAsia" w:ascii="仿宋" w:hAnsi="仿宋" w:eastAsia="仿宋" w:cstheme="minorBidi"/>
          <w:bCs/>
          <w:color w:val="000000"/>
          <w:sz w:val="32"/>
          <w:szCs w:val="32"/>
          <w:lang w:eastAsia="zh-CN"/>
        </w:rPr>
        <w:t>案件审判</w:t>
      </w:r>
      <w:r>
        <w:rPr>
          <w:rStyle w:val="19"/>
          <w:rFonts w:hint="eastAsia" w:ascii="仿宋" w:hAnsi="仿宋" w:eastAsia="仿宋" w:cstheme="minorBidi"/>
          <w:bCs/>
          <w:color w:val="000000"/>
          <w:sz w:val="32"/>
          <w:szCs w:val="32"/>
        </w:rPr>
        <w:t>（项）: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支出决算为33.78万元，完成预算100%。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公共安全支出（类）法院（款）</w:t>
      </w:r>
      <w:r>
        <w:rPr>
          <w:rStyle w:val="19"/>
          <w:rFonts w:hint="eastAsia" w:ascii="仿宋" w:hAnsi="仿宋" w:eastAsia="仿宋"/>
          <w:bCs/>
          <w:color w:val="000000"/>
          <w:sz w:val="32"/>
          <w:szCs w:val="32"/>
          <w:lang w:eastAsia="zh-CN"/>
        </w:rPr>
        <w:t>其他法院支出</w:t>
      </w:r>
      <w:r>
        <w:rPr>
          <w:rStyle w:val="19"/>
          <w:rFonts w:hint="eastAsia" w:ascii="仿宋" w:hAnsi="仿宋" w:eastAsia="仿宋"/>
          <w:bCs/>
          <w:color w:val="000000"/>
          <w:sz w:val="32"/>
          <w:szCs w:val="32"/>
        </w:rPr>
        <w:t>（项）</w:t>
      </w:r>
      <w:r>
        <w:rPr>
          <w:rStyle w:val="19"/>
          <w:rFonts w:ascii="仿宋" w:hAnsi="仿宋" w:eastAsia="仿宋"/>
          <w:bCs/>
          <w:color w:val="000000"/>
          <w:sz w:val="32"/>
          <w:szCs w:val="32"/>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支出决算为555.98万元，完成预算100%。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社会保障和就业支出（类）行政事业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养老支出（款）机关事业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基本养老保险缴费支出（项）：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支出决算为158.32万元，完成预算100%。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 xml:space="preserve"> 社会保障和就业支出（类）行政事业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养老支出（款）机关事业</w:t>
      </w:r>
      <w:r>
        <w:rPr>
          <w:rStyle w:val="19"/>
          <w:rFonts w:hint="eastAsia" w:ascii="仿宋" w:hAnsi="仿宋" w:eastAsia="仿宋"/>
          <w:bCs/>
          <w:color w:val="000000"/>
          <w:sz w:val="32"/>
          <w:szCs w:val="32"/>
          <w:lang w:eastAsia="zh-CN"/>
        </w:rPr>
        <w:t>单位职业年金</w:t>
      </w:r>
      <w:r>
        <w:rPr>
          <w:rStyle w:val="19"/>
          <w:rFonts w:hint="eastAsia" w:ascii="仿宋" w:hAnsi="仿宋" w:eastAsia="仿宋"/>
          <w:bCs/>
          <w:color w:val="000000"/>
          <w:sz w:val="32"/>
          <w:szCs w:val="32"/>
        </w:rPr>
        <w:t>缴费支出（项）：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支出决算为39.95万元，完成预算100%。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
          <w:bCs w:val="0"/>
          <w:color w:val="000000"/>
          <w:sz w:val="32"/>
          <w:szCs w:val="32"/>
        </w:rPr>
        <w:t>卫生</w:t>
      </w:r>
      <w:r>
        <w:rPr>
          <w:rStyle w:val="19"/>
          <w:rFonts w:hint="eastAsia" w:ascii="仿宋" w:hAnsi="仿宋" w:eastAsia="仿宋"/>
          <w:bCs/>
          <w:color w:val="000000"/>
          <w:sz w:val="32"/>
          <w:szCs w:val="32"/>
        </w:rPr>
        <w:t>健康支出（类）行政事业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医疗支出（款）行政</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医疗支出（项）：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支出决算为87.29万元，完成预算100%。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卫生健康支出（类）行政事业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医疗支出（款）公务员医疗补助支出（项）：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支出决算为20.58万元，完成预算100%。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住房保障支出（类）住房改革支出（款）住房公积金支出（项）：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支出决算为139.9万元，完成预算100%。</w:t>
      </w:r>
    </w:p>
    <w:p>
      <w:pPr>
        <w:pStyle w:val="4"/>
        <w:bidi w:val="0"/>
      </w:pPr>
      <w:bookmarkStart w:id="51" w:name="_Toc21076"/>
      <w:bookmarkStart w:id="52" w:name="_Toc15377214"/>
      <w:bookmarkStart w:id="53" w:name="_Toc15396608"/>
      <w:r>
        <w:rPr>
          <w:rFonts w:hint="eastAsia"/>
        </w:rPr>
        <w:t>六、一般公共预算财政拨款基本支出决算情况说明</w:t>
      </w:r>
      <w:bookmarkEnd w:id="51"/>
      <w:bookmarkEnd w:id="52"/>
      <w:bookmarkEnd w:id="53"/>
      <w:r>
        <w:tab/>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年度一般公共预算财政拨款基本支出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1934.12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人员经费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1749.82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万元，主要包括：基本工资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437.56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万元、津贴补贴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595.43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万元、奖金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25.86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万元、机关事业</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基本养老保险缴费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158.32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万元、职业年金缴费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39.95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万元、职工基本医疗保险缴费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87.29</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万元、公务员医疗补助缴费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20.58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万元、其他社会保障缴费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万元、住房公积金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139.9</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万元、其他工资福利支出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242.87</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公用经费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184.3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万元，主要包括：办公费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12.79</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10.95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万元、电费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万元、邮电费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万元、差旅费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19.66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培训</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万元、公务接待费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0.13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万元、工会经费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11.41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万元、福利费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0.26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万元、公务用车运行维护费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18.92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万元、其他交通费用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69.25万元</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、其他商品和服务支出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4.55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w:t>
      </w:r>
    </w:p>
    <w:p>
      <w:pPr>
        <w:pStyle w:val="4"/>
        <w:bidi w:val="0"/>
      </w:pPr>
      <w:bookmarkStart w:id="54" w:name="_Toc15396609"/>
      <w:bookmarkStart w:id="55" w:name="_Toc16016"/>
      <w:bookmarkStart w:id="56" w:name="_Toc15377215"/>
      <w:r>
        <w:rPr>
          <w:rFonts w:hint="eastAsia"/>
        </w:rPr>
        <w:t>七、财政拨款“三公”经费支出决算情况说明</w:t>
      </w:r>
      <w:bookmarkEnd w:id="54"/>
      <w:bookmarkEnd w:id="55"/>
      <w:bookmarkEnd w:id="56"/>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7"/>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2025年度“三公”经费财政拨款支出决算为19.05万元，完成预算100%，较上年度减少1.4万元，下降6.9%。决算数较上年减少的主要原因是</w:t>
      </w:r>
      <w:r>
        <w:rPr>
          <w:rFonts w:hint="eastAsia" w:eastAsia="方正仿宋_GBK" w:cs="Times New Roman"/>
          <w:color w:val="000000" w:themeColor="text1"/>
          <w:sz w:val="32"/>
          <w:szCs w:val="32"/>
          <w:lang w:val="en-US" w:eastAsia="zh-CN"/>
          <w14:textFill>
            <w14:solidFill>
              <w14:schemeClr w14:val="tx1"/>
            </w14:solidFill>
          </w14:textFill>
        </w:rPr>
        <w:t>2025年度我院进一步规范了公务用车管理，且</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司法调研活动、工作交流会议等较上年有所减少</w:t>
      </w:r>
      <w:r>
        <w:rPr>
          <w:rFonts w:hint="eastAsia" w:eastAsia="方正仿宋_GBK" w:cs="Times New Roman"/>
          <w:color w:val="000000" w:themeColor="text1"/>
          <w:sz w:val="32"/>
          <w:szCs w:val="32"/>
          <w:lang w:val="en-US" w:eastAsia="zh-CN"/>
          <w14:textFill>
            <w14:solidFill>
              <w14:schemeClr w14:val="tx1"/>
            </w14:solidFill>
          </w14:textFill>
        </w:rPr>
        <w:t>，造成公务接待减少。</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8"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8"/>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2025年度“三公”经费财政拨款支出决算中，因公出国（境）费支出决算0万元，占0%；公务用车购置及运行维护费支出决算18.92万元，占99.3%；公务接待费支出决算0.13万元，占0.7%。具体情况如下：</w:t>
      </w:r>
    </w:p>
    <w:p>
      <w:pPr>
        <w:pStyle w:val="2"/>
        <w:rPr>
          <w:rFonts w:hint="eastAsia" w:ascii="仿宋_GB2312" w:hAnsi="仿宋_GB2312" w:eastAsia="仿宋_GB2312" w:cs="仿宋_GB2312"/>
          <w:color w:val="auto"/>
          <w:kern w:val="2"/>
          <w:sz w:val="32"/>
          <w:szCs w:val="32"/>
          <w:highlight w:val="none"/>
          <w:lang w:val="en-US" w:eastAsia="zh-CN" w:bidi="ar-SA"/>
        </w:rPr>
      </w:pPr>
    </w:p>
    <w:p>
      <w:pPr>
        <w:pStyle w:val="2"/>
        <w:spacing w:line="240" w:lineRule="auto"/>
        <w:jc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drawing>
          <wp:inline distT="0" distB="0" distL="114300" distR="114300">
            <wp:extent cx="4936490" cy="3686175"/>
            <wp:effectExtent l="0" t="0" r="16510" b="9525"/>
            <wp:docPr id="24" name="图片 24" descr="C:\Users\Administrator\Desktop\2026年决算公开\2024年决算公开图表\图7.JPG图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descr="C:\Users\Administrator\Desktop\2026年决算公开\2024年决算公开图表\图7.JPG图7"/>
                    <pic:cNvPicPr>
                      <a:picLocks noChangeAspect="true"/>
                    </pic:cNvPicPr>
                  </pic:nvPicPr>
                  <pic:blipFill>
                    <a:blip r:embed="rId16"/>
                    <a:srcRect/>
                    <a:stretch>
                      <a:fillRect/>
                    </a:stretch>
                  </pic:blipFill>
                  <pic:spPr>
                    <a:xfrm>
                      <a:off x="0" y="0"/>
                      <a:ext cx="4936490" cy="3686175"/>
                    </a:xfrm>
                    <a:prstGeom prst="rect">
                      <a:avLst/>
                    </a:prstGeom>
                  </pic:spPr>
                </pic:pic>
              </a:graphicData>
            </a:graphic>
          </wp:inline>
        </w:drawing>
      </w:r>
    </w:p>
    <w:p>
      <w:pPr>
        <w:spacing w:line="600" w:lineRule="exact"/>
        <w:ind w:firstLine="640"/>
        <w:jc w:val="center"/>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w:t>
      </w:r>
      <w:r>
        <w:rPr>
          <w:rFonts w:hint="eastAsia" w:eastAsia="仿宋_GB2312" w:cs="仿宋_GB2312"/>
          <w:color w:val="auto"/>
          <w:kern w:val="2"/>
          <w:sz w:val="32"/>
          <w:szCs w:val="32"/>
          <w:highlight w:val="none"/>
          <w:lang w:val="en-US" w:eastAsia="zh-CN" w:bidi="ar-SA"/>
        </w:rPr>
        <w:t>图</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全年安排因公出国（境）团组0次，出国（境）0人。</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cs="仿宋_GB2312"/>
          <w:b/>
          <w:bCs/>
          <w:color w:val="auto"/>
          <w:kern w:val="2"/>
          <w:sz w:val="32"/>
          <w:szCs w:val="32"/>
          <w:highlight w:val="none"/>
          <w:lang w:val="en-US" w:eastAsia="zh-CN" w:bidi="ar-SA"/>
        </w:rPr>
        <w:t>18.92</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公务用车购置及运行维护费支出决算比2024年度减少0.29万元，下降1.5%。主要原因是</w:t>
      </w:r>
      <w:r>
        <w:rPr>
          <w:rFonts w:hint="eastAsia" w:eastAsia="方正仿宋_GBK" w:cs="Times New Roman"/>
          <w:color w:val="000000" w:themeColor="text1"/>
          <w:sz w:val="32"/>
          <w:szCs w:val="32"/>
          <w:lang w:val="en-US" w:eastAsia="zh-CN"/>
          <w14:textFill>
            <w14:solidFill>
              <w14:schemeClr w14:val="tx1"/>
            </w14:solidFill>
          </w14:textFill>
        </w:rPr>
        <w:t>2025年度我院进一步规范了公务用车管理</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其中：公务用车购置支出0万元。截至2025年12月31日，</w:t>
      </w:r>
      <w:r>
        <w:rPr>
          <w:rFonts w:hint="eastAsia" w:eastAsia="方正仿宋_GBK" w:cs="Times New Roman"/>
          <w:color w:val="000000" w:themeColor="text1"/>
          <w:sz w:val="32"/>
          <w:szCs w:val="32"/>
          <w:lang w:val="en-US" w:eastAsia="zh-CN"/>
          <w14:textFill>
            <w14:solidFill>
              <w14:schemeClr w14:val="tx1"/>
            </w14:solidFill>
          </w14:textFill>
        </w:rPr>
        <w:t>单位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共有公务用车16辆，其中：轿车8辆、越野车3辆、载客汽车0辆、其他车型5辆。</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公务用车运行维护费支出18.92万元。主要用于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执法执勤、案件审判等</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所需的公务用车燃料费、维修费、过路过桥费、保险费等支出。</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cs="仿宋_GB2312"/>
          <w:b/>
          <w:bCs/>
          <w:color w:val="auto"/>
          <w:kern w:val="2"/>
          <w:sz w:val="32"/>
          <w:szCs w:val="32"/>
          <w:highlight w:val="none"/>
          <w:lang w:val="en-US" w:eastAsia="zh-CN" w:bidi="ar-SA"/>
        </w:rPr>
        <w:t>0.13</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公务接待费支出决算比2024年度减少1.11万元，减少89.5%。主要原因是</w:t>
      </w:r>
      <w:r>
        <w:rPr>
          <w:rFonts w:hint="eastAsia" w:eastAsia="方正仿宋_GBK" w:cs="Times New Roman"/>
          <w:color w:val="000000" w:themeColor="text1"/>
          <w:sz w:val="32"/>
          <w:szCs w:val="32"/>
          <w:lang w:val="en-US" w:eastAsia="zh-CN"/>
          <w14:textFill>
            <w14:solidFill>
              <w14:schemeClr w14:val="tx1"/>
            </w14:solidFill>
          </w14:textFill>
        </w:rPr>
        <w:t>2025年度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司法调研活动、工作交流会议等较上年有所减少</w:t>
      </w:r>
      <w:r>
        <w:rPr>
          <w:rFonts w:hint="eastAsia" w:eastAsia="方正仿宋_GBK" w:cs="Times New Roman"/>
          <w:color w:val="000000" w:themeColor="text1"/>
          <w:sz w:val="32"/>
          <w:szCs w:val="32"/>
          <w:lang w:val="en-US" w:eastAsia="zh-CN"/>
          <w14:textFill>
            <w14:solidFill>
              <w14:schemeClr w14:val="tx1"/>
            </w14:solidFill>
          </w14:textFill>
        </w:rPr>
        <w:t>，造成公务接待减少。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其中：</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国内公务接待支出0.13万元，主要用于执行公务、开展业务活动开支的用餐费。国内公务接待1批次，5人次（不包括陪同人员），共计支出0.13万元，具体内容包括：</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接待</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四川省高级人民法院、攀枝花市中级人民法院等2家法院5人，我院3人陪同，参加2025年省法院环资庭调研环节资源审判工作会议</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，接待金额为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1263元。</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外事接待支出0万元，外事接待0批次，0人次（不包括陪同人员），共计支出0万元。</w:t>
      </w:r>
      <w:bookmarkStart w:id="59" w:name="_Toc15377218"/>
      <w:bookmarkStart w:id="60" w:name="_Toc15396610"/>
    </w:p>
    <w:p>
      <w:pPr>
        <w:pStyle w:val="4"/>
        <w:bidi w:val="0"/>
      </w:pPr>
      <w:bookmarkStart w:id="61" w:name="_Toc21893"/>
      <w:r>
        <w:rPr>
          <w:rFonts w:hint="eastAsia"/>
        </w:rPr>
        <w:t>八、政府性基金预算支出决算情况说明</w:t>
      </w:r>
      <w:bookmarkEnd w:id="59"/>
      <w:bookmarkEnd w:id="60"/>
      <w:bookmarkEnd w:id="61"/>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2025年度政府性基金预算财政拨款支出0万元。</w:t>
      </w:r>
    </w:p>
    <w:p>
      <w:pPr>
        <w:pStyle w:val="4"/>
        <w:bidi w:val="0"/>
      </w:pPr>
      <w:bookmarkStart w:id="62" w:name="_Toc15396611"/>
      <w:bookmarkStart w:id="63" w:name="_Toc15377219"/>
      <w:bookmarkStart w:id="64" w:name="_Toc23701"/>
      <w:r>
        <w:rPr>
          <w:rFonts w:hint="eastAsia"/>
          <w:lang w:eastAsia="zh-CN"/>
        </w:rPr>
        <w:t>九、</w:t>
      </w:r>
      <w:r>
        <w:rPr>
          <w:rFonts w:hint="eastAsia"/>
        </w:rPr>
        <w:t>国有资本经营预算支出决算情况说明</w:t>
      </w:r>
      <w:bookmarkEnd w:id="62"/>
      <w:bookmarkEnd w:id="63"/>
      <w:bookmarkEnd w:id="64"/>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2025年度国有资本经营预算财政拨款支出0万元。</w:t>
      </w:r>
    </w:p>
    <w:p>
      <w:pPr>
        <w:pStyle w:val="4"/>
        <w:bidi w:val="0"/>
        <w:rPr>
          <w:rFonts w:hint="eastAsia"/>
        </w:rPr>
      </w:pPr>
      <w:bookmarkStart w:id="65" w:name="_Toc1738"/>
      <w:bookmarkStart w:id="66" w:name="_Toc15377221"/>
      <w:bookmarkStart w:id="67" w:name="_Toc15396612"/>
      <w:r>
        <w:rPr>
          <w:rFonts w:hint="eastAsia"/>
          <w:lang w:eastAsia="zh-CN"/>
        </w:rPr>
        <w:t>十、</w:t>
      </w:r>
      <w:r>
        <w:rPr>
          <w:rFonts w:hint="eastAsia"/>
        </w:rPr>
        <w:t>其他重要事项的情况说明</w:t>
      </w:r>
      <w:bookmarkEnd w:id="65"/>
      <w:bookmarkEnd w:id="66"/>
      <w:bookmarkEnd w:id="6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8" w:name="_Toc15377222"/>
      <w:r>
        <w:rPr>
          <w:rFonts w:hint="eastAsia" w:ascii="Times New Roman" w:hAnsi="Times New Roman" w:eastAsia="楷体_GB2312" w:cs="楷体_GB2312"/>
          <w:b/>
          <w:color w:val="auto"/>
          <w:sz w:val="32"/>
          <w:szCs w:val="32"/>
          <w:highlight w:val="none"/>
        </w:rPr>
        <w:t>（一）机关运行经费支出情况</w:t>
      </w:r>
      <w:bookmarkEnd w:id="68"/>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2025年度，四川省攀枝花市东区人民法院机关运行经费支出184.3万元，比202</w:t>
      </w:r>
      <w:r>
        <w:rPr>
          <w:rFonts w:hint="eastAsia" w:eastAsia="方正仿宋_GBK" w:cs="Times New Roman"/>
          <w:color w:val="000000" w:themeColor="text1"/>
          <w:sz w:val="32"/>
          <w:szCs w:val="32"/>
          <w:lang w:val="en-US" w:eastAsia="zh-CN"/>
          <w14:textFill>
            <w14:solidFill>
              <w14:schemeClr w14:val="tx1"/>
            </w14:solidFill>
          </w14:textFill>
        </w:rPr>
        <w:t>4</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年度减少24.11万元，减少11.6%。主要原因是我院厉行节俭，合理规划开支，公用经费支出减少。</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9" w:name="_Toc15377223"/>
      <w:r>
        <w:rPr>
          <w:rFonts w:hint="eastAsia" w:ascii="Times New Roman" w:hAnsi="Times New Roman" w:eastAsia="楷体_GB2312" w:cs="楷体_GB2312"/>
          <w:b/>
          <w:color w:val="auto"/>
          <w:sz w:val="32"/>
          <w:szCs w:val="32"/>
          <w:highlight w:val="none"/>
        </w:rPr>
        <w:t>（二）政府采购支出情况</w:t>
      </w:r>
      <w:bookmarkEnd w:id="69"/>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四川省攀枝花市东区人民法院政府采购支出总额25.25万元，其中：政府采购货物支出7.14万元、政府采购工程支出0万元、政府采购服务支出18.11万元。主要用于执法执勤用车的燃油费12万元、维修保养费3.2万元及保险费2.91万元。授予中小企业合同金额15.64万元，占政府采购支出总额的61.9%，其中：授予小微企业合同金额13.14万元，占政府采购支出总额的52%。</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70" w:name="_Toc15377224"/>
      <w:r>
        <w:rPr>
          <w:rFonts w:hint="eastAsia" w:ascii="Times New Roman" w:hAnsi="Times New Roman" w:eastAsia="楷体_GB2312" w:cs="楷体_GB2312"/>
          <w:b/>
          <w:color w:val="auto"/>
          <w:sz w:val="32"/>
          <w:szCs w:val="32"/>
          <w:highlight w:val="none"/>
        </w:rPr>
        <w:t>（三）国有资产占有使用情况</w:t>
      </w:r>
      <w:bookmarkEnd w:id="70"/>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截至2025年12月31日，四川省攀枝花市东区人民法院共有车辆16辆，其中：主要负责人用车0辆、机要通信用车0辆、应急保障用车0辆、其他用车16辆，其他用车主要是用于我院执法执勤工作。单价100万元（含）以上设备（不含车辆）0台（套）。</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根据预算绩效管理要求，本</w:t>
      </w:r>
      <w:r>
        <w:rPr>
          <w:rFonts w:hint="eastAsia" w:eastAsia="方正仿宋_GBK" w:cs="Times New Roman"/>
          <w:color w:val="000000" w:themeColor="text1"/>
          <w:sz w:val="32"/>
          <w:szCs w:val="32"/>
          <w:lang w:val="en-US" w:eastAsia="zh-CN"/>
          <w14:textFill>
            <w14:solidFill>
              <w14:schemeClr w14:val="tx1"/>
            </w14:solidFill>
          </w14:textFill>
        </w:rPr>
        <w:t>单位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在2025年度预算编制阶段，组织对办案经费、人民陪审员经费、司法救助金、信息系统维护费项目4个项目开展了预算事前绩效评估，对4个项目编制了绩效目标，预算执行过程中，选取4个项目开展绩效监控。</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其中，攀枝花市东区人民法院部门整体绩效自评得分为95.63分，绩效自评综述：2025年，我院狠抓工作重点，不断提升审判质效，较好的完成了各项目标任务，履行了部门职能，取得了良好的社会效益；人民法院权威、司法公信力不断增强；人民群众及律师对法院的满意度有所提升。</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人民陪审员专项预算项目绩效自评得分为</w:t>
      </w:r>
      <w:r>
        <w:rPr>
          <w:rFonts w:hint="eastAsia" w:eastAsia="方正仿宋_GBK" w:cs="Times New Roman"/>
          <w:color w:val="auto"/>
          <w:kern w:val="2"/>
          <w:sz w:val="33"/>
          <w:szCs w:val="33"/>
          <w:highlight w:val="none"/>
          <w:lang w:val="en-US" w:eastAsia="zh-CN" w:bidi="ar-SA"/>
        </w:rPr>
        <w:t>80.8</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陪审案件数722件，实际结案率100%。我院合理、充分运用人民陪审员项目经费，使得我院办案效率有效提高，对审判工作的监督得以加强，有效保障了司法的民主、公正。当事人满意度达95%以上，有效践行了司法机关“让每一位群众在司法案件中感受到公平正义”的工作宗旨。</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司法救助金专项预算项目绩效自评得分为</w:t>
      </w:r>
      <w:r>
        <w:rPr>
          <w:rFonts w:hint="eastAsia" w:eastAsia="方正仿宋_GBK" w:cs="Times New Roman"/>
          <w:color w:val="auto"/>
          <w:kern w:val="2"/>
          <w:sz w:val="33"/>
          <w:szCs w:val="33"/>
          <w:highlight w:val="none"/>
          <w:lang w:val="en-US" w:eastAsia="zh-CN" w:bidi="ar-SA"/>
        </w:rPr>
        <w:t>73.8</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司法救助金项目经费实际到位26.56万元，实际使用26.56万元，在预算范围内，根据每年实际需支出的司法救助金做到及时、准确的拨付。我院合理、充分运用司法救助金经费，在保证司法救助工作顺利开展的同时，还厉行节约，有效控制成本，保证各项开支合法合规，账务记录清晰，原始凭证等附件齐全。</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办案经费专项预算项目绩效自评得分为</w:t>
      </w:r>
      <w:r>
        <w:rPr>
          <w:rFonts w:hint="eastAsia" w:eastAsia="方正仿宋_GBK" w:cs="Times New Roman"/>
          <w:color w:val="auto"/>
          <w:kern w:val="2"/>
          <w:sz w:val="33"/>
          <w:szCs w:val="33"/>
          <w:highlight w:val="none"/>
          <w:lang w:val="en-US" w:eastAsia="zh-CN" w:bidi="ar-SA"/>
        </w:rPr>
        <w:t>85.77</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办案经费经费实际到位143.35万元，实际使用143.35万元，做到应用尽用。我院合理、充分运用项目资金，在保证法院审判工作顺利开展的同时，还厉行节约，有效控制成本，保证各项开支合法合规，账务记录清晰，原始凭证等附件齐全。</w:t>
      </w:r>
    </w:p>
    <w:p>
      <w:pPr>
        <w:spacing w:line="600" w:lineRule="exact"/>
        <w:ind w:firstLine="640"/>
        <w:rPr>
          <w:rFonts w:hint="eastAsia"/>
          <w:lang w:val="en-US" w:eastAsia="zh-CN"/>
        </w:rPr>
      </w:pPr>
      <w:r>
        <w:rPr>
          <w:rFonts w:hint="eastAsia" w:ascii="Times New Roman" w:hAnsi="Times New Roman" w:eastAsia="方正仿宋_GBK" w:cs="Times New Roman"/>
          <w:color w:val="auto"/>
          <w:kern w:val="2"/>
          <w:sz w:val="33"/>
          <w:szCs w:val="33"/>
          <w:highlight w:val="none"/>
          <w:lang w:val="en-US" w:eastAsia="zh-CN" w:bidi="ar-SA"/>
        </w:rPr>
        <w:t>信息系统维护费专项预算项目绩效自评得分为</w:t>
      </w:r>
      <w:r>
        <w:rPr>
          <w:rFonts w:hint="eastAsia" w:eastAsia="方正仿宋_GBK" w:cs="Times New Roman"/>
          <w:color w:val="auto"/>
          <w:kern w:val="2"/>
          <w:sz w:val="33"/>
          <w:szCs w:val="33"/>
          <w:highlight w:val="none"/>
          <w:lang w:val="en-US" w:eastAsia="zh-CN" w:bidi="ar-SA"/>
        </w:rPr>
        <w:t>90.24</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信息系统维护费项目经费实际到位14万元，实际使用14万元，做到应用尽用。我院合理、充分运用信息系统维护费经费，保证我院信息化建设稳步推进，保证各项开支合法合规，账务记录清晰，原始凭证等附件齐全。</w:t>
      </w:r>
    </w:p>
    <w:p>
      <w:pP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br w:type="page"/>
      </w:r>
    </w:p>
    <w:p>
      <w:pPr>
        <w:pStyle w:val="3"/>
        <w:bidi w:val="0"/>
        <w:jc w:val="center"/>
        <w:rPr>
          <w:rFonts w:ascii="Times New Roman" w:hAnsi="Times New Roman"/>
          <w:b/>
          <w:color w:val="auto"/>
          <w:sz w:val="44"/>
          <w:szCs w:val="44"/>
          <w:highlight w:val="none"/>
        </w:rPr>
      </w:pPr>
      <w:bookmarkStart w:id="71" w:name="_Toc8307"/>
      <w:bookmarkStart w:id="72" w:name="_Toc15396613"/>
      <w:bookmarkStart w:id="73" w:name="_Toc15377225"/>
      <w:r>
        <w:rPr>
          <w:rFonts w:hint="eastAsia"/>
        </w:rPr>
        <w:t>第</w:t>
      </w:r>
      <w:r>
        <w:rPr>
          <w:rFonts w:hint="eastAsia"/>
          <w:lang w:eastAsia="zh-CN"/>
        </w:rPr>
        <w:t>三</w:t>
      </w:r>
      <w:r>
        <w:rPr>
          <w:rFonts w:hint="eastAsia"/>
        </w:rPr>
        <w:t>部分</w:t>
      </w:r>
      <w:r>
        <w:rPr>
          <w:rFonts w:hint="eastAsia"/>
          <w:lang w:val="en-US" w:eastAsia="zh-CN"/>
        </w:rPr>
        <w:t xml:space="preserve">  </w:t>
      </w:r>
      <w:r>
        <w:rPr>
          <w:rFonts w:hint="eastAsia"/>
        </w:rPr>
        <w:t>名词解释</w:t>
      </w:r>
      <w:bookmarkEnd w:id="71"/>
      <w:bookmarkEnd w:id="72"/>
      <w:bookmarkEnd w:id="73"/>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bookmarkStart w:id="74" w:name="_Toc15377226"/>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1.财政拨款收入：指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从同级财政</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取得的财政预算资金。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2.事业收入：指事业</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开展专业业务活动及辅助活动取得的收入。</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经营收入：指事业单位在专业业务活动及其辅助活动之外开展非独立核算经营活动取得的收入。</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其他收入：指单位取得的除上述收入以外的各项收入。主要是东区财政拨款收入。</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使用非财政拨款结余：指事业单位使用以前年度积累的非财政拨款结余弥补当年收支差额的金额。</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年初结转和结余：指以前年度尚未完成、结转到本年按有关规定继续使用的资金。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7.</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结余分配：指事业单位按照会计制度规定缴纳的所得税、提取的专用结余以及转入非财政拨款结余的金额等。</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8</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.年末结转和结余：指单位按有关规定结转到下年或以后年度继续使用的资金。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9.</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公共安全支出（类）法院（款）行政运行（项）: 反映行政单位（包括实行公务员管理的事业单位）的基本支出。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公共安全支出（类）法院（款）一般行政管理事务（项）: 反映行政单位（包括实行公务员管理的事业单位）未单独设置相应科目的其他项目支出。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11．公共安全支出（类）法院（款）案件审判（项）: 反映人民法院对刑事、民事、行政、涉外等案件审判活动的支出。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12．公共安全支出（类）法院（款）事业运行（项）: 反映事业单位的基本支出，不包括行政单位（包括实行公务员管理的事业单位）后勤服务中心、医务室等附属事业单位。</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13．公共安全支出（类）法院（款）其他法院支出（项）: 反映除行政运行、一般行政管理事务、机关服务、案件审判、案件执行、“两庭”建设、事业运行等项目之外用于法院方面的支出。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14．公共安全支出（类）其他公共安全支出（款）国家司法救助支出（项）: 反映用于国家司法救助方面的支出。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15．公共安全支出（类）其他公共安全支出（款）其他公共安全支出（项）: 反映除上述项目外用于国家安全方面的支出。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16．社会保障和就业支出（类）行政事业单位养老支出（款）行政单位离退休（项）: 反映行政单位（包括实行公务员管理的事业单位）开支的离退休经费。</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17．社会保障和就业支出（类）行政事业单位养老支出（款）机关事业单位基本养老保险缴费支出（项）: 反映机关事业单位实施养老保险制度由单位缴纳的基本养老保险费支出。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18．社会保障和就业支出（类）行政事业单位离退休（款）机关事业单位职业年金缴费支出（项）:反映机关事业单位实施养老保险制度由单位实际缴纳的职业年金支出。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19．社会保障和就业支出（类）抚恤（款）死亡抚恤（项）: 反应按规定用于烈士和牺牲、病故人员家属的一次性和定期抚恤金、丧葬补助费以及烈士褒扬金。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卫生健康支出（类）行政事业单位医疗（款）行政单位医疗（项）:反映财政单位集中安排的行政单位基本医疗保险缴费经费，未参加医疗保险的行政单位的公费医疗经费，按国家规定享受离休人员、红军老战士待遇人员的医疗经费 。</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21．卫生健康支出（类）行政事业单位医疗（款）事业单位医疗（项）: 反映财政单位集中安排的事业单位基本医疗保险缴费经费，未参加医疗保险的事业单位的公费医疗经费，按国家规定享受离休人员待遇的医疗经费 。</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22．卫生健康支出（类）行政事业单位医疗（款）公务员医疗补助（项）: 反映财政单位集中安排的公务员医疗补助经费。</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23．住房保障（类）住房改革支出（款）住房公积金（项）:反映行政事业单位按人力资源和社会保障部、财政部规定的基本工资和津贴补贴以及规定比例为职工缴纳的住房公积金。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24.其他支出（类）其他支出（款）其他支出（项）：反映除上述项目以外其他不能划分到具体功能科目中的支出项目。</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25.基本支出：指为保障机构正常运转、完成日常工作任务而发生的人员支出和公用支出。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 xml:space="preserve">26.项目支出：指在基本支出之外为完成特定行政任务和事业发展目标所发生的支出。 </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27.经营支出：指事业单位在专业业务活动及其辅助活动之外开展非独立核算经营活动发生的支出。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28.“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ascii="Times New Roman" w:hAnsi="Times New Roman" w:eastAsia="方正仿宋_GBK" w:cs="Times New Roman"/>
          <w:sz w:val="33"/>
          <w:szCs w:val="33"/>
          <w:lang w:val="en-US" w:eastAsia="zh-CN"/>
        </w:rPr>
      </w:pPr>
      <w:r>
        <w:rPr>
          <w:rFonts w:hint="eastAsia" w:ascii="Times New Roman" w:hAnsi="Times New Roman" w:eastAsia="方正仿宋_GBK" w:cs="Times New Roman"/>
          <w:sz w:val="33"/>
          <w:szCs w:val="33"/>
          <w:lang w:val="en-US" w:eastAsia="zh-CN"/>
        </w:rPr>
        <w:br w:type="page"/>
      </w:r>
    </w:p>
    <w:p>
      <w:pPr>
        <w:pStyle w:val="3"/>
        <w:numPr>
          <w:ilvl w:val="0"/>
          <w:numId w:val="3"/>
        </w:numPr>
        <w:bidi w:val="0"/>
        <w:jc w:val="center"/>
        <w:rPr>
          <w:rFonts w:hint="eastAsia"/>
          <w:lang w:val="zh-CN" w:eastAsia="zh-CN"/>
        </w:rPr>
      </w:pPr>
      <w:r>
        <w:rPr>
          <w:rFonts w:hint="eastAsia"/>
        </w:rPr>
        <w:t>附</w:t>
      </w:r>
      <w:r>
        <w:rPr>
          <w:rFonts w:hint="eastAsia"/>
          <w:lang w:eastAsia="zh-CN"/>
        </w:rPr>
        <w:t>件</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75" w:name="_Toc15396618"/>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单位预算项目支出绩效自评表（2025年度）见附表。</w:t>
      </w:r>
    </w:p>
    <w:p>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br w:type="page"/>
      </w:r>
    </w:p>
    <w:p>
      <w:pPr>
        <w:pStyle w:val="3"/>
        <w:bidi w:val="0"/>
        <w:jc w:val="center"/>
        <w:rPr>
          <w:rFonts w:hint="eastAsia"/>
        </w:rPr>
      </w:pPr>
      <w:bookmarkStart w:id="76" w:name="_Toc25223"/>
      <w:r>
        <w:rPr>
          <w:rFonts w:hint="eastAsia"/>
        </w:rPr>
        <w:t>第</w:t>
      </w:r>
      <w:r>
        <w:rPr>
          <w:rFonts w:hint="eastAsia"/>
          <w:lang w:eastAsia="zh-CN"/>
        </w:rPr>
        <w:t>五</w:t>
      </w:r>
      <w:r>
        <w:rPr>
          <w:rFonts w:hint="eastAsia"/>
        </w:rPr>
        <w:t>部分 附表</w:t>
      </w:r>
      <w:bookmarkEnd w:id="74"/>
      <w:bookmarkEnd w:id="75"/>
      <w:bookmarkEnd w:id="76"/>
      <w:bookmarkStart w:id="77" w:name="_Toc15396619"/>
    </w:p>
    <w:p>
      <w:pPr>
        <w:adjustRightInd w:val="0"/>
        <w:snapToGrid w:val="0"/>
        <w:spacing w:line="600" w:lineRule="exact"/>
        <w:ind w:firstLine="720"/>
        <w:rPr>
          <w:rFonts w:hint="eastAsia" w:eastAsia="仿宋_GB2312"/>
          <w:sz w:val="32"/>
          <w:szCs w:val="32"/>
          <w:lang w:val="zh-CN" w:eastAsia="zh-CN"/>
        </w:rPr>
      </w:pP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78" w:name="_Toc17053"/>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一、收入支出决算总表</w:t>
      </w:r>
      <w:bookmarkEnd w:id="77"/>
      <w:bookmarkEnd w:id="78"/>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79" w:name="_Toc15396620"/>
      <w:bookmarkStart w:id="80" w:name="_Toc5927"/>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二、收入决算表</w:t>
      </w:r>
      <w:bookmarkEnd w:id="79"/>
      <w:bookmarkEnd w:id="80"/>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1" w:name="_Toc15396621"/>
      <w:bookmarkStart w:id="82" w:name="_Toc27416"/>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三、支出决算表</w:t>
      </w:r>
      <w:bookmarkEnd w:id="81"/>
      <w:bookmarkEnd w:id="82"/>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3" w:name="_Toc10953"/>
      <w:bookmarkStart w:id="84" w:name="_Toc15396622"/>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四、财政拨款收入支出决算总表</w:t>
      </w:r>
      <w:bookmarkEnd w:id="83"/>
      <w:bookmarkEnd w:id="84"/>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5" w:name="_Toc26776"/>
      <w:bookmarkStart w:id="86" w:name="_Toc15396623"/>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五、财政拨款支出决算明细表</w:t>
      </w:r>
      <w:bookmarkEnd w:id="85"/>
      <w:bookmarkEnd w:id="86"/>
      <w:bookmarkStart w:id="87" w:name="_Toc15396624"/>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8" w:name="_Toc27193"/>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六、一般公共预算财政拨款支出决算表</w:t>
      </w:r>
      <w:bookmarkEnd w:id="87"/>
      <w:bookmarkEnd w:id="88"/>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9" w:name="_Toc15396625"/>
      <w:bookmarkStart w:id="90" w:name="_Toc24348"/>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七、一般公共预算财政拨款支出决算明细表</w:t>
      </w:r>
      <w:bookmarkEnd w:id="89"/>
      <w:bookmarkEnd w:id="90"/>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1" w:name="_Toc21071"/>
      <w:bookmarkStart w:id="92" w:name="_Toc15396626"/>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八、一般公共预算财政拨款基本支出决算表</w:t>
      </w:r>
      <w:bookmarkEnd w:id="91"/>
      <w:bookmarkEnd w:id="92"/>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3" w:name="_Toc15396627"/>
      <w:bookmarkStart w:id="94" w:name="_Toc1422"/>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九、一般公共预算财政拨款项目支出决算表</w:t>
      </w:r>
      <w:bookmarkEnd w:id="93"/>
      <w:bookmarkEnd w:id="94"/>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5" w:name="_Toc15396628"/>
      <w:bookmarkStart w:id="96" w:name="_Toc32254"/>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w:t>
      </w:r>
      <w:bookmarkEnd w:id="95"/>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政府性基金预算财政拨款收入支出决算表</w:t>
      </w:r>
      <w:bookmarkEnd w:id="96"/>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7" w:name="_Toc15396629"/>
      <w:bookmarkStart w:id="98" w:name="_Toc29719"/>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十一、</w:t>
      </w:r>
      <w:bookmarkEnd w:id="97"/>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国有资本经营预算财政拨款收入支出决算表</w:t>
      </w:r>
      <w:bookmarkEnd w:id="98"/>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9" w:name="_Toc15396630"/>
      <w:bookmarkStart w:id="100" w:name="_Toc29119"/>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十二、</w:t>
      </w:r>
      <w:bookmarkEnd w:id="99"/>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国有资本经营预算财政拨款支出决算表</w:t>
      </w:r>
      <w:bookmarkEnd w:id="100"/>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101" w:name="_Toc15396631"/>
      <w:bookmarkStart w:id="102" w:name="_Toc7774"/>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十三、</w:t>
      </w:r>
      <w:bookmarkEnd w:id="101"/>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财政拨款“三公”经费支出决算表</w:t>
      </w:r>
      <w:bookmarkEnd w:id="102"/>
    </w:p>
    <w:p>
      <w:pPr>
        <w:adjustRightInd w:val="0"/>
        <w:snapToGrid w:val="0"/>
        <w:spacing w:line="600" w:lineRule="exact"/>
        <w:ind w:firstLine="720"/>
        <w:rPr>
          <w:rFonts w:hint="eastAsia" w:eastAsia="仿宋_GB2312"/>
          <w:sz w:val="32"/>
          <w:szCs w:val="32"/>
          <w:lang w:val="zh-CN" w:eastAsia="zh-CN"/>
        </w:rPr>
      </w:pPr>
    </w:p>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仿宋">
    <w:panose1 w:val="02010609060101010101"/>
    <w:charset w:val="86"/>
    <w:family w:val="auto"/>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817733"/>
    <w:multiLevelType w:val="singleLevel"/>
    <w:tmpl w:val="CB817733"/>
    <w:lvl w:ilvl="0" w:tentative="0">
      <w:start w:val="1"/>
      <w:numFmt w:val="chineseCounting"/>
      <w:suff w:val="nothing"/>
      <w:lvlText w:val="%1、"/>
      <w:lvlJc w:val="left"/>
      <w:rPr>
        <w:rFonts w:hint="eastAsia"/>
      </w:rPr>
    </w:lvl>
  </w:abstractNum>
  <w:abstractNum w:abstractNumId="1">
    <w:nsid w:val="F9F58DB5"/>
    <w:multiLevelType w:val="singleLevel"/>
    <w:tmpl w:val="F9F58DB5"/>
    <w:lvl w:ilvl="0" w:tentative="0">
      <w:start w:val="4"/>
      <w:numFmt w:val="chineseCounting"/>
      <w:suff w:val="space"/>
      <w:lvlText w:val="第%1部分"/>
      <w:lvlJc w:val="left"/>
      <w:rPr>
        <w:rFonts w:hint="eastAsia"/>
      </w:rPr>
    </w:lvl>
  </w:abstractNum>
  <w:abstractNum w:abstractNumId="2">
    <w:nsid w:val="71D778F8"/>
    <w:multiLevelType w:val="singleLevel"/>
    <w:tmpl w:val="71D778F8"/>
    <w:lvl w:ilvl="0" w:tentative="0">
      <w:start w:val="1"/>
      <w:numFmt w:val="decimal"/>
      <w:suff w:val="nothing"/>
      <w:lvlText w:val="%1、"/>
      <w:lvlJc w:val="left"/>
      <w:rPr>
        <w:rFonts w:hint="default"/>
        <w:sz w:val="32"/>
        <w:szCs w:val="32"/>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228A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173C2F"/>
    <w:rsid w:val="02FEBE30"/>
    <w:rsid w:val="038571E0"/>
    <w:rsid w:val="04916F1E"/>
    <w:rsid w:val="061E35DE"/>
    <w:rsid w:val="066E0107"/>
    <w:rsid w:val="07996F6E"/>
    <w:rsid w:val="07DFD8BA"/>
    <w:rsid w:val="09867E8F"/>
    <w:rsid w:val="0A2032A3"/>
    <w:rsid w:val="0CA8290A"/>
    <w:rsid w:val="0D35B1ED"/>
    <w:rsid w:val="0E254B6B"/>
    <w:rsid w:val="0EC7776F"/>
    <w:rsid w:val="0F437E11"/>
    <w:rsid w:val="0F6B49F3"/>
    <w:rsid w:val="0F98263C"/>
    <w:rsid w:val="101860EC"/>
    <w:rsid w:val="101F47CC"/>
    <w:rsid w:val="10C055FF"/>
    <w:rsid w:val="11694EBD"/>
    <w:rsid w:val="11772AA4"/>
    <w:rsid w:val="118107EC"/>
    <w:rsid w:val="11D0201D"/>
    <w:rsid w:val="125466D3"/>
    <w:rsid w:val="12E24EE2"/>
    <w:rsid w:val="13D50BC4"/>
    <w:rsid w:val="13E75DFD"/>
    <w:rsid w:val="14B17F78"/>
    <w:rsid w:val="14BF612F"/>
    <w:rsid w:val="14FB20D9"/>
    <w:rsid w:val="165E0673"/>
    <w:rsid w:val="16B831D5"/>
    <w:rsid w:val="16BB723D"/>
    <w:rsid w:val="17E50567"/>
    <w:rsid w:val="186504BB"/>
    <w:rsid w:val="19A445FC"/>
    <w:rsid w:val="1BE8440E"/>
    <w:rsid w:val="1CA04473"/>
    <w:rsid w:val="1D155CEE"/>
    <w:rsid w:val="1D1638FE"/>
    <w:rsid w:val="1DB91AD3"/>
    <w:rsid w:val="1E312DEB"/>
    <w:rsid w:val="1E740ACF"/>
    <w:rsid w:val="1E8471DD"/>
    <w:rsid w:val="1FF35744"/>
    <w:rsid w:val="1FF6BC77"/>
    <w:rsid w:val="2186353C"/>
    <w:rsid w:val="23860B96"/>
    <w:rsid w:val="240371BF"/>
    <w:rsid w:val="244F3473"/>
    <w:rsid w:val="24C97D99"/>
    <w:rsid w:val="25A718F0"/>
    <w:rsid w:val="25BB59F6"/>
    <w:rsid w:val="260F557C"/>
    <w:rsid w:val="26970054"/>
    <w:rsid w:val="281408E2"/>
    <w:rsid w:val="2915632A"/>
    <w:rsid w:val="29FD04D3"/>
    <w:rsid w:val="2BFF7BC6"/>
    <w:rsid w:val="2C8A61B5"/>
    <w:rsid w:val="2D451C9A"/>
    <w:rsid w:val="2DF04E50"/>
    <w:rsid w:val="2E586DFA"/>
    <w:rsid w:val="2F040D46"/>
    <w:rsid w:val="2F6B035B"/>
    <w:rsid w:val="2FAE5751"/>
    <w:rsid w:val="2FB1A395"/>
    <w:rsid w:val="2FD9A7D8"/>
    <w:rsid w:val="2FDBF714"/>
    <w:rsid w:val="30AB6865"/>
    <w:rsid w:val="319F7F4E"/>
    <w:rsid w:val="32BD1EF1"/>
    <w:rsid w:val="3304709D"/>
    <w:rsid w:val="337C3FC5"/>
    <w:rsid w:val="33A773CB"/>
    <w:rsid w:val="349D6851"/>
    <w:rsid w:val="35455B14"/>
    <w:rsid w:val="36AA5135"/>
    <w:rsid w:val="36BE0DA7"/>
    <w:rsid w:val="376B6AA6"/>
    <w:rsid w:val="376D39B2"/>
    <w:rsid w:val="37DE7E55"/>
    <w:rsid w:val="37E16F03"/>
    <w:rsid w:val="37F53A3B"/>
    <w:rsid w:val="389B6C89"/>
    <w:rsid w:val="38D469F0"/>
    <w:rsid w:val="39627CCD"/>
    <w:rsid w:val="397BAF1F"/>
    <w:rsid w:val="3A0D4616"/>
    <w:rsid w:val="3A117D49"/>
    <w:rsid w:val="3AB79AF3"/>
    <w:rsid w:val="3ABA0B83"/>
    <w:rsid w:val="3AE834C0"/>
    <w:rsid w:val="3B5B6CD8"/>
    <w:rsid w:val="3B7EF35A"/>
    <w:rsid w:val="3B9FDB6C"/>
    <w:rsid w:val="3BF5BC2F"/>
    <w:rsid w:val="3CEBA265"/>
    <w:rsid w:val="3D98207C"/>
    <w:rsid w:val="3DEE7CF3"/>
    <w:rsid w:val="3E740A63"/>
    <w:rsid w:val="3E78745D"/>
    <w:rsid w:val="3EE17838"/>
    <w:rsid w:val="3F55381A"/>
    <w:rsid w:val="3F7F7599"/>
    <w:rsid w:val="3FF4CAE0"/>
    <w:rsid w:val="3FF7B227"/>
    <w:rsid w:val="44E268DA"/>
    <w:rsid w:val="44F633C3"/>
    <w:rsid w:val="450D13D7"/>
    <w:rsid w:val="45506656"/>
    <w:rsid w:val="47C879B9"/>
    <w:rsid w:val="482251CE"/>
    <w:rsid w:val="486A6C7A"/>
    <w:rsid w:val="487E1D5D"/>
    <w:rsid w:val="497951B9"/>
    <w:rsid w:val="4A627F82"/>
    <w:rsid w:val="4B0E749A"/>
    <w:rsid w:val="4B2477C4"/>
    <w:rsid w:val="4B4F25DA"/>
    <w:rsid w:val="4BE068DB"/>
    <w:rsid w:val="4D577224"/>
    <w:rsid w:val="4DBF1CEB"/>
    <w:rsid w:val="4DF0007C"/>
    <w:rsid w:val="4E3C33C6"/>
    <w:rsid w:val="4EAB630A"/>
    <w:rsid w:val="4ECE2238"/>
    <w:rsid w:val="4F80710F"/>
    <w:rsid w:val="4F833267"/>
    <w:rsid w:val="4FE9BD67"/>
    <w:rsid w:val="4FFB052F"/>
    <w:rsid w:val="537E6D0A"/>
    <w:rsid w:val="53F74C96"/>
    <w:rsid w:val="549E63A2"/>
    <w:rsid w:val="55170BA8"/>
    <w:rsid w:val="553218C9"/>
    <w:rsid w:val="567E1AA5"/>
    <w:rsid w:val="56E47B74"/>
    <w:rsid w:val="57175D52"/>
    <w:rsid w:val="57BD3DD4"/>
    <w:rsid w:val="584960D7"/>
    <w:rsid w:val="589D722F"/>
    <w:rsid w:val="58FF1AED"/>
    <w:rsid w:val="5A3B3871"/>
    <w:rsid w:val="5AF92295"/>
    <w:rsid w:val="5B250254"/>
    <w:rsid w:val="5B5F0D1B"/>
    <w:rsid w:val="5BDD79E6"/>
    <w:rsid w:val="5BF561CA"/>
    <w:rsid w:val="5BFF5DFC"/>
    <w:rsid w:val="5CD71FC4"/>
    <w:rsid w:val="5D1F11B5"/>
    <w:rsid w:val="5D695134"/>
    <w:rsid w:val="5DAE1B18"/>
    <w:rsid w:val="5DE7D9E5"/>
    <w:rsid w:val="5E68269B"/>
    <w:rsid w:val="5ECEC941"/>
    <w:rsid w:val="5FBF9FF3"/>
    <w:rsid w:val="5FCD4E2C"/>
    <w:rsid w:val="5FEF394A"/>
    <w:rsid w:val="5FF67715"/>
    <w:rsid w:val="60F67351"/>
    <w:rsid w:val="617445B9"/>
    <w:rsid w:val="621A52DB"/>
    <w:rsid w:val="62BF3928"/>
    <w:rsid w:val="63241F79"/>
    <w:rsid w:val="63B3701E"/>
    <w:rsid w:val="647F5392"/>
    <w:rsid w:val="64AA3F7E"/>
    <w:rsid w:val="65E66580"/>
    <w:rsid w:val="664B1D71"/>
    <w:rsid w:val="664B4E8E"/>
    <w:rsid w:val="67277B67"/>
    <w:rsid w:val="67AA3209"/>
    <w:rsid w:val="698D0931"/>
    <w:rsid w:val="6A7FE5F3"/>
    <w:rsid w:val="6B053271"/>
    <w:rsid w:val="6BDD78B3"/>
    <w:rsid w:val="6BEC4697"/>
    <w:rsid w:val="6C4A05C8"/>
    <w:rsid w:val="6C8742B8"/>
    <w:rsid w:val="6DBF5E93"/>
    <w:rsid w:val="6DFF077E"/>
    <w:rsid w:val="6E714EF0"/>
    <w:rsid w:val="6E7E3605"/>
    <w:rsid w:val="6E7FDCC7"/>
    <w:rsid w:val="6ED6A62E"/>
    <w:rsid w:val="6EE00B15"/>
    <w:rsid w:val="6F6FB3EB"/>
    <w:rsid w:val="6F8731EA"/>
    <w:rsid w:val="6FC73F26"/>
    <w:rsid w:val="6FCE6052"/>
    <w:rsid w:val="6FD57C00"/>
    <w:rsid w:val="6FEFFFD8"/>
    <w:rsid w:val="6FF5CC65"/>
    <w:rsid w:val="6FFB47EC"/>
    <w:rsid w:val="6FFF034A"/>
    <w:rsid w:val="70484440"/>
    <w:rsid w:val="712A28F1"/>
    <w:rsid w:val="715C0E4B"/>
    <w:rsid w:val="71992E7C"/>
    <w:rsid w:val="72233669"/>
    <w:rsid w:val="72666E9C"/>
    <w:rsid w:val="72734D90"/>
    <w:rsid w:val="73160E6D"/>
    <w:rsid w:val="7332FE48"/>
    <w:rsid w:val="73AB61DA"/>
    <w:rsid w:val="73AD73D5"/>
    <w:rsid w:val="73B6EB34"/>
    <w:rsid w:val="73FA497D"/>
    <w:rsid w:val="744731E5"/>
    <w:rsid w:val="74BBD01D"/>
    <w:rsid w:val="74ED5379"/>
    <w:rsid w:val="75152352"/>
    <w:rsid w:val="75993EAC"/>
    <w:rsid w:val="75DEEEC2"/>
    <w:rsid w:val="75E32345"/>
    <w:rsid w:val="76BA3172"/>
    <w:rsid w:val="76E3355F"/>
    <w:rsid w:val="76FF5125"/>
    <w:rsid w:val="77636498"/>
    <w:rsid w:val="776F6FFA"/>
    <w:rsid w:val="778769C8"/>
    <w:rsid w:val="77A75DCA"/>
    <w:rsid w:val="77DC22F5"/>
    <w:rsid w:val="78351885"/>
    <w:rsid w:val="783E271A"/>
    <w:rsid w:val="78616DE9"/>
    <w:rsid w:val="78E875D7"/>
    <w:rsid w:val="78FD609A"/>
    <w:rsid w:val="79086DAD"/>
    <w:rsid w:val="79D7FD79"/>
    <w:rsid w:val="79EE5BA4"/>
    <w:rsid w:val="7A34058C"/>
    <w:rsid w:val="7A894339"/>
    <w:rsid w:val="7AD284E8"/>
    <w:rsid w:val="7AFF7572"/>
    <w:rsid w:val="7B613DE7"/>
    <w:rsid w:val="7B6C7DFB"/>
    <w:rsid w:val="7BBFBED0"/>
    <w:rsid w:val="7BC3E394"/>
    <w:rsid w:val="7C1F3737"/>
    <w:rsid w:val="7CBFC87B"/>
    <w:rsid w:val="7CFE0F48"/>
    <w:rsid w:val="7D272ABC"/>
    <w:rsid w:val="7D2E22BD"/>
    <w:rsid w:val="7D7EC23E"/>
    <w:rsid w:val="7DF78FC9"/>
    <w:rsid w:val="7E8ADEBF"/>
    <w:rsid w:val="7EEA7F7A"/>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eastAsia="黑体" w:asciiTheme="majorAscii" w:hAnsiTheme="majorAscii"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7"/>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qFormat/>
    <w:uiPriority w:val="0"/>
    <w:rPr>
      <w:rFonts w:ascii="宋体" w:hAnsi="Courier New" w:eastAsia="宋体"/>
      <w:sz w:val="21"/>
    </w:r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eastAsia="黑体" w:asciiTheme="majorAscii" w:hAnsiTheme="majorAscii"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Normal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38">
    <w:name w:val="WPSOffice手动目录 1"/>
    <w:qFormat/>
    <w:uiPriority w:val="0"/>
    <w:pPr>
      <w:ind w:leftChars="0"/>
    </w:pPr>
    <w:rPr>
      <w:rFonts w:asciiTheme="minorHAnsi" w:hAnsiTheme="minorHAnsi" w:eastAsiaTheme="minorEastAsia" w:cstheme="minorBidi"/>
      <w:sz w:val="20"/>
      <w:szCs w:val="20"/>
    </w:rPr>
  </w:style>
  <w:style w:type="paragraph" w:customStyle="1" w:styleId="39">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1</TotalTime>
  <ScaleCrop>false</ScaleCrop>
  <LinksUpToDate>false</LinksUpToDate>
  <CharactersWithSpaces>8692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2025-08-07T01:34:00Z</cp:lastPrinted>
  <dcterms:modified xsi:type="dcterms:W3CDTF">2026-09-10T15:55:48Z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E8ED2D5BA6E84D1EA187C5FE2FCED3F5</vt:lpwstr>
  </property>
</Properties>
</file>