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hint="eastAsia" w:ascii="Times New Roman" w:hAnsi="Times New Roman" w:eastAsia="方正小标宋简体" w:cs="Times New Roman"/>
          <w:color w:val="auto"/>
          <w:kern w:val="2"/>
          <w:sz w:val="44"/>
          <w:szCs w:val="44"/>
          <w:highlight w:val="none"/>
          <w:lang w:val="en-US" w:eastAsia="zh-CN" w:bidi="ar-SA"/>
        </w:rPr>
      </w:pPr>
      <w:bookmarkStart w:id="0" w:name="_Toc15396475"/>
      <w:bookmarkStart w:id="1" w:name="_Toc15378441"/>
      <w:bookmarkStart w:id="2" w:name="_Toc15377193"/>
      <w:bookmarkStart w:id="3" w:name="_Toc15396597"/>
      <w:bookmarkStart w:id="4" w:name="_Toc15377425"/>
      <w:bookmarkStart w:id="5" w:name="_Toc15306267"/>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2"/>
        <w:ind w:left="0" w:leftChars="0" w:firstLine="0" w:firstLineChars="0"/>
        <w:jc w:val="center"/>
        <w:rPr>
          <w:rFonts w:hint="eastAsia" w:ascii="Times New Roman" w:eastAsia="方正小标宋简体" w:cs="Times New Roman"/>
          <w:color w:val="auto"/>
          <w:kern w:val="2"/>
          <w:sz w:val="44"/>
          <w:szCs w:val="44"/>
          <w:highlight w:val="none"/>
          <w:lang w:val="en-US" w:eastAsia="zh-CN" w:bidi="ar-SA"/>
        </w:rPr>
      </w:pPr>
      <w:bookmarkStart w:id="6" w:name="_Toc15377194"/>
      <w:bookmarkStart w:id="7" w:name="_Toc15396476"/>
      <w:bookmarkStart w:id="8" w:name="_Toc15377426"/>
      <w:bookmarkStart w:id="9" w:name="_Toc15396598"/>
      <w:bookmarkStart w:id="10" w:name="_Toc15378442"/>
      <w:r>
        <w:rPr>
          <w:rFonts w:hint="eastAsia" w:ascii="Times New Roman" w:eastAsia="方正小标宋简体" w:cs="Times New Roman"/>
          <w:color w:val="auto"/>
          <w:kern w:val="2"/>
          <w:sz w:val="44"/>
          <w:szCs w:val="44"/>
          <w:highlight w:val="none"/>
          <w:lang w:val="en-US" w:eastAsia="zh-CN" w:bidi="ar-SA"/>
        </w:rPr>
        <w:t>2025</w:t>
      </w:r>
      <w:r>
        <w:rPr>
          <w:rFonts w:hint="eastAsia" w:ascii="Times New Roman" w:hAnsi="Times New Roman" w:eastAsia="方正小标宋简体" w:cs="Times New Roman"/>
          <w:color w:val="auto"/>
          <w:kern w:val="2"/>
          <w:sz w:val="44"/>
          <w:szCs w:val="44"/>
          <w:highlight w:val="none"/>
          <w:lang w:val="en-US" w:eastAsia="zh-CN" w:bidi="ar-SA"/>
        </w:rPr>
        <w:t>年度</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攀枝花市东区人民法院</w:t>
      </w: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部门</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r>
        <w:rPr>
          <w:rFonts w:hint="eastAsia" w:ascii="Times New Roman" w:hAnsi="Times New Roman" w:eastAsia="方正小标宋简体" w:cs="Times New Roman"/>
          <w:color w:val="auto"/>
          <w:kern w:val="2"/>
          <w:sz w:val="44"/>
          <w:szCs w:val="44"/>
          <w:highlight w:val="none"/>
          <w:lang w:val="en-US" w:eastAsia="zh-CN" w:bidi="ar-SA"/>
        </w:rPr>
        <w:t>公开说明</w:t>
      </w:r>
    </w:p>
    <w:p>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default" w:ascii="Times New Roman" w:hAnsi="Times New Roman" w:eastAsia="仿宋_GB2312" w:cs="仿宋_GB2312"/>
          <w:color w:val="auto"/>
          <w:sz w:val="32"/>
          <w:szCs w:val="32"/>
          <w:highlight w:val="none"/>
          <w:lang w:val="en"/>
        </w:rPr>
        <w:t>9</w:t>
      </w:r>
      <w:r>
        <w:rPr>
          <w:rFonts w:hint="eastAsia" w:ascii="Times New Roman" w:hAnsi="Times New Roman" w:eastAsia="仿宋_GB2312" w:cs="仿宋_GB2312"/>
          <w:color w:val="auto"/>
          <w:sz w:val="32"/>
          <w:szCs w:val="32"/>
          <w:highlight w:val="none"/>
        </w:rPr>
        <w:t>月</w:t>
      </w:r>
      <w:r>
        <w:rPr>
          <w:rFonts w:hint="default" w:ascii="Times New Roman" w:hAnsi="Times New Roman" w:eastAsia="仿宋_GB2312" w:cs="仿宋_GB2312"/>
          <w:color w:val="auto"/>
          <w:sz w:val="32"/>
          <w:szCs w:val="32"/>
          <w:highlight w:val="none"/>
          <w:lang w:val="en" w:eastAsia="zh-CN"/>
        </w:rPr>
        <w:t>10</w:t>
      </w:r>
      <w:bookmarkStart w:id="103" w:name="_GoBack"/>
      <w:bookmarkEnd w:id="103"/>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70348"/>
        <w15:color w:val="DBDBDB"/>
        <w:docPartObj>
          <w:docPartGallery w:val="Table of Contents"/>
          <w:docPartUnique/>
        </w:docPartObj>
      </w:sdtPr>
      <w:sdtEndPr>
        <w:rPr>
          <w:rFonts w:hint="eastAsia" w:ascii="Times New Roman" w:hAnsi="Times New Roman" w:eastAsia="宋体" w:cs="Times New Roman"/>
          <w:b/>
          <w:bCs/>
          <w:kern w:val="44"/>
          <w:sz w:val="44"/>
          <w:szCs w:val="44"/>
          <w:lang w:val="en-US" w:eastAsia="zh-CN" w:bidi="ar-SA"/>
        </w:rPr>
      </w:sdtEndPr>
      <w:sdtContent>
        <w:p>
          <w:pPr>
            <w:spacing w:before="0" w:beforeLines="0" w:after="0" w:afterLines="0" w:line="240" w:lineRule="auto"/>
            <w:ind w:left="0" w:leftChars="0" w:right="0" w:rightChars="0" w:firstLine="0" w:firstLineChars="0"/>
            <w:jc w:val="center"/>
          </w:pPr>
          <w:bookmarkStart w:id="12" w:name="_Toc15396599"/>
          <w:bookmarkStart w:id="13" w:name="_Toc15377196"/>
        </w:p>
        <w:p>
          <w:pPr>
            <w:pStyle w:val="38"/>
            <w:tabs>
              <w:tab w:val="right" w:leader="dot" w:pos="8306"/>
            </w:tabs>
            <w:rPr>
              <w:rFonts w:hint="eastAsia" w:ascii="黑体" w:hAnsi="黑体" w:eastAsia="黑体" w:cs="黑体"/>
              <w:b/>
              <w:sz w:val="32"/>
              <w:szCs w:val="32"/>
            </w:rPr>
          </w:pPr>
          <w:r>
            <w:rPr>
              <w:rFonts w:hint="eastAsia"/>
            </w:rPr>
            <w:fldChar w:fldCharType="begin"/>
          </w:r>
          <w:r>
            <w:rPr>
              <w:rFonts w:hint="eastAsia"/>
            </w:rPr>
            <w:instrText xml:space="preserve">TOC \o "1-2" \h \u </w:instrText>
          </w:r>
          <w:r>
            <w:rPr>
              <w:rFonts w:hint="eastAsia"/>
            </w:rPr>
            <w:fldChar w:fldCharType="separate"/>
          </w: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HYPERLINK \l _Toc23669 </w:instrText>
          </w:r>
          <w:r>
            <w:rPr>
              <w:rFonts w:hint="eastAsia" w:ascii="黑体" w:hAnsi="黑体" w:eastAsia="黑体" w:cs="黑体"/>
              <w:b/>
              <w:sz w:val="32"/>
              <w:szCs w:val="32"/>
            </w:rPr>
            <w:fldChar w:fldCharType="separate"/>
          </w:r>
          <w:r>
            <w:rPr>
              <w:rFonts w:hint="eastAsia" w:ascii="黑体" w:hAnsi="黑体" w:eastAsia="黑体" w:cs="黑体"/>
              <w:b/>
              <w:sz w:val="32"/>
              <w:szCs w:val="32"/>
            </w:rPr>
            <w:t>第一部分</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 xml:space="preserve"> </w:t>
          </w:r>
          <w:r>
            <w:rPr>
              <w:rFonts w:hint="eastAsia" w:ascii="黑体" w:hAnsi="黑体" w:eastAsia="黑体" w:cs="黑体"/>
              <w:b/>
              <w:sz w:val="32"/>
              <w:szCs w:val="32"/>
              <w:lang w:eastAsia="zh-CN"/>
            </w:rPr>
            <w:t>部门</w:t>
          </w:r>
          <w:r>
            <w:rPr>
              <w:rFonts w:hint="eastAsia" w:ascii="黑体" w:hAnsi="黑体" w:eastAsia="黑体" w:cs="黑体"/>
              <w:b/>
              <w:sz w:val="32"/>
              <w:szCs w:val="32"/>
            </w:rPr>
            <w:t>概况</w:t>
          </w:r>
          <w:r>
            <w:rPr>
              <w:rFonts w:hint="eastAsia" w:ascii="黑体" w:hAnsi="黑体" w:eastAsia="黑体" w:cs="黑体"/>
              <w:b/>
              <w:sz w:val="32"/>
              <w:szCs w:val="32"/>
            </w:rPr>
            <w:tab/>
          </w: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PAGEREF _Toc23669 \h </w:instrText>
          </w:r>
          <w:r>
            <w:rPr>
              <w:rFonts w:hint="eastAsia" w:ascii="黑体" w:hAnsi="黑体" w:eastAsia="黑体" w:cs="黑体"/>
              <w:b/>
              <w:sz w:val="32"/>
              <w:szCs w:val="32"/>
            </w:rPr>
            <w:fldChar w:fldCharType="separate"/>
          </w:r>
          <w:r>
            <w:rPr>
              <w:rFonts w:hint="eastAsia" w:ascii="黑体" w:hAnsi="黑体" w:eastAsia="黑体" w:cs="黑体"/>
              <w:b/>
              <w:sz w:val="32"/>
              <w:szCs w:val="32"/>
            </w:rPr>
            <w:t>1</w:t>
          </w:r>
          <w:r>
            <w:rPr>
              <w:rFonts w:hint="eastAsia" w:ascii="黑体" w:hAnsi="黑体" w:eastAsia="黑体" w:cs="黑体"/>
              <w:b/>
              <w:sz w:val="32"/>
              <w:szCs w:val="32"/>
            </w:rPr>
            <w:fldChar w:fldCharType="end"/>
          </w:r>
          <w:r>
            <w:rPr>
              <w:rFonts w:hint="eastAsia" w:ascii="黑体" w:hAnsi="黑体" w:eastAsia="黑体" w:cs="黑体"/>
              <w:b/>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_Toc20821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一、部门职责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_Toc20821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_Toc8701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_Toc8701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8"/>
            <w:tabs>
              <w:tab w:val="right" w:leader="dot" w:pos="8306"/>
            </w:tabs>
            <w:rPr>
              <w:rFonts w:hint="eastAsia" w:ascii="黑体" w:hAnsi="黑体" w:eastAsia="黑体" w:cs="黑体"/>
              <w:b/>
              <w:sz w:val="32"/>
              <w:szCs w:val="32"/>
            </w:rPr>
          </w:pP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HYPERLINK \l _Toc8223 </w:instrText>
          </w:r>
          <w:r>
            <w:rPr>
              <w:rFonts w:hint="eastAsia" w:ascii="黑体" w:hAnsi="黑体" w:eastAsia="黑体" w:cs="黑体"/>
              <w:b/>
              <w:sz w:val="32"/>
              <w:szCs w:val="32"/>
            </w:rPr>
            <w:fldChar w:fldCharType="separate"/>
          </w:r>
          <w:r>
            <w:rPr>
              <w:rFonts w:hint="eastAsia" w:ascii="黑体" w:hAnsi="黑体" w:eastAsia="黑体" w:cs="黑体"/>
              <w:b/>
              <w:sz w:val="32"/>
              <w:szCs w:val="32"/>
            </w:rPr>
            <w:t>第二部分</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 xml:space="preserve"> </w:t>
          </w:r>
          <w:r>
            <w:rPr>
              <w:rFonts w:hint="eastAsia" w:ascii="黑体" w:hAnsi="黑体" w:eastAsia="黑体" w:cs="黑体"/>
              <w:b/>
              <w:sz w:val="32"/>
              <w:szCs w:val="32"/>
              <w:lang w:val="en-US" w:eastAsia="zh-CN"/>
            </w:rPr>
            <w:t>2025年度部门</w:t>
          </w:r>
          <w:r>
            <w:rPr>
              <w:rFonts w:hint="eastAsia" w:ascii="黑体" w:hAnsi="黑体" w:eastAsia="黑体" w:cs="黑体"/>
              <w:b/>
              <w:sz w:val="32"/>
              <w:szCs w:val="32"/>
            </w:rPr>
            <w:t>决算情况说明</w:t>
          </w:r>
          <w:r>
            <w:rPr>
              <w:rFonts w:hint="eastAsia" w:ascii="黑体" w:hAnsi="黑体" w:eastAsia="黑体" w:cs="黑体"/>
              <w:b/>
              <w:sz w:val="32"/>
              <w:szCs w:val="32"/>
            </w:rPr>
            <w:tab/>
          </w: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PAGEREF _Toc8223 \h </w:instrText>
          </w:r>
          <w:r>
            <w:rPr>
              <w:rFonts w:hint="eastAsia" w:ascii="黑体" w:hAnsi="黑体" w:eastAsia="黑体" w:cs="黑体"/>
              <w:b/>
              <w:sz w:val="32"/>
              <w:szCs w:val="32"/>
            </w:rPr>
            <w:fldChar w:fldCharType="separate"/>
          </w:r>
          <w:r>
            <w:rPr>
              <w:rFonts w:hint="eastAsia" w:ascii="黑体" w:hAnsi="黑体" w:eastAsia="黑体" w:cs="黑体"/>
              <w:b/>
              <w:sz w:val="32"/>
              <w:szCs w:val="32"/>
            </w:rPr>
            <w:t>4</w:t>
          </w:r>
          <w:r>
            <w:rPr>
              <w:rFonts w:hint="eastAsia" w:ascii="黑体" w:hAnsi="黑体" w:eastAsia="黑体" w:cs="黑体"/>
              <w:b/>
              <w:sz w:val="32"/>
              <w:szCs w:val="32"/>
            </w:rPr>
            <w:fldChar w:fldCharType="end"/>
          </w:r>
          <w:r>
            <w:rPr>
              <w:rFonts w:hint="eastAsia" w:ascii="黑体" w:hAnsi="黑体" w:eastAsia="黑体" w:cs="黑体"/>
              <w:b/>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_Toc7064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_Toc7064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_Toc15579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_Toc15579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_Toc21063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_Toc21063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_Toc19000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_Toc19000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_Toc11367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_Toc11367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_Toc21076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_Toc21076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_Toc16016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七、财政拨款“三公”经费支出决算情况说明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_Toc16016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_Toc21893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_Toc21893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_Toc23701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_Toc23701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_Toc1738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8"/>
            <w:tabs>
              <w:tab w:val="right" w:leader="dot" w:pos="8306"/>
            </w:tabs>
            <w:rPr>
              <w:rFonts w:hint="eastAsia" w:ascii="黑体" w:hAnsi="黑体" w:eastAsia="黑体" w:cs="黑体"/>
              <w:b/>
              <w:sz w:val="32"/>
              <w:szCs w:val="32"/>
            </w:rPr>
          </w:pP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HYPERLINK \l _Toc8307 </w:instrText>
          </w:r>
          <w:r>
            <w:rPr>
              <w:rFonts w:hint="eastAsia" w:ascii="黑体" w:hAnsi="黑体" w:eastAsia="黑体" w:cs="黑体"/>
              <w:b/>
              <w:sz w:val="32"/>
              <w:szCs w:val="32"/>
            </w:rPr>
            <w:fldChar w:fldCharType="separate"/>
          </w:r>
          <w:r>
            <w:rPr>
              <w:rFonts w:hint="eastAsia" w:ascii="黑体" w:hAnsi="黑体" w:eastAsia="黑体" w:cs="黑体"/>
              <w:b/>
              <w:sz w:val="32"/>
              <w:szCs w:val="32"/>
            </w:rPr>
            <w:t>第</w:t>
          </w:r>
          <w:r>
            <w:rPr>
              <w:rFonts w:hint="eastAsia" w:ascii="黑体" w:hAnsi="黑体" w:eastAsia="黑体" w:cs="黑体"/>
              <w:b/>
              <w:sz w:val="32"/>
              <w:szCs w:val="32"/>
              <w:lang w:eastAsia="zh-CN"/>
            </w:rPr>
            <w:t>三</w:t>
          </w:r>
          <w:r>
            <w:rPr>
              <w:rFonts w:hint="eastAsia" w:ascii="黑体" w:hAnsi="黑体" w:eastAsia="黑体" w:cs="黑体"/>
              <w:b/>
              <w:sz w:val="32"/>
              <w:szCs w:val="32"/>
            </w:rPr>
            <w:t>部分</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名词解释</w:t>
          </w:r>
          <w:r>
            <w:rPr>
              <w:rFonts w:hint="eastAsia" w:ascii="黑体" w:hAnsi="黑体" w:eastAsia="黑体" w:cs="黑体"/>
              <w:b/>
              <w:sz w:val="32"/>
              <w:szCs w:val="32"/>
            </w:rPr>
            <w:tab/>
          </w: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PAGEREF _Toc8307 \h </w:instrText>
          </w:r>
          <w:r>
            <w:rPr>
              <w:rFonts w:hint="eastAsia" w:ascii="黑体" w:hAnsi="黑体" w:eastAsia="黑体" w:cs="黑体"/>
              <w:b/>
              <w:sz w:val="32"/>
              <w:szCs w:val="32"/>
            </w:rPr>
            <w:fldChar w:fldCharType="separate"/>
          </w:r>
          <w:r>
            <w:rPr>
              <w:rFonts w:hint="eastAsia" w:ascii="黑体" w:hAnsi="黑体" w:eastAsia="黑体" w:cs="黑体"/>
              <w:b/>
              <w:sz w:val="32"/>
              <w:szCs w:val="32"/>
            </w:rPr>
            <w:t>16</w:t>
          </w:r>
          <w:r>
            <w:rPr>
              <w:rFonts w:hint="eastAsia" w:ascii="黑体" w:hAnsi="黑体" w:eastAsia="黑体" w:cs="黑体"/>
              <w:b/>
              <w:sz w:val="32"/>
              <w:szCs w:val="32"/>
            </w:rPr>
            <w:fldChar w:fldCharType="end"/>
          </w:r>
          <w:r>
            <w:rPr>
              <w:rFonts w:hint="eastAsia" w:ascii="黑体" w:hAnsi="黑体" w:eastAsia="黑体" w:cs="黑体"/>
              <w:b/>
              <w:sz w:val="32"/>
              <w:szCs w:val="32"/>
            </w:rPr>
            <w:fldChar w:fldCharType="end"/>
          </w:r>
        </w:p>
        <w:p>
          <w:pPr>
            <w:pStyle w:val="38"/>
            <w:tabs>
              <w:tab w:val="right" w:leader="dot" w:pos="8306"/>
            </w:tabs>
            <w:rPr>
              <w:rFonts w:hint="eastAsia" w:ascii="黑体" w:hAnsi="黑体" w:eastAsia="黑体" w:cs="黑体"/>
              <w:b/>
              <w:sz w:val="32"/>
              <w:szCs w:val="32"/>
              <w:lang w:val="en-US" w:eastAsia="zh-CN"/>
            </w:rPr>
          </w:pP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HYPERLINK \l _Toc8307 </w:instrText>
          </w:r>
          <w:r>
            <w:rPr>
              <w:rFonts w:hint="eastAsia" w:ascii="黑体" w:hAnsi="黑体" w:eastAsia="黑体" w:cs="黑体"/>
              <w:b/>
              <w:sz w:val="32"/>
              <w:szCs w:val="32"/>
            </w:rPr>
            <w:fldChar w:fldCharType="separate"/>
          </w:r>
          <w:r>
            <w:rPr>
              <w:rFonts w:hint="eastAsia" w:ascii="黑体" w:hAnsi="黑体" w:eastAsia="黑体" w:cs="黑体"/>
              <w:b/>
              <w:sz w:val="32"/>
              <w:szCs w:val="32"/>
            </w:rPr>
            <w:t>第</w:t>
          </w:r>
          <w:r>
            <w:rPr>
              <w:rFonts w:hint="eastAsia" w:ascii="黑体" w:hAnsi="黑体" w:eastAsia="黑体" w:cs="黑体"/>
              <w:b/>
              <w:sz w:val="32"/>
              <w:szCs w:val="32"/>
              <w:lang w:eastAsia="zh-CN"/>
            </w:rPr>
            <w:t>四</w:t>
          </w:r>
          <w:r>
            <w:rPr>
              <w:rFonts w:hint="eastAsia" w:ascii="黑体" w:hAnsi="黑体" w:eastAsia="黑体" w:cs="黑体"/>
              <w:b/>
              <w:sz w:val="32"/>
              <w:szCs w:val="32"/>
            </w:rPr>
            <w:t>部分</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附件</w:t>
          </w:r>
          <w:r>
            <w:rPr>
              <w:rFonts w:hint="eastAsia" w:ascii="黑体" w:hAnsi="黑体" w:eastAsia="黑体" w:cs="黑体"/>
              <w:b/>
              <w:sz w:val="32"/>
              <w:szCs w:val="32"/>
            </w:rPr>
            <w:tab/>
          </w:r>
          <w:r>
            <w:rPr>
              <w:rFonts w:hint="eastAsia" w:ascii="黑体" w:hAnsi="黑体" w:eastAsia="黑体" w:cs="黑体"/>
              <w:b/>
              <w:sz w:val="32"/>
              <w:szCs w:val="32"/>
              <w:lang w:val="en-US" w:eastAsia="zh-CN"/>
            </w:rPr>
            <w:t>3</w:t>
          </w:r>
          <w:r>
            <w:rPr>
              <w:rFonts w:hint="eastAsia" w:ascii="黑体" w:hAnsi="黑体" w:eastAsia="黑体" w:cs="黑体"/>
              <w:b/>
              <w:sz w:val="32"/>
              <w:szCs w:val="32"/>
            </w:rPr>
            <w:fldChar w:fldCharType="end"/>
          </w:r>
          <w:r>
            <w:rPr>
              <w:rFonts w:hint="eastAsia" w:ascii="黑体" w:hAnsi="黑体" w:eastAsia="黑体" w:cs="黑体"/>
              <w:b/>
              <w:sz w:val="32"/>
              <w:szCs w:val="32"/>
              <w:lang w:val="en-US" w:eastAsia="zh-CN"/>
            </w:rPr>
            <w:t>0</w:t>
          </w:r>
        </w:p>
        <w:p>
          <w:pPr>
            <w:pStyle w:val="38"/>
            <w:tabs>
              <w:tab w:val="right" w:leader="dot" w:pos="8306"/>
            </w:tabs>
            <w:rPr>
              <w:rFonts w:hint="eastAsia" w:ascii="黑体" w:hAnsi="黑体" w:eastAsia="黑体" w:cs="黑体"/>
              <w:b/>
              <w:sz w:val="32"/>
              <w:szCs w:val="32"/>
              <w:lang w:val="en-US" w:eastAsia="zh-CN"/>
            </w:rPr>
          </w:pPr>
        </w:p>
        <w:p>
          <w:pPr>
            <w:pStyle w:val="38"/>
            <w:tabs>
              <w:tab w:val="right" w:leader="dot" w:pos="8306"/>
            </w:tabs>
            <w:rPr>
              <w:rFonts w:hint="eastAsia" w:ascii="黑体" w:hAnsi="黑体" w:eastAsia="黑体" w:cs="黑体"/>
              <w:b/>
              <w:sz w:val="32"/>
              <w:szCs w:val="32"/>
              <w:lang w:val="en-US" w:eastAsia="zh-CN"/>
            </w:rPr>
          </w:pPr>
        </w:p>
        <w:p>
          <w:pPr>
            <w:pStyle w:val="38"/>
            <w:tabs>
              <w:tab w:val="right" w:leader="dot" w:pos="8306"/>
            </w:tabs>
            <w:rPr>
              <w:rFonts w:hint="eastAsia" w:ascii="黑体" w:hAnsi="黑体" w:eastAsia="黑体" w:cs="黑体"/>
              <w:b/>
              <w:sz w:val="32"/>
              <w:szCs w:val="32"/>
            </w:rPr>
          </w:pPr>
        </w:p>
        <w:p>
          <w:pPr>
            <w:pStyle w:val="38"/>
            <w:tabs>
              <w:tab w:val="right" w:leader="dot" w:pos="8306"/>
            </w:tabs>
            <w:rPr>
              <w:b/>
            </w:rPr>
          </w:pP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HYPERLINK \l _Toc25223 </w:instrText>
          </w:r>
          <w:r>
            <w:rPr>
              <w:rFonts w:hint="eastAsia" w:ascii="黑体" w:hAnsi="黑体" w:eastAsia="黑体" w:cs="黑体"/>
              <w:b/>
              <w:sz w:val="32"/>
              <w:szCs w:val="32"/>
            </w:rPr>
            <w:fldChar w:fldCharType="separate"/>
          </w:r>
          <w:r>
            <w:rPr>
              <w:rFonts w:hint="eastAsia" w:ascii="黑体" w:hAnsi="黑体" w:eastAsia="黑体" w:cs="黑体"/>
              <w:b/>
              <w:sz w:val="32"/>
              <w:szCs w:val="32"/>
            </w:rPr>
            <w:t>第</w:t>
          </w:r>
          <w:r>
            <w:rPr>
              <w:rFonts w:hint="eastAsia" w:ascii="黑体" w:hAnsi="黑体" w:eastAsia="黑体" w:cs="黑体"/>
              <w:b/>
              <w:sz w:val="32"/>
              <w:szCs w:val="32"/>
              <w:lang w:eastAsia="zh-CN"/>
            </w:rPr>
            <w:t>五</w:t>
          </w:r>
          <w:r>
            <w:rPr>
              <w:rFonts w:hint="eastAsia" w:ascii="黑体" w:hAnsi="黑体" w:eastAsia="黑体" w:cs="黑体"/>
              <w:b/>
              <w:sz w:val="32"/>
              <w:szCs w:val="32"/>
            </w:rPr>
            <w:t xml:space="preserve">部分 </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附表</w:t>
          </w:r>
          <w:r>
            <w:rPr>
              <w:rFonts w:hint="eastAsia" w:ascii="黑体" w:hAnsi="黑体" w:eastAsia="黑体" w:cs="黑体"/>
              <w:b/>
              <w:sz w:val="32"/>
              <w:szCs w:val="32"/>
            </w:rPr>
            <w:tab/>
          </w:r>
          <w:r>
            <w:rPr>
              <w:rFonts w:hint="eastAsia" w:ascii="黑体" w:hAnsi="黑体" w:eastAsia="黑体" w:cs="黑体"/>
              <w:b/>
              <w:sz w:val="32"/>
              <w:szCs w:val="32"/>
            </w:rPr>
            <w:fldChar w:fldCharType="begin"/>
          </w:r>
          <w:r>
            <w:rPr>
              <w:rFonts w:hint="eastAsia" w:ascii="黑体" w:hAnsi="黑体" w:eastAsia="黑体" w:cs="黑体"/>
              <w:b/>
              <w:sz w:val="32"/>
              <w:szCs w:val="32"/>
            </w:rPr>
            <w:instrText xml:space="preserve"> PAGEREF _Toc25223 \h </w:instrText>
          </w:r>
          <w:r>
            <w:rPr>
              <w:rFonts w:hint="eastAsia" w:ascii="黑体" w:hAnsi="黑体" w:eastAsia="黑体" w:cs="黑体"/>
              <w:b/>
              <w:sz w:val="32"/>
              <w:szCs w:val="32"/>
            </w:rPr>
            <w:fldChar w:fldCharType="separate"/>
          </w:r>
          <w:r>
            <w:rPr>
              <w:rFonts w:hint="eastAsia" w:ascii="黑体" w:hAnsi="黑体" w:eastAsia="黑体" w:cs="黑体"/>
              <w:b/>
              <w:sz w:val="32"/>
              <w:szCs w:val="32"/>
            </w:rPr>
            <w:t>48</w:t>
          </w:r>
          <w:r>
            <w:rPr>
              <w:rFonts w:hint="eastAsia" w:ascii="黑体" w:hAnsi="黑体" w:eastAsia="黑体" w:cs="黑体"/>
              <w:b/>
              <w:sz w:val="32"/>
              <w:szCs w:val="32"/>
            </w:rPr>
            <w:fldChar w:fldCharType="end"/>
          </w:r>
          <w:r>
            <w:rPr>
              <w:rFonts w:hint="eastAsia" w:ascii="黑体" w:hAnsi="黑体" w:eastAsia="黑体" w:cs="黑体"/>
              <w:b/>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_Toc17053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_Toc17053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_Toc5927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_Toc5927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_Toc27416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_Toc27416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_Toc10953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_Toc10953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_Toc26776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_Toc26776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_Toc27193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_Toc27193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_Toc24348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_Toc24348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_Toc21071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_Toc1422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_Toc32254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_Toc32254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_Toc29719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十一、国有资本经营预算</w:t>
          </w:r>
          <w:r>
            <w:rPr>
              <w:rFonts w:hint="eastAsia" w:ascii="仿宋_GB2312" w:hAnsi="仿宋_GB2312" w:eastAsia="仿宋_GB2312" w:cs="仿宋_GB2312"/>
              <w:sz w:val="32"/>
              <w:szCs w:val="32"/>
              <w:lang w:eastAsia="zh-CN"/>
            </w:rPr>
            <w:t>财政拨款收入</w:t>
          </w:r>
          <w:r>
            <w:rPr>
              <w:rFonts w:hint="eastAsia" w:ascii="仿宋_GB2312" w:hAnsi="仿宋_GB2312" w:eastAsia="仿宋_GB2312" w:cs="仿宋_GB2312"/>
              <w:sz w:val="32"/>
              <w:szCs w:val="32"/>
            </w:rPr>
            <w:t>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_Toc29119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十二、</w:t>
          </w:r>
          <w:r>
            <w:rPr>
              <w:rFonts w:hint="eastAsia" w:ascii="仿宋_GB2312" w:hAnsi="仿宋_GB2312" w:eastAsia="仿宋_GB2312" w:cs="仿宋_GB2312"/>
              <w:sz w:val="32"/>
              <w:szCs w:val="32"/>
              <w:lang w:eastAsia="zh-CN"/>
            </w:rPr>
            <w:t>国有资本经营预算财政拨款支出决算表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_Toc29119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9"/>
            <w:tabs>
              <w:tab w:val="right" w:leader="dot" w:pos="830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_Toc7774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十三、</w:t>
          </w:r>
          <w:r>
            <w:rPr>
              <w:rFonts w:hint="eastAsia" w:ascii="仿宋_GB2312" w:hAnsi="仿宋_GB2312" w:eastAsia="仿宋_GB2312" w:cs="仿宋_GB2312"/>
              <w:sz w:val="32"/>
              <w:szCs w:val="32"/>
              <w:lang w:eastAsia="zh-CN"/>
            </w:rPr>
            <w:t>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_Toc7774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
            <w:bidi w:val="0"/>
            <w:ind w:left="0" w:leftChars="0" w:firstLine="0" w:firstLineChars="0"/>
            <w:jc w:val="both"/>
            <w:outlineLvl w:val="9"/>
            <w:rPr>
              <w:rFonts w:hint="eastAsia"/>
            </w:rPr>
          </w:pPr>
          <w:r>
            <w:rPr>
              <w:rFonts w:hint="eastAsia"/>
              <w:b/>
            </w:rPr>
            <w:fldChar w:fldCharType="end"/>
          </w:r>
        </w:p>
      </w:sdtContent>
    </w:sdt>
    <w:p>
      <w:pPr>
        <w:rPr>
          <w:rFonts w:hint="eastAsia"/>
        </w:rPr>
        <w:sectPr>
          <w:headerReference r:id="rId5" w:type="default"/>
          <w:footerReference r:id="rId6" w:type="default"/>
          <w:pgSz w:w="11906" w:h="16838"/>
          <w:pgMar w:top="1440" w:right="1800" w:bottom="1440" w:left="1800" w:header="851" w:footer="992" w:gutter="0"/>
          <w:pgNumType w:fmt="numberInDash" w:start="1"/>
          <w:cols w:space="425" w:num="1"/>
          <w:titlePg/>
          <w:docGrid w:type="lines" w:linePitch="312" w:charSpace="0"/>
        </w:sectPr>
      </w:pPr>
    </w:p>
    <w:p>
      <w:pPr>
        <w:pStyle w:val="3"/>
        <w:bidi w:val="0"/>
        <w:jc w:val="center"/>
        <w:rPr>
          <w:rFonts w:ascii="Times New Roman" w:hAnsi="Times New Roman" w:eastAsia="黑体"/>
          <w:color w:val="auto"/>
          <w:sz w:val="32"/>
          <w:szCs w:val="32"/>
          <w:highlight w:val="none"/>
        </w:rPr>
      </w:pPr>
      <w:bookmarkStart w:id="14" w:name="_Toc23669"/>
      <w:r>
        <w:rPr>
          <w:rFonts w:hint="eastAsia"/>
        </w:rPr>
        <w:t>第一部分</w:t>
      </w:r>
      <w:r>
        <w:rPr>
          <w:rFonts w:hint="eastAsia"/>
          <w:lang w:val="en-US" w:eastAsia="zh-CN"/>
        </w:rPr>
        <w:t xml:space="preserve"> </w:t>
      </w:r>
      <w:r>
        <w:rPr>
          <w:rFonts w:hint="eastAsia"/>
        </w:rPr>
        <w:t xml:space="preserve"> </w:t>
      </w:r>
      <w:r>
        <w:rPr>
          <w:rFonts w:hint="eastAsia"/>
          <w:lang w:eastAsia="zh-CN"/>
        </w:rPr>
        <w:t>部门</w:t>
      </w:r>
      <w:r>
        <w:rPr>
          <w:rFonts w:hint="eastAsia"/>
        </w:rPr>
        <w:t>概况</w:t>
      </w:r>
      <w:bookmarkEnd w:id="12"/>
      <w:bookmarkEnd w:id="13"/>
      <w:bookmarkEnd w:id="14"/>
    </w:p>
    <w:p>
      <w:pPr>
        <w:pStyle w:val="4"/>
        <w:numPr>
          <w:ilvl w:val="0"/>
          <w:numId w:val="1"/>
        </w:numPr>
        <w:bidi w:val="0"/>
        <w:rPr>
          <w:rFonts w:hint="eastAsia" w:ascii="黑体" w:hAnsi="黑体" w:eastAsia="黑体" w:cs="黑体"/>
          <w:lang w:eastAsia="zh-CN"/>
        </w:rPr>
      </w:pPr>
      <w:bookmarkStart w:id="15" w:name="_Toc20821"/>
      <w:r>
        <w:rPr>
          <w:rFonts w:hint="eastAsia" w:ascii="黑体" w:hAnsi="黑体" w:cs="黑体"/>
          <w:lang w:eastAsia="zh-CN"/>
        </w:rPr>
        <w:t>部门</w:t>
      </w:r>
      <w:r>
        <w:rPr>
          <w:rFonts w:hint="eastAsia" w:ascii="黑体" w:hAnsi="黑体" w:eastAsia="黑体" w:cs="黑体"/>
          <w:lang w:eastAsia="zh-CN"/>
        </w:rPr>
        <w:t>职责</w:t>
      </w:r>
      <w:bookmarkEnd w:id="15"/>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16" w:name="_Toc24572"/>
      <w:bookmarkStart w:id="17" w:name="_Toc15378445"/>
      <w:bookmarkStart w:id="18" w:name="_Toc15377198"/>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（一）主要职能</w:t>
      </w:r>
      <w:bookmarkEnd w:id="16"/>
    </w:p>
    <w:bookmarkEnd w:id="17"/>
    <w:bookmarkEnd w:id="18"/>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19" w:name="_Toc13818"/>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攀枝花市东区人民法院主管东区范围内的刑事案件、民事案件、行政案件。通过审判活动，惩办一切犯罪分子，解决民事纠纷，维护社会主义法制和社会秩序，保护社会主义的全民所有的财产、劳动群众集体所有的财产，保护公民私人所有的合法财产，保护公民的人身权利、民主权利和其他权利，保障国家的社会主义革命和社会主义建设事业的顺利进行。</w:t>
      </w:r>
      <w:bookmarkEnd w:id="19"/>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20" w:name="_Toc31746"/>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（二）2025年重点工作完成情况</w:t>
      </w:r>
      <w:bookmarkEnd w:id="20"/>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bookmarkStart w:id="21" w:name="_Toc8701"/>
      <w:bookmarkStart w:id="22" w:name="_Toc15377200"/>
      <w:bookmarkStart w:id="23" w:name="_Toc15396601"/>
      <w:r>
        <w:rPr>
          <w:rFonts w:hint="default" w:ascii="Times New Roman" w:hAnsi="Times New Roman" w:eastAsia="方正仿宋_GBK" w:cs="Times New Roman"/>
          <w:color w:val="000000" w:themeColor="text1"/>
          <w:sz w:val="32"/>
          <w:szCs w:val="32"/>
          <w14:textFill>
            <w14:solidFill>
              <w14:schemeClr w14:val="tx1"/>
            </w14:solidFill>
          </w14:textFill>
        </w:rPr>
        <w:t>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14:textFill>
            <w14:solidFill>
              <w14:schemeClr w14:val="tx1"/>
            </w14:solidFill>
          </w14:textFill>
        </w:rPr>
        <w:t>年，在区委坚强领导、区人大及其常委会有力监督、区政府大力支持</w:t>
      </w:r>
      <w:r>
        <w:rPr>
          <w:rFonts w:hint="eastAsia"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区政协民主监督和社会各界关心帮助下，区法院坚持以习近平新时代中国特色社会主义思想为指导，深入践行习近平法治思想，全面贯彻党的</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二十大和</w:t>
      </w:r>
      <w:r>
        <w:rPr>
          <w:rFonts w:hint="default" w:ascii="Times New Roman" w:hAnsi="Times New Roman" w:eastAsia="方正仿宋_GBK" w:cs="Times New Roman"/>
          <w:color w:val="000000" w:themeColor="text1"/>
          <w:sz w:val="32"/>
          <w:szCs w:val="32"/>
          <w14:textFill>
            <w14:solidFill>
              <w14:schemeClr w14:val="tx1"/>
            </w14:solidFill>
          </w14:textFill>
        </w:rPr>
        <w:t>二十届</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历次</w:t>
      </w:r>
      <w:r>
        <w:rPr>
          <w:rFonts w:hint="default" w:ascii="Times New Roman" w:hAnsi="Times New Roman" w:eastAsia="方正仿宋_GBK" w:cs="Times New Roman"/>
          <w:color w:val="000000" w:themeColor="text1"/>
          <w:sz w:val="32"/>
          <w:szCs w:val="32"/>
          <w14:textFill>
            <w14:solidFill>
              <w14:schemeClr w14:val="tx1"/>
            </w14:solidFill>
          </w14:textFill>
        </w:rPr>
        <w:t>全会精神，认真落实</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省</w:t>
      </w:r>
      <w:r>
        <w:rPr>
          <w:rFonts w:hint="eastAsia" w:eastAsia="方正仿宋_GBK" w:cs="Times New Roman"/>
          <w:color w:val="000000" w:themeColor="text1"/>
          <w:sz w:val="32"/>
          <w:szCs w:val="32"/>
          <w:lang w:eastAsia="zh-CN"/>
          <w14:textFill>
            <w14:solidFill>
              <w14:schemeClr w14:val="tx1"/>
            </w14:solidFill>
          </w14:textFill>
        </w:rPr>
        <w:t>委</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市</w:t>
      </w:r>
      <w:r>
        <w:rPr>
          <w:rFonts w:hint="eastAsia" w:eastAsia="方正仿宋_GBK" w:cs="Times New Roman"/>
          <w:color w:val="000000" w:themeColor="text1"/>
          <w:sz w:val="32"/>
          <w:szCs w:val="32"/>
          <w:lang w:eastAsia="zh-CN"/>
          <w14:textFill>
            <w14:solidFill>
              <w14:schemeClr w14:val="tx1"/>
            </w14:solidFill>
          </w14:textFill>
        </w:rPr>
        <w:t>委</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区委决策部署，忠实履行宪法和法律赋予的职责，围绕</w:t>
      </w:r>
      <w:r>
        <w:rPr>
          <w:rFonts w:hint="eastAsia"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守正创新、拓优增信</w:t>
      </w:r>
      <w:r>
        <w:rPr>
          <w:rFonts w:hint="eastAsia"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工作主线，实干担当、锐意进取，</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审判执行工作取得新进展、呈现新面貌</w:t>
      </w:r>
      <w:r>
        <w:rPr>
          <w:rFonts w:hint="default" w:ascii="Times New Roman" w:hAnsi="Times New Roman" w:eastAsia="方正仿宋_GBK" w:cs="Times New Roman"/>
          <w:color w:val="000000" w:themeColor="text1"/>
          <w:sz w:val="32"/>
          <w:szCs w:val="32"/>
          <w14:textFill>
            <w14:solidFill>
              <w14:schemeClr w14:val="tx1"/>
            </w14:solidFill>
          </w14:textFill>
        </w:rPr>
        <w:t>。全年共受理各类案件</w:t>
      </w:r>
      <w:r>
        <w:rPr>
          <w:rFonts w:hint="eastAsia" w:eastAsia="方正仿宋_GBK" w:cs="Times New Roman"/>
          <w:color w:val="000000" w:themeColor="text1"/>
          <w:sz w:val="32"/>
          <w:szCs w:val="32"/>
          <w:lang w:val="en-US" w:eastAsia="zh-CN"/>
          <w14:textFill>
            <w14:solidFill>
              <w14:schemeClr w14:val="tx1"/>
            </w14:solidFill>
          </w14:textFill>
        </w:rPr>
        <w:t>12080</w:t>
      </w:r>
      <w:r>
        <w:rPr>
          <w:rFonts w:hint="default" w:ascii="Times New Roman" w:hAnsi="Times New Roman" w:eastAsia="方正仿宋_GBK" w:cs="Times New Roman"/>
          <w:color w:val="000000" w:themeColor="text1"/>
          <w:sz w:val="32"/>
          <w:szCs w:val="32"/>
          <w14:textFill>
            <w14:solidFill>
              <w14:schemeClr w14:val="tx1"/>
            </w14:solidFill>
          </w14:textFill>
        </w:rPr>
        <w:t>件，审、执结各类案件</w:t>
      </w:r>
      <w:r>
        <w:rPr>
          <w:rFonts w:hint="eastAsia" w:eastAsia="方正仿宋_GBK" w:cs="Times New Roman"/>
          <w:color w:val="000000" w:themeColor="text1"/>
          <w:sz w:val="32"/>
          <w:szCs w:val="32"/>
          <w:lang w:val="en-US" w:eastAsia="zh-CN"/>
          <w14:textFill>
            <w14:solidFill>
              <w14:schemeClr w14:val="tx1"/>
            </w14:solidFill>
          </w14:textFill>
        </w:rPr>
        <w:t>11448</w:t>
      </w:r>
      <w:r>
        <w:rPr>
          <w:rFonts w:hint="default" w:ascii="Times New Roman" w:hAnsi="Times New Roman" w:eastAsia="方正仿宋_GBK" w:cs="Times New Roman"/>
          <w:color w:val="000000" w:themeColor="text1"/>
          <w:sz w:val="32"/>
          <w:szCs w:val="32"/>
          <w14:textFill>
            <w14:solidFill>
              <w14:schemeClr w14:val="tx1"/>
            </w14:solidFill>
          </w14:textFill>
        </w:rPr>
        <w:t>件，</w:t>
      </w:r>
      <w:r>
        <w:rPr>
          <w:rFonts w:eastAsia="方正仿宋_GBK"/>
          <w:b w:val="0"/>
          <w:bCs w:val="0"/>
          <w:sz w:val="33"/>
          <w:szCs w:val="33"/>
          <w:lang w:eastAsia="zh-CN"/>
        </w:rPr>
        <w:t>分别同比上升</w:t>
      </w:r>
      <w:r>
        <w:rPr>
          <w:rFonts w:hint="eastAsia" w:eastAsia="方正仿宋_GBK"/>
          <w:b w:val="0"/>
          <w:bCs w:val="0"/>
          <w:sz w:val="33"/>
          <w:szCs w:val="33"/>
          <w:lang w:val="en-US" w:eastAsia="zh-CN"/>
        </w:rPr>
        <w:t>33.7</w:t>
      </w:r>
      <w:r>
        <w:rPr>
          <w:rFonts w:eastAsia="方正仿宋_GBK"/>
          <w:b w:val="0"/>
          <w:bCs w:val="0"/>
          <w:sz w:val="33"/>
          <w:szCs w:val="33"/>
          <w:lang w:eastAsia="zh-CN"/>
        </w:rPr>
        <w:t>%、</w:t>
      </w:r>
      <w:r>
        <w:rPr>
          <w:rFonts w:hint="eastAsia" w:eastAsia="方正仿宋_GBK"/>
          <w:b w:val="0"/>
          <w:bCs w:val="0"/>
          <w:sz w:val="33"/>
          <w:szCs w:val="33"/>
          <w:lang w:val="en-US" w:eastAsia="zh-CN"/>
        </w:rPr>
        <w:t>32.48</w:t>
      </w:r>
      <w:r>
        <w:rPr>
          <w:rFonts w:eastAsia="方正仿宋_GBK"/>
          <w:b w:val="0"/>
          <w:bCs w:val="0"/>
          <w:sz w:val="33"/>
          <w:szCs w:val="33"/>
          <w:lang w:eastAsia="zh-CN"/>
        </w:rPr>
        <w:t>%</w:t>
      </w:r>
      <w:r>
        <w:rPr>
          <w:b w:val="0"/>
          <w:bCs w:val="0"/>
          <w:sz w:val="33"/>
          <w:szCs w:val="33"/>
        </w:rPr>
        <w:t>。</w:t>
      </w:r>
      <w:r>
        <w:rPr>
          <w:rFonts w:hint="default" w:ascii="Times New Roman" w:hAnsi="Times New Roman" w:eastAsia="方正仿宋_GBK" w:cs="Times New Roman"/>
          <w:color w:val="000000" w:themeColor="text1"/>
          <w:sz w:val="32"/>
          <w:szCs w:val="32"/>
          <w14:textFill>
            <w14:solidFill>
              <w14:schemeClr w14:val="tx1"/>
            </w14:solidFill>
          </w14:textFill>
        </w:rPr>
        <w:t>法官人均办案</w:t>
      </w:r>
      <w:r>
        <w:rPr>
          <w:rFonts w:hint="eastAsia" w:eastAsia="方正仿宋_GBK" w:cs="Times New Roman"/>
          <w:color w:val="000000" w:themeColor="text1"/>
          <w:sz w:val="32"/>
          <w:szCs w:val="32"/>
          <w:lang w:val="en-US" w:eastAsia="zh-CN"/>
          <w14:textFill>
            <w14:solidFill>
              <w14:schemeClr w14:val="tx1"/>
            </w14:solidFill>
          </w14:textFill>
        </w:rPr>
        <w:t>355.29</w:t>
      </w:r>
      <w:r>
        <w:rPr>
          <w:rFonts w:hint="default" w:ascii="Times New Roman" w:hAnsi="Times New Roman" w:eastAsia="方正仿宋_GBK" w:cs="Times New Roman"/>
          <w:color w:val="000000" w:themeColor="text1"/>
          <w:sz w:val="32"/>
          <w:szCs w:val="32"/>
          <w14:textFill>
            <w14:solidFill>
              <w14:schemeClr w14:val="tx1"/>
            </w14:solidFill>
          </w14:textFill>
        </w:rPr>
        <w:t>件</w:t>
      </w:r>
      <w:r>
        <w:rPr>
          <w:rFonts w:hint="eastAsia" w:eastAsia="方正仿宋_GBK" w:cs="Times New Roman"/>
          <w:color w:val="000000" w:themeColor="text1"/>
          <w:sz w:val="32"/>
          <w:szCs w:val="32"/>
          <w:lang w:eastAsia="zh-CN"/>
          <w14:textFill>
            <w14:solidFill>
              <w14:schemeClr w14:val="tx1"/>
            </w14:solidFill>
          </w14:textFill>
        </w:rPr>
        <w:t>，同比增加</w:t>
      </w:r>
      <w:r>
        <w:rPr>
          <w:rFonts w:hint="eastAsia" w:eastAsia="方正仿宋_GBK" w:cs="Times New Roman"/>
          <w:color w:val="000000" w:themeColor="text1"/>
          <w:sz w:val="32"/>
          <w:szCs w:val="32"/>
          <w:lang w:val="en-US" w:eastAsia="zh-CN"/>
          <w14:textFill>
            <w14:solidFill>
              <w14:schemeClr w14:val="tx1"/>
            </w14:solidFill>
          </w14:textFill>
        </w:rPr>
        <w:t>89.55件。12项审判质效指标全面达标，执行完毕率等11项主要指标持续优于全国合理区间或全省均值。本年工作亮点是：</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一、坚持政治统领，夯实忠诚根基，政治建设有声有色</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一是提高政治站位，抓实政治建设。二是厚植党建品牌，加强文化建设。</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三是牢守意识形态阵地，防范化解风险。</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二、增强大局意识，扛起硬核担当，服务大局有为有成</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一是依法惩治犯罪，推进平安东区建设。</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二是优化营商环境，激发市场主体活力。</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三是做实行政审判，助推法治政府建设。四是加强生态司法，护航绿色低碳发展。</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三、厚植为民情怀，践行如我在诉，保障民生有情有感</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一是妥善化解民生纠纷，守护万家灯火。</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二是强力推进执行攻坚，兑现胜诉权益。三是全面升级诉讼服务，提升司法体验。打造全流程线上办案。</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四、聚力改革突破，全力破题解题，创新实践有力有效</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一是抓实审判管理，促进提质增效。二是融入社会治理，拓展解纷路径。三是聚焦法治实践，推进地方性法规适用。四是夯实基层基础，强化科技赋能。</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五、强化夯基固本，全面从严治院，队伍建设有形有魂</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一是提升专业能力，夯实履职根基。二是从严正风肃纪，确保廉洁司法。三是自觉接受监督，促进司法公信。</w:t>
      </w:r>
    </w:p>
    <w:p>
      <w:pPr>
        <w:pStyle w:val="4"/>
        <w:bidi w:val="0"/>
        <w:rPr>
          <w:rFonts w:hint="eastAsia"/>
        </w:rPr>
      </w:pPr>
      <w:r>
        <w:rPr>
          <w:rFonts w:hint="eastAsia"/>
        </w:rPr>
        <w:t>二、机构设置</w:t>
      </w:r>
      <w:bookmarkEnd w:id="21"/>
      <w:bookmarkEnd w:id="22"/>
      <w:bookmarkEnd w:id="23"/>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四川省攀枝花市东区人民法院</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部门为一级预算单位，无</w:t>
      </w:r>
      <w:r>
        <w:rPr>
          <w:rFonts w:hint="eastAsia" w:ascii="Times New Roman" w:hAnsi="Times New Roman" w:eastAsia="方正仿宋_GBK" w:cs="Times New Roman"/>
          <w:color w:val="000000" w:themeColor="text1"/>
          <w:sz w:val="32"/>
          <w:szCs w:val="32"/>
          <w14:textFill>
            <w14:solidFill>
              <w14:schemeClr w14:val="tx1"/>
            </w14:solidFill>
          </w14:textFill>
        </w:rPr>
        <w:t>下属二级</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预算单位</w:t>
      </w:r>
      <w:r>
        <w:rPr>
          <w:rFonts w:hint="eastAsia" w:ascii="Times New Roman" w:hAnsi="Times New Roman" w:eastAsia="方正仿宋_GBK" w:cs="Times New Roman"/>
          <w:color w:val="000000" w:themeColor="text1"/>
          <w:sz w:val="32"/>
          <w:szCs w:val="32"/>
          <w14:textFill>
            <w14:solidFill>
              <w14:schemeClr w14:val="tx1"/>
            </w14:solidFill>
          </w14:textFill>
        </w:rPr>
        <w:t>。</w:t>
      </w:r>
    </w:p>
    <w:p>
      <w:pPr>
        <w:rPr>
          <w:rFonts w:hint="eastAsia"/>
        </w:rPr>
      </w:pPr>
      <w:bookmarkStart w:id="24" w:name="_Toc15377204"/>
      <w:bookmarkStart w:id="25" w:name="_Toc15396602"/>
      <w:bookmarkStart w:id="26" w:name="_Toc8223"/>
      <w:r>
        <w:rPr>
          <w:rFonts w:hint="eastAsia"/>
        </w:rPr>
        <w:br w:type="page"/>
      </w:r>
    </w:p>
    <w:p>
      <w:pPr>
        <w:pStyle w:val="3"/>
        <w:bidi w:val="0"/>
        <w:ind w:left="0" w:leftChars="0" w:firstLine="0" w:firstLineChars="0"/>
        <w:jc w:val="center"/>
      </w:pPr>
      <w:r>
        <w:rPr>
          <w:rFonts w:hint="eastAsia"/>
        </w:rPr>
        <w:t>第二部分</w:t>
      </w:r>
      <w:r>
        <w:rPr>
          <w:rFonts w:hint="eastAsia"/>
          <w:lang w:val="en-US" w:eastAsia="zh-CN"/>
        </w:rPr>
        <w:t xml:space="preserve"> </w:t>
      </w:r>
      <w:r>
        <w:rPr>
          <w:rFonts w:hint="eastAsia"/>
        </w:rPr>
        <w:t xml:space="preserve"> </w:t>
      </w:r>
      <w:r>
        <w:rPr>
          <w:rFonts w:hint="eastAsia"/>
          <w:lang w:val="en-US" w:eastAsia="zh-CN"/>
        </w:rPr>
        <w:t>2025年度部门</w:t>
      </w:r>
      <w:r>
        <w:rPr>
          <w:rFonts w:hint="eastAsia"/>
        </w:rPr>
        <w:t>决算情况说明</w:t>
      </w:r>
      <w:bookmarkEnd w:id="24"/>
      <w:bookmarkEnd w:id="25"/>
      <w:bookmarkEnd w:id="26"/>
    </w:p>
    <w:p>
      <w:pPr>
        <w:pStyle w:val="4"/>
        <w:bidi w:val="0"/>
        <w:rPr>
          <w:rFonts w:hint="eastAsia"/>
        </w:rPr>
      </w:pPr>
      <w:bookmarkStart w:id="27" w:name="_Toc15396603"/>
      <w:bookmarkStart w:id="28" w:name="_Toc15377205"/>
      <w:bookmarkStart w:id="29" w:name="_Toc7064"/>
      <w:r>
        <w:rPr>
          <w:rFonts w:hint="eastAsia"/>
          <w:lang w:eastAsia="zh-CN"/>
        </w:rPr>
        <w:t>一、</w:t>
      </w:r>
      <w:r>
        <w:rPr>
          <w:rFonts w:hint="eastAsia"/>
        </w:rPr>
        <w:t>收入支出决算总体情况说明</w:t>
      </w:r>
      <w:bookmarkEnd w:id="27"/>
      <w:bookmarkEnd w:id="28"/>
      <w:bookmarkEnd w:id="29"/>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30" w:name="_Toc13575"/>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2025年度收入、支出总计均为2887.89万元。与2024年度相比，收入、支出总计各增加134.84万元，增长4.7%。主要变动原因是</w:t>
      </w:r>
      <w:bookmarkEnd w:id="30"/>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2025年省级专项项目资金执行率</w:t>
      </w:r>
      <w:r>
        <w:rPr>
          <w:rFonts w:hint="eastAsia" w:eastAsia="方正仿宋_GBK" w:cs="Times New Roman"/>
          <w:color w:val="000000" w:themeColor="text1"/>
          <w:sz w:val="32"/>
          <w:szCs w:val="32"/>
          <w:lang w:val="en-US" w:eastAsia="zh-CN"/>
          <w14:textFill>
            <w14:solidFill>
              <w14:schemeClr w14:val="tx1"/>
            </w14:solidFill>
          </w14:textFill>
        </w:rPr>
        <w:t>和市级“办案经费”项目资金执行率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较上一年度有较大幅度增长。</w:t>
      </w:r>
    </w:p>
    <w:p>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9"/>
        <w:rPr>
          <w:rFonts w:hint="default" w:eastAsia="仿宋_GB2312" w:cs="仿宋_GB2312"/>
          <w:color w:val="auto"/>
          <w:sz w:val="32"/>
          <w:szCs w:val="32"/>
          <w:highlight w:val="none"/>
          <w:lang w:val="en-US" w:eastAsia="zh-CN"/>
        </w:rPr>
      </w:pPr>
      <w:r>
        <w:rPr>
          <w:rFonts w:hint="default" w:eastAsia="仿宋_GB2312" w:cs="仿宋_GB2312"/>
          <w:color w:val="auto"/>
          <w:sz w:val="32"/>
          <w:szCs w:val="32"/>
          <w:highlight w:val="none"/>
          <w:lang w:val="en-US" w:eastAsia="zh-CN"/>
        </w:rPr>
        <w:drawing>
          <wp:inline distT="0" distB="0" distL="114300" distR="114300">
            <wp:extent cx="4924425" cy="3657600"/>
            <wp:effectExtent l="0" t="0" r="9525" b="0"/>
            <wp:docPr id="1" name="图片 1" descr="图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图1"/>
                    <pic:cNvPicPr>
                      <a:picLocks noChangeAspect="true"/>
                    </pic:cNvPicPr>
                  </pic:nvPicPr>
                  <pic:blipFill>
                    <a:blip r:embed="rId10"/>
                    <a:stretch>
                      <a:fillRect/>
                    </a:stretch>
                  </pic:blipFill>
                  <pic:spPr>
                    <a:xfrm>
                      <a:off x="0" y="0"/>
                      <a:ext cx="4924425" cy="36576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w:t>
      </w:r>
    </w:p>
    <w:p>
      <w:pPr>
        <w:pStyle w:val="4"/>
        <w:bidi w:val="0"/>
        <w:rPr>
          <w:rFonts w:hint="eastAsia"/>
          <w:lang w:eastAsia="zh-CN"/>
        </w:rPr>
      </w:pPr>
      <w:bookmarkStart w:id="31" w:name="_Toc15579"/>
      <w:bookmarkStart w:id="32" w:name="_Toc15396604"/>
      <w:bookmarkStart w:id="33" w:name="_Toc15377206"/>
      <w:r>
        <w:rPr>
          <w:rFonts w:hint="eastAsia"/>
          <w:lang w:eastAsia="zh-CN"/>
        </w:rPr>
        <w:t>二、收入决算情况说明</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34" w:name="_Toc491"/>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本年收入合计3022.73万元，其中：一般公共预算财政拨款收入2523.88万元，占83.5%；政府性基金预算财政拨款收入0万元，占0%；国有资本经营预算财政拨款收入0万元，占0%；上级补助收入0万元，占0%；事业收入0万元，占0%；经营收入0万元，占0%；附属单位上缴收入0万元，占0%；其他收入498.85万元，占16.5%。</w:t>
      </w:r>
      <w:bookmarkEnd w:id="34"/>
    </w:p>
    <w:p>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drawing>
          <wp:inline distT="0" distB="0" distL="114300" distR="114300">
            <wp:extent cx="5029200" cy="3667125"/>
            <wp:effectExtent l="0" t="0" r="0" b="9525"/>
            <wp:docPr id="2" name="图片 2" descr="图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图2"/>
                    <pic:cNvPicPr>
                      <a:picLocks noChangeAspect="true"/>
                    </pic:cNvPicPr>
                  </pic:nvPicPr>
                  <pic:blipFill>
                    <a:blip r:embed="rId11"/>
                    <a:stretch>
                      <a:fillRect/>
                    </a:stretch>
                  </pic:blipFill>
                  <pic:spPr>
                    <a:xfrm>
                      <a:off x="0" y="0"/>
                      <a:ext cx="5029200" cy="3667125"/>
                    </a:xfrm>
                    <a:prstGeom prst="rect">
                      <a:avLst/>
                    </a:prstGeom>
                  </pic:spPr>
                </pic:pic>
              </a:graphicData>
            </a:graphic>
          </wp:inline>
        </w:drawing>
      </w:r>
    </w:p>
    <w:p>
      <w:pPr>
        <w:ind w:firstLine="800" w:firstLineChars="250"/>
        <w:jc w:val="cente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w:t>
      </w:r>
    </w:p>
    <w:p>
      <w:pPr>
        <w:pStyle w:val="4"/>
        <w:bidi w:val="0"/>
        <w:rPr>
          <w:rFonts w:hint="eastAsia"/>
        </w:rPr>
      </w:pPr>
      <w:bookmarkStart w:id="35" w:name="_Toc21063"/>
      <w:bookmarkStart w:id="36" w:name="_Toc15377207"/>
      <w:bookmarkStart w:id="37" w:name="_Toc15396605"/>
      <w:r>
        <w:rPr>
          <w:rFonts w:hint="eastAsia"/>
          <w:lang w:eastAsia="zh-CN"/>
        </w:rPr>
        <w:t>三、</w:t>
      </w:r>
      <w:r>
        <w:rPr>
          <w:rFonts w:hint="eastAsia"/>
        </w:rPr>
        <w:t>支出决算情况说明</w:t>
      </w:r>
      <w:bookmarkEnd w:id="35"/>
      <w:bookmarkEnd w:id="36"/>
      <w:bookmarkEnd w:id="37"/>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38" w:name="_Toc8955"/>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2025年度本年支出合计3022.73万元，其中：基本支出2319.3万元，占76.7%；项目支出703.44万元，占23.3%；上缴上级支出0万元，占0%；经营支出0万元，占0%；对附属单位补助支出0万元，占0%。</w:t>
      </w:r>
      <w:bookmarkEnd w:id="38"/>
    </w:p>
    <w:p>
      <w:pPr>
        <w:pStyle w:val="29"/>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drawing>
          <wp:inline distT="0" distB="0" distL="114300" distR="114300">
            <wp:extent cx="5057775" cy="3705225"/>
            <wp:effectExtent l="0" t="0" r="9525" b="9525"/>
            <wp:docPr id="3" name="图片 3" descr="图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图3"/>
                    <pic:cNvPicPr>
                      <a:picLocks noChangeAspect="true"/>
                    </pic:cNvPicPr>
                  </pic:nvPicPr>
                  <pic:blipFill>
                    <a:blip r:embed="rId12"/>
                    <a:stretch>
                      <a:fillRect/>
                    </a:stretch>
                  </pic:blipFill>
                  <pic:spPr>
                    <a:xfrm>
                      <a:off x="0" y="0"/>
                      <a:ext cx="5057775" cy="3705225"/>
                    </a:xfrm>
                    <a:prstGeom prst="rect">
                      <a:avLst/>
                    </a:prstGeom>
                  </pic:spPr>
                </pic:pic>
              </a:graphicData>
            </a:graphic>
          </wp:inline>
        </w:drawing>
      </w:r>
    </w:p>
    <w:p>
      <w:pPr>
        <w:ind w:firstLine="800" w:firstLineChars="250"/>
        <w:jc w:val="cente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w:t>
      </w:r>
    </w:p>
    <w:p>
      <w:pPr>
        <w:pStyle w:val="4"/>
        <w:bidi w:val="0"/>
      </w:pPr>
      <w:bookmarkStart w:id="39" w:name="_Toc19000"/>
      <w:bookmarkStart w:id="40" w:name="_Toc15377208"/>
      <w:bookmarkStart w:id="41" w:name="_Toc15396606"/>
      <w:r>
        <w:rPr>
          <w:rFonts w:hint="eastAsia"/>
        </w:rPr>
        <w:t>四、财政拨款收入支出决算总体情况说明</w:t>
      </w:r>
      <w:bookmarkEnd w:id="39"/>
      <w:bookmarkEnd w:id="40"/>
      <w:bookmarkEnd w:id="41"/>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lang w:val="en-US" w:eastAsia="zh-CN"/>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2025年度财政拨款收入、支出总计均为2523.88万元。与2024年度相比，财政拨款收入总计、支出总计各增加156.71万元，增加6.6%。主要原因是2025年省级专项项目资金执行率</w:t>
      </w:r>
      <w:r>
        <w:rPr>
          <w:rFonts w:hint="eastAsia" w:eastAsia="方正仿宋_GBK" w:cs="Times New Roman"/>
          <w:color w:val="000000" w:themeColor="text1"/>
          <w:sz w:val="32"/>
          <w:szCs w:val="32"/>
          <w:lang w:val="en-US" w:eastAsia="zh-CN"/>
          <w14:textFill>
            <w14:solidFill>
              <w14:schemeClr w14:val="tx1"/>
            </w14:solidFill>
          </w14:textFill>
        </w:rPr>
        <w:t>和市级“办案经费”项目资金执行率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较上一年度有较大幅度增长。</w:t>
      </w:r>
    </w:p>
    <w:p>
      <w:pPr>
        <w:pStyle w:val="2"/>
        <w:spacing w:line="240" w:lineRule="auto"/>
        <w:rPr>
          <w:rFonts w:hint="eastAsia"/>
          <w:lang w:val="en-US" w:eastAsia="zh-CN"/>
        </w:rPr>
      </w:pPr>
      <w:r>
        <w:rPr>
          <w:rFonts w:hint="eastAsia"/>
          <w:lang w:val="en-US" w:eastAsia="zh-CN"/>
        </w:rPr>
        <w:drawing>
          <wp:inline distT="0" distB="0" distL="114300" distR="114300">
            <wp:extent cx="4924425" cy="3648075"/>
            <wp:effectExtent l="0" t="0" r="9525" b="9525"/>
            <wp:docPr id="4" name="图片 4" descr="图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图4"/>
                    <pic:cNvPicPr>
                      <a:picLocks noChangeAspect="true"/>
                    </pic:cNvPicPr>
                  </pic:nvPicPr>
                  <pic:blipFill>
                    <a:blip r:embed="rId13"/>
                    <a:stretch>
                      <a:fillRect/>
                    </a:stretch>
                  </pic:blipFill>
                  <pic:spPr>
                    <a:xfrm>
                      <a:off x="0" y="0"/>
                      <a:ext cx="4924425" cy="3648075"/>
                    </a:xfrm>
                    <a:prstGeom prst="rect">
                      <a:avLst/>
                    </a:prstGeom>
                  </pic:spPr>
                </pic:pic>
              </a:graphicData>
            </a:graphic>
          </wp:inline>
        </w:drawing>
      </w:r>
    </w:p>
    <w:p>
      <w:pPr>
        <w:spacing w:line="600" w:lineRule="exact"/>
        <w:ind w:firstLine="640" w:firstLineChars="20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w:t>
      </w:r>
      <w:r>
        <w:rPr>
          <w:rFonts w:hint="eastAsia" w:eastAsia="仿宋_GB2312" w:cs="仿宋_GB2312"/>
          <w:color w:val="auto"/>
          <w:kern w:val="2"/>
          <w:sz w:val="32"/>
          <w:szCs w:val="32"/>
          <w:highlight w:val="none"/>
          <w:lang w:val="en-US" w:eastAsia="zh-CN" w:bidi="ar-SA"/>
        </w:rPr>
        <w:t>图</w:t>
      </w:r>
    </w:p>
    <w:p>
      <w:pPr>
        <w:pStyle w:val="4"/>
        <w:bidi w:val="0"/>
      </w:pPr>
      <w:bookmarkStart w:id="42" w:name="_Toc15396607"/>
      <w:bookmarkStart w:id="43" w:name="_Toc11367"/>
      <w:bookmarkStart w:id="44" w:name="_Toc15377209"/>
      <w:r>
        <w:rPr>
          <w:rFonts w:hint="eastAsia"/>
        </w:rPr>
        <w:t>五、一般公共预算财政拨款支出决算情况说明</w:t>
      </w:r>
      <w:bookmarkEnd w:id="42"/>
      <w:bookmarkEnd w:id="43"/>
      <w:bookmarkEnd w:id="44"/>
    </w:p>
    <w:p>
      <w:pPr>
        <w:spacing w:line="600" w:lineRule="exact"/>
        <w:ind w:firstLine="640"/>
        <w:rPr>
          <w:rFonts w:hint="eastAsia" w:ascii="Times New Roman" w:hAnsi="Times New Roman" w:eastAsia="楷体_GB2312" w:cs="楷体_GB2312"/>
          <w:b/>
          <w:color w:val="auto"/>
          <w:sz w:val="32"/>
          <w:szCs w:val="32"/>
          <w:highlight w:val="none"/>
        </w:rPr>
      </w:pPr>
      <w:bookmarkStart w:id="45"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45"/>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2025年度一般公共预算财政拨款支出2523.88万元，占本年支出合计的83.5%。与2024年度相比，一般公共预算财政拨款支出增加156.71万元，增加6.6%。主要原因是2025年省级专项项目资金执行率</w:t>
      </w:r>
      <w:r>
        <w:rPr>
          <w:rFonts w:hint="eastAsia" w:eastAsia="方正仿宋_GBK" w:cs="Times New Roman"/>
          <w:color w:val="000000" w:themeColor="text1"/>
          <w:sz w:val="32"/>
          <w:szCs w:val="32"/>
          <w:lang w:val="en-US" w:eastAsia="zh-CN"/>
          <w14:textFill>
            <w14:solidFill>
              <w14:schemeClr w14:val="tx1"/>
            </w14:solidFill>
          </w14:textFill>
        </w:rPr>
        <w:t>和市级“办案经费”项目资金执行率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较上一年度有较大幅度增长。</w:t>
      </w:r>
    </w:p>
    <w:p>
      <w:pPr>
        <w:spacing w:line="240" w:lineRule="auto"/>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inline distT="0" distB="0" distL="114300" distR="114300">
            <wp:extent cx="5038725" cy="3676650"/>
            <wp:effectExtent l="0" t="0" r="9525" b="0"/>
            <wp:docPr id="6" name="图片 6" descr="图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图5"/>
                    <pic:cNvPicPr>
                      <a:picLocks noChangeAspect="true"/>
                    </pic:cNvPicPr>
                  </pic:nvPicPr>
                  <pic:blipFill>
                    <a:blip r:embed="rId14"/>
                    <a:stretch>
                      <a:fillRect/>
                    </a:stretch>
                  </pic:blipFill>
                  <pic:spPr>
                    <a:xfrm>
                      <a:off x="0" y="0"/>
                      <a:ext cx="5038725" cy="3676650"/>
                    </a:xfrm>
                    <a:prstGeom prst="rect">
                      <a:avLst/>
                    </a:prstGeom>
                  </pic:spPr>
                </pic:pic>
              </a:graphicData>
            </a:graphic>
          </wp:inline>
        </w:drawing>
      </w:r>
    </w:p>
    <w:p>
      <w:pPr>
        <w:spacing w:line="600" w:lineRule="exact"/>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w:t>
      </w:r>
      <w:r>
        <w:rPr>
          <w:rFonts w:hint="eastAsia" w:eastAsia="仿宋_GB2312" w:cs="仿宋_GB2312"/>
          <w:color w:val="auto"/>
          <w:kern w:val="2"/>
          <w:sz w:val="32"/>
          <w:szCs w:val="32"/>
          <w:highlight w:val="none"/>
          <w:lang w:val="en-US" w:eastAsia="zh-CN" w:bidi="ar-SA"/>
        </w:rPr>
        <w:t>图</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6"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46"/>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2025年度一般公共预算财政拨款支出2523.88万元，主要用于以下方面：公共安全支出2077.83万元，占82.3%；社会保障和就业支出198.27万元，占7.9%；卫生健康支出107.87万元，占4.3%；住房保障支出139.9万元，占5.5%。</w:t>
      </w:r>
    </w:p>
    <w:p>
      <w:pPr>
        <w:pStyle w:val="2"/>
        <w:spacing w:line="240" w:lineRule="auto"/>
        <w:jc w:val="center"/>
        <w:rPr>
          <w:rFonts w:hint="default"/>
          <w:lang w:eastAsia="zh-CN"/>
        </w:rPr>
      </w:pPr>
      <w:r>
        <w:rPr>
          <w:rFonts w:hint="default"/>
          <w:lang w:eastAsia="zh-CN"/>
        </w:rPr>
        <w:drawing>
          <wp:inline distT="0" distB="0" distL="114300" distR="114300">
            <wp:extent cx="5010150" cy="3714750"/>
            <wp:effectExtent l="0" t="0" r="0" b="0"/>
            <wp:docPr id="7" name="图片 7" descr="图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图6"/>
                    <pic:cNvPicPr>
                      <a:picLocks noChangeAspect="true"/>
                    </pic:cNvPicPr>
                  </pic:nvPicPr>
                  <pic:blipFill>
                    <a:blip r:embed="rId15"/>
                    <a:stretch>
                      <a:fillRect/>
                    </a:stretch>
                  </pic:blipFill>
                  <pic:spPr>
                    <a:xfrm>
                      <a:off x="0" y="0"/>
                      <a:ext cx="5010150" cy="3714750"/>
                    </a:xfrm>
                    <a:prstGeom prst="rect">
                      <a:avLst/>
                    </a:prstGeom>
                  </pic:spPr>
                </pic:pic>
              </a:graphicData>
            </a:graphic>
          </wp:inline>
        </w:drawing>
      </w:r>
    </w:p>
    <w:p>
      <w:pPr>
        <w:spacing w:line="600" w:lineRule="exact"/>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w:t>
      </w:r>
      <w:r>
        <w:rPr>
          <w:rFonts w:hint="eastAsia" w:eastAsia="仿宋_GB2312" w:cs="仿宋_GB2312"/>
          <w:color w:val="auto"/>
          <w:kern w:val="2"/>
          <w:sz w:val="32"/>
          <w:szCs w:val="32"/>
          <w:highlight w:val="none"/>
          <w:lang w:val="en-US" w:eastAsia="zh-CN" w:bidi="ar-SA"/>
        </w:rPr>
        <w:t>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7"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47"/>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bookmarkStart w:id="48" w:name="_Toc15378460"/>
      <w:bookmarkStart w:id="49" w:name="_Toc15377444"/>
      <w:bookmarkStart w:id="50" w:name="_Toc15377213"/>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2025年度一般公共预算财政拨款支出决算数为2523.88万元，完成预算100%。其中：</w:t>
      </w:r>
      <w:bookmarkEnd w:id="48"/>
      <w:bookmarkEnd w:id="49"/>
      <w:bookmarkEnd w:id="50"/>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Cs/>
          <w:color w:val="000000"/>
          <w:sz w:val="32"/>
          <w:szCs w:val="32"/>
        </w:rPr>
        <w:t>公共安全支出（类）法院（款）行政运行（项）</w:t>
      </w:r>
      <w:r>
        <w:rPr>
          <w:rStyle w:val="19"/>
          <w:rFonts w:ascii="仿宋" w:hAnsi="仿宋" w:eastAsia="仿宋"/>
          <w:bCs/>
          <w:color w:val="000000"/>
          <w:sz w:val="32"/>
          <w:szCs w:val="32"/>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支出决算为1488.07万元，完成预算100%。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cstheme="minorBidi"/>
          <w:bCs/>
          <w:color w:val="000000"/>
          <w:sz w:val="32"/>
          <w:szCs w:val="32"/>
        </w:rPr>
        <w:t>公共安全支出（类）法院（款）</w:t>
      </w:r>
      <w:r>
        <w:rPr>
          <w:rStyle w:val="19"/>
          <w:rFonts w:hint="eastAsia" w:ascii="仿宋" w:hAnsi="仿宋" w:eastAsia="仿宋" w:cstheme="minorBidi"/>
          <w:bCs/>
          <w:color w:val="000000"/>
          <w:sz w:val="32"/>
          <w:szCs w:val="32"/>
          <w:lang w:eastAsia="zh-CN"/>
        </w:rPr>
        <w:t>案件审判</w:t>
      </w:r>
      <w:r>
        <w:rPr>
          <w:rStyle w:val="19"/>
          <w:rFonts w:hint="eastAsia" w:ascii="仿宋" w:hAnsi="仿宋" w:eastAsia="仿宋" w:cstheme="minorBidi"/>
          <w:bCs/>
          <w:color w:val="000000"/>
          <w:sz w:val="32"/>
          <w:szCs w:val="32"/>
        </w:rPr>
        <w:t>（项）: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支出决算为33.78万元，完成预算100%。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Cs/>
          <w:color w:val="000000"/>
          <w:sz w:val="32"/>
          <w:szCs w:val="32"/>
        </w:rPr>
        <w:t>公共安全支出（类）法院（款）</w:t>
      </w:r>
      <w:r>
        <w:rPr>
          <w:rStyle w:val="19"/>
          <w:rFonts w:hint="eastAsia" w:ascii="仿宋" w:hAnsi="仿宋" w:eastAsia="仿宋"/>
          <w:bCs/>
          <w:color w:val="000000"/>
          <w:sz w:val="32"/>
          <w:szCs w:val="32"/>
          <w:lang w:eastAsia="zh-CN"/>
        </w:rPr>
        <w:t>其他法院支出</w:t>
      </w:r>
      <w:r>
        <w:rPr>
          <w:rStyle w:val="19"/>
          <w:rFonts w:hint="eastAsia" w:ascii="仿宋" w:hAnsi="仿宋" w:eastAsia="仿宋"/>
          <w:bCs/>
          <w:color w:val="000000"/>
          <w:sz w:val="32"/>
          <w:szCs w:val="32"/>
        </w:rPr>
        <w:t>（项）</w:t>
      </w:r>
      <w:r>
        <w:rPr>
          <w:rStyle w:val="19"/>
          <w:rFonts w:ascii="仿宋" w:hAnsi="仿宋" w:eastAsia="仿宋"/>
          <w:bCs/>
          <w:color w:val="000000"/>
          <w:sz w:val="32"/>
          <w:szCs w:val="32"/>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支出决算为555.98万元，完成预算100%。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Cs/>
          <w:color w:val="000000"/>
          <w:sz w:val="32"/>
          <w:szCs w:val="32"/>
        </w:rPr>
        <w:t>社会保障和就业支出（类）行政事业</w:t>
      </w:r>
      <w:r>
        <w:rPr>
          <w:rStyle w:val="19"/>
          <w:rFonts w:hint="eastAsia" w:ascii="仿宋" w:hAnsi="仿宋" w:eastAsia="仿宋"/>
          <w:bCs/>
          <w:color w:val="000000"/>
          <w:sz w:val="32"/>
          <w:szCs w:val="32"/>
          <w:lang w:eastAsia="zh-CN"/>
        </w:rPr>
        <w:t>单位</w:t>
      </w:r>
      <w:r>
        <w:rPr>
          <w:rStyle w:val="19"/>
          <w:rFonts w:hint="eastAsia" w:ascii="仿宋" w:hAnsi="仿宋" w:eastAsia="仿宋"/>
          <w:bCs/>
          <w:color w:val="000000"/>
          <w:sz w:val="32"/>
          <w:szCs w:val="32"/>
        </w:rPr>
        <w:t>养老支出（款）机关事业</w:t>
      </w:r>
      <w:r>
        <w:rPr>
          <w:rStyle w:val="19"/>
          <w:rFonts w:hint="eastAsia" w:ascii="仿宋" w:hAnsi="仿宋" w:eastAsia="仿宋"/>
          <w:bCs/>
          <w:color w:val="000000"/>
          <w:sz w:val="32"/>
          <w:szCs w:val="32"/>
          <w:lang w:eastAsia="zh-CN"/>
        </w:rPr>
        <w:t>单位</w:t>
      </w:r>
      <w:r>
        <w:rPr>
          <w:rStyle w:val="19"/>
          <w:rFonts w:hint="eastAsia" w:ascii="仿宋" w:hAnsi="仿宋" w:eastAsia="仿宋"/>
          <w:bCs/>
          <w:color w:val="000000"/>
          <w:sz w:val="32"/>
          <w:szCs w:val="32"/>
        </w:rPr>
        <w:t>基本养老保险缴费支出（项）：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支出决算为158.32万元，完成预算100%。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Cs/>
          <w:color w:val="000000"/>
          <w:sz w:val="32"/>
          <w:szCs w:val="32"/>
        </w:rPr>
        <w:t xml:space="preserve"> 社会保障和就业支出（类）行政事业</w:t>
      </w:r>
      <w:r>
        <w:rPr>
          <w:rStyle w:val="19"/>
          <w:rFonts w:hint="eastAsia" w:ascii="仿宋" w:hAnsi="仿宋" w:eastAsia="仿宋"/>
          <w:bCs/>
          <w:color w:val="000000"/>
          <w:sz w:val="32"/>
          <w:szCs w:val="32"/>
          <w:lang w:eastAsia="zh-CN"/>
        </w:rPr>
        <w:t>单位</w:t>
      </w:r>
      <w:r>
        <w:rPr>
          <w:rStyle w:val="19"/>
          <w:rFonts w:hint="eastAsia" w:ascii="仿宋" w:hAnsi="仿宋" w:eastAsia="仿宋"/>
          <w:bCs/>
          <w:color w:val="000000"/>
          <w:sz w:val="32"/>
          <w:szCs w:val="32"/>
        </w:rPr>
        <w:t>养老支出（款）机关事业</w:t>
      </w:r>
      <w:r>
        <w:rPr>
          <w:rStyle w:val="19"/>
          <w:rFonts w:hint="eastAsia" w:ascii="仿宋" w:hAnsi="仿宋" w:eastAsia="仿宋"/>
          <w:bCs/>
          <w:color w:val="000000"/>
          <w:sz w:val="32"/>
          <w:szCs w:val="32"/>
          <w:lang w:eastAsia="zh-CN"/>
        </w:rPr>
        <w:t>单位职业年金</w:t>
      </w:r>
      <w:r>
        <w:rPr>
          <w:rStyle w:val="19"/>
          <w:rFonts w:hint="eastAsia" w:ascii="仿宋" w:hAnsi="仿宋" w:eastAsia="仿宋"/>
          <w:bCs/>
          <w:color w:val="000000"/>
          <w:sz w:val="32"/>
          <w:szCs w:val="32"/>
        </w:rPr>
        <w:t>缴费支出（项）：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支出决算为39.95万元，完成预算100%。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
          <w:bCs w:val="0"/>
          <w:color w:val="000000"/>
          <w:sz w:val="32"/>
          <w:szCs w:val="32"/>
        </w:rPr>
        <w:t>卫生</w:t>
      </w:r>
      <w:r>
        <w:rPr>
          <w:rStyle w:val="19"/>
          <w:rFonts w:hint="eastAsia" w:ascii="仿宋" w:hAnsi="仿宋" w:eastAsia="仿宋"/>
          <w:bCs/>
          <w:color w:val="000000"/>
          <w:sz w:val="32"/>
          <w:szCs w:val="32"/>
        </w:rPr>
        <w:t>健康支出（类）行政事业</w:t>
      </w:r>
      <w:r>
        <w:rPr>
          <w:rStyle w:val="19"/>
          <w:rFonts w:hint="eastAsia" w:ascii="仿宋" w:hAnsi="仿宋" w:eastAsia="仿宋"/>
          <w:bCs/>
          <w:color w:val="000000"/>
          <w:sz w:val="32"/>
          <w:szCs w:val="32"/>
          <w:lang w:eastAsia="zh-CN"/>
        </w:rPr>
        <w:t>单位</w:t>
      </w:r>
      <w:r>
        <w:rPr>
          <w:rStyle w:val="19"/>
          <w:rFonts w:hint="eastAsia" w:ascii="仿宋" w:hAnsi="仿宋" w:eastAsia="仿宋"/>
          <w:bCs/>
          <w:color w:val="000000"/>
          <w:sz w:val="32"/>
          <w:szCs w:val="32"/>
        </w:rPr>
        <w:t>医疗支出（款）行政</w:t>
      </w:r>
      <w:r>
        <w:rPr>
          <w:rStyle w:val="19"/>
          <w:rFonts w:hint="eastAsia" w:ascii="仿宋" w:hAnsi="仿宋" w:eastAsia="仿宋"/>
          <w:bCs/>
          <w:color w:val="000000"/>
          <w:sz w:val="32"/>
          <w:szCs w:val="32"/>
          <w:lang w:eastAsia="zh-CN"/>
        </w:rPr>
        <w:t>单位</w:t>
      </w:r>
      <w:r>
        <w:rPr>
          <w:rStyle w:val="19"/>
          <w:rFonts w:hint="eastAsia" w:ascii="仿宋" w:hAnsi="仿宋" w:eastAsia="仿宋"/>
          <w:bCs/>
          <w:color w:val="000000"/>
          <w:sz w:val="32"/>
          <w:szCs w:val="32"/>
        </w:rPr>
        <w:t>医疗支出（项）：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支出决算为87.29万元，完成预算100%。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Cs/>
          <w:color w:val="000000"/>
          <w:sz w:val="32"/>
          <w:szCs w:val="32"/>
        </w:rPr>
        <w:t>卫生健康支出（类）行政事业</w:t>
      </w:r>
      <w:r>
        <w:rPr>
          <w:rStyle w:val="19"/>
          <w:rFonts w:hint="eastAsia" w:ascii="仿宋" w:hAnsi="仿宋" w:eastAsia="仿宋"/>
          <w:bCs/>
          <w:color w:val="000000"/>
          <w:sz w:val="32"/>
          <w:szCs w:val="32"/>
          <w:lang w:eastAsia="zh-CN"/>
        </w:rPr>
        <w:t>单位</w:t>
      </w:r>
      <w:r>
        <w:rPr>
          <w:rStyle w:val="19"/>
          <w:rFonts w:hint="eastAsia" w:ascii="仿宋" w:hAnsi="仿宋" w:eastAsia="仿宋"/>
          <w:bCs/>
          <w:color w:val="000000"/>
          <w:sz w:val="32"/>
          <w:szCs w:val="32"/>
        </w:rPr>
        <w:t>医疗支出（款）公务员医疗补助支出（项）：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支出决算为20.58万元，完成预算100%。</w:t>
      </w:r>
    </w:p>
    <w:p>
      <w:pPr>
        <w:numPr>
          <w:ilvl w:val="0"/>
          <w:numId w:val="2"/>
        </w:num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Style w:val="19"/>
          <w:rFonts w:hint="eastAsia" w:ascii="仿宋" w:hAnsi="仿宋" w:eastAsia="仿宋"/>
          <w:bCs/>
          <w:color w:val="000000"/>
          <w:sz w:val="32"/>
          <w:szCs w:val="32"/>
        </w:rPr>
        <w:t>住房保障支出（类）住房改革支出（款）住房公积金支出（项）：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支出决算为139.9万元，完成预算100%。</w:t>
      </w:r>
    </w:p>
    <w:p>
      <w:pPr>
        <w:pStyle w:val="4"/>
        <w:bidi w:val="0"/>
      </w:pPr>
      <w:bookmarkStart w:id="51" w:name="_Toc15396608"/>
      <w:bookmarkStart w:id="52" w:name="_Toc21076"/>
      <w:bookmarkStart w:id="53" w:name="_Toc15377214"/>
      <w:r>
        <w:rPr>
          <w:rFonts w:hint="eastAsia"/>
        </w:rPr>
        <w:t>六、一般公共预算财政拨款基本支出决算情况说明</w:t>
      </w:r>
      <w:bookmarkEnd w:id="51"/>
      <w:bookmarkEnd w:id="52"/>
      <w:bookmarkEnd w:id="53"/>
      <w:r>
        <w:tab/>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年度一般公共预算财政拨款基本支出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1934.12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万元，其中：</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人员经费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1749.82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万元，主要包括：基本工资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437.56</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万元、津贴补贴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595.43</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万元、奖金</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25.86</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万元、机关事业</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单位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基本养老保险缴费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158.32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万元、职业年金缴费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39.95</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万元、职工基本医疗保险缴费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87.29</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万元、公务员医疗补助缴费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20.58</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万元、其他社会保障缴费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1.98</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万元、住房公积金</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139.9</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万元、其他工资福利支出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242.87</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公用经费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184.3</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万元，主要包括：办公费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12.79</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万元、水费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10.95</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万元、电费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24</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万元、邮电费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万元、差旅费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19.66</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培训</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万元、公务接待费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0.13</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万元、工会经费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11.41</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万元、福利费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0.26</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万元、公务用车运行维护费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18.92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万元、其他交通费用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69.25万元</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、其他商品和服务支出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4.55</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万元。</w:t>
      </w:r>
    </w:p>
    <w:p>
      <w:pPr>
        <w:pStyle w:val="4"/>
        <w:bidi w:val="0"/>
      </w:pPr>
      <w:bookmarkStart w:id="54" w:name="_Toc16016"/>
      <w:bookmarkStart w:id="55" w:name="_Toc15377215"/>
      <w:bookmarkStart w:id="56" w:name="_Toc15396609"/>
      <w:r>
        <w:rPr>
          <w:rFonts w:hint="eastAsia"/>
        </w:rPr>
        <w:t>七、财政拨款“三公”经费支出决算情况说明</w:t>
      </w:r>
      <w:bookmarkEnd w:id="54"/>
      <w:bookmarkEnd w:id="55"/>
      <w:bookmarkEnd w:id="56"/>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7"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57"/>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2025年度“三公”经费财政拨款支出决算为19.05万元，完成预算100%，较上年度减少1.4万元，下降6.9%。决算数较上年减少的主要原因是</w:t>
      </w:r>
      <w:r>
        <w:rPr>
          <w:rFonts w:hint="eastAsia" w:eastAsia="方正仿宋_GBK" w:cs="Times New Roman"/>
          <w:color w:val="000000" w:themeColor="text1"/>
          <w:sz w:val="32"/>
          <w:szCs w:val="32"/>
          <w:lang w:val="en-US" w:eastAsia="zh-CN"/>
          <w14:textFill>
            <w14:solidFill>
              <w14:schemeClr w14:val="tx1"/>
            </w14:solidFill>
          </w14:textFill>
        </w:rPr>
        <w:t>2025年度我院进一步规范了公务用车管理，且</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司法调研活动、工作交流会议等较上年有所减少</w:t>
      </w:r>
      <w:r>
        <w:rPr>
          <w:rFonts w:hint="eastAsia" w:eastAsia="方正仿宋_GBK" w:cs="Times New Roman"/>
          <w:color w:val="000000" w:themeColor="text1"/>
          <w:sz w:val="32"/>
          <w:szCs w:val="32"/>
          <w:lang w:val="en-US" w:eastAsia="zh-CN"/>
          <w14:textFill>
            <w14:solidFill>
              <w14:schemeClr w14:val="tx1"/>
            </w14:solidFill>
          </w14:textFill>
        </w:rPr>
        <w:t>，造成公务接待减少。</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8"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58"/>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2025年度“三公”经费财政拨款支出决算中，因公出国（境）费支出决算0万元，占0%；公务用车购置及运行维护费支出决算18.92万元，占99.3%；公务接待费支出决算0.13万元，占0.7%。具体情况如下：</w:t>
      </w:r>
    </w:p>
    <w:p>
      <w:pPr>
        <w:pStyle w:val="2"/>
        <w:rPr>
          <w:rFonts w:hint="eastAsia" w:ascii="仿宋_GB2312" w:hAnsi="仿宋_GB2312" w:eastAsia="仿宋_GB2312" w:cs="仿宋_GB2312"/>
          <w:color w:val="auto"/>
          <w:kern w:val="2"/>
          <w:sz w:val="32"/>
          <w:szCs w:val="32"/>
          <w:highlight w:val="none"/>
          <w:lang w:val="en-US" w:eastAsia="zh-CN" w:bidi="ar-SA"/>
        </w:rPr>
      </w:pPr>
    </w:p>
    <w:p>
      <w:pPr>
        <w:pStyle w:val="2"/>
        <w:spacing w:line="240" w:lineRule="auto"/>
        <w:jc w:val="center"/>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drawing>
          <wp:inline distT="0" distB="0" distL="114300" distR="114300">
            <wp:extent cx="4936490" cy="3686175"/>
            <wp:effectExtent l="0" t="0" r="16510" b="9525"/>
            <wp:docPr id="24" name="图片 24" descr="C:\Users\Administrator\Desktop\2026年决算公开\2024年决算公开图表\图7.JPG图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24" descr="C:\Users\Administrator\Desktop\2026年决算公开\2024年决算公开图表\图7.JPG图7"/>
                    <pic:cNvPicPr>
                      <a:picLocks noChangeAspect="true"/>
                    </pic:cNvPicPr>
                  </pic:nvPicPr>
                  <pic:blipFill>
                    <a:blip r:embed="rId16"/>
                    <a:srcRect/>
                    <a:stretch>
                      <a:fillRect/>
                    </a:stretch>
                  </pic:blipFill>
                  <pic:spPr>
                    <a:xfrm>
                      <a:off x="0" y="0"/>
                      <a:ext cx="4936490" cy="3686175"/>
                    </a:xfrm>
                    <a:prstGeom prst="rect">
                      <a:avLst/>
                    </a:prstGeom>
                  </pic:spPr>
                </pic:pic>
              </a:graphicData>
            </a:graphic>
          </wp:inline>
        </w:drawing>
      </w:r>
    </w:p>
    <w:p>
      <w:pPr>
        <w:spacing w:line="600" w:lineRule="exact"/>
        <w:ind w:firstLine="640"/>
        <w:jc w:val="center"/>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w:t>
      </w:r>
      <w:r>
        <w:rPr>
          <w:rFonts w:hint="eastAsia" w:eastAsia="仿宋_GB2312" w:cs="仿宋_GB2312"/>
          <w:color w:val="auto"/>
          <w:kern w:val="2"/>
          <w:sz w:val="32"/>
          <w:szCs w:val="32"/>
          <w:highlight w:val="none"/>
          <w:lang w:val="en-US" w:eastAsia="zh-CN" w:bidi="ar-SA"/>
        </w:rPr>
        <w:t>图</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全年安排因公出国（境）团组0次，出国（境）0人。</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cs="仿宋_GB2312"/>
          <w:b/>
          <w:bCs/>
          <w:color w:val="auto"/>
          <w:kern w:val="2"/>
          <w:sz w:val="32"/>
          <w:szCs w:val="32"/>
          <w:highlight w:val="none"/>
          <w:lang w:val="en-US" w:eastAsia="zh-CN" w:bidi="ar-SA"/>
        </w:rPr>
        <w:t>18.92</w:t>
      </w:r>
      <w:r>
        <w:rPr>
          <w:rFonts w:hint="eastAsia" w:ascii="仿宋_GB2312" w:hAnsi="仿宋_GB2312" w:eastAsia="仿宋_GB2312" w:cs="仿宋_GB2312"/>
          <w:b/>
          <w:bCs/>
          <w:color w:val="auto"/>
          <w:kern w:val="2"/>
          <w:sz w:val="32"/>
          <w:szCs w:val="32"/>
          <w:highlight w:val="none"/>
          <w:lang w:val="en-US" w:eastAsia="zh-CN" w:bidi="ar-SA"/>
        </w:rPr>
        <w:t>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公务用车购置及运行维护费支出决算比2024年度减少0.29万元，下降1.5%。主要原因是</w:t>
      </w:r>
      <w:r>
        <w:rPr>
          <w:rFonts w:hint="eastAsia" w:eastAsia="方正仿宋_GBK" w:cs="Times New Roman"/>
          <w:color w:val="000000" w:themeColor="text1"/>
          <w:sz w:val="32"/>
          <w:szCs w:val="32"/>
          <w:lang w:val="en-US" w:eastAsia="zh-CN"/>
          <w14:textFill>
            <w14:solidFill>
              <w14:schemeClr w14:val="tx1"/>
            </w14:solidFill>
          </w14:textFill>
        </w:rPr>
        <w:t>2025年度我院进一步规范了公务用车管理</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其中：公务用车购置支出0万元。截至2025年12月31日，部门共有公务用车16辆，其中：轿车8辆、越野车3辆、载客汽车0辆、其他车型5辆。</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公务用车运行维护费支出18.92万元。主要用于</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执法执勤、案件审判等</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所需的公务用车燃料费、维修费、过路过桥费、保险费等支出。</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cs="仿宋_GB2312"/>
          <w:b/>
          <w:bCs/>
          <w:color w:val="auto"/>
          <w:kern w:val="2"/>
          <w:sz w:val="32"/>
          <w:szCs w:val="32"/>
          <w:highlight w:val="none"/>
          <w:lang w:val="en-US" w:eastAsia="zh-CN" w:bidi="ar-SA"/>
        </w:rPr>
        <w:t>0.13</w:t>
      </w:r>
      <w:r>
        <w:rPr>
          <w:rFonts w:hint="eastAsia" w:ascii="仿宋_GB2312" w:hAnsi="仿宋_GB2312" w:eastAsia="仿宋_GB2312" w:cs="仿宋_GB2312"/>
          <w:b/>
          <w:bCs/>
          <w:color w:val="auto"/>
          <w:kern w:val="2"/>
          <w:sz w:val="32"/>
          <w:szCs w:val="32"/>
          <w:highlight w:val="none"/>
          <w:lang w:val="en-US" w:eastAsia="zh-CN" w:bidi="ar-SA"/>
        </w:rPr>
        <w:t>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公务接待费支出决算比2024年度减少1.11万元，减少89.5%。主要原因是</w:t>
      </w:r>
      <w:r>
        <w:rPr>
          <w:rFonts w:hint="eastAsia" w:eastAsia="方正仿宋_GBK" w:cs="Times New Roman"/>
          <w:color w:val="000000" w:themeColor="text1"/>
          <w:sz w:val="32"/>
          <w:szCs w:val="32"/>
          <w:lang w:val="en-US" w:eastAsia="zh-CN"/>
          <w14:textFill>
            <w14:solidFill>
              <w14:schemeClr w14:val="tx1"/>
            </w14:solidFill>
          </w14:textFill>
        </w:rPr>
        <w:t>2025年度</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司法调研活动、工作交流会议等较上年有所减少</w:t>
      </w:r>
      <w:r>
        <w:rPr>
          <w:rFonts w:hint="eastAsia" w:eastAsia="方正仿宋_GBK" w:cs="Times New Roman"/>
          <w:color w:val="000000" w:themeColor="text1"/>
          <w:sz w:val="32"/>
          <w:szCs w:val="32"/>
          <w:lang w:val="en-US" w:eastAsia="zh-CN"/>
          <w14:textFill>
            <w14:solidFill>
              <w14:schemeClr w14:val="tx1"/>
            </w14:solidFill>
          </w14:textFill>
        </w:rPr>
        <w:t>，造成公务接待减少。</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其中：</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国内公务接待支出0.13万元，主要用于执行公务、开展业务活动开支的用餐费。国内公务接待1批次，5人次（不包括陪同人员），共计支出0.13万元，具体内容包括：</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接待</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四川省高级人民法院、攀枝花市中级人民法院等2家法院5人，我院3人陪同，参加2025年省法院环资庭调研环节资源审判工作会议</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，接待金额为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1263元。</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外事接待支出0万元，外事接待0批次，0人次（不包括陪同人员），共计支出0万元。</w:t>
      </w:r>
      <w:bookmarkStart w:id="59" w:name="_Toc15396610"/>
      <w:bookmarkStart w:id="60" w:name="_Toc15377218"/>
    </w:p>
    <w:p>
      <w:pPr>
        <w:pStyle w:val="4"/>
        <w:bidi w:val="0"/>
      </w:pPr>
      <w:bookmarkStart w:id="61" w:name="_Toc21893"/>
      <w:r>
        <w:rPr>
          <w:rFonts w:hint="eastAsia"/>
        </w:rPr>
        <w:t>八、政府性基金预算支出决算情况说明</w:t>
      </w:r>
      <w:bookmarkEnd w:id="59"/>
      <w:bookmarkEnd w:id="60"/>
      <w:bookmarkEnd w:id="61"/>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2025年度政府性基金预算财政拨款支出0万元。</w:t>
      </w:r>
    </w:p>
    <w:p>
      <w:pPr>
        <w:pStyle w:val="4"/>
        <w:bidi w:val="0"/>
      </w:pPr>
      <w:bookmarkStart w:id="62" w:name="_Toc15377219"/>
      <w:bookmarkStart w:id="63" w:name="_Toc15396611"/>
      <w:bookmarkStart w:id="64" w:name="_Toc23701"/>
      <w:r>
        <w:rPr>
          <w:rFonts w:hint="eastAsia"/>
          <w:lang w:eastAsia="zh-CN"/>
        </w:rPr>
        <w:t>九、</w:t>
      </w:r>
      <w:r>
        <w:rPr>
          <w:rFonts w:hint="eastAsia"/>
        </w:rPr>
        <w:t>国有资本经营预算支出决算情况说明</w:t>
      </w:r>
      <w:bookmarkEnd w:id="62"/>
      <w:bookmarkEnd w:id="63"/>
      <w:bookmarkEnd w:id="64"/>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2025年度国有资本经营预算财政拨款支出0万元。</w:t>
      </w:r>
    </w:p>
    <w:p>
      <w:pPr>
        <w:pStyle w:val="4"/>
        <w:bidi w:val="0"/>
        <w:rPr>
          <w:rFonts w:hint="eastAsia"/>
        </w:rPr>
      </w:pPr>
      <w:bookmarkStart w:id="65" w:name="_Toc15396612"/>
      <w:bookmarkStart w:id="66" w:name="_Toc1738"/>
      <w:bookmarkStart w:id="67" w:name="_Toc15377221"/>
      <w:r>
        <w:rPr>
          <w:rFonts w:hint="eastAsia"/>
          <w:lang w:eastAsia="zh-CN"/>
        </w:rPr>
        <w:t>十、</w:t>
      </w:r>
      <w:r>
        <w:rPr>
          <w:rFonts w:hint="eastAsia"/>
        </w:rPr>
        <w:t>其他重要事项的情况说明</w:t>
      </w:r>
      <w:bookmarkEnd w:id="65"/>
      <w:bookmarkEnd w:id="66"/>
      <w:bookmarkEnd w:id="67"/>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68" w:name="_Toc15377222"/>
      <w:r>
        <w:rPr>
          <w:rFonts w:hint="eastAsia" w:ascii="Times New Roman" w:hAnsi="Times New Roman" w:eastAsia="楷体_GB2312" w:cs="楷体_GB2312"/>
          <w:b/>
          <w:color w:val="auto"/>
          <w:sz w:val="32"/>
          <w:szCs w:val="32"/>
          <w:highlight w:val="none"/>
        </w:rPr>
        <w:t>（一）机关运行经费支出情况</w:t>
      </w:r>
      <w:bookmarkEnd w:id="68"/>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2025年度，四川省攀枝花市东区人民法院机关运行经费支出184.3万元，比202</w:t>
      </w:r>
      <w:r>
        <w:rPr>
          <w:rFonts w:hint="eastAsia" w:eastAsia="方正仿宋_GBK" w:cs="Times New Roman"/>
          <w:color w:val="000000" w:themeColor="text1"/>
          <w:sz w:val="32"/>
          <w:szCs w:val="32"/>
          <w:lang w:val="en-US" w:eastAsia="zh-CN"/>
          <w14:textFill>
            <w14:solidFill>
              <w14:schemeClr w14:val="tx1"/>
            </w14:solidFill>
          </w14:textFill>
        </w:rPr>
        <w:t>4</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年度减少24.11万元，减少11.6%。主要原因是我院厉行节俭，合理规划开支，公用经费支出减少。</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69" w:name="_Toc15377223"/>
      <w:r>
        <w:rPr>
          <w:rFonts w:hint="eastAsia" w:ascii="Times New Roman" w:hAnsi="Times New Roman" w:eastAsia="楷体_GB2312" w:cs="楷体_GB2312"/>
          <w:b/>
          <w:color w:val="auto"/>
          <w:sz w:val="32"/>
          <w:szCs w:val="32"/>
          <w:highlight w:val="none"/>
        </w:rPr>
        <w:t>（二）政府采购支出情况</w:t>
      </w:r>
      <w:bookmarkEnd w:id="69"/>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度，四川省攀枝花市东区人民法院政府采购支出总额25.25万元，其中：政府采购货物支出7.14万元、政府采购工程支出0万元、政府采购服务支出18.11万元。主要用于执法执勤用车的燃油费12万元、维修保养费3.2万元及保险费2.91万元。授予中小企业合同金额15.64万元，占政府采购支出总额的61.9%，其中：授予小微企业合同金额13.14万元，占政府采购支出总额的52%。</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70" w:name="_Toc15377224"/>
      <w:r>
        <w:rPr>
          <w:rFonts w:hint="eastAsia" w:ascii="Times New Roman" w:hAnsi="Times New Roman" w:eastAsia="楷体_GB2312" w:cs="楷体_GB2312"/>
          <w:b/>
          <w:color w:val="auto"/>
          <w:sz w:val="32"/>
          <w:szCs w:val="32"/>
          <w:highlight w:val="none"/>
        </w:rPr>
        <w:t>（三）国有资产占有使用情况</w:t>
      </w:r>
      <w:bookmarkEnd w:id="70"/>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截至2025年12月31日，四川省攀枝花市东区人民法院共有车辆16辆，其中：主要负责人用车0辆、机要通信用车0辆、应急保障用车0辆、其他用车16辆，其他用车主要是用于我院执法执勤工作。单价100万元（含）以上设备（不含车辆）0台（套）。</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根据预算绩效管理要求，本部门在2025年度预算编制阶段，组织对办案经费、人民陪审员经费、司法救助金、信息系统维护费项目4个项目开展了预算事前绩效评估，对4个项目编制了绩效目标，预算执行过程中，选取4个项目开展绩效监控。</w:t>
      </w:r>
    </w:p>
    <w:p>
      <w:pPr>
        <w:spacing w:line="600" w:lineRule="exact"/>
        <w:ind w:firstLine="640"/>
        <w:rPr>
          <w:rFonts w:hint="eastAsia" w:ascii="Times New Roman" w:hAnsi="Times New Roman" w:eastAsia="方正仿宋_GBK" w:cs="Times New Roman"/>
          <w:color w:val="auto"/>
          <w:kern w:val="2"/>
          <w:sz w:val="33"/>
          <w:szCs w:val="33"/>
          <w:highlight w:val="none"/>
          <w:lang w:val="en-US" w:eastAsia="zh-CN" w:bidi="ar-SA"/>
        </w:rPr>
      </w:pPr>
      <w:r>
        <w:rPr>
          <w:rFonts w:hint="eastAsia" w:ascii="Times New Roman" w:hAnsi="Times New Roman" w:eastAsia="方正仿宋_GBK" w:cs="Times New Roman"/>
          <w:color w:val="auto"/>
          <w:kern w:val="2"/>
          <w:sz w:val="33"/>
          <w:szCs w:val="33"/>
          <w:highlight w:val="none"/>
          <w:lang w:val="en-US" w:eastAsia="zh-CN" w:bidi="ar-SA"/>
        </w:rPr>
        <w:t>其中，攀枝花市东区人民法院部门整体绩效自评得分为95.63分，绩效自评综述：2025年，我院狠抓工作重点，不断提升审判质效，较好的完成了各项目标任务，履行了部门职能，取得了良好的社会效益；人民法院权威、司法公信力不断增强；人民群众及律师对法院的满意度有所提升。</w:t>
      </w:r>
    </w:p>
    <w:p>
      <w:pPr>
        <w:spacing w:line="600" w:lineRule="exact"/>
        <w:ind w:firstLine="640"/>
        <w:rPr>
          <w:rFonts w:hint="eastAsia" w:ascii="Times New Roman" w:hAnsi="Times New Roman" w:eastAsia="方正仿宋_GBK" w:cs="Times New Roman"/>
          <w:color w:val="auto"/>
          <w:kern w:val="2"/>
          <w:sz w:val="33"/>
          <w:szCs w:val="33"/>
          <w:highlight w:val="none"/>
          <w:lang w:val="en-US" w:eastAsia="zh-CN" w:bidi="ar-SA"/>
        </w:rPr>
      </w:pPr>
      <w:r>
        <w:rPr>
          <w:rFonts w:hint="eastAsia" w:ascii="Times New Roman" w:hAnsi="Times New Roman" w:eastAsia="方正仿宋_GBK" w:cs="Times New Roman"/>
          <w:color w:val="auto"/>
          <w:kern w:val="2"/>
          <w:sz w:val="33"/>
          <w:szCs w:val="33"/>
          <w:highlight w:val="none"/>
          <w:lang w:val="en-US" w:eastAsia="zh-CN" w:bidi="ar-SA"/>
        </w:rPr>
        <w:t>人民陪审员专项预算项目绩效自评得分为</w:t>
      </w:r>
      <w:r>
        <w:rPr>
          <w:rFonts w:hint="eastAsia" w:eastAsia="方正仿宋_GBK" w:cs="Times New Roman"/>
          <w:color w:val="auto"/>
          <w:kern w:val="2"/>
          <w:sz w:val="33"/>
          <w:szCs w:val="33"/>
          <w:highlight w:val="none"/>
          <w:lang w:val="en-US" w:eastAsia="zh-CN" w:bidi="ar-SA"/>
        </w:rPr>
        <w:t>80.8</w:t>
      </w:r>
      <w:r>
        <w:rPr>
          <w:rFonts w:hint="eastAsia" w:ascii="Times New Roman" w:hAnsi="Times New Roman" w:eastAsia="方正仿宋_GBK" w:cs="Times New Roman"/>
          <w:color w:val="auto"/>
          <w:kern w:val="2"/>
          <w:sz w:val="33"/>
          <w:szCs w:val="33"/>
          <w:highlight w:val="none"/>
          <w:lang w:val="en-US" w:eastAsia="zh-CN" w:bidi="ar-SA"/>
        </w:rPr>
        <w:t>分，绩效自评综述：截至2025年底，我院陪审案件数722件，实际结案率100%。我院合理、充分运用人民陪审员项目经费，使得我院办案效率有效提高，对审判工作的监督得以加强，有效保障了司法的民主、公正。当事人满意度达95%以上，有效践行了司法机关“让每一位群众在司法案件中感受到公平正义”的工作宗旨。</w:t>
      </w:r>
    </w:p>
    <w:p>
      <w:pPr>
        <w:spacing w:line="600" w:lineRule="exact"/>
        <w:ind w:firstLine="640"/>
        <w:rPr>
          <w:rFonts w:hint="eastAsia" w:ascii="Times New Roman" w:hAnsi="Times New Roman" w:eastAsia="方正仿宋_GBK" w:cs="Times New Roman"/>
          <w:color w:val="auto"/>
          <w:kern w:val="2"/>
          <w:sz w:val="33"/>
          <w:szCs w:val="33"/>
          <w:highlight w:val="none"/>
          <w:lang w:val="en-US" w:eastAsia="zh-CN" w:bidi="ar-SA"/>
        </w:rPr>
      </w:pPr>
      <w:r>
        <w:rPr>
          <w:rFonts w:hint="eastAsia" w:ascii="Times New Roman" w:hAnsi="Times New Roman" w:eastAsia="方正仿宋_GBK" w:cs="Times New Roman"/>
          <w:color w:val="auto"/>
          <w:kern w:val="2"/>
          <w:sz w:val="33"/>
          <w:szCs w:val="33"/>
          <w:highlight w:val="none"/>
          <w:lang w:val="en-US" w:eastAsia="zh-CN" w:bidi="ar-SA"/>
        </w:rPr>
        <w:t>司法救助金专项预算项目绩效自评得分为</w:t>
      </w:r>
      <w:r>
        <w:rPr>
          <w:rFonts w:hint="eastAsia" w:eastAsia="方正仿宋_GBK" w:cs="Times New Roman"/>
          <w:color w:val="auto"/>
          <w:kern w:val="2"/>
          <w:sz w:val="33"/>
          <w:szCs w:val="33"/>
          <w:highlight w:val="none"/>
          <w:lang w:val="en-US" w:eastAsia="zh-CN" w:bidi="ar-SA"/>
        </w:rPr>
        <w:t>73.8</w:t>
      </w:r>
      <w:r>
        <w:rPr>
          <w:rFonts w:hint="eastAsia" w:ascii="Times New Roman" w:hAnsi="Times New Roman" w:eastAsia="方正仿宋_GBK" w:cs="Times New Roman"/>
          <w:color w:val="auto"/>
          <w:kern w:val="2"/>
          <w:sz w:val="33"/>
          <w:szCs w:val="33"/>
          <w:highlight w:val="none"/>
          <w:lang w:val="en-US" w:eastAsia="zh-CN" w:bidi="ar-SA"/>
        </w:rPr>
        <w:t>分，绩效自评综述：截至2025年底，我院司法救助金项目经费实际到位26.56万元，实际使用26.56万元，在预算范围内，根据每年实际需支出的司法救助金做到及时、准确的拨付。我院合理、充分运用司法救助金经费，在保证司法救助工作顺利开展的同时，还厉行节约，有效控制成本，保证各项开支合法合规，账务记录清晰，原始凭证等附件齐全。</w:t>
      </w:r>
    </w:p>
    <w:p>
      <w:pPr>
        <w:spacing w:line="600" w:lineRule="exact"/>
        <w:ind w:firstLine="640"/>
        <w:rPr>
          <w:rFonts w:hint="eastAsia" w:ascii="Times New Roman" w:hAnsi="Times New Roman" w:eastAsia="方正仿宋_GBK" w:cs="Times New Roman"/>
          <w:color w:val="auto"/>
          <w:kern w:val="2"/>
          <w:sz w:val="33"/>
          <w:szCs w:val="33"/>
          <w:highlight w:val="none"/>
          <w:lang w:val="en-US" w:eastAsia="zh-CN" w:bidi="ar-SA"/>
        </w:rPr>
      </w:pPr>
      <w:r>
        <w:rPr>
          <w:rFonts w:hint="eastAsia" w:ascii="Times New Roman" w:hAnsi="Times New Roman" w:eastAsia="方正仿宋_GBK" w:cs="Times New Roman"/>
          <w:color w:val="auto"/>
          <w:kern w:val="2"/>
          <w:sz w:val="33"/>
          <w:szCs w:val="33"/>
          <w:highlight w:val="none"/>
          <w:lang w:val="en-US" w:eastAsia="zh-CN" w:bidi="ar-SA"/>
        </w:rPr>
        <w:t>办案经费专项预算项目绩效自评得分为</w:t>
      </w:r>
      <w:r>
        <w:rPr>
          <w:rFonts w:hint="eastAsia" w:eastAsia="方正仿宋_GBK" w:cs="Times New Roman"/>
          <w:color w:val="auto"/>
          <w:kern w:val="2"/>
          <w:sz w:val="33"/>
          <w:szCs w:val="33"/>
          <w:highlight w:val="none"/>
          <w:lang w:val="en-US" w:eastAsia="zh-CN" w:bidi="ar-SA"/>
        </w:rPr>
        <w:t>85.77</w:t>
      </w:r>
      <w:r>
        <w:rPr>
          <w:rFonts w:hint="eastAsia" w:ascii="Times New Roman" w:hAnsi="Times New Roman" w:eastAsia="方正仿宋_GBK" w:cs="Times New Roman"/>
          <w:color w:val="auto"/>
          <w:kern w:val="2"/>
          <w:sz w:val="33"/>
          <w:szCs w:val="33"/>
          <w:highlight w:val="none"/>
          <w:lang w:val="en-US" w:eastAsia="zh-CN" w:bidi="ar-SA"/>
        </w:rPr>
        <w:t>分，绩效自评综述：截至2025年底，我院办案经费经费实际到位143.35万元，实际使用143.35万元，做到应用尽用。我院合理、充分运用项目资金，在保证法院审判工作顺利开展的同时，还厉行节约，有效控制成本，保证各项开支合法合规，账务记录清晰，原始凭证等附件齐全。</w:t>
      </w:r>
    </w:p>
    <w:p>
      <w:pPr>
        <w:spacing w:line="600" w:lineRule="exact"/>
        <w:ind w:firstLine="640"/>
        <w:rPr>
          <w:rFonts w:hint="eastAsia" w:ascii="Times New Roman" w:hAnsi="Times New Roman" w:eastAsia="方正仿宋_GBK" w:cs="Times New Roman"/>
          <w:color w:val="auto"/>
          <w:kern w:val="2"/>
          <w:sz w:val="33"/>
          <w:szCs w:val="33"/>
          <w:highlight w:val="none"/>
          <w:lang w:val="en-US" w:eastAsia="zh-CN" w:bidi="ar-SA"/>
        </w:rPr>
      </w:pPr>
      <w:r>
        <w:rPr>
          <w:rFonts w:hint="eastAsia" w:ascii="Times New Roman" w:hAnsi="Times New Roman" w:eastAsia="方正仿宋_GBK" w:cs="Times New Roman"/>
          <w:color w:val="auto"/>
          <w:kern w:val="2"/>
          <w:sz w:val="33"/>
          <w:szCs w:val="33"/>
          <w:highlight w:val="none"/>
          <w:lang w:val="en-US" w:eastAsia="zh-CN" w:bidi="ar-SA"/>
        </w:rPr>
        <w:t>信息系统维护费专项预算项目绩效自评得分为</w:t>
      </w:r>
      <w:r>
        <w:rPr>
          <w:rFonts w:hint="eastAsia" w:eastAsia="方正仿宋_GBK" w:cs="Times New Roman"/>
          <w:color w:val="auto"/>
          <w:kern w:val="2"/>
          <w:sz w:val="33"/>
          <w:szCs w:val="33"/>
          <w:highlight w:val="none"/>
          <w:lang w:val="en-US" w:eastAsia="zh-CN" w:bidi="ar-SA"/>
        </w:rPr>
        <w:t>90.24</w:t>
      </w:r>
      <w:r>
        <w:rPr>
          <w:rFonts w:hint="eastAsia" w:ascii="Times New Roman" w:hAnsi="Times New Roman" w:eastAsia="方正仿宋_GBK" w:cs="Times New Roman"/>
          <w:color w:val="auto"/>
          <w:kern w:val="2"/>
          <w:sz w:val="33"/>
          <w:szCs w:val="33"/>
          <w:highlight w:val="none"/>
          <w:lang w:val="en-US" w:eastAsia="zh-CN" w:bidi="ar-SA"/>
        </w:rPr>
        <w:t>分，绩效自评综述：截至2025年底，我院信息系统维护费项目经费实际到位14万元，实际使用14万元，做到应用尽用。我院合理、充分运用信息系统维护费经费，保证我院信息化建设稳步推进，保证各项开支合法合规，账务记录清晰，原始凭证等附件齐全。</w:t>
      </w:r>
    </w:p>
    <w:p>
      <w:pPr>
        <w:spacing w:line="600" w:lineRule="exact"/>
        <w:ind w:firstLine="640"/>
        <w:rPr>
          <w:rFonts w:hint="eastAsia" w:ascii="Times New Roman" w:hAnsi="Times New Roman" w:eastAsia="方正仿宋_GBK" w:cs="Times New Roman"/>
          <w:color w:val="auto"/>
          <w:kern w:val="2"/>
          <w:sz w:val="33"/>
          <w:szCs w:val="33"/>
          <w:highlight w:val="none"/>
          <w:lang w:val="en-US" w:eastAsia="zh-CN" w:bidi="ar-SA"/>
        </w:rPr>
      </w:pPr>
      <w:r>
        <w:rPr>
          <w:rFonts w:hint="eastAsia" w:ascii="Times New Roman" w:hAnsi="Times New Roman" w:eastAsia="方正仿宋_GBK" w:cs="Times New Roman"/>
          <w:color w:val="auto"/>
          <w:kern w:val="2"/>
          <w:sz w:val="33"/>
          <w:szCs w:val="33"/>
          <w:highlight w:val="none"/>
          <w:lang w:val="en-US" w:eastAsia="zh-CN" w:bidi="ar-SA"/>
        </w:rPr>
        <w:t>（绩效自评报告详见附件）</w:t>
      </w:r>
    </w:p>
    <w:p>
      <w:pPr>
        <w:pStyle w:val="2"/>
        <w:rPr>
          <w:rFonts w:hint="eastAsia"/>
          <w:lang w:val="en-US" w:eastAsia="zh-CN"/>
        </w:rPr>
      </w:pPr>
    </w:p>
    <w:p>
      <w:pPr>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br w:type="page"/>
      </w:r>
    </w:p>
    <w:p>
      <w:pPr>
        <w:pStyle w:val="3"/>
        <w:bidi w:val="0"/>
        <w:jc w:val="center"/>
        <w:rPr>
          <w:rFonts w:ascii="Times New Roman" w:hAnsi="Times New Roman"/>
          <w:b/>
          <w:color w:val="auto"/>
          <w:sz w:val="44"/>
          <w:szCs w:val="44"/>
          <w:highlight w:val="none"/>
        </w:rPr>
      </w:pPr>
      <w:bookmarkStart w:id="71" w:name="_Toc15377225"/>
      <w:bookmarkStart w:id="72" w:name="_Toc15396613"/>
      <w:bookmarkStart w:id="73" w:name="_Toc8307"/>
      <w:r>
        <w:rPr>
          <w:rFonts w:hint="eastAsia"/>
        </w:rPr>
        <w:t>第</w:t>
      </w:r>
      <w:r>
        <w:rPr>
          <w:rFonts w:hint="eastAsia"/>
          <w:lang w:eastAsia="zh-CN"/>
        </w:rPr>
        <w:t>三</w:t>
      </w:r>
      <w:r>
        <w:rPr>
          <w:rFonts w:hint="eastAsia"/>
        </w:rPr>
        <w:t>部分</w:t>
      </w:r>
      <w:r>
        <w:rPr>
          <w:rFonts w:hint="eastAsia"/>
          <w:lang w:val="en-US" w:eastAsia="zh-CN"/>
        </w:rPr>
        <w:t xml:space="preserve">  </w:t>
      </w:r>
      <w:r>
        <w:rPr>
          <w:rFonts w:hint="eastAsia"/>
        </w:rPr>
        <w:t>名词解释</w:t>
      </w:r>
      <w:bookmarkEnd w:id="71"/>
      <w:bookmarkEnd w:id="72"/>
      <w:bookmarkEnd w:id="73"/>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bookmarkStart w:id="74" w:name="_Toc15377226"/>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1.财政拨款收入：指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单位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从同级财政</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单位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取得的财政预算资金。</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2.事业收入：指事业</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单位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开展专业业务活动及辅助活动取得的收入。</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3.</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经营收入：指事业单位在专业业务活动及其辅助活动之外开展非独立核算经营活动取得的收入。</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其他收入：指单位取得的除上述收入以外的各项收入。主要是东区财政拨款收入。</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使用非财政拨款结余：指事业单位使用以前年度积累的非财政拨款结余弥补当年收支差额的金额。</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年初结转和结余：指以前年度尚未完成、结转到本年按有关规定继续使用的资金。</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7.</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结余分配：指事业单位按照会计制度规定缴纳的所得税、提取的专用结余以及转入非财政拨款结余的金额等。</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8</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.年末结转和结余：指单位按有关规定结转到下年或以后年度继续使用的资金。</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9.</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公共安全支出（类）法院（款）行政运行（项）: 反映行政单位（包括实行公务员管理的事业单位）的基本支出。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10.</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公共安全支出（类）法院（款）一般行政管理事务（项）: 反映行政单位（包括实行公务员管理的事业单位）未单独设置相应科目的其他项目支出。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11．公共安全支出（类）法院（款）案件审判（项）: 反映人民法院对刑事、民事、行政、涉外等案件审判活动的支出。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12．公共安全支出（类）法院（款）事业运行（项）: 反映事业单位的基本支出，不包括行政单位（包括实行公务员管理的事业单位）后勤服务中心、医务室等附属事业单位。</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13．公共安全支出（类）法院（款）其他法院支出（项）: 反映除行政运行、一般行政管理事务、机关服务、案件审判、案件执行、“两庭”建设、事业运行等项目之外用于法院方面的支出。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14．公共安全支出（类）其他公共安全支出（款）国家司法救助支出（项）: 反映用于国家司法救助方面的支出。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15．公共安全支出（类）其他公共安全支出（款）其他公共安全支出（项）: 反映除上述项目外用于国家安全方面的支出。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16．社会保障和就业支出（类）行政事业单位养老支出（款）行政单位离退休（项）: 反映行政单位（包括实行公务员管理的事业单位）开支的离退休经费。</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17．社会保障和就业支出（类）行政事业单位养老支出（款）机关事业单位基本养老保险缴费支出（项）: 反映机关事业单位实施养老保险制度由单位缴纳的基本养老保险费支出。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18．社会保障和就业支出（类）行政事业单位离退休（款）机关事业单位职业年金缴费支出（项）:反映机关事业单位实施养老保险制度由单位实际缴纳的职业年金支出。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19．社会保障和就业支出（类）抚恤（款）死亡抚恤（项）: 反应按规定用于烈士和牺牲、病故人员家属的一次性和定期抚恤金、丧葬补助费以及烈士褒扬金。</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卫生健康支出（类）行政事业单位医疗（款）行政单位医疗（项）:反映财政单位集中安排的行政单位基本医疗保险缴费经费，未参加医疗保险的行政单位的公费医疗经费，按国家规定享受离休人员、红军老战士待遇人员的医疗经费 。</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21．卫生健康支出（类）行政事业单位医疗（款）事业单位医疗（项）: 反映财政单位集中安排的事业单位基本医疗保险缴费经费，未参加医疗保险的事业单位的公费医疗经费，按国家规定享受离休人员待遇的医疗经费 。</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22．卫生健康支出（类）行政事业单位医疗（款）公务员医疗补助（项）: 反映财政单位集中安排的公务员医疗补助经费。</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23．住房保障（类）住房改革支出（款）住房公积金（项）:反映行政事业单位按人力资源和社会保障部、财政部规定的基本工资和津贴补贴以及规定比例为职工缴纳的住房公积金。</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24.其他支出（类）其他支出（款）其他支出（项）：反映除上述项目以外其他不能划分到具体功能科目中的支出项目。</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25.基本支出：指为保障机构正常运转、完成日常工作任务而发生的人员支出和公用支出。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 xml:space="preserve">26.项目支出：指在基本支出之外为完成特定行政任务和事业发展目标所发生的支出。 </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27.经营支出：指事业单位在专业业务活动及其辅助活动之外开展非独立核算经营活动发生的支出。</w:t>
      </w:r>
    </w:p>
    <w:p>
      <w:pPr>
        <w:spacing w:line="600" w:lineRule="exact"/>
        <w:ind w:firstLine="64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28.“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hint="eastAsia" w:ascii="Times New Roman" w:hAnsi="Times New Roman" w:eastAsia="方正仿宋_GBK" w:cs="Times New Roman"/>
          <w:sz w:val="33"/>
          <w:szCs w:val="33"/>
          <w:lang w:val="en-US" w:eastAsia="zh-CN"/>
        </w:rPr>
      </w:pPr>
      <w:r>
        <w:rPr>
          <w:rFonts w:hint="eastAsia" w:ascii="Times New Roman" w:hAnsi="Times New Roman" w:eastAsia="方正仿宋_GBK" w:cs="Times New Roman"/>
          <w:sz w:val="33"/>
          <w:szCs w:val="33"/>
          <w:lang w:val="en-US" w:eastAsia="zh-CN"/>
        </w:rPr>
        <w:br w:type="page"/>
      </w:r>
    </w:p>
    <w:p>
      <w:pPr>
        <w:pStyle w:val="3"/>
        <w:numPr>
          <w:ilvl w:val="0"/>
          <w:numId w:val="3"/>
        </w:numPr>
        <w:bidi w:val="0"/>
        <w:jc w:val="center"/>
        <w:rPr>
          <w:rFonts w:hint="default"/>
          <w:lang w:val="en-US" w:eastAsia="zh-CN"/>
        </w:rPr>
      </w:pPr>
      <w:r>
        <w:rPr>
          <w:rFonts w:hint="eastAsia"/>
        </w:rPr>
        <w:t>附</w:t>
      </w:r>
      <w:r>
        <w:rPr>
          <w:rFonts w:hint="eastAsia"/>
          <w:lang w:eastAsia="zh-CN"/>
        </w:rPr>
        <w:t>件</w:t>
      </w:r>
    </w:p>
    <w:p>
      <w:pPr>
        <w:pStyle w:val="4"/>
        <w:bidi w:val="0"/>
        <w:rPr>
          <w:rFonts w:hint="default"/>
          <w:lang w:val="en-US" w:eastAsia="zh-CN"/>
        </w:rPr>
      </w:pPr>
      <w:r>
        <w:rPr>
          <w:rFonts w:hint="eastAsia"/>
          <w:lang w:eastAsia="zh-CN"/>
        </w:rPr>
        <w:t>附件</w:t>
      </w:r>
      <w:r>
        <w:rPr>
          <w:rFonts w:hint="eastAsia"/>
          <w:lang w:val="en-US" w:eastAsia="zh-CN"/>
        </w:rPr>
        <w:t>1</w:t>
      </w:r>
    </w:p>
    <w:p>
      <w:pPr>
        <w:widowControl/>
        <w:spacing w:line="580" w:lineRule="exact"/>
        <w:contextualSpacing/>
        <w:jc w:val="center"/>
        <w:rPr>
          <w:rFonts w:hint="eastAsia" w:eastAsia="宋体"/>
          <w:b/>
          <w:sz w:val="44"/>
          <w:szCs w:val="44"/>
          <w:shd w:val="clear" w:color="auto" w:fill="FFFFFF"/>
          <w:lang w:eastAsia="zh-CN"/>
        </w:rPr>
      </w:pPr>
      <w:r>
        <w:rPr>
          <w:rFonts w:hint="eastAsia" w:eastAsia="宋体"/>
          <w:b/>
          <w:sz w:val="44"/>
          <w:szCs w:val="44"/>
          <w:shd w:val="clear" w:color="auto" w:fill="FFFFFF"/>
          <w:lang w:eastAsia="zh-CN"/>
        </w:rPr>
        <w:t>攀枝花市东区人民法院</w:t>
      </w:r>
    </w:p>
    <w:p>
      <w:pPr>
        <w:widowControl/>
        <w:spacing w:line="580" w:lineRule="exact"/>
        <w:contextualSpacing/>
        <w:jc w:val="center"/>
        <w:rPr>
          <w:szCs w:val="32"/>
          <w:shd w:val="clear" w:color="auto" w:fill="FFFFFF"/>
        </w:rPr>
      </w:pPr>
      <w:r>
        <w:rPr>
          <w:rFonts w:hint="eastAsia" w:eastAsia="宋体"/>
          <w:b/>
          <w:sz w:val="44"/>
          <w:szCs w:val="44"/>
          <w:shd w:val="clear" w:color="auto" w:fill="FFFFFF"/>
          <w:lang w:val="en-US" w:eastAsia="zh-CN"/>
        </w:rPr>
        <w:t>2025年</w:t>
      </w: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78" w:lineRule="exact"/>
        <w:ind w:firstLine="640" w:firstLineChars="200"/>
        <w:contextualSpacing/>
        <w:jc w:val="left"/>
        <w:rPr>
          <w:szCs w:val="32"/>
        </w:rPr>
      </w:pPr>
      <w:r>
        <w:rPr>
          <w:rFonts w:eastAsia="黑体"/>
          <w:color w:val="000000"/>
          <w:kern w:val="0"/>
          <w:szCs w:val="32"/>
          <w:shd w:val="clear" w:color="auto" w:fill="FFFFFF"/>
          <w:lang w:val="zh-CN"/>
        </w:rPr>
        <w:t>一、部门基本情况</w:t>
      </w:r>
    </w:p>
    <w:p>
      <w:pPr>
        <w:widowControl/>
        <w:adjustRightInd w:val="0"/>
        <w:snapToGrid w:val="0"/>
        <w:spacing w:line="578" w:lineRule="exact"/>
        <w:ind w:firstLine="642" w:firstLineChars="200"/>
        <w:contextualSpacing/>
        <w:jc w:val="left"/>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攀枝花市东区人民法院成立于</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1973年，现共有10个内设机构，分别为：刑事审判庭、民事审判一庭、民事审判二庭、立案庭、综合审判庭、审判管理办公室、执行局、政治部、综合办公室、法警队，2个派出法庭：银江法庭、大渡口法庭。</w:t>
      </w:r>
    </w:p>
    <w:p>
      <w:pPr>
        <w:widowControl/>
        <w:adjustRightInd w:val="0"/>
        <w:snapToGrid w:val="0"/>
        <w:spacing w:line="578" w:lineRule="exact"/>
        <w:ind w:firstLine="642" w:firstLineChars="200"/>
        <w:contextualSpacing/>
        <w:jc w:val="left"/>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（二）机构职能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攀枝花市东区人民法院主管东区范围内的刑事案件、民事案件、行政案件。通过审判活动，惩办一切犯罪分子，解决民事纠纷，维护社会主义法</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治</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和社会秩序，保护社会主义的全民所有的财产、劳动群众集体所有的财产，保护公民私人所有的合法财产，保护公民的人身权利、民主权利和其他权利，保障国家的社会</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主义革命和社会主义建设事业的顺利进行。</w:t>
      </w:r>
    </w:p>
    <w:p>
      <w:pPr>
        <w:spacing w:line="600" w:lineRule="exact"/>
        <w:ind w:firstLine="642" w:firstLineChars="200"/>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 xml:space="preserve">截至2025年末，我单位共有政法专项编制87名,实有在职政法干警83名，事业人员3名，聘用制书记员35名，离退休人员37名。   </w:t>
      </w:r>
    </w:p>
    <w:p>
      <w:pPr>
        <w:widowControl/>
        <w:adjustRightInd w:val="0"/>
        <w:snapToGrid w:val="0"/>
        <w:spacing w:line="578" w:lineRule="exact"/>
        <w:ind w:firstLine="640" w:firstLineChars="200"/>
        <w:contextualSpacing/>
        <w:jc w:val="left"/>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pPr>
        <w:widowControl/>
        <w:adjustRightInd w:val="0"/>
        <w:snapToGrid w:val="0"/>
        <w:spacing w:line="578" w:lineRule="exact"/>
        <w:ind w:firstLine="642" w:firstLineChars="200"/>
        <w:contextualSpacing/>
        <w:jc w:val="left"/>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（一）收入情况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2025年，攀枝花市东区人民法院年初预算总金额2513.5万元，其中基本支出2085.5万元（工资福利支出1824.6万元，日常公用支出260.89万元）;项目支出428万元。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2025年，攀枝花市东区人民法院实际收入总计3022.73万元，其中财政拨款收入2523.88万元，其他收入（主要为非同级财政拨款收入）498.85万元。</w:t>
      </w:r>
    </w:p>
    <w:p>
      <w:pPr>
        <w:widowControl/>
        <w:adjustRightInd w:val="0"/>
        <w:snapToGrid w:val="0"/>
        <w:spacing w:line="578" w:lineRule="exact"/>
        <w:ind w:firstLine="642" w:firstLineChars="200"/>
        <w:contextualSpacing/>
        <w:jc w:val="left"/>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（二）支出情况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1、基本支出安排及使用情况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2025年，攀枝花市东区人民法院年初预算安排基本支出2085.5万元，其中工资福利支出1824.6万元，日常公用支出260.89万元。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2025年，攀枝花市东区人民法院基本支出2319.3万元，其中工资福利支出2128.66万元，日常公用支出190.64万元。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2、部门预算项目安排及支出情况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2025年，攀枝花市东区人民法院预算项目资金合计338万元，主要涉及5个项目，分别是办案经费250万元、司法救助金50万元、人民陪审员经费19万元、大调解经费2万元、信息化及机关建设17万元。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2025年，攀枝花市东区人民法院项目支出191.13万元，其中：办案经费143.35万元、司法救助金26.56万元、人民陪审员经费7.22万元、信息系统维护费14万元。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3、专项资金安排及支出情况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2025年中央及省级下达转移支付资金总额575.89万元，其中使用398.62万元。</w:t>
      </w:r>
    </w:p>
    <w:p>
      <w:pPr>
        <w:widowControl/>
        <w:adjustRightInd w:val="0"/>
        <w:snapToGrid w:val="0"/>
        <w:spacing w:line="578" w:lineRule="exact"/>
        <w:ind w:firstLine="642" w:firstLineChars="200"/>
        <w:contextualSpacing/>
        <w:jc w:val="left"/>
        <w:rPr>
          <w:rFonts w:eastAsia="楷体_GB2312"/>
          <w:b/>
          <w:szCs w:val="32"/>
        </w:rPr>
      </w:pPr>
      <w:r>
        <w:rPr>
          <w:rFonts w:eastAsia="楷体_GB2312"/>
          <w:b/>
          <w:bCs/>
          <w:color w:val="000000"/>
          <w:kern w:val="0"/>
          <w:szCs w:val="32"/>
          <w:shd w:val="clear" w:color="auto" w:fill="FFFFFF"/>
          <w:lang w:val="zh-CN"/>
        </w:rPr>
        <w:t>（三）</w:t>
      </w:r>
      <w:r>
        <w:rPr>
          <w:rFonts w:eastAsia="楷体_GB2312"/>
          <w:b/>
          <w:szCs w:val="32"/>
        </w:rPr>
        <w:t>结余分配和结转结余情况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东区法院2025年决算报表无结转结余。</w:t>
      </w:r>
    </w:p>
    <w:p>
      <w:pPr>
        <w:widowControl/>
        <w:adjustRightInd w:val="0"/>
        <w:snapToGrid w:val="0"/>
        <w:spacing w:line="578" w:lineRule="exact"/>
        <w:ind w:firstLine="640" w:firstLineChars="200"/>
        <w:contextualSpacing/>
        <w:jc w:val="left"/>
        <w:rPr>
          <w:rFonts w:eastAsia="黑体"/>
          <w:color w:val="000000" w:themeColor="text1"/>
          <w:kern w:val="0"/>
          <w:szCs w:val="32"/>
          <w:shd w:val="clear" w:color="auto" w:fill="FFFFFF"/>
          <w14:textFill>
            <w14:solidFill>
              <w14:schemeClr w14:val="tx1"/>
            </w14:solidFill>
          </w14:textFill>
        </w:rPr>
      </w:pPr>
      <w:r>
        <w:rPr>
          <w:rFonts w:eastAsia="黑体"/>
          <w:color w:val="000000"/>
          <w:kern w:val="0"/>
          <w:szCs w:val="32"/>
          <w:shd w:val="clear" w:color="auto" w:fill="FFFFFF"/>
        </w:rPr>
        <w:t>三、部门预算绩效分析</w:t>
      </w:r>
    </w:p>
    <w:p>
      <w:pPr>
        <w:adjustRightInd w:val="0"/>
        <w:snapToGrid w:val="0"/>
        <w:spacing w:line="578" w:lineRule="exact"/>
        <w:ind w:firstLine="642" w:firstLineChars="200"/>
        <w:contextualSpacing/>
        <w:jc w:val="left"/>
        <w:rPr>
          <w:color w:val="000000"/>
          <w:kern w:val="0"/>
          <w:szCs w:val="32"/>
          <w:shd w:val="clear" w:color="auto" w:fill="FFFFFF"/>
          <w:lang w:val="zh-CN"/>
        </w:rPr>
      </w:pPr>
      <w:r>
        <w:rPr>
          <w:rFonts w:eastAsia="楷体_GB2312"/>
          <w:b/>
          <w:bCs/>
          <w:color w:val="000000"/>
          <w:kern w:val="0"/>
          <w:szCs w:val="32"/>
          <w:shd w:val="clear" w:color="auto" w:fill="FFFFFF"/>
          <w:lang w:val="zh-CN"/>
        </w:rPr>
        <w:t>（一）部门预算总体绩效分析</w:t>
      </w:r>
    </w:p>
    <w:p>
      <w:pPr>
        <w:adjustRightInd w:val="0"/>
        <w:snapToGrid w:val="0"/>
        <w:spacing w:line="578" w:lineRule="exact"/>
        <w:ind w:firstLine="640" w:firstLineChars="200"/>
        <w:contextualSpacing/>
        <w:jc w:val="left"/>
        <w:rPr>
          <w:rFonts w:hint="eastAsia" w:ascii="Times New Roman" w:hAnsi="Times New Roman" w:eastAsia="楷体_GB2312" w:cs="Times New Roman"/>
          <w:color w:val="000000"/>
          <w:kern w:val="0"/>
          <w:szCs w:val="32"/>
          <w:shd w:val="clear" w:color="auto" w:fill="FFFFFF"/>
          <w:lang w:val="zh-CN" w:eastAsia="zh-CN"/>
        </w:rPr>
      </w:pPr>
      <w:r>
        <w:rPr>
          <w:rFonts w:hint="eastAsia" w:ascii="Times New Roman" w:hAnsi="Times New Roman" w:eastAsia="楷体_GB2312" w:cs="Times New Roman"/>
          <w:color w:val="000000"/>
          <w:kern w:val="0"/>
          <w:szCs w:val="32"/>
          <w:shd w:val="clear" w:color="auto" w:fill="FFFFFF"/>
          <w:lang w:val="en-US" w:eastAsia="zh-CN"/>
        </w:rPr>
        <w:t>1.</w:t>
      </w:r>
      <w:r>
        <w:rPr>
          <w:rFonts w:hint="eastAsia" w:ascii="Times New Roman" w:hAnsi="Times New Roman" w:eastAsia="楷体_GB2312" w:cs="Times New Roman"/>
          <w:color w:val="000000"/>
          <w:kern w:val="0"/>
          <w:szCs w:val="32"/>
          <w:shd w:val="clear" w:color="auto" w:fill="FFFFFF"/>
          <w:lang w:val="zh-CN" w:eastAsia="zh-CN"/>
        </w:rPr>
        <w:t>履职效能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提供良好履职基础，服务社会发展能力：有所提升，完成率100%。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严惩犯罪，维护公民权益：有所加强，完成率100%。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维护社会稳定，化解社会矛盾：有所提升，完成率100%。</w:t>
      </w:r>
    </w:p>
    <w:p>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eastAsia="楷体_GB2312"/>
          <w:color w:val="000000"/>
          <w:kern w:val="0"/>
          <w:szCs w:val="32"/>
          <w:shd w:val="clear" w:color="auto" w:fill="FFFFFF"/>
        </w:rPr>
        <w:t>2.</w:t>
      </w:r>
      <w:r>
        <w:rPr>
          <w:rFonts w:eastAsia="楷体_GB2312"/>
          <w:color w:val="000000"/>
          <w:kern w:val="0"/>
          <w:szCs w:val="32"/>
          <w:shd w:val="clear" w:color="auto" w:fill="FFFFFF"/>
          <w:lang w:val="zh-CN"/>
        </w:rPr>
        <w:t>预算管理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保证预算编制质量。做好年初年中预算编制及监控：完成率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做好单位收入统筹。合理运用预算资金，在保证必要开支的前提下全面贯彻财政“过紧日子”思想：完成率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监控资金支出执行进度。</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2025年1-6月执行全年预算进度应达50%：执行进度52.37%。2025年1-10月执行全年预算进度应达80%：执行进度76.27%。2025年全年执行全年预算进度应达100%：执行进度100%。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计算预算年终结余。资金结转下年资金数为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严控一般性支出。做好事中绩效监控：完成率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100%。</w:t>
      </w:r>
    </w:p>
    <w:p>
      <w:pPr>
        <w:spacing w:line="300" w:lineRule="auto"/>
        <w:ind w:firstLine="640"/>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财务管理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完善财务管理制度。保证资金执行有相关文件可溯源查证。完成率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财务岗位设置。保证会计、出纳岗位分离，相互配合。完成率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资金使用规范</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进行绩效分析</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。严格报销审批制度，定期进行绩效分析，保证资金使用在合理范畴之内。完成率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100%。</w:t>
      </w:r>
    </w:p>
    <w:p>
      <w:pPr>
        <w:spacing w:line="300" w:lineRule="auto"/>
        <w:ind w:firstLine="640"/>
        <w:rPr>
          <w:rFonts w:eastAsia="楷体_GB2312"/>
          <w:color w:val="000000"/>
          <w:kern w:val="0"/>
          <w:szCs w:val="32"/>
          <w:shd w:val="clear" w:color="auto" w:fill="FFFFFF"/>
          <w:lang w:val="zh-CN"/>
        </w:rPr>
      </w:pPr>
      <w:r>
        <w:rPr>
          <w:rFonts w:eastAsia="楷体_GB2312"/>
          <w:color w:val="000000"/>
          <w:kern w:val="0"/>
          <w:szCs w:val="32"/>
          <w:shd w:val="clear" w:color="auto" w:fill="FFFFFF"/>
        </w:rPr>
        <w:t>4.</w:t>
      </w:r>
      <w:r>
        <w:rPr>
          <w:rFonts w:eastAsia="楷体_GB2312"/>
          <w:color w:val="000000"/>
          <w:kern w:val="0"/>
          <w:szCs w:val="32"/>
          <w:shd w:val="clear" w:color="auto" w:fill="FFFFFF"/>
          <w:lang w:val="zh-CN"/>
        </w:rPr>
        <w:t>资产管理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人均资产变化率。固定资产</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人均资产变化率-8.39%，无形资产变化率-100%。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资产利用率。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2025年资产利用率100%。完成率100%。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资产盘活率。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办公家具超最低使用年限资产利用率高于</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10%。实际为5.53%。</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2025年办公设备超最低使用年限资产利用率高于50%。实际为65.27%。</w:t>
      </w:r>
    </w:p>
    <w:p>
      <w:pPr>
        <w:widowControl/>
        <w:adjustRightInd w:val="0"/>
        <w:snapToGrid w:val="0"/>
        <w:spacing w:line="578" w:lineRule="exact"/>
        <w:ind w:firstLine="642" w:firstLineChars="200"/>
        <w:contextualSpacing/>
        <w:jc w:val="left"/>
        <w:rPr>
          <w:color w:val="000000"/>
          <w:kern w:val="0"/>
          <w:szCs w:val="32"/>
          <w:shd w:val="clear" w:color="auto" w:fill="FFFFFF"/>
        </w:rPr>
      </w:pPr>
      <w:r>
        <w:rPr>
          <w:rFonts w:eastAsia="楷体_GB2312"/>
          <w:b/>
          <w:bCs/>
          <w:color w:val="000000"/>
          <w:kern w:val="0"/>
          <w:szCs w:val="32"/>
          <w:shd w:val="clear" w:color="auto" w:fill="FFFFFF"/>
          <w:lang w:val="zh-CN"/>
        </w:rPr>
        <w:t>（二）部门预算项目绩效分析</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常年项目绩效分析。</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该类项目总数</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个，涉及预算总金额</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 xml:space="preserve"> </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338</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万元，1</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1</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月预算执行总体进度为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56.55</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%，其中：预算结余率大于</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10%</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的项目共计</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个。</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阶段</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一次性</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项目绩效分析。</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该类项目总数</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个</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w:t>
      </w:r>
    </w:p>
    <w:p>
      <w:pPr>
        <w:adjustRightInd w:val="0"/>
        <w:snapToGrid w:val="0"/>
        <w:spacing w:line="578" w:lineRule="exact"/>
        <w:ind w:firstLine="640" w:firstLineChars="200"/>
        <w:contextualSpacing/>
        <w:jc w:val="left"/>
        <w:rPr>
          <w:rFonts w:hint="default" w:ascii="Times New Roman" w:hAnsi="Times New Roman" w:eastAsia="楷体_GB2312" w:cs="Times New Roman"/>
          <w:color w:val="000000"/>
          <w:kern w:val="0"/>
          <w:szCs w:val="32"/>
          <w:shd w:val="clear" w:color="auto" w:fill="FFFFFF"/>
          <w:lang w:val="zh-CN" w:eastAsia="zh-CN"/>
        </w:rPr>
      </w:pPr>
      <w:r>
        <w:rPr>
          <w:rFonts w:hint="default" w:ascii="Times New Roman" w:hAnsi="Times New Roman" w:eastAsia="楷体_GB2312" w:cs="Times New Roman"/>
          <w:color w:val="000000"/>
          <w:kern w:val="0"/>
          <w:szCs w:val="32"/>
          <w:shd w:val="clear" w:color="auto" w:fill="FFFFFF"/>
          <w:lang w:val="zh-CN" w:eastAsia="zh-CN"/>
        </w:rPr>
        <w:t>1.项目决策</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决策程序。根据年度计划设定支出目标，根据日常需求填报报销程序，财务严格执行资金申请审判程序。完成率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目标设置。根据具体项目灵活设置数量指标、质量指标、成本指标等，事中绩效监控和决算公开时按实填列，针对过时的、冗余的指标，在编制下年预算时进行合理修改及删减。完成率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项目入库。根据当年实际项目进行项目申报，及时联系财政对应科室相关工作人员进行项目入库，以保证预算编制正常进行。完成率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100%。</w:t>
      </w:r>
    </w:p>
    <w:p>
      <w:pPr>
        <w:adjustRightInd w:val="0"/>
        <w:snapToGrid w:val="0"/>
        <w:spacing w:line="578" w:lineRule="exact"/>
        <w:ind w:firstLine="640" w:firstLineChars="200"/>
        <w:contextualSpacing/>
        <w:jc w:val="left"/>
        <w:rPr>
          <w:rFonts w:eastAsia="楷体_GB2312"/>
          <w:color w:val="000000"/>
          <w:kern w:val="0"/>
          <w:szCs w:val="32"/>
          <w:shd w:val="clear" w:color="auto" w:fill="FFFFFF"/>
        </w:rPr>
      </w:pPr>
      <w:r>
        <w:rPr>
          <w:rFonts w:eastAsia="楷体_GB2312"/>
          <w:color w:val="000000"/>
          <w:kern w:val="0"/>
          <w:szCs w:val="32"/>
          <w:shd w:val="clear" w:color="auto" w:fill="FFFFFF"/>
        </w:rPr>
        <w:t>2.项目执行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资金执行同向。</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资金执行进度与编制预算时预计支付进程相差小于</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10%。完成率100%，</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具体表现为2025年1-6月执行全年预算进度应达50%：执行进度52.37%。2025年1-10月执行全年预算进度应达80%：执行进度76.27%。2025年全年执行全年预算进度应达100%：执行进度100%。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项目调整。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项目调整次数≦5次。实际项目调整次数0次，完成率100%。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执行结果。保障专项资金及时到位。针对司法救助金项目，在完成司法审批流程后，在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60日内将司法补助金发放至被救助人账户。针对人民陪审员经费项目，在政治部梳理归纳好名单后，及时支付陪审经费。</w:t>
      </w:r>
    </w:p>
    <w:p>
      <w:pPr>
        <w:adjustRightInd w:val="0"/>
        <w:snapToGrid w:val="0"/>
        <w:spacing w:line="578" w:lineRule="exact"/>
        <w:ind w:firstLine="640" w:firstLineChars="200"/>
        <w:contextualSpacing/>
        <w:jc w:val="left"/>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目标实现</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目标完成。经济效益指标：诉讼费收入：年初设定指标值</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1000</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万元，实际完成</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1435.49</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万元，完成年初设定指标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143.55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%；罚没收入：年初设定指标值</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1000</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万元，实际完成</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414.6</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万元，完成年初设定指标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41.46</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%。总体而言，完成年初设定经济效益指标的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92.5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社会效益指标：提供良好履职基础，服务社会发展能力：有所提升，完成率100%。严惩犯罪，维护公民权益：有所加强，完成率100%。维护社会稳定，化解社会矛盾：有所提升，完成率100%。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可持续影响指标：对全区发展的可持续影响有长效影响和保障法院运行：有所提升，完成率100%。提供干警整体素质，维护法院形象：有所提升，完成率100%。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目标偏离。全年按预算设定目标进行项目开展，未发生项目指标的混用、乱用。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实现效果。满意度指标完成情况分析：当事人满意度：95%。干警满意度：95%。</w:t>
      </w:r>
    </w:p>
    <w:p>
      <w:pPr>
        <w:snapToGrid w:val="0"/>
        <w:spacing w:line="600" w:lineRule="exact"/>
        <w:ind w:firstLine="642" w:firstLineChars="200"/>
        <w:rPr>
          <w:rFonts w:eastAsia="楷体_GB2312"/>
          <w:b/>
          <w:bCs/>
          <w:szCs w:val="32"/>
          <w:lang w:val="zh-CN"/>
        </w:rPr>
      </w:pPr>
      <w:r>
        <w:rPr>
          <w:rFonts w:eastAsia="楷体_GB2312"/>
          <w:b/>
          <w:bCs/>
          <w:color w:val="000000"/>
          <w:kern w:val="0"/>
          <w:szCs w:val="32"/>
          <w:shd w:val="clear" w:color="auto" w:fill="FFFFFF"/>
          <w:lang w:val="zh-CN"/>
        </w:rPr>
        <w:t>（三）</w:t>
      </w:r>
      <w:r>
        <w:rPr>
          <w:rFonts w:eastAsia="楷体_GB2312"/>
          <w:b/>
          <w:bCs/>
          <w:szCs w:val="32"/>
          <w:lang w:val="zh-CN"/>
        </w:rPr>
        <w:t>绩效结果应用情况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我院通过资金绩效自评放大坐标找不足，提高标准找差距，进一步提高了资金使用效率，达到了既定的绩效目标。在接下来的工作中将进一步细化预算编制，认真做好预算的编制和预算执行管理，加强资金使用的及时性，计划性，及时对费用预算执行情况进行通报和预警，定期对预算执行情况进行检查，针对绩效管理过程中发现的问题，及时进行整改。并定期向社会公开绩效自评结果，接受社会监督。</w:t>
      </w:r>
    </w:p>
    <w:p>
      <w:pPr>
        <w:widowControl/>
        <w:adjustRightInd w:val="0"/>
        <w:snapToGrid w:val="0"/>
        <w:spacing w:line="578" w:lineRule="exact"/>
        <w:ind w:firstLine="640" w:firstLineChars="200"/>
        <w:contextualSpacing/>
        <w:jc w:val="left"/>
        <w:rPr>
          <w:rFonts w:eastAsia="黑体"/>
          <w:color w:val="000000"/>
          <w:kern w:val="0"/>
          <w:szCs w:val="32"/>
          <w:shd w:val="clear" w:color="auto" w:fill="FFFFFF"/>
        </w:rPr>
      </w:pPr>
      <w:r>
        <w:rPr>
          <w:rFonts w:eastAsia="黑体"/>
          <w:color w:val="000000"/>
          <w:kern w:val="0"/>
          <w:szCs w:val="32"/>
          <w:shd w:val="clear" w:color="auto" w:fill="FFFFFF"/>
        </w:rPr>
        <w:t>四、评价结论及建议</w:t>
      </w:r>
    </w:p>
    <w:p>
      <w:pPr>
        <w:snapToGrid w:val="0"/>
        <w:spacing w:line="600" w:lineRule="exact"/>
        <w:ind w:firstLine="642" w:firstLineChars="200"/>
        <w:rPr>
          <w:rFonts w:ascii="Times New Roman" w:hAnsi="Times New Roman" w:eastAsia="楷体_GB2312" w:cs="Times New Roman"/>
          <w:b/>
          <w:bCs/>
          <w:color w:val="000000"/>
          <w:kern w:val="0"/>
          <w:szCs w:val="32"/>
          <w:shd w:val="clear" w:color="auto" w:fill="FFFFFF"/>
          <w:lang w:val="zh-CN"/>
        </w:rPr>
      </w:pPr>
      <w:r>
        <w:rPr>
          <w:rFonts w:hint="eastAsia" w:ascii="Times New Roman" w:hAnsi="Times New Roman" w:eastAsia="楷体_GB2312" w:cs="Times New Roman"/>
          <w:b/>
          <w:bCs/>
          <w:color w:val="000000"/>
          <w:kern w:val="0"/>
          <w:szCs w:val="32"/>
          <w:shd w:val="clear" w:color="auto" w:fill="FFFFFF"/>
          <w:lang w:val="zh-CN"/>
        </w:rPr>
        <w:t>（一）评价结论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2025年，我院狠抓工作重点，不断提升审判质效，较好的完成了各项目标任务，履行了部门职能，取得了良好的社会效益；人民法院权威、司法公信力不断增强；人民群众及律师对法院的满意度有所提升。</w:t>
      </w:r>
    </w:p>
    <w:p>
      <w:pPr>
        <w:snapToGrid w:val="0"/>
        <w:spacing w:line="600" w:lineRule="exact"/>
        <w:ind w:firstLine="642" w:firstLineChars="200"/>
        <w:rPr>
          <w:rFonts w:hint="eastAsia" w:ascii="Times New Roman" w:hAnsi="Times New Roman" w:eastAsia="楷体_GB2312" w:cs="Times New Roman"/>
          <w:b/>
          <w:bCs/>
          <w:color w:val="000000"/>
          <w:kern w:val="0"/>
          <w:szCs w:val="32"/>
          <w:shd w:val="clear" w:color="auto" w:fill="FFFFFF"/>
          <w:lang w:val="zh-CN"/>
        </w:rPr>
      </w:pPr>
      <w:r>
        <w:rPr>
          <w:rFonts w:hint="eastAsia" w:ascii="Times New Roman" w:hAnsi="Times New Roman" w:eastAsia="楷体_GB2312" w:cs="Times New Roman"/>
          <w:b/>
          <w:bCs/>
          <w:color w:val="000000"/>
          <w:kern w:val="0"/>
          <w:szCs w:val="32"/>
          <w:shd w:val="clear" w:color="auto" w:fill="FFFFFF"/>
          <w:lang w:val="zh-CN"/>
        </w:rPr>
        <w:t>（二）存在问题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1．</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2025年</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财政资金紧张，故部分项目未能按照计划开展，另一部分项目虽然完成，但未按时清算支付，项目预算资金执行率不高。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2.专项资金下达的时间问题，办案经费、装备经费等中央和省级转移支付资金下达到基层人民法院需要经过中央、省、市、区级多级财政</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部门</w:t>
      </w: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，该资金真正到达基层法院的时间为下半年，甚至接近年末，所以往往不能在本年度全部使用完毕，造成跨年使用。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t>3.随着项目绩效评估工作逐年开展，项目绩效评估对合理性、规范使用财政专项资金所带来的好处显而易见。但目前绩效评价人员未经过专门培训和系统学习，业务素质参差不齐，业务能力高低不一，影响整个评价的准确性、客观性。</w:t>
      </w:r>
    </w:p>
    <w:p>
      <w:pPr>
        <w:snapToGrid w:val="0"/>
        <w:spacing w:line="600" w:lineRule="exact"/>
        <w:ind w:firstLine="642" w:firstLineChars="200"/>
        <w:rPr>
          <w:rFonts w:hint="eastAsia" w:ascii="Times New Roman" w:hAnsi="Times New Roman" w:eastAsia="楷体_GB2312" w:cs="Times New Roman"/>
          <w:b/>
          <w:bCs/>
          <w:color w:val="000000"/>
          <w:kern w:val="0"/>
          <w:szCs w:val="32"/>
          <w:shd w:val="clear" w:color="auto" w:fill="FFFFFF"/>
          <w:lang w:val="zh-CN"/>
        </w:rPr>
      </w:pPr>
      <w:r>
        <w:rPr>
          <w:rFonts w:hint="eastAsia" w:ascii="Times New Roman" w:hAnsi="Times New Roman" w:eastAsia="楷体_GB2312" w:cs="Times New Roman"/>
          <w:b/>
          <w:bCs/>
          <w:color w:val="000000"/>
          <w:kern w:val="0"/>
          <w:szCs w:val="32"/>
          <w:shd w:val="clear" w:color="auto" w:fill="FFFFFF"/>
          <w:lang w:val="zh-CN"/>
        </w:rPr>
        <w:t xml:space="preserve">（三）改进建议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进一步细化完善预算编制，加强预算编制的合理性，加强指标设置的科学性，使得指标能更好的评价项目完成情况。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zh-CN"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附表：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部门预算项目支出绩效自评表（2025年度）</w:t>
      </w:r>
    </w:p>
    <w:p>
      <w:pPr>
        <w:rPr>
          <w:rFonts w:hint="eastAsia" w:ascii="Times New Roman" w:hAnsi="Times New Roman" w:eastAsia="仿宋_GB2312" w:cs="Times New Roman"/>
          <w:kern w:val="2"/>
          <w:sz w:val="32"/>
          <w:szCs w:val="32"/>
          <w:highlight w:val="none"/>
          <w:u w:val="none"/>
          <w:lang w:val="zh-CN" w:eastAsia="zh-CN" w:bidi="ar"/>
        </w:rPr>
      </w:pPr>
      <w:r>
        <w:rPr>
          <w:rFonts w:hint="eastAsia" w:ascii="Times New Roman" w:hAnsi="Times New Roman" w:eastAsia="仿宋_GB2312" w:cs="Times New Roman"/>
          <w:kern w:val="2"/>
          <w:sz w:val="32"/>
          <w:szCs w:val="32"/>
          <w:highlight w:val="none"/>
          <w:u w:val="none"/>
          <w:lang w:val="zh-CN" w:eastAsia="zh-CN" w:bidi="ar"/>
        </w:rPr>
        <w:br w:type="page"/>
      </w:r>
    </w:p>
    <w:p>
      <w:pPr>
        <w:pStyle w:val="4"/>
        <w:bidi w:val="0"/>
        <w:rPr>
          <w:rFonts w:hint="eastAsia"/>
          <w:lang w:val="en-US" w:eastAsia="zh-CN"/>
        </w:rPr>
      </w:pPr>
      <w:r>
        <w:rPr>
          <w:rFonts w:hint="eastAsia"/>
          <w:lang w:val="zh-CN" w:eastAsia="zh-CN"/>
        </w:rPr>
        <w:t>附件</w:t>
      </w:r>
      <w:r>
        <w:rPr>
          <w:rFonts w:hint="eastAsia"/>
          <w:lang w:val="en-US" w:eastAsia="zh-CN"/>
        </w:rPr>
        <w:t>2</w:t>
      </w:r>
    </w:p>
    <w:p>
      <w:pPr>
        <w:pStyle w:val="36"/>
        <w:spacing w:line="600" w:lineRule="exact"/>
        <w:jc w:val="center"/>
        <w:rPr>
          <w:rFonts w:ascii="Times New Roman" w:hAnsi="Times New Roman" w:eastAsia="方正小标宋简体"/>
          <w:color w:val="auto"/>
          <w:kern w:val="2"/>
          <w:sz w:val="40"/>
          <w:szCs w:val="40"/>
        </w:rPr>
      </w:pPr>
      <w:r>
        <w:rPr>
          <w:rFonts w:ascii="Times New Roman" w:hAnsi="Times New Roman" w:eastAsia="方正小标宋简体"/>
          <w:color w:val="auto"/>
          <w:kern w:val="2"/>
          <w:sz w:val="40"/>
          <w:szCs w:val="40"/>
        </w:rPr>
        <w:t>专项预算项目支出绩效自评报告</w:t>
      </w:r>
    </w:p>
    <w:p>
      <w:pPr>
        <w:pStyle w:val="36"/>
        <w:spacing w:line="600" w:lineRule="exact"/>
        <w:ind w:firstLine="883"/>
        <w:jc w:val="center"/>
        <w:rPr>
          <w:rFonts w:ascii="Times New Roman" w:hAnsi="Times New Roman" w:eastAsia="仿宋_GB2312"/>
          <w:color w:val="auto"/>
          <w:kern w:val="2"/>
          <w:sz w:val="32"/>
          <w:szCs w:val="32"/>
        </w:rPr>
      </w:pP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lang w:eastAsia="zh-CN"/>
        </w:rPr>
        <w:t>人民陪审员经费</w:t>
      </w:r>
      <w:r>
        <w:rPr>
          <w:rFonts w:ascii="Times New Roman" w:hAnsi="Times New Roman" w:eastAsia="仿宋_GB2312"/>
          <w:color w:val="auto"/>
          <w:kern w:val="2"/>
          <w:sz w:val="32"/>
          <w:szCs w:val="32"/>
        </w:rPr>
        <w:t>）</w:t>
      </w:r>
    </w:p>
    <w:p>
      <w:pPr>
        <w:pStyle w:val="36"/>
        <w:spacing w:line="600" w:lineRule="exact"/>
        <w:ind w:firstLine="640"/>
        <w:jc w:val="center"/>
        <w:rPr>
          <w:rFonts w:ascii="Times New Roman" w:hAnsi="Times New Roman"/>
          <w:color w:val="auto"/>
          <w:kern w:val="2"/>
          <w:sz w:val="32"/>
          <w:szCs w:val="32"/>
        </w:rPr>
      </w:pPr>
    </w:p>
    <w:p>
      <w:pPr>
        <w:adjustRightInd w:val="0"/>
        <w:snapToGrid w:val="0"/>
        <w:spacing w:line="600" w:lineRule="exact"/>
        <w:ind w:firstLine="720"/>
        <w:rPr>
          <w:rFonts w:eastAsia="黑体"/>
          <w:lang w:val="zh-CN"/>
        </w:rPr>
      </w:pPr>
      <w:r>
        <w:rPr>
          <w:rFonts w:eastAsia="黑体"/>
        </w:rPr>
        <w:t>一、</w:t>
      </w:r>
      <w:r>
        <w:rPr>
          <w:rFonts w:eastAsia="黑体"/>
          <w:lang w:val="zh-CN"/>
        </w:rPr>
        <w:t>项目概况</w:t>
      </w:r>
    </w:p>
    <w:p>
      <w:pPr>
        <w:adjustRightInd w:val="0"/>
        <w:snapToGrid w:val="0"/>
        <w:spacing w:line="600" w:lineRule="exact"/>
        <w:ind w:firstLine="720"/>
        <w:rPr>
          <w:rFonts w:eastAsia="楷体_GB2312"/>
          <w:b/>
          <w:lang w:val="zh-CN"/>
        </w:rPr>
      </w:pPr>
      <w:r>
        <w:rPr>
          <w:rFonts w:eastAsia="楷体_GB2312"/>
          <w:b/>
          <w:lang w:val="zh-CN"/>
        </w:rPr>
        <w:t>（一）项目基本情况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此项目主要用于人民陪审员参与案件补助及陪审员必要的培训等支出，我单位年初预算申报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万元，预算批复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w:t>
      </w:r>
    </w:p>
    <w:p>
      <w:pPr>
        <w:adjustRightInd w:val="0"/>
        <w:snapToGrid w:val="0"/>
        <w:spacing w:line="600" w:lineRule="exact"/>
        <w:ind w:firstLine="720"/>
        <w:rPr>
          <w:rFonts w:eastAsia="楷体_GB2312"/>
          <w:b/>
          <w:lang w:val="zh-CN"/>
        </w:rPr>
      </w:pPr>
      <w:r>
        <w:rPr>
          <w:rFonts w:eastAsia="楷体_GB2312"/>
          <w:b/>
          <w:lang w:val="zh-CN"/>
        </w:rPr>
        <w:t>（二）项目绩效目标</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按照人民陪审员参与案件数及时支付案件补助，对陪审员进行必要的培训，确保能顺利参与案件审判，更好地落实司法公开、提高司法透明度。</w:t>
      </w:r>
    </w:p>
    <w:p>
      <w:pPr>
        <w:adjustRightInd w:val="0"/>
        <w:snapToGrid w:val="0"/>
        <w:spacing w:line="600" w:lineRule="exact"/>
        <w:ind w:firstLine="720"/>
        <w:rPr>
          <w:rFonts w:eastAsia="楷体_GB2312"/>
          <w:b/>
          <w:lang w:val="zh-CN"/>
        </w:rPr>
      </w:pPr>
      <w:r>
        <w:rPr>
          <w:rFonts w:eastAsia="楷体_GB2312"/>
          <w:b/>
          <w:lang w:val="zh-CN"/>
        </w:rPr>
        <w:t>（三）项目自评步骤及方法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1、收集资料：政治部汇总经费收支明细、陪审人员名单及陪审案件名单。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2、指标设定：从经费合规性、使用效率、保障效果等设定指标。</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3、实施评价：对比指标与实际执行情况，通过数据计算、文件审查判断，如计算经费支出准确性衡量合规性，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4、撰写报告：总结评价结果，分析存在的问题，提出改进建议，形成绩效自评报告。</w:t>
      </w:r>
    </w:p>
    <w:p>
      <w:pPr>
        <w:adjustRightInd w:val="0"/>
        <w:snapToGrid w:val="0"/>
        <w:spacing w:line="600" w:lineRule="exact"/>
        <w:ind w:firstLine="720"/>
        <w:rPr>
          <w:rFonts w:eastAsia="黑体"/>
        </w:rPr>
      </w:pPr>
      <w:r>
        <w:rPr>
          <w:rFonts w:eastAsia="黑体"/>
        </w:rPr>
        <w:t>二、项目资金申报及使用情况</w:t>
      </w:r>
    </w:p>
    <w:p>
      <w:pPr>
        <w:adjustRightInd w:val="0"/>
        <w:snapToGrid w:val="0"/>
        <w:spacing w:line="600" w:lineRule="exact"/>
        <w:ind w:firstLine="720"/>
        <w:rPr>
          <w:rFonts w:eastAsia="楷体_GB2312"/>
          <w:b/>
          <w:lang w:val="zh-CN"/>
        </w:rPr>
      </w:pPr>
      <w:r>
        <w:rPr>
          <w:rFonts w:eastAsia="楷体_GB2312"/>
          <w:b/>
          <w:lang w:val="zh-CN"/>
        </w:rPr>
        <w:t>（一）项目资金申报及批复情况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我院向上级单位申请批复人民陪审员项目经费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7.22</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w:t>
      </w:r>
    </w:p>
    <w:p>
      <w:pPr>
        <w:adjustRightInd w:val="0"/>
        <w:snapToGrid w:val="0"/>
        <w:spacing w:line="600" w:lineRule="exact"/>
        <w:ind w:firstLine="720"/>
        <w:rPr>
          <w:lang w:val="zh-CN"/>
        </w:rPr>
      </w:pPr>
      <w:r>
        <w:rPr>
          <w:rFonts w:eastAsia="楷体_GB2312"/>
          <w:b/>
          <w:lang w:val="zh-CN"/>
        </w:rPr>
        <w:t>（二）资金计划、到位及使用情况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1．资金计划及到位。截至2025年12月31日，该项目资金实际到位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7.22</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万元，资金到位率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38</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2．资金使用。截至202</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年12月31日，该项目资金实际到位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7.22</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万元，使用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7.22</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万元，用于人民陪审员案件补助，资金开支范围、标准、支付进度符合预算要求，支付依据合规合法。</w:t>
      </w:r>
    </w:p>
    <w:p>
      <w:pPr>
        <w:adjustRightInd w:val="0"/>
        <w:snapToGrid w:val="0"/>
        <w:spacing w:line="600" w:lineRule="exact"/>
        <w:ind w:firstLine="720"/>
        <w:rPr>
          <w:rFonts w:eastAsia="楷体_GB2312"/>
          <w:b/>
          <w:lang w:val="zh-CN"/>
        </w:rPr>
      </w:pPr>
      <w:r>
        <w:rPr>
          <w:rFonts w:eastAsia="楷体_GB2312"/>
          <w:b/>
          <w:lang w:val="zh-CN"/>
        </w:rPr>
        <w:t>（三）项目财务管理情况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严格执行财务管理制度，强化项目资金管理和使用。以市、区财政支付管理相关规定为准绳，同时结合实际，加强项目资金的监管，杜绝违规违法事件发生，财务处理及时，会计核算规范。</w:t>
      </w:r>
    </w:p>
    <w:p>
      <w:pPr>
        <w:adjustRightInd w:val="0"/>
        <w:snapToGrid w:val="0"/>
        <w:spacing w:line="600" w:lineRule="exact"/>
        <w:ind w:firstLine="720"/>
        <w:rPr>
          <w:rFonts w:eastAsia="黑体"/>
        </w:rPr>
      </w:pPr>
      <w:r>
        <w:rPr>
          <w:rFonts w:eastAsia="黑体"/>
        </w:rPr>
        <w:t>三、项目实施及管理情况</w:t>
      </w:r>
    </w:p>
    <w:p>
      <w:pPr>
        <w:adjustRightInd w:val="0"/>
        <w:snapToGrid w:val="0"/>
        <w:spacing w:line="600" w:lineRule="exact"/>
        <w:ind w:firstLine="720"/>
        <w:rPr>
          <w:rFonts w:eastAsia="楷体_GB2312"/>
          <w:b/>
          <w:lang w:val="zh-CN"/>
        </w:rPr>
      </w:pPr>
      <w:r>
        <w:rPr>
          <w:rFonts w:eastAsia="楷体_GB2312"/>
          <w:b/>
          <w:lang w:val="zh-CN"/>
        </w:rPr>
        <w:t>（一）项目组织架构及实施流程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由院政治部牵头，各庭室配合。实施流程为：1、面向社会选取符合条件的群众作为人民陪审员。2、人民陪审员参与案件审理。3、各庭室统计各人民陪审员参与案件数量4、我院政治部审核，进行补助经费统计。5、政治部工作人员每年末根据实际支出填报费用报销单，经我院财务审批流程后提出资金申请，经财政审核通过后进行支付。</w:t>
      </w:r>
    </w:p>
    <w:p>
      <w:pPr>
        <w:adjustRightInd w:val="0"/>
        <w:snapToGrid w:val="0"/>
        <w:spacing w:line="600" w:lineRule="exact"/>
        <w:ind w:firstLine="720"/>
        <w:rPr>
          <w:rFonts w:eastAsia="楷体_GB2312"/>
          <w:b/>
          <w:lang w:val="zh-CN"/>
        </w:rPr>
      </w:pPr>
      <w:r>
        <w:rPr>
          <w:rFonts w:eastAsia="楷体_GB2312"/>
          <w:b/>
          <w:lang w:val="zh-CN"/>
        </w:rPr>
        <w:t>（二）项目管理情况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项目经费管理遵循专款专用原则，严格按照年初预算编制执行，精准把控陪审员参与案件陪审件数。报销流程严格，政治部负责管理陪审员的陪审记录，经上党组会、交由财务室报销等多环节审核，确保经费发放合理合规。</w:t>
      </w:r>
    </w:p>
    <w:p>
      <w:pPr>
        <w:adjustRightInd w:val="0"/>
        <w:snapToGrid w:val="0"/>
        <w:spacing w:line="600" w:lineRule="exact"/>
        <w:ind w:firstLine="720"/>
        <w:rPr>
          <w:rFonts w:eastAsia="楷体_GB2312"/>
          <w:b/>
          <w:lang w:val="zh-CN"/>
        </w:rPr>
      </w:pPr>
      <w:r>
        <w:rPr>
          <w:rFonts w:eastAsia="楷体_GB2312"/>
          <w:b/>
          <w:lang w:val="zh-CN"/>
        </w:rPr>
        <w:t>（三）项目监管情况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监管手段：建立经费台账，实时记录收支。监管程序：先由财务初审票据审核真实性与合规性，再经分管领导复核审批签字。监管工作：定期开展内部自查工作，检查经费使用又无超支与挪用，主动接受外部监督，如财政部门审查。</w:t>
      </w:r>
    </w:p>
    <w:p>
      <w:pPr>
        <w:adjustRightInd w:val="0"/>
        <w:snapToGrid w:val="0"/>
        <w:spacing w:line="600" w:lineRule="exact"/>
        <w:ind w:firstLine="720"/>
        <w:rPr>
          <w:lang w:val="zh-CN"/>
        </w:rPr>
      </w:pPr>
      <w:r>
        <w:rPr>
          <w:rFonts w:eastAsia="黑体"/>
        </w:rPr>
        <w:t>四、项目绩效情况</w:t>
      </w:r>
      <w:r>
        <w:rPr>
          <w:lang w:val="zh-CN"/>
        </w:rPr>
        <w:tab/>
      </w:r>
    </w:p>
    <w:p>
      <w:pPr>
        <w:adjustRightInd w:val="0"/>
        <w:snapToGrid w:val="0"/>
        <w:spacing w:line="600" w:lineRule="exact"/>
        <w:ind w:firstLine="720"/>
        <w:rPr>
          <w:rFonts w:eastAsia="楷体_GB2312"/>
          <w:b/>
          <w:lang w:val="zh-CN"/>
        </w:rPr>
      </w:pPr>
      <w:r>
        <w:rPr>
          <w:rFonts w:eastAsia="楷体_GB2312"/>
          <w:b/>
          <w:lang w:val="zh-CN"/>
        </w:rPr>
        <w:t>（一）项目完成情况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该项目设置数量指标2个：人民陪审员人数108名；参与陪审案件数量：≥1</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00件，实际完成</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722</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该项目设置质量指标1个：参与案件结案率训≥95%，实际结案率100%。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该项目设置时效指标1个：</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全年，即计划分12个月逐步实施。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该项目设置成本指标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个：办案补助，指标值</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19</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万，实际支出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7.22</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w:t>
      </w:r>
    </w:p>
    <w:p>
      <w:pPr>
        <w:adjustRightInd w:val="0"/>
        <w:snapToGrid w:val="0"/>
        <w:spacing w:line="600" w:lineRule="exact"/>
        <w:ind w:firstLine="720"/>
        <w:rPr>
          <w:rFonts w:eastAsia="楷体_GB2312"/>
          <w:b/>
          <w:lang w:val="zh-CN"/>
        </w:rPr>
      </w:pPr>
      <w:r>
        <w:rPr>
          <w:rFonts w:eastAsia="楷体_GB2312"/>
          <w:b/>
          <w:lang w:val="zh-CN"/>
        </w:rPr>
        <w:t>（二）项目效益情况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社会效益：促进司法民主、保障司法公正、提升司法公信。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可持续影响：推进依法治国，促进社会和谐。</w:t>
      </w:r>
    </w:p>
    <w:p>
      <w:pPr>
        <w:adjustRightInd w:val="0"/>
        <w:snapToGrid w:val="0"/>
        <w:spacing w:line="600" w:lineRule="exact"/>
        <w:ind w:firstLine="720"/>
        <w:rPr>
          <w:rFonts w:eastAsia="黑体"/>
        </w:rPr>
      </w:pPr>
      <w:r>
        <w:rPr>
          <w:rFonts w:eastAsia="黑体"/>
        </w:rPr>
        <w:t>五、评价结论及建议</w:t>
      </w:r>
    </w:p>
    <w:p>
      <w:pPr>
        <w:adjustRightInd w:val="0"/>
        <w:snapToGrid w:val="0"/>
        <w:spacing w:line="600" w:lineRule="exact"/>
        <w:ind w:firstLine="720"/>
        <w:rPr>
          <w:rFonts w:eastAsia="楷体_GB2312"/>
          <w:b/>
          <w:lang w:val="zh-CN"/>
        </w:rPr>
      </w:pPr>
      <w:r>
        <w:rPr>
          <w:rFonts w:eastAsia="楷体_GB2312"/>
          <w:b/>
          <w:lang w:val="zh-CN"/>
        </w:rPr>
        <w:t>（一）评价结论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截至2025年底，我院陪审案件数</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722</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件，实际结案率100%。我院合理、充分运用人民陪审员项目经费，使得我院办案效率有效提高，对审判工作的监督得以加强，有效保障了司法的民主、公正。当事人满意度达95%以上，有效践行了司法机关“让每一位群众在司法案件中感受到公平正义”的工作宗旨。</w:t>
      </w:r>
    </w:p>
    <w:p>
      <w:pPr>
        <w:adjustRightInd w:val="0"/>
        <w:snapToGrid w:val="0"/>
        <w:spacing w:line="600" w:lineRule="exact"/>
        <w:ind w:firstLine="720"/>
        <w:rPr>
          <w:rFonts w:eastAsia="楷体_GB2312"/>
          <w:b/>
          <w:lang w:val="zh-CN"/>
        </w:rPr>
      </w:pPr>
      <w:r>
        <w:rPr>
          <w:rFonts w:eastAsia="楷体_GB2312"/>
          <w:b/>
          <w:lang w:val="zh-CN"/>
        </w:rPr>
        <w:t>（二）存在的问题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1.预算编制不够准确，有细微偏差。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2.指标设置不够科学，不能最好的反映项目完成结果。</w:t>
      </w:r>
    </w:p>
    <w:p>
      <w:pPr>
        <w:adjustRightInd w:val="0"/>
        <w:snapToGrid w:val="0"/>
        <w:spacing w:line="600" w:lineRule="exact"/>
        <w:ind w:firstLine="720"/>
        <w:rPr>
          <w:rFonts w:eastAsia="楷体_GB2312"/>
          <w:b/>
          <w:lang w:val="zh-CN"/>
        </w:rPr>
      </w:pPr>
      <w:r>
        <w:rPr>
          <w:rFonts w:eastAsia="楷体_GB2312"/>
          <w:b/>
          <w:lang w:val="zh-CN"/>
        </w:rPr>
        <w:t>（三）相关建议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进一步细化完善预算编制，加强预算编制的合理性，加强指标设置的科学性，使得指标能更好的评价项目完成情况。</w:t>
      </w:r>
    </w:p>
    <w:p>
      <w:pPr>
        <w:rPr>
          <w:rFonts w:hint="eastAsia" w:ascii="Times New Roman" w:hAnsi="Times New Roman" w:cs="Times New Roman"/>
          <w:lang w:val="zh-CN" w:eastAsia="zh-CN"/>
        </w:rPr>
      </w:pPr>
      <w:r>
        <w:rPr>
          <w:rFonts w:hint="eastAsia" w:ascii="Times New Roman" w:hAnsi="Times New Roman" w:cs="Times New Roman"/>
          <w:lang w:val="zh-CN" w:eastAsia="zh-CN"/>
        </w:rPr>
        <w:br w:type="page"/>
      </w:r>
    </w:p>
    <w:p>
      <w:pPr>
        <w:pStyle w:val="4"/>
        <w:bidi w:val="0"/>
        <w:rPr>
          <w:rFonts w:hint="eastAsia"/>
          <w:lang w:val="en-US" w:eastAsia="zh-CN"/>
        </w:rPr>
      </w:pPr>
      <w:r>
        <w:rPr>
          <w:rFonts w:hint="eastAsia"/>
          <w:lang w:eastAsia="zh-CN"/>
        </w:rPr>
        <w:t>附件</w:t>
      </w:r>
      <w:r>
        <w:rPr>
          <w:rFonts w:hint="eastAsia"/>
          <w:lang w:val="en-US" w:eastAsia="zh-CN"/>
        </w:rPr>
        <w:t>3</w:t>
      </w:r>
    </w:p>
    <w:p>
      <w:pPr>
        <w:pStyle w:val="36"/>
        <w:spacing w:line="600" w:lineRule="exact"/>
        <w:jc w:val="center"/>
        <w:rPr>
          <w:rFonts w:ascii="Times New Roman" w:hAnsi="Times New Roman" w:eastAsia="方正小标宋简体"/>
          <w:color w:val="auto"/>
          <w:kern w:val="2"/>
          <w:sz w:val="40"/>
          <w:szCs w:val="40"/>
        </w:rPr>
      </w:pPr>
      <w:r>
        <w:rPr>
          <w:rFonts w:ascii="Times New Roman" w:hAnsi="Times New Roman" w:eastAsia="方正小标宋简体"/>
          <w:color w:val="auto"/>
          <w:kern w:val="2"/>
          <w:sz w:val="40"/>
          <w:szCs w:val="40"/>
        </w:rPr>
        <w:t>专项预算项目支出绩效自评报告</w:t>
      </w:r>
    </w:p>
    <w:p>
      <w:pPr>
        <w:pStyle w:val="36"/>
        <w:spacing w:line="600" w:lineRule="exact"/>
        <w:ind w:firstLine="883"/>
        <w:jc w:val="center"/>
        <w:rPr>
          <w:rFonts w:ascii="Times New Roman" w:hAnsi="Times New Roman" w:eastAsia="仿宋_GB2312"/>
          <w:color w:val="auto"/>
          <w:kern w:val="2"/>
          <w:sz w:val="32"/>
          <w:szCs w:val="32"/>
        </w:rPr>
      </w:pP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lang w:eastAsia="zh-CN"/>
        </w:rPr>
        <w:t>司法救助金</w:t>
      </w:r>
      <w:r>
        <w:rPr>
          <w:rFonts w:ascii="Times New Roman" w:hAnsi="Times New Roman" w:eastAsia="仿宋_GB2312"/>
          <w:color w:val="auto"/>
          <w:kern w:val="2"/>
          <w:sz w:val="32"/>
          <w:szCs w:val="32"/>
        </w:rPr>
        <w:t>）</w:t>
      </w:r>
    </w:p>
    <w:p>
      <w:pPr>
        <w:pStyle w:val="36"/>
        <w:spacing w:line="600" w:lineRule="exact"/>
        <w:ind w:firstLine="640"/>
        <w:jc w:val="center"/>
        <w:rPr>
          <w:rFonts w:ascii="Times New Roman" w:hAnsi="Times New Roman"/>
          <w:color w:val="auto"/>
          <w:kern w:val="2"/>
          <w:sz w:val="32"/>
          <w:szCs w:val="32"/>
        </w:rPr>
      </w:pPr>
    </w:p>
    <w:p>
      <w:pPr>
        <w:adjustRightInd w:val="0"/>
        <w:snapToGrid w:val="0"/>
        <w:spacing w:line="600" w:lineRule="exact"/>
        <w:ind w:firstLine="720"/>
        <w:rPr>
          <w:rFonts w:eastAsia="黑体"/>
          <w:lang w:val="zh-CN"/>
        </w:rPr>
      </w:pPr>
      <w:r>
        <w:rPr>
          <w:rFonts w:eastAsia="黑体"/>
        </w:rPr>
        <w:t>一、</w:t>
      </w:r>
      <w:r>
        <w:rPr>
          <w:rFonts w:eastAsia="黑体"/>
          <w:lang w:val="zh-CN"/>
        </w:rPr>
        <w:t>项目概况</w:t>
      </w:r>
    </w:p>
    <w:p>
      <w:pPr>
        <w:adjustRightInd w:val="0"/>
        <w:snapToGrid w:val="0"/>
        <w:spacing w:line="600" w:lineRule="exact"/>
        <w:ind w:firstLine="720"/>
        <w:rPr>
          <w:rFonts w:eastAsia="楷体_GB2312"/>
          <w:b/>
          <w:lang w:val="zh-CN"/>
        </w:rPr>
      </w:pPr>
      <w:r>
        <w:rPr>
          <w:rFonts w:eastAsia="楷体_GB2312"/>
          <w:b/>
          <w:lang w:val="zh-CN"/>
        </w:rPr>
        <w:t>（一）项目基本情况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该项目主要用于救助审判中的困难群众。我单位年初预算申报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50</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万元，预算批复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50</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w:t>
      </w:r>
    </w:p>
    <w:p>
      <w:pPr>
        <w:adjustRightInd w:val="0"/>
        <w:snapToGrid w:val="0"/>
        <w:spacing w:line="600" w:lineRule="exact"/>
        <w:ind w:firstLine="720"/>
        <w:rPr>
          <w:rFonts w:eastAsia="楷体_GB2312"/>
          <w:b/>
          <w:lang w:val="zh-CN"/>
        </w:rPr>
      </w:pPr>
      <w:r>
        <w:rPr>
          <w:rFonts w:eastAsia="楷体_GB2312"/>
          <w:b/>
          <w:lang w:val="zh-CN"/>
        </w:rPr>
        <w:t>（二）项目绩效目标</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总体目标：顺利保障审判中困难群众的司法救助工作，维护当事人合法权益，促进和会和谐稳定。</w:t>
      </w:r>
    </w:p>
    <w:p>
      <w:pPr>
        <w:adjustRightInd w:val="0"/>
        <w:snapToGrid w:val="0"/>
        <w:spacing w:line="600" w:lineRule="exact"/>
        <w:ind w:firstLine="720"/>
        <w:rPr>
          <w:rFonts w:eastAsia="楷体_GB2312"/>
          <w:b/>
          <w:lang w:val="zh-CN"/>
        </w:rPr>
      </w:pPr>
      <w:r>
        <w:rPr>
          <w:rFonts w:eastAsia="楷体_GB2312"/>
          <w:b/>
          <w:lang w:val="zh-CN"/>
        </w:rPr>
        <w:t>（三）项目自评步骤及方法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1、收集资料：执行局汇总申请司法救助人员的名单，做好前期实地走访核实工作，确保情况真实可靠。</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2、指标设定：从经费合规性、使用效率、保障效果等设定指标。</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3、实施评价：对比指标与实际执行情况，通过数据计算、文件审查判断，如计算经费支出准确性衡量合规性，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4、撰写报告：总结评价结果，分析存在的问题，提出改进建议，形成绩效自评报告。</w:t>
      </w:r>
    </w:p>
    <w:p>
      <w:pPr>
        <w:adjustRightInd w:val="0"/>
        <w:snapToGrid w:val="0"/>
        <w:spacing w:line="600" w:lineRule="exact"/>
        <w:ind w:firstLine="720"/>
        <w:rPr>
          <w:rFonts w:eastAsia="黑体"/>
        </w:rPr>
      </w:pPr>
      <w:r>
        <w:rPr>
          <w:rFonts w:eastAsia="黑体"/>
        </w:rPr>
        <w:t>二、项目资金申报及使用情况</w:t>
      </w:r>
    </w:p>
    <w:p>
      <w:pPr>
        <w:adjustRightInd w:val="0"/>
        <w:snapToGrid w:val="0"/>
        <w:spacing w:line="600" w:lineRule="exact"/>
        <w:ind w:firstLine="720"/>
        <w:rPr>
          <w:rFonts w:eastAsia="楷体_GB2312"/>
          <w:b/>
          <w:lang w:val="zh-CN"/>
        </w:rPr>
      </w:pPr>
      <w:r>
        <w:rPr>
          <w:rFonts w:eastAsia="楷体_GB2312"/>
          <w:b/>
          <w:lang w:val="zh-CN"/>
        </w:rPr>
        <w:t>（一）项目资金申报及批复情况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我院向上级单位申请批复人民陪审员项目经费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50</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26.56</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w:t>
      </w:r>
    </w:p>
    <w:p>
      <w:pPr>
        <w:adjustRightInd w:val="0"/>
        <w:snapToGrid w:val="0"/>
        <w:spacing w:line="600" w:lineRule="exact"/>
        <w:ind w:firstLine="720"/>
        <w:rPr>
          <w:rFonts w:eastAsia="楷体_GB2312"/>
          <w:b/>
          <w:lang w:val="zh-CN"/>
        </w:rPr>
      </w:pPr>
      <w:r>
        <w:rPr>
          <w:rFonts w:eastAsia="楷体_GB2312"/>
          <w:b/>
          <w:lang w:val="zh-CN"/>
        </w:rPr>
        <w:t>（二）资金计划、到位及使用情况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1．资金计划及到位。截至2025年12月31日，该项目资金实际到位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26.56</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万元，资金到位率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53.12</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2．资金使用。截至</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12月31日，该项目资金实际到位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26.56</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万元，使用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26.56</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万元，用于审判中困难群众的司法救助工作，资金开支范围、标准、支付进度符合预算要求，支付依据合规合法。</w:t>
      </w:r>
    </w:p>
    <w:p>
      <w:pPr>
        <w:adjustRightInd w:val="0"/>
        <w:snapToGrid w:val="0"/>
        <w:spacing w:line="600" w:lineRule="exact"/>
        <w:ind w:firstLine="720"/>
        <w:rPr>
          <w:rFonts w:eastAsia="楷体_GB2312"/>
          <w:b/>
          <w:lang w:val="zh-CN"/>
        </w:rPr>
      </w:pPr>
      <w:r>
        <w:rPr>
          <w:rFonts w:eastAsia="楷体_GB2312"/>
          <w:b/>
          <w:lang w:val="zh-CN"/>
        </w:rPr>
        <w:t>（三）项目财务管理情况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严格执行财务管理制度，强化项目资金管理和使用。以市、区财政支付管理相关规定为准绳，同时结合实际，加强项目资金的监管，杜绝违规违法事件发生，财务处理及时，会计核算规范。</w:t>
      </w:r>
    </w:p>
    <w:p>
      <w:pPr>
        <w:adjustRightInd w:val="0"/>
        <w:snapToGrid w:val="0"/>
        <w:spacing w:line="600" w:lineRule="exact"/>
        <w:ind w:firstLine="720"/>
        <w:rPr>
          <w:rFonts w:eastAsia="黑体"/>
        </w:rPr>
      </w:pPr>
      <w:r>
        <w:rPr>
          <w:rFonts w:eastAsia="黑体"/>
        </w:rPr>
        <w:t>三、项目实施及管理情况</w:t>
      </w:r>
    </w:p>
    <w:p>
      <w:pPr>
        <w:adjustRightInd w:val="0"/>
        <w:snapToGrid w:val="0"/>
        <w:spacing w:line="600" w:lineRule="exact"/>
        <w:ind w:firstLine="720"/>
        <w:rPr>
          <w:lang w:val="zh-CN"/>
        </w:rPr>
      </w:pPr>
      <w:r>
        <w:rPr>
          <w:rFonts w:eastAsia="楷体_GB2312"/>
          <w:b/>
          <w:lang w:val="zh-CN"/>
        </w:rPr>
        <w:t>（一）项目组织架构及实施流程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1.根据司法救助委员会会议确定救助对象。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2.根据涉案金额比例确定救助金额。</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3.将司法救助金转入被救助对象账户。</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lang w:val="zh-CN"/>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4.回访被救助对象生活改善情况。</w:t>
      </w:r>
    </w:p>
    <w:p>
      <w:pPr>
        <w:adjustRightInd w:val="0"/>
        <w:snapToGrid w:val="0"/>
        <w:spacing w:line="600" w:lineRule="exact"/>
        <w:ind w:firstLine="720"/>
        <w:rPr>
          <w:rFonts w:eastAsia="楷体_GB2312"/>
          <w:b/>
          <w:lang w:val="zh-CN"/>
        </w:rPr>
      </w:pPr>
      <w:r>
        <w:rPr>
          <w:rFonts w:eastAsia="楷体_GB2312"/>
          <w:b/>
          <w:lang w:val="zh-CN"/>
        </w:rPr>
        <w:t>（二）项目管理情况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项目经费管理遵循专款专用原则，严格按照年初预算编制执行，精准支出司法救助金。报销流程严格，执行局负责整理上报需司法救助人员名单，经上党组会、交由财务室报销等多环节审核，确保经费发放合理合规。</w:t>
      </w:r>
    </w:p>
    <w:p>
      <w:pPr>
        <w:adjustRightInd w:val="0"/>
        <w:snapToGrid w:val="0"/>
        <w:spacing w:line="600" w:lineRule="exact"/>
        <w:ind w:firstLine="720"/>
        <w:rPr>
          <w:rFonts w:eastAsia="楷体_GB2312"/>
          <w:b/>
          <w:lang w:val="zh-CN"/>
        </w:rPr>
      </w:pPr>
      <w:r>
        <w:rPr>
          <w:rFonts w:eastAsia="楷体_GB2312"/>
          <w:b/>
          <w:lang w:val="zh-CN"/>
        </w:rPr>
        <w:t>（三）项目监管情况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监管手段：建立经费台账，实时记录收支。监管程序：先由财务初审票据审核真实性与合规性，再经分管领导复核审批签字。监管工作：定期开展内部自查工作，检查经费使用又无超支与挪用，主动接受外部监督，如财政部门审查。</w:t>
      </w:r>
    </w:p>
    <w:p>
      <w:pPr>
        <w:adjustRightInd w:val="0"/>
        <w:snapToGrid w:val="0"/>
        <w:spacing w:line="600" w:lineRule="exact"/>
        <w:ind w:firstLine="720"/>
        <w:rPr>
          <w:lang w:val="zh-CN"/>
        </w:rPr>
      </w:pPr>
      <w:r>
        <w:rPr>
          <w:rFonts w:eastAsia="黑体"/>
        </w:rPr>
        <w:t>四、项目绩效情况</w:t>
      </w:r>
      <w:r>
        <w:rPr>
          <w:lang w:val="zh-CN"/>
        </w:rPr>
        <w:tab/>
      </w:r>
    </w:p>
    <w:p>
      <w:pPr>
        <w:adjustRightInd w:val="0"/>
        <w:snapToGrid w:val="0"/>
        <w:spacing w:line="600" w:lineRule="exact"/>
        <w:ind w:firstLine="720"/>
        <w:rPr>
          <w:rFonts w:eastAsia="楷体_GB2312"/>
          <w:b/>
          <w:lang w:val="zh-CN"/>
        </w:rPr>
      </w:pPr>
      <w:r>
        <w:rPr>
          <w:rFonts w:eastAsia="楷体_GB2312"/>
          <w:b/>
          <w:lang w:val="zh-CN"/>
        </w:rPr>
        <w:t>（一）项目完成情况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该项目设置数量指标2个：救助涉案当时人数</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人以上，实际完成</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人；完成符合条件的司法救助案件</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件以上，实际完成</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件。</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该项目设置质量指标2个：司法救助案件结案率100%，实际结案率100%；受救助对象息诉罢访率100%，实际息诉罢访率100%。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该项目设置时效指标1个：对满足条件的案件及时救助，设定指标值</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60</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日以内，实际救助时间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日以内。</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该项目设置成本指标4个：信访案件救助金</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5万元，实际救助</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元；刑事案件救助金5万元，实际救助</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0万</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元；执行案件救助金</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万元，实际救助</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26.56</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万元；其他案件救助金5万元，实际救助</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w:t>
      </w:r>
    </w:p>
    <w:p>
      <w:pPr>
        <w:adjustRightInd w:val="0"/>
        <w:snapToGrid w:val="0"/>
        <w:spacing w:line="600" w:lineRule="exact"/>
        <w:ind w:firstLine="720"/>
        <w:rPr>
          <w:rFonts w:eastAsia="楷体_GB2312"/>
          <w:b/>
          <w:lang w:val="zh-CN"/>
        </w:rPr>
      </w:pPr>
      <w:r>
        <w:rPr>
          <w:rFonts w:eastAsia="楷体_GB2312"/>
          <w:b/>
          <w:lang w:val="zh-CN"/>
        </w:rPr>
        <w:t>（二）项目效益情况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社会效益：对于化解社会矛盾、维护社会稳定，推进依法治国，促进社会和谐起到了一定作用。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满意度指标完成情况分析：当事人满意度：95%；干警满意度：95%。</w:t>
      </w:r>
    </w:p>
    <w:p>
      <w:pPr>
        <w:adjustRightInd w:val="0"/>
        <w:snapToGrid w:val="0"/>
        <w:spacing w:line="600" w:lineRule="exact"/>
        <w:ind w:firstLine="720"/>
        <w:rPr>
          <w:rFonts w:eastAsia="黑体"/>
        </w:rPr>
      </w:pPr>
      <w:r>
        <w:rPr>
          <w:rFonts w:eastAsia="黑体"/>
        </w:rPr>
        <w:t>五、评价结论及建议</w:t>
      </w:r>
    </w:p>
    <w:p>
      <w:pPr>
        <w:adjustRightInd w:val="0"/>
        <w:snapToGrid w:val="0"/>
        <w:spacing w:line="600" w:lineRule="exact"/>
        <w:ind w:firstLine="720"/>
        <w:rPr>
          <w:rFonts w:eastAsia="楷体_GB2312"/>
          <w:b/>
          <w:lang w:val="zh-CN"/>
        </w:rPr>
      </w:pPr>
      <w:r>
        <w:rPr>
          <w:rFonts w:eastAsia="楷体_GB2312"/>
          <w:b/>
          <w:lang w:val="zh-CN"/>
        </w:rPr>
        <w:t>（一）评价结论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截至2025年底，我院司法救助金项目经费实际到位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26.56</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万元，实际使用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26.56</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万元，做到应用尽用。我院合理、充分运用司法救助金，保证助力法院司法救助工作顺利开展。同时，还厉行节约，有效控制成本，保证各项开支合法合规，账务记录清晰，原始凭证等附件齐全。</w:t>
      </w:r>
    </w:p>
    <w:p>
      <w:pPr>
        <w:adjustRightInd w:val="0"/>
        <w:snapToGrid w:val="0"/>
        <w:spacing w:line="600" w:lineRule="exact"/>
        <w:ind w:firstLine="720"/>
        <w:rPr>
          <w:rFonts w:eastAsia="楷体_GB2312"/>
          <w:b/>
          <w:lang w:val="zh-CN"/>
        </w:rPr>
      </w:pPr>
      <w:r>
        <w:rPr>
          <w:rFonts w:eastAsia="楷体_GB2312"/>
          <w:b/>
          <w:lang w:val="zh-CN"/>
        </w:rPr>
        <w:t>（二）存在的问题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预算编制情况良好，预算执行进度差，主要是司法救助审核程序严格，支付进程缓慢。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严格执行财务管理制度，强化项目资金管理和使用。以财政支付管理相关规定为准绳，同时结合实际，加强项目资金的监管，专款专用。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2025年，由于相关单位工作较为繁忙，该项工作开展较晚，最后救助资金未能拨付到位，该项目绩效目标完成情况不够理想。</w:t>
      </w:r>
    </w:p>
    <w:p>
      <w:pPr>
        <w:adjustRightInd w:val="0"/>
        <w:snapToGrid w:val="0"/>
        <w:spacing w:line="600" w:lineRule="exact"/>
        <w:ind w:firstLine="720"/>
        <w:rPr>
          <w:rFonts w:eastAsia="楷体_GB2312"/>
          <w:b/>
          <w:lang w:val="zh-CN"/>
        </w:rPr>
      </w:pPr>
      <w:r>
        <w:rPr>
          <w:rFonts w:eastAsia="楷体_GB2312"/>
          <w:b/>
          <w:lang w:val="zh-CN"/>
        </w:rPr>
        <w:t>（三）相关建议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一是司法救助委员会对满足条件的对象及时进行救助。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二是进一步细化完善预算编制，加强预算编制的合理性，加强指标设置的科学性，使得指标能更好的体现项目完成情况。</w:t>
      </w:r>
    </w:p>
    <w:p>
      <w:pPr>
        <w:rPr>
          <w:rFonts w:hint="eastAsia" w:ascii="Times New Roman" w:hAnsi="Times New Roman" w:cs="Times New Roman"/>
          <w:lang w:val="zh-CN" w:eastAsia="zh-CN"/>
        </w:rPr>
      </w:pPr>
      <w:r>
        <w:rPr>
          <w:rFonts w:hint="eastAsia" w:ascii="Times New Roman" w:hAnsi="Times New Roman" w:cs="Times New Roman"/>
          <w:lang w:val="zh-CN" w:eastAsia="zh-CN"/>
        </w:rPr>
        <w:br w:type="page"/>
      </w:r>
    </w:p>
    <w:p>
      <w:pPr>
        <w:pStyle w:val="4"/>
        <w:bidi w:val="0"/>
        <w:rPr>
          <w:rFonts w:hint="eastAsia"/>
          <w:lang w:val="en-US" w:eastAsia="zh-CN"/>
        </w:rPr>
      </w:pPr>
      <w:r>
        <w:rPr>
          <w:rFonts w:hint="eastAsia"/>
          <w:lang w:val="zh-CN" w:eastAsia="zh-CN"/>
        </w:rPr>
        <w:t>附件</w:t>
      </w:r>
      <w:r>
        <w:rPr>
          <w:rFonts w:hint="eastAsia"/>
          <w:lang w:val="en-US" w:eastAsia="zh-CN"/>
        </w:rPr>
        <w:t>4</w:t>
      </w:r>
    </w:p>
    <w:p>
      <w:pPr>
        <w:pStyle w:val="36"/>
        <w:spacing w:line="600" w:lineRule="exact"/>
        <w:jc w:val="center"/>
        <w:rPr>
          <w:rFonts w:ascii="Times New Roman" w:hAnsi="Times New Roman" w:eastAsia="方正小标宋简体"/>
          <w:color w:val="auto"/>
          <w:kern w:val="2"/>
          <w:sz w:val="40"/>
          <w:szCs w:val="40"/>
        </w:rPr>
      </w:pPr>
      <w:r>
        <w:rPr>
          <w:rFonts w:ascii="Times New Roman" w:hAnsi="Times New Roman" w:eastAsia="方正小标宋简体"/>
          <w:color w:val="auto"/>
          <w:kern w:val="2"/>
          <w:sz w:val="40"/>
          <w:szCs w:val="40"/>
        </w:rPr>
        <w:t>专项预算项目支出绩效自评报告</w:t>
      </w:r>
    </w:p>
    <w:p>
      <w:pPr>
        <w:pStyle w:val="36"/>
        <w:spacing w:line="600" w:lineRule="exact"/>
        <w:ind w:firstLine="883"/>
        <w:jc w:val="center"/>
        <w:rPr>
          <w:rFonts w:ascii="Times New Roman" w:hAnsi="Times New Roman" w:eastAsia="仿宋_GB2312"/>
          <w:color w:val="auto"/>
          <w:kern w:val="2"/>
          <w:sz w:val="32"/>
          <w:szCs w:val="32"/>
        </w:rPr>
      </w:pP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lang w:eastAsia="zh-CN"/>
        </w:rPr>
        <w:t>办案经费</w:t>
      </w:r>
      <w:r>
        <w:rPr>
          <w:rFonts w:ascii="Times New Roman" w:hAnsi="Times New Roman" w:eastAsia="仿宋_GB2312"/>
          <w:color w:val="auto"/>
          <w:kern w:val="2"/>
          <w:sz w:val="32"/>
          <w:szCs w:val="32"/>
        </w:rPr>
        <w:t>）</w:t>
      </w:r>
    </w:p>
    <w:p>
      <w:pPr>
        <w:pStyle w:val="36"/>
        <w:spacing w:line="600" w:lineRule="exact"/>
        <w:ind w:firstLine="640"/>
        <w:jc w:val="center"/>
        <w:rPr>
          <w:rFonts w:ascii="Times New Roman" w:hAnsi="Times New Roman"/>
          <w:color w:val="auto"/>
          <w:kern w:val="2"/>
          <w:sz w:val="32"/>
          <w:szCs w:val="32"/>
        </w:rPr>
      </w:pPr>
    </w:p>
    <w:p>
      <w:pPr>
        <w:adjustRightInd w:val="0"/>
        <w:snapToGrid w:val="0"/>
        <w:spacing w:line="600" w:lineRule="exact"/>
        <w:ind w:firstLine="720"/>
        <w:rPr>
          <w:rFonts w:eastAsia="黑体"/>
          <w:lang w:val="zh-CN"/>
        </w:rPr>
      </w:pPr>
      <w:r>
        <w:rPr>
          <w:rFonts w:eastAsia="黑体"/>
        </w:rPr>
        <w:t>一、</w:t>
      </w:r>
      <w:r>
        <w:rPr>
          <w:rFonts w:eastAsia="黑体"/>
          <w:lang w:val="zh-CN"/>
        </w:rPr>
        <w:t>项目概况</w:t>
      </w:r>
    </w:p>
    <w:p>
      <w:pPr>
        <w:adjustRightInd w:val="0"/>
        <w:snapToGrid w:val="0"/>
        <w:spacing w:line="600" w:lineRule="exact"/>
        <w:ind w:firstLine="720"/>
        <w:rPr>
          <w:rFonts w:eastAsia="楷体_GB2312"/>
          <w:b/>
          <w:lang w:val="zh-CN"/>
        </w:rPr>
      </w:pPr>
      <w:r>
        <w:rPr>
          <w:rFonts w:eastAsia="楷体_GB2312"/>
          <w:b/>
          <w:lang w:val="zh-CN"/>
        </w:rPr>
        <w:t>（一）项目基本情况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该项目主要用于招聘保安以协助法警队开展安检、庭审，大楼安保等工作；招聘书记员以协助法官办案；部分经费用于单位日常行政运行。我单位年初预算申报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250</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万元，预算批复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250</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w:t>
      </w:r>
    </w:p>
    <w:p>
      <w:pPr>
        <w:adjustRightInd w:val="0"/>
        <w:snapToGrid w:val="0"/>
        <w:spacing w:line="600" w:lineRule="exact"/>
        <w:ind w:firstLine="720"/>
        <w:rPr>
          <w:rFonts w:eastAsia="楷体_GB2312"/>
          <w:b/>
          <w:lang w:val="zh-CN"/>
        </w:rPr>
      </w:pPr>
      <w:r>
        <w:rPr>
          <w:rFonts w:eastAsia="楷体_GB2312"/>
          <w:b/>
          <w:lang w:val="zh-CN"/>
        </w:rPr>
        <w:t>（二）项目绩效目标</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聘请23名保安协助法警队开展安检、庭审，大楼安保等工作，为当事人及法官办案提供舒适安全有序的工作环境；聘请23名书记员，协助法官开展审判等相关工作，提高审判质效。部分经费用于诉讼服务大厅水电、宣传资料印制，办公楼空调、电梯、网络、消防、花木等维修维护、食堂运行等支出，确保全院日常工作的正常开展。</w:t>
      </w:r>
    </w:p>
    <w:p>
      <w:pPr>
        <w:adjustRightInd w:val="0"/>
        <w:snapToGrid w:val="0"/>
        <w:spacing w:line="600" w:lineRule="exact"/>
        <w:ind w:firstLine="720"/>
        <w:rPr>
          <w:rFonts w:eastAsia="楷体_GB2312"/>
          <w:b/>
          <w:lang w:val="zh-CN"/>
        </w:rPr>
      </w:pPr>
      <w:r>
        <w:rPr>
          <w:rFonts w:eastAsia="楷体_GB2312"/>
          <w:b/>
          <w:lang w:val="zh-CN"/>
        </w:rPr>
        <w:t>（三）项目自评步骤及方法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1、收集资料：法警队汇总保安在岗情况、办公室负责和劳务派遣公司沟通劳务派遣人员月在岗情况，并索取发票及名单。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2、指标设定：从经费合规性、使用效率、保障效果等设定指标。</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3、实施评价：对比指标与实际执行情况，通过数据计算、文件审查判断，如计算经费支出准确性衡量合规性，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4、撰写报告：总结评价结果，分析存在的问题，提出改进建议，形成绩效自评报告。</w:t>
      </w:r>
    </w:p>
    <w:p>
      <w:pPr>
        <w:adjustRightInd w:val="0"/>
        <w:snapToGrid w:val="0"/>
        <w:spacing w:line="600" w:lineRule="exact"/>
        <w:ind w:firstLine="720"/>
        <w:rPr>
          <w:rFonts w:eastAsia="黑体"/>
        </w:rPr>
      </w:pPr>
      <w:r>
        <w:rPr>
          <w:rFonts w:eastAsia="黑体"/>
        </w:rPr>
        <w:t>二、项目资金申报及使用情况</w:t>
      </w:r>
    </w:p>
    <w:p>
      <w:pPr>
        <w:adjustRightInd w:val="0"/>
        <w:snapToGrid w:val="0"/>
        <w:spacing w:line="600" w:lineRule="exact"/>
        <w:ind w:firstLine="720"/>
        <w:rPr>
          <w:rFonts w:eastAsia="楷体_GB2312"/>
          <w:b/>
          <w:lang w:val="zh-CN"/>
        </w:rPr>
      </w:pPr>
      <w:r>
        <w:rPr>
          <w:rFonts w:eastAsia="楷体_GB2312"/>
          <w:b/>
          <w:lang w:val="zh-CN"/>
        </w:rPr>
        <w:t>（一）项目资金申报及批复情况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我院向上级单位申请批复人民陪审员项目经费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250</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143.35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w:t>
      </w:r>
    </w:p>
    <w:p>
      <w:pPr>
        <w:adjustRightInd w:val="0"/>
        <w:snapToGrid w:val="0"/>
        <w:spacing w:line="600" w:lineRule="exact"/>
        <w:ind w:firstLine="720"/>
        <w:rPr>
          <w:lang w:val="zh-CN"/>
        </w:rPr>
      </w:pPr>
      <w:r>
        <w:rPr>
          <w:rFonts w:eastAsia="楷体_GB2312"/>
          <w:b/>
          <w:lang w:val="zh-CN"/>
        </w:rPr>
        <w:t>（二）资金计划、到位及使用情况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1．资金计划及到位。截至2025年12月31日，该项目资金实际到位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143.35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万元，资金到位率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57.34%</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2．资金使用。截至2025年12月31日，该项目资金实际到位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143.35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万元，使用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143.35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万元。用于支付保安、劳务派遣书记员工资，以及审判大楼的日常管理和维护，资金开支范围、标准、支付进度符合预算要求，支付依据合规合法。</w:t>
      </w:r>
    </w:p>
    <w:p>
      <w:pPr>
        <w:adjustRightInd w:val="0"/>
        <w:snapToGrid w:val="0"/>
        <w:spacing w:line="600" w:lineRule="exact"/>
        <w:ind w:firstLine="720"/>
        <w:rPr>
          <w:rFonts w:eastAsia="楷体_GB2312"/>
          <w:b/>
          <w:lang w:val="zh-CN"/>
        </w:rPr>
      </w:pPr>
      <w:r>
        <w:rPr>
          <w:rFonts w:eastAsia="楷体_GB2312"/>
          <w:b/>
          <w:lang w:val="zh-CN"/>
        </w:rPr>
        <w:t>（三）项目财务管理情况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严格执行财务管理制度，强化项目资金管理和使用。以市、区财政支付管理相关规定为准绳，同时结合实际，加强项目资金的监管，杜绝违规违法事件发生，财务处理及时，会计核算规范。</w:t>
      </w:r>
    </w:p>
    <w:p>
      <w:pPr>
        <w:adjustRightInd w:val="0"/>
        <w:snapToGrid w:val="0"/>
        <w:spacing w:line="600" w:lineRule="exact"/>
        <w:ind w:firstLine="720"/>
        <w:rPr>
          <w:rFonts w:eastAsia="黑体"/>
        </w:rPr>
      </w:pPr>
      <w:r>
        <w:rPr>
          <w:rFonts w:eastAsia="黑体"/>
        </w:rPr>
        <w:t>三、项目实施及管理情况</w:t>
      </w:r>
    </w:p>
    <w:p>
      <w:pPr>
        <w:adjustRightInd w:val="0"/>
        <w:snapToGrid w:val="0"/>
        <w:spacing w:line="600" w:lineRule="exact"/>
        <w:ind w:firstLine="720"/>
        <w:rPr>
          <w:rFonts w:eastAsia="楷体_GB2312"/>
          <w:b/>
          <w:lang w:val="zh-CN"/>
        </w:rPr>
      </w:pPr>
      <w:r>
        <w:rPr>
          <w:rFonts w:eastAsia="楷体_GB2312"/>
          <w:b/>
          <w:lang w:val="zh-CN"/>
        </w:rPr>
        <w:t>（一）项目组织架构及实施流程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1.根据岗位设置安排岗位人员。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2.依规招聘相应人员并派遣至对应岗位。</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3.每月定期发放工资及缴纳社会保险及住房公积金。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4.定期对岗位工作情况进行评估。</w:t>
      </w:r>
    </w:p>
    <w:p>
      <w:pPr>
        <w:adjustRightInd w:val="0"/>
        <w:snapToGrid w:val="0"/>
        <w:spacing w:line="600" w:lineRule="exact"/>
        <w:ind w:firstLine="720"/>
        <w:rPr>
          <w:rFonts w:eastAsia="楷体_GB2312"/>
          <w:b/>
          <w:lang w:val="zh-CN"/>
        </w:rPr>
      </w:pPr>
      <w:r>
        <w:rPr>
          <w:rFonts w:eastAsia="楷体_GB2312"/>
          <w:b/>
          <w:lang w:val="zh-CN"/>
        </w:rPr>
        <w:t>（二）项目管理情况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项目经费管理遵循专款专用原则，严格按照年初预算编制执行，报销流程严格，法警队、办公室负责确认人员在职名单、向合同公司索取发票，经上党组会、交由财务室报销等多环节审核，确保经费发放合理合规。</w:t>
      </w:r>
    </w:p>
    <w:p>
      <w:pPr>
        <w:adjustRightInd w:val="0"/>
        <w:snapToGrid w:val="0"/>
        <w:spacing w:line="600" w:lineRule="exact"/>
        <w:ind w:firstLine="720"/>
        <w:rPr>
          <w:rFonts w:eastAsia="楷体_GB2312"/>
          <w:b/>
          <w:lang w:val="zh-CN"/>
        </w:rPr>
      </w:pPr>
      <w:r>
        <w:rPr>
          <w:rFonts w:eastAsia="楷体_GB2312"/>
          <w:b/>
          <w:lang w:val="zh-CN"/>
        </w:rPr>
        <w:t>（三）项目监管情况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监管手段：建立经费台账，实时记录收支。监管程序：先由财务初审票据审核真实性与合规性，再经分管领导复核审批签字。监管工作：定期开展内部自查工作，检查经费使用又无超支与挪用，主动接受外部监督，如财政部门审查。</w:t>
      </w:r>
    </w:p>
    <w:p>
      <w:pPr>
        <w:adjustRightInd w:val="0"/>
        <w:snapToGrid w:val="0"/>
        <w:spacing w:line="600" w:lineRule="exact"/>
        <w:ind w:firstLine="720"/>
        <w:rPr>
          <w:lang w:val="zh-CN"/>
        </w:rPr>
      </w:pPr>
      <w:r>
        <w:rPr>
          <w:rFonts w:eastAsia="黑体"/>
        </w:rPr>
        <w:t>四、项目绩效情况</w:t>
      </w:r>
      <w:r>
        <w:rPr>
          <w:lang w:val="zh-CN"/>
        </w:rPr>
        <w:tab/>
      </w:r>
    </w:p>
    <w:p>
      <w:pPr>
        <w:adjustRightInd w:val="0"/>
        <w:snapToGrid w:val="0"/>
        <w:spacing w:line="600" w:lineRule="exact"/>
        <w:ind w:firstLine="720"/>
        <w:rPr>
          <w:rFonts w:eastAsia="楷体_GB2312"/>
          <w:b/>
          <w:lang w:val="zh-CN"/>
        </w:rPr>
      </w:pPr>
      <w:r>
        <w:rPr>
          <w:rFonts w:eastAsia="楷体_GB2312"/>
          <w:b/>
          <w:lang w:val="zh-CN"/>
        </w:rPr>
        <w:t>（一）项目完成情况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该项目设置数量指标2个：聘请保安人数20名以上，实际聘请保安人数：23名；聘请书记员人数</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23</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名以上，实际聘请书记员人数：23名。</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质量指标4个：安保人员着装上岗率100%，实际完成率100%；保证24小时有人值班率100%，实际完成率100%；保证工作期间在岗率100%，实际完成率100%；要求司法辅助人员能够适应法院工作环境，胜任安排的各项辅助人员工作，实际达到了基本胜任，保证审判工作的正常进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该项目设置时效指标1个：202</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年全年，即计划分12个月逐步实施。</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该项目设置成本指标2个：书记员人力成本45000元/人/年以下，实际43200元/人/年；安保人员人力成本35000元/人/年以下，实际34800元/人/年。</w:t>
      </w:r>
    </w:p>
    <w:p>
      <w:pPr>
        <w:adjustRightInd w:val="0"/>
        <w:snapToGrid w:val="0"/>
        <w:spacing w:line="600" w:lineRule="exact"/>
        <w:ind w:firstLine="720"/>
        <w:rPr>
          <w:rFonts w:eastAsia="楷体_GB2312"/>
          <w:b/>
          <w:lang w:val="zh-CN"/>
        </w:rPr>
      </w:pPr>
      <w:r>
        <w:rPr>
          <w:rFonts w:eastAsia="楷体_GB2312"/>
          <w:b/>
          <w:lang w:val="zh-CN"/>
        </w:rPr>
        <w:t>（二）项目效益情况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社会效益：保障法院基本工作安全、有效运行，有利于维护法院形象；提供良好安全秩序，为法官和当事人提供舒适安全的办公办事环境。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满意度指标完成情况分析：当事人满意度：95%；干警满意度：95%。</w:t>
      </w:r>
    </w:p>
    <w:p>
      <w:pPr>
        <w:adjustRightInd w:val="0"/>
        <w:snapToGrid w:val="0"/>
        <w:spacing w:line="600" w:lineRule="exact"/>
        <w:ind w:firstLine="720"/>
        <w:rPr>
          <w:rFonts w:eastAsia="黑体"/>
        </w:rPr>
      </w:pPr>
      <w:r>
        <w:rPr>
          <w:rFonts w:eastAsia="黑体"/>
        </w:rPr>
        <w:t>五、评价结论及建议</w:t>
      </w:r>
    </w:p>
    <w:p>
      <w:pPr>
        <w:adjustRightInd w:val="0"/>
        <w:snapToGrid w:val="0"/>
        <w:spacing w:line="600" w:lineRule="exact"/>
        <w:ind w:firstLine="720"/>
        <w:rPr>
          <w:rFonts w:eastAsia="楷体_GB2312"/>
          <w:b/>
          <w:lang w:val="zh-CN"/>
        </w:rPr>
      </w:pPr>
      <w:r>
        <w:rPr>
          <w:rFonts w:eastAsia="楷体_GB2312"/>
          <w:b/>
          <w:lang w:val="zh-CN"/>
        </w:rPr>
        <w:t>（一）评价结论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截至2025年底，我院办案经费项目经费实际到位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143.35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万元，实际使用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143.35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万元，做到应用尽用。我院合理、充分运用项目资金，在保证法院审判工作顺利开展的同时，还厉行节约，有效控制成本，保证各项开支合法合规，账务记录清晰，原始凭证等附件齐全。</w:t>
      </w:r>
    </w:p>
    <w:p>
      <w:pPr>
        <w:adjustRightInd w:val="0"/>
        <w:snapToGrid w:val="0"/>
        <w:spacing w:line="600" w:lineRule="exact"/>
        <w:ind w:firstLine="720"/>
        <w:rPr>
          <w:rFonts w:eastAsia="楷体_GB2312"/>
          <w:b/>
          <w:lang w:val="zh-CN"/>
        </w:rPr>
      </w:pPr>
      <w:r>
        <w:rPr>
          <w:rFonts w:eastAsia="楷体_GB2312"/>
          <w:b/>
          <w:lang w:val="zh-CN"/>
        </w:rPr>
        <w:t>（二）存在的问题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预算编制情况良好，预算执行进度差，主要是指标下达时间太晚。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严格执行财务管理制度，强化项目资金管理和使用。以财政支付管理相关规定为准绳，同时结合实际，加强项目资金的监管，专款专用。</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2025年，当由于相关单位工作较为繁忙，该项工作开展较晚，最后部分劳务外包资金未能拨付到位，该项目绩效目标完成情况不够理想。</w:t>
      </w:r>
    </w:p>
    <w:p>
      <w:pPr>
        <w:adjustRightInd w:val="0"/>
        <w:snapToGrid w:val="0"/>
        <w:spacing w:line="600" w:lineRule="exact"/>
        <w:ind w:firstLine="720"/>
        <w:rPr>
          <w:rFonts w:eastAsia="楷体_GB2312"/>
          <w:b/>
          <w:lang w:val="zh-CN"/>
        </w:rPr>
      </w:pPr>
      <w:r>
        <w:rPr>
          <w:rFonts w:eastAsia="楷体_GB2312"/>
          <w:b/>
          <w:lang w:val="zh-CN"/>
        </w:rPr>
        <w:t>（三）相关建议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一是定期开展对安保人员和聘用书记员的工作履职情况的评估工作，以保证基本审判工作的顺利、高效进行。</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二是进一步细化完善预算编制，加强预算编制的合理性，加强指标设置的科学性，使得指标能更好的体现项目完成情况。</w:t>
      </w:r>
    </w:p>
    <w:p>
      <w:pPr>
        <w:pStyle w:val="7"/>
        <w:keepNext w:val="0"/>
        <w:keepLines w:val="0"/>
        <w:pageBreakBefore w:val="0"/>
        <w:numPr>
          <w:ilvl w:val="0"/>
          <w:numId w:val="0"/>
        </w:numPr>
        <w:kinsoku/>
        <w:wordWrap/>
        <w:overflowPunct/>
        <w:topLinePunct w:val="0"/>
        <w:autoSpaceDE/>
        <w:autoSpaceDN/>
        <w:bidi w:val="0"/>
        <w:spacing w:line="560" w:lineRule="exact"/>
        <w:ind w:firstLine="640" w:firstLineChars="200"/>
        <w:jc w:val="left"/>
        <w:textAlignment w:val="auto"/>
        <w:rPr>
          <w:rFonts w:hint="default" w:ascii="Times New Roman" w:cs="Times New Roman"/>
          <w:kern w:val="2"/>
          <w:sz w:val="32"/>
          <w:szCs w:val="32"/>
          <w:highlight w:val="none"/>
          <w:u w:val="none"/>
          <w:lang w:val="en-US" w:eastAsia="zh-CN" w:bidi="ar"/>
        </w:rPr>
      </w:pPr>
    </w:p>
    <w:p>
      <w:pPr>
        <w:pStyle w:val="4"/>
        <w:bidi w:val="0"/>
        <w:rPr>
          <w:rFonts w:hint="default"/>
          <w:lang w:val="en-US" w:eastAsia="zh-CN"/>
        </w:rPr>
      </w:pPr>
      <w:r>
        <w:rPr>
          <w:rFonts w:hint="eastAsia"/>
          <w:lang w:val="zh-CN" w:eastAsia="zh-CN"/>
        </w:rPr>
        <w:t>附件</w:t>
      </w:r>
      <w:r>
        <w:rPr>
          <w:rFonts w:hint="eastAsia"/>
          <w:lang w:val="en-US" w:eastAsia="zh-CN"/>
        </w:rPr>
        <w:t>5</w:t>
      </w:r>
    </w:p>
    <w:p>
      <w:pPr>
        <w:pStyle w:val="36"/>
        <w:spacing w:line="600" w:lineRule="exact"/>
        <w:jc w:val="center"/>
        <w:rPr>
          <w:rFonts w:ascii="Times New Roman" w:hAnsi="Times New Roman" w:eastAsia="方正小标宋简体"/>
          <w:color w:val="auto"/>
          <w:kern w:val="2"/>
          <w:sz w:val="40"/>
          <w:szCs w:val="40"/>
        </w:rPr>
      </w:pPr>
      <w:r>
        <w:rPr>
          <w:rFonts w:ascii="Times New Roman" w:hAnsi="Times New Roman" w:eastAsia="方正小标宋简体"/>
          <w:color w:val="auto"/>
          <w:kern w:val="2"/>
          <w:sz w:val="40"/>
          <w:szCs w:val="40"/>
        </w:rPr>
        <w:t>专项预算项目支出绩效自评报告</w:t>
      </w:r>
    </w:p>
    <w:p>
      <w:pPr>
        <w:pStyle w:val="36"/>
        <w:spacing w:line="600" w:lineRule="exact"/>
        <w:ind w:firstLine="883"/>
        <w:jc w:val="center"/>
        <w:rPr>
          <w:rFonts w:ascii="Times New Roman" w:hAnsi="Times New Roman" w:eastAsia="仿宋_GB2312"/>
          <w:color w:val="auto"/>
          <w:kern w:val="2"/>
          <w:sz w:val="32"/>
          <w:szCs w:val="32"/>
        </w:rPr>
      </w:pP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lang w:eastAsia="zh-CN"/>
        </w:rPr>
        <w:t>信息系统维护费</w:t>
      </w:r>
      <w:r>
        <w:rPr>
          <w:rFonts w:ascii="Times New Roman" w:hAnsi="Times New Roman" w:eastAsia="仿宋_GB2312"/>
          <w:color w:val="auto"/>
          <w:kern w:val="2"/>
          <w:sz w:val="32"/>
          <w:szCs w:val="32"/>
        </w:rPr>
        <w:t>）</w:t>
      </w:r>
    </w:p>
    <w:p>
      <w:pPr>
        <w:pStyle w:val="36"/>
        <w:spacing w:line="600" w:lineRule="exact"/>
        <w:ind w:firstLine="640"/>
        <w:jc w:val="center"/>
        <w:rPr>
          <w:rFonts w:ascii="Times New Roman" w:hAnsi="Times New Roman"/>
          <w:color w:val="auto"/>
          <w:kern w:val="2"/>
          <w:sz w:val="32"/>
          <w:szCs w:val="32"/>
        </w:rPr>
      </w:pPr>
    </w:p>
    <w:p>
      <w:pPr>
        <w:adjustRightInd w:val="0"/>
        <w:snapToGrid w:val="0"/>
        <w:spacing w:line="600" w:lineRule="exact"/>
        <w:ind w:firstLine="720"/>
        <w:rPr>
          <w:rFonts w:eastAsia="黑体"/>
          <w:lang w:val="zh-CN"/>
        </w:rPr>
      </w:pPr>
      <w:r>
        <w:rPr>
          <w:rFonts w:eastAsia="黑体"/>
        </w:rPr>
        <w:t>一、</w:t>
      </w:r>
      <w:r>
        <w:rPr>
          <w:rFonts w:eastAsia="黑体"/>
          <w:lang w:val="zh-CN"/>
        </w:rPr>
        <w:t>项目概况</w:t>
      </w:r>
    </w:p>
    <w:p>
      <w:pPr>
        <w:adjustRightInd w:val="0"/>
        <w:snapToGrid w:val="0"/>
        <w:spacing w:line="600" w:lineRule="exact"/>
        <w:ind w:firstLine="720"/>
        <w:rPr>
          <w:rFonts w:eastAsia="楷体_GB2312"/>
          <w:b/>
          <w:lang w:val="zh-CN"/>
        </w:rPr>
      </w:pPr>
      <w:r>
        <w:rPr>
          <w:rFonts w:eastAsia="楷体_GB2312"/>
          <w:b/>
          <w:lang w:val="zh-CN"/>
        </w:rPr>
        <w:t>（一）项目基本情况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该项目主要用于单位信息化项目的新建和已有信息化项目的日常维护。我单位年初预算申报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17</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万元，预算批复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17</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元。</w:t>
      </w:r>
    </w:p>
    <w:p>
      <w:pPr>
        <w:adjustRightInd w:val="0"/>
        <w:snapToGrid w:val="0"/>
        <w:spacing w:line="600" w:lineRule="exact"/>
        <w:ind w:firstLine="720"/>
        <w:rPr>
          <w:rFonts w:eastAsia="楷体_GB2312"/>
          <w:b/>
          <w:lang w:val="zh-CN"/>
        </w:rPr>
      </w:pPr>
      <w:r>
        <w:rPr>
          <w:rFonts w:eastAsia="楷体_GB2312"/>
          <w:b/>
          <w:lang w:val="zh-CN"/>
        </w:rPr>
        <w:t>（二）项目绩效目标</w:t>
      </w:r>
    </w:p>
    <w:p>
      <w:pPr>
        <w:adjustRightInd w:val="0"/>
        <w:snapToGrid w:val="0"/>
        <w:spacing w:line="600" w:lineRule="exact"/>
        <w:ind w:firstLine="720"/>
        <w:rPr>
          <w:rFonts w:hint="eastAsia" w:ascii="Times New Roman" w:hAnsi="Times New Roman" w:eastAsia="方正仿宋_GBK" w:cs="Times New Roman"/>
          <w:sz w:val="33"/>
          <w:szCs w:val="33"/>
          <w:lang w:val="zh-CN" w:eastAsia="zh-CN"/>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总体目标：该项目主要用于我院的信息化系统维护工作，一是开展档案数字化建设，将我院档案进行扫描、保存，规范档案管理；二是对原有的信息系统进行维护。通过系列信息化建设，缓解我院案多人少矛盾，进一步提高审判质效。</w:t>
      </w:r>
    </w:p>
    <w:p>
      <w:pPr>
        <w:adjustRightInd w:val="0"/>
        <w:snapToGrid w:val="0"/>
        <w:spacing w:line="600" w:lineRule="exact"/>
        <w:ind w:firstLine="720"/>
        <w:rPr>
          <w:rFonts w:eastAsia="楷体_GB2312"/>
          <w:b/>
          <w:lang w:val="zh-CN"/>
        </w:rPr>
      </w:pPr>
      <w:r>
        <w:rPr>
          <w:rFonts w:eastAsia="楷体_GB2312"/>
          <w:b/>
          <w:lang w:val="zh-CN"/>
        </w:rPr>
        <w:t>（三）项目自评步骤及方法</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1、收集资料：办公室负责项目招标和签订合同，立案庭负责和集中送达和文书扫描公司沟通扫描人员月在岗情况，并索取发票。</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2、指标设定：从经费合规性、使用效率、保障效果等设定指标。</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3、实施评价：对比指标与实际执行情况，通过数据计算、文件审查判断，如计算经费支出准确性衡量合规性，</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4、撰写报告：总结评价结果，分析存在的问题，提出改进建议，形成绩效自评报告。</w:t>
      </w:r>
    </w:p>
    <w:p>
      <w:pPr>
        <w:adjustRightInd w:val="0"/>
        <w:snapToGrid w:val="0"/>
        <w:spacing w:line="600" w:lineRule="exact"/>
        <w:ind w:firstLine="720"/>
        <w:rPr>
          <w:rFonts w:eastAsia="黑体"/>
        </w:rPr>
      </w:pPr>
      <w:r>
        <w:rPr>
          <w:rFonts w:eastAsia="黑体"/>
        </w:rPr>
        <w:t>二、项目资金申报及使用情况</w:t>
      </w:r>
    </w:p>
    <w:p>
      <w:pPr>
        <w:adjustRightInd w:val="0"/>
        <w:snapToGrid w:val="0"/>
        <w:spacing w:line="600" w:lineRule="exact"/>
        <w:ind w:firstLine="720"/>
        <w:rPr>
          <w:rFonts w:eastAsia="楷体_GB2312"/>
          <w:b/>
          <w:lang w:val="zh-CN"/>
        </w:rPr>
      </w:pPr>
      <w:r>
        <w:rPr>
          <w:rFonts w:eastAsia="楷体_GB2312"/>
          <w:b/>
          <w:lang w:val="zh-CN"/>
        </w:rPr>
        <w:t>（一）项目资金申报及批复情况</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我院向上级单位申请批复人民陪审员项目经费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17</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w:t>
      </w:r>
    </w:p>
    <w:p>
      <w:pPr>
        <w:adjustRightInd w:val="0"/>
        <w:snapToGrid w:val="0"/>
        <w:spacing w:line="600" w:lineRule="exact"/>
        <w:ind w:firstLine="720"/>
        <w:rPr>
          <w:lang w:val="zh-CN"/>
        </w:rPr>
      </w:pPr>
      <w:r>
        <w:rPr>
          <w:rFonts w:eastAsia="楷体_GB2312"/>
          <w:b/>
          <w:lang w:val="zh-CN"/>
        </w:rPr>
        <w:t>（二）资金计划、到位及使用情况</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1．资金计划及到位。截至2025年12月31日，该项目资金实际到位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万元，资金到位率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82.35%</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2．资金使用。截至2025年12月31日，该项目资金实际到位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万元，使用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万元，用于院机关及派出法庭信息化建设，申报目标合理可行。资金开支范围、标准、支付进度符合预算要求，支付依据合规合法。</w:t>
      </w:r>
    </w:p>
    <w:p>
      <w:pPr>
        <w:adjustRightInd w:val="0"/>
        <w:snapToGrid w:val="0"/>
        <w:spacing w:line="600" w:lineRule="exact"/>
        <w:ind w:firstLine="720"/>
        <w:rPr>
          <w:rFonts w:eastAsia="楷体_GB2312"/>
          <w:b/>
          <w:lang w:val="zh-CN"/>
        </w:rPr>
      </w:pPr>
      <w:r>
        <w:rPr>
          <w:rFonts w:eastAsia="楷体_GB2312"/>
          <w:b/>
          <w:lang w:val="zh-CN"/>
        </w:rPr>
        <w:t>（三）项目财务管理情况</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严格执行财务管理制度，强化项目资金管理和使用。以市、区财政支付管理相关规定为准绳，同时结合实际，加强项目资金的监管，杜绝违规违法事件发生，财务处理及时，会计核算规范。</w:t>
      </w:r>
    </w:p>
    <w:p>
      <w:pPr>
        <w:adjustRightInd w:val="0"/>
        <w:snapToGrid w:val="0"/>
        <w:spacing w:line="600" w:lineRule="exact"/>
        <w:ind w:firstLine="720"/>
        <w:rPr>
          <w:rFonts w:eastAsia="黑体"/>
        </w:rPr>
      </w:pPr>
      <w:r>
        <w:rPr>
          <w:rFonts w:eastAsia="黑体"/>
        </w:rPr>
        <w:t>三、项目实施及管理情况</w:t>
      </w:r>
    </w:p>
    <w:p>
      <w:pPr>
        <w:adjustRightInd w:val="0"/>
        <w:snapToGrid w:val="0"/>
        <w:spacing w:line="600" w:lineRule="exact"/>
        <w:ind w:firstLine="720"/>
        <w:rPr>
          <w:rFonts w:eastAsia="楷体_GB2312"/>
          <w:b/>
          <w:lang w:val="zh-CN"/>
        </w:rPr>
      </w:pPr>
      <w:r>
        <w:rPr>
          <w:rFonts w:eastAsia="楷体_GB2312"/>
          <w:b/>
          <w:lang w:val="zh-CN"/>
        </w:rPr>
        <w:t>（一）项目组织架构及实施流程</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1.根据项目安排资金分配。</w:t>
      </w:r>
    </w:p>
    <w:p>
      <w:pPr>
        <w:adjustRightInd w:val="0"/>
        <w:snapToGrid w:val="0"/>
        <w:spacing w:line="600" w:lineRule="exact"/>
        <w:ind w:firstLine="720"/>
        <w:rPr>
          <w:lang w:val="zh-CN"/>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2.资金分配到位后用于相关文书扫描及送达工作的正常运转。</w:t>
      </w:r>
    </w:p>
    <w:p>
      <w:pPr>
        <w:adjustRightInd w:val="0"/>
        <w:snapToGrid w:val="0"/>
        <w:spacing w:line="600" w:lineRule="exact"/>
        <w:ind w:firstLine="720"/>
        <w:rPr>
          <w:rFonts w:eastAsia="楷体_GB2312"/>
          <w:b/>
          <w:lang w:val="zh-CN"/>
        </w:rPr>
      </w:pPr>
      <w:r>
        <w:rPr>
          <w:rFonts w:eastAsia="楷体_GB2312"/>
          <w:b/>
          <w:lang w:val="zh-CN"/>
        </w:rPr>
        <w:t>（二）项目管理情况</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项目经费管理遵循专款专用原则，严格按照年初预算编制执行，报销流程严格，立案庭、办公室负责确认人员在职名单、向合同公司索取发票，经上党组会、交由财务室报销等多环节审核，确保经费发放合理合规。</w:t>
      </w:r>
    </w:p>
    <w:p>
      <w:pPr>
        <w:adjustRightInd w:val="0"/>
        <w:snapToGrid w:val="0"/>
        <w:spacing w:line="600" w:lineRule="exact"/>
        <w:ind w:firstLine="720"/>
        <w:rPr>
          <w:rFonts w:eastAsia="楷体_GB2312"/>
          <w:b/>
          <w:lang w:val="zh-CN"/>
        </w:rPr>
      </w:pPr>
      <w:r>
        <w:rPr>
          <w:rFonts w:eastAsia="楷体_GB2312"/>
          <w:b/>
          <w:lang w:val="zh-CN"/>
        </w:rPr>
        <w:t>（三）项目监管情况</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监管手段：建立经费台账，实时记录收支。监管程序：先由财务初审票据审核真实性与合规性，再经分管领导复核审批签字。监管工作：定期开展内部自查工作，检查经费使用又无超支与挪用，主动接受外部监督，如财政部门审查。</w:t>
      </w:r>
    </w:p>
    <w:p>
      <w:pPr>
        <w:adjustRightInd w:val="0"/>
        <w:snapToGrid w:val="0"/>
        <w:spacing w:line="600" w:lineRule="exact"/>
        <w:ind w:firstLine="720"/>
        <w:rPr>
          <w:lang w:val="zh-CN"/>
        </w:rPr>
      </w:pPr>
      <w:r>
        <w:rPr>
          <w:rFonts w:eastAsia="黑体"/>
        </w:rPr>
        <w:t>四、项目绩效情况</w:t>
      </w:r>
      <w:r>
        <w:rPr>
          <w:lang w:val="zh-CN"/>
        </w:rPr>
        <w:tab/>
      </w:r>
    </w:p>
    <w:p>
      <w:pPr>
        <w:adjustRightInd w:val="0"/>
        <w:snapToGrid w:val="0"/>
        <w:spacing w:line="600" w:lineRule="exact"/>
        <w:ind w:firstLine="720"/>
        <w:rPr>
          <w:rFonts w:eastAsia="楷体_GB2312"/>
          <w:b/>
          <w:lang w:val="zh-CN"/>
        </w:rPr>
      </w:pPr>
      <w:r>
        <w:rPr>
          <w:rFonts w:eastAsia="楷体_GB2312"/>
          <w:b/>
          <w:lang w:val="zh-CN"/>
        </w:rPr>
        <w:t>（一）项目完成情况</w:t>
      </w:r>
    </w:p>
    <w:p>
      <w:pPr>
        <w:adjustRightInd w:val="0"/>
        <w:snapToGrid w:val="0"/>
        <w:spacing w:line="600" w:lineRule="exact"/>
        <w:ind w:firstLine="72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该项目设置数量指标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个：案件受理数≧</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8500件，实际受理数12077件</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；档案数字化扫描页数≧</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4万页，实际扫描页数超15万页。</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该项目设置质量指标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个：庭审记录的完整性准确性≧</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98</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%，实际完成100%；扫描卷宗清晰可见率100%，实际完成率100%；各系统正常运行率100%，实际完成率100%。</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该项目设置时效指标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个：故障报修后在2小时内解决故障，实际在故障报修后</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30分钟</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内保证了故障的及时解决；档案数字化加工时间≦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30日，实际加工时间20个工作日之内</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w:t>
      </w:r>
    </w:p>
    <w:p>
      <w:pPr>
        <w:adjustRightInd w:val="0"/>
        <w:snapToGrid w:val="0"/>
        <w:spacing w:line="600" w:lineRule="exact"/>
        <w:ind w:firstLine="72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该项目设置成本指标</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个：档案数字化加工费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0.45元/张，实际0.35元/张；各信息系统维护费10万元/年，实际支出7万元。</w:t>
      </w:r>
    </w:p>
    <w:p>
      <w:pPr>
        <w:adjustRightInd w:val="0"/>
        <w:snapToGrid w:val="0"/>
        <w:spacing w:line="600" w:lineRule="exact"/>
        <w:ind w:firstLine="720"/>
        <w:rPr>
          <w:rFonts w:eastAsia="楷体_GB2312"/>
          <w:b/>
          <w:lang w:val="zh-CN"/>
        </w:rPr>
      </w:pPr>
      <w:r>
        <w:rPr>
          <w:rFonts w:eastAsia="楷体_GB2312"/>
          <w:b/>
          <w:lang w:val="zh-CN"/>
        </w:rPr>
        <w:t>（二）项目效益情况</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经济效益：以信息化手段代替人力，减少人力成本。</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社会效益：以信息化手段缓解案多人少压力，提升审判质效和当事人满意度。</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满意度指标完成情况分析：当事人满意度：≧95%；干警满意度：≧95%。</w:t>
      </w:r>
    </w:p>
    <w:p>
      <w:pPr>
        <w:adjustRightInd w:val="0"/>
        <w:snapToGrid w:val="0"/>
        <w:spacing w:line="600" w:lineRule="exact"/>
        <w:ind w:firstLine="720"/>
        <w:rPr>
          <w:rFonts w:eastAsia="黑体"/>
        </w:rPr>
      </w:pPr>
      <w:r>
        <w:rPr>
          <w:rFonts w:eastAsia="黑体"/>
        </w:rPr>
        <w:t>五、评价结论及建议</w:t>
      </w:r>
    </w:p>
    <w:p>
      <w:pPr>
        <w:adjustRightInd w:val="0"/>
        <w:snapToGrid w:val="0"/>
        <w:spacing w:line="600" w:lineRule="exact"/>
        <w:ind w:firstLine="720"/>
        <w:rPr>
          <w:rFonts w:eastAsia="楷体_GB2312"/>
          <w:b/>
          <w:lang w:val="zh-CN"/>
        </w:rPr>
      </w:pPr>
      <w:r>
        <w:rPr>
          <w:rFonts w:eastAsia="楷体_GB2312"/>
          <w:b/>
          <w:lang w:val="zh-CN"/>
        </w:rPr>
        <w:t>（一）评价结论</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截至2025年底，我院办案经费项目经费实际到位</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万元，实际使用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14</w:t>
      </w: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万元，做到应用尽用。我院合理、充分运用项目资金，在保证法院文书送达及扫描工作顺利开展的同时，还厉行节约，有效控制成本，保证各项开支合法合规，账务记录清晰，原始凭证等附件齐全，“智慧法院”建设平稳进行。</w:t>
      </w:r>
    </w:p>
    <w:p>
      <w:pPr>
        <w:adjustRightInd w:val="0"/>
        <w:snapToGrid w:val="0"/>
        <w:spacing w:line="600" w:lineRule="exact"/>
        <w:ind w:firstLine="720"/>
        <w:rPr>
          <w:rFonts w:eastAsia="楷体_GB2312"/>
          <w:b/>
          <w:lang w:val="zh-CN"/>
        </w:rPr>
      </w:pPr>
      <w:r>
        <w:rPr>
          <w:rFonts w:eastAsia="楷体_GB2312"/>
          <w:b/>
          <w:lang w:val="zh-CN"/>
        </w:rPr>
        <w:t>（二）存在的问题</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预算编制情况良好，预算执行进度差，主要是指标下达时间太晚。</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严格执行财务管理制度，强化项目资金管理和使用。以区财政支付管理相关规定为准绳，同时结合实际，加强项目资金的监管，专款专用。</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2025年，当由于相关单位工作较为繁忙，该项工作开展较晚，最后部分合同资金资金未能拨付到位，该项目绩效目标完成情况不够理想。</w:t>
      </w:r>
    </w:p>
    <w:p>
      <w:pPr>
        <w:adjustRightInd w:val="0"/>
        <w:snapToGrid w:val="0"/>
        <w:spacing w:line="600" w:lineRule="exact"/>
        <w:ind w:firstLine="720"/>
        <w:rPr>
          <w:rFonts w:eastAsia="楷体_GB2312"/>
          <w:b/>
          <w:lang w:val="zh-CN"/>
        </w:rPr>
      </w:pPr>
      <w:r>
        <w:rPr>
          <w:rFonts w:eastAsia="楷体_GB2312"/>
          <w:b/>
          <w:lang w:val="zh-CN"/>
        </w:rPr>
        <w:t>（三）相关建议</w:t>
      </w: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进一步细化完善预算编制，加强预算编制的合理性，加强指标设置的科学性，使得指标能更好的体现项目完成情况。</w:t>
      </w:r>
    </w:p>
    <w:p>
      <w:pPr>
        <w:rPr>
          <w:rFonts w:hint="eastAsia"/>
          <w:lang w:val="zh-CN" w:eastAsia="zh-CN"/>
        </w:rPr>
      </w:pPr>
    </w:p>
    <w:p>
      <w:pPr>
        <w:keepNext w:val="0"/>
        <w:keepLines w:val="0"/>
        <w:pageBreakBefore w:val="0"/>
        <w:widowControl w:val="0"/>
        <w:kinsoku/>
        <w:wordWrap/>
        <w:overflowPunct/>
        <w:topLinePunct w:val="0"/>
        <w:autoSpaceDE/>
        <w:autoSpaceDN/>
        <w:bidi w:val="0"/>
        <w:spacing w:line="578" w:lineRule="exact"/>
        <w:ind w:left="0" w:leftChars="0" w:firstLine="0" w:firstLineChars="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75"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pStyle w:val="3"/>
        <w:bidi w:val="0"/>
        <w:jc w:val="center"/>
        <w:rPr>
          <w:rFonts w:hint="eastAsia"/>
        </w:rPr>
      </w:pPr>
      <w:bookmarkStart w:id="76" w:name="_Toc25223"/>
      <w:r>
        <w:rPr>
          <w:rFonts w:hint="eastAsia"/>
        </w:rPr>
        <w:t>第</w:t>
      </w:r>
      <w:r>
        <w:rPr>
          <w:rFonts w:hint="eastAsia"/>
          <w:lang w:eastAsia="zh-CN"/>
        </w:rPr>
        <w:t>五</w:t>
      </w:r>
      <w:r>
        <w:rPr>
          <w:rFonts w:hint="eastAsia"/>
        </w:rPr>
        <w:t>部分 附表</w:t>
      </w:r>
      <w:bookmarkEnd w:id="74"/>
      <w:bookmarkEnd w:id="75"/>
      <w:bookmarkEnd w:id="76"/>
      <w:bookmarkStart w:id="77" w:name="_Toc15396619"/>
    </w:p>
    <w:p>
      <w:pPr>
        <w:adjustRightInd w:val="0"/>
        <w:snapToGrid w:val="0"/>
        <w:spacing w:line="600" w:lineRule="exact"/>
        <w:ind w:firstLine="720"/>
        <w:rPr>
          <w:rFonts w:hint="eastAsia" w:eastAsia="仿宋_GB2312"/>
          <w:sz w:val="32"/>
          <w:szCs w:val="32"/>
          <w:lang w:val="zh-CN" w:eastAsia="zh-CN"/>
        </w:rPr>
      </w:pPr>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78" w:name="_Toc17053"/>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一、收入支出决算总表</w:t>
      </w:r>
      <w:bookmarkEnd w:id="77"/>
      <w:bookmarkEnd w:id="78"/>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79" w:name="_Toc5927"/>
      <w:bookmarkStart w:id="80" w:name="_Toc15396620"/>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二、收入决算表</w:t>
      </w:r>
      <w:bookmarkEnd w:id="79"/>
      <w:bookmarkEnd w:id="80"/>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81" w:name="_Toc15396621"/>
      <w:bookmarkStart w:id="82" w:name="_Toc27416"/>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三、支出决算表</w:t>
      </w:r>
      <w:bookmarkEnd w:id="81"/>
      <w:bookmarkEnd w:id="82"/>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83" w:name="_Toc10953"/>
      <w:bookmarkStart w:id="84" w:name="_Toc15396622"/>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四、财政拨款收入支出决算总表</w:t>
      </w:r>
      <w:bookmarkEnd w:id="83"/>
      <w:bookmarkEnd w:id="84"/>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85" w:name="_Toc26776"/>
      <w:bookmarkStart w:id="86" w:name="_Toc15396623"/>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五、财政拨款支出决算明细表</w:t>
      </w:r>
      <w:bookmarkEnd w:id="85"/>
      <w:bookmarkEnd w:id="86"/>
      <w:bookmarkStart w:id="87" w:name="_Toc15396624"/>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88" w:name="_Toc27193"/>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六、一般公共预算财政拨款支出决算表</w:t>
      </w:r>
      <w:bookmarkEnd w:id="87"/>
      <w:bookmarkEnd w:id="88"/>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89" w:name="_Toc15396625"/>
      <w:bookmarkStart w:id="90" w:name="_Toc24348"/>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七、一般公共预算财政拨款支出决算明细表</w:t>
      </w:r>
      <w:bookmarkEnd w:id="89"/>
      <w:bookmarkEnd w:id="90"/>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91" w:name="_Toc15396626"/>
      <w:bookmarkStart w:id="92" w:name="_Toc21071"/>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八、一般公共预算财政拨款基本支出决算表</w:t>
      </w:r>
      <w:bookmarkEnd w:id="91"/>
      <w:bookmarkEnd w:id="92"/>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93" w:name="_Toc15396627"/>
      <w:bookmarkStart w:id="94" w:name="_Toc1422"/>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九、一般公共预算财政拨款项目支出决算表</w:t>
      </w:r>
      <w:bookmarkEnd w:id="93"/>
      <w:bookmarkEnd w:id="94"/>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95" w:name="_Toc15396628"/>
      <w:bookmarkStart w:id="96" w:name="_Toc32254"/>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十、</w:t>
      </w:r>
      <w:bookmarkEnd w:id="95"/>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政府性基金预算财政拨款收入支出决算表</w:t>
      </w:r>
      <w:bookmarkEnd w:id="96"/>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97" w:name="_Toc15396629"/>
      <w:bookmarkStart w:id="98" w:name="_Toc29719"/>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十一、</w:t>
      </w:r>
      <w:bookmarkEnd w:id="97"/>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国有资本经营预算财政拨款收入支出决算表</w:t>
      </w:r>
      <w:bookmarkEnd w:id="98"/>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99" w:name="_Toc15396630"/>
      <w:bookmarkStart w:id="100" w:name="_Toc29119"/>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十二、</w:t>
      </w:r>
      <w:bookmarkEnd w:id="99"/>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国有资本经营预算财政拨款支出决算表</w:t>
      </w:r>
      <w:bookmarkEnd w:id="100"/>
    </w:p>
    <w:p>
      <w:pPr>
        <w:adjustRightInd w:val="0"/>
        <w:snapToGrid w:val="0"/>
        <w:spacing w:line="600" w:lineRule="exact"/>
        <w:ind w:firstLine="720"/>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pPr>
      <w:bookmarkStart w:id="101" w:name="_Toc15396631"/>
      <w:bookmarkStart w:id="102" w:name="_Toc7774"/>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十三、</w:t>
      </w:r>
      <w:bookmarkEnd w:id="101"/>
      <w:r>
        <w:rPr>
          <w:rFonts w:hint="eastAsia" w:ascii="Times New Roman" w:hAnsi="Times New Roman" w:eastAsia="方正仿宋_GBK" w:cs="Times New Roman"/>
          <w:color w:val="000000" w:themeColor="text1"/>
          <w:sz w:val="32"/>
          <w:szCs w:val="32"/>
          <w:lang w:val="zh-CN" w:eastAsia="zh-CN"/>
          <w14:textFill>
            <w14:solidFill>
              <w14:schemeClr w14:val="tx1"/>
            </w14:solidFill>
          </w14:textFill>
        </w:rPr>
        <w:t>财政拨款“三公”经费支出决算表</w:t>
      </w:r>
      <w:bookmarkEnd w:id="102"/>
    </w:p>
    <w:p>
      <w:pPr>
        <w:adjustRightInd w:val="0"/>
        <w:snapToGrid w:val="0"/>
        <w:spacing w:line="600" w:lineRule="exact"/>
        <w:ind w:firstLine="720"/>
        <w:rPr>
          <w:rFonts w:hint="eastAsia" w:eastAsia="仿宋_GB2312"/>
          <w:sz w:val="32"/>
          <w:szCs w:val="32"/>
          <w:lang w:val="zh-CN" w:eastAsia="zh-CN"/>
        </w:rPr>
      </w:pPr>
    </w:p>
    <w:sectPr>
      <w:footerReference r:id="rId8" w:type="first"/>
      <w:footerReference r:id="rId7" w:type="default"/>
      <w:pgSz w:w="11906" w:h="16838"/>
      <w:pgMar w:top="1440" w:right="1800" w:bottom="1440" w:left="1800" w:header="851" w:footer="992" w:gutter="0"/>
      <w:pgNumType w:fmt="decimal" w:start="1"/>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仿宋">
    <w:panose1 w:val="02010609060101010101"/>
    <w:charset w:val="86"/>
    <w:family w:val="auto"/>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817733"/>
    <w:multiLevelType w:val="singleLevel"/>
    <w:tmpl w:val="CB817733"/>
    <w:lvl w:ilvl="0" w:tentative="0">
      <w:start w:val="1"/>
      <w:numFmt w:val="chineseCounting"/>
      <w:suff w:val="nothing"/>
      <w:lvlText w:val="%1、"/>
      <w:lvlJc w:val="left"/>
      <w:rPr>
        <w:rFonts w:hint="eastAsia"/>
      </w:rPr>
    </w:lvl>
  </w:abstractNum>
  <w:abstractNum w:abstractNumId="1">
    <w:nsid w:val="F9F58DB5"/>
    <w:multiLevelType w:val="singleLevel"/>
    <w:tmpl w:val="F9F58DB5"/>
    <w:lvl w:ilvl="0" w:tentative="0">
      <w:start w:val="4"/>
      <w:numFmt w:val="chineseCounting"/>
      <w:suff w:val="space"/>
      <w:lvlText w:val="第%1部分"/>
      <w:lvlJc w:val="left"/>
      <w:rPr>
        <w:rFonts w:hint="eastAsia"/>
      </w:rPr>
    </w:lvl>
  </w:abstractNum>
  <w:abstractNum w:abstractNumId="2">
    <w:nsid w:val="71D778F8"/>
    <w:multiLevelType w:val="singleLevel"/>
    <w:tmpl w:val="71D778F8"/>
    <w:lvl w:ilvl="0" w:tentative="0">
      <w:start w:val="1"/>
      <w:numFmt w:val="decimal"/>
      <w:suff w:val="nothing"/>
      <w:lvlText w:val="%1、"/>
      <w:lvlJc w:val="left"/>
      <w:rPr>
        <w:rFonts w:hint="default"/>
        <w:sz w:val="32"/>
        <w:szCs w:val="32"/>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228A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173C2F"/>
    <w:rsid w:val="02FEBE30"/>
    <w:rsid w:val="038571E0"/>
    <w:rsid w:val="04916F1E"/>
    <w:rsid w:val="061E35DE"/>
    <w:rsid w:val="066E0107"/>
    <w:rsid w:val="07996F6E"/>
    <w:rsid w:val="07DFD8BA"/>
    <w:rsid w:val="09867E8F"/>
    <w:rsid w:val="0A2032A3"/>
    <w:rsid w:val="0CA8290A"/>
    <w:rsid w:val="0D35B1ED"/>
    <w:rsid w:val="0E254B6B"/>
    <w:rsid w:val="0EC7776F"/>
    <w:rsid w:val="0F437E11"/>
    <w:rsid w:val="0F6B49F3"/>
    <w:rsid w:val="0F98263C"/>
    <w:rsid w:val="101860EC"/>
    <w:rsid w:val="101F47CC"/>
    <w:rsid w:val="10C055FF"/>
    <w:rsid w:val="11694EBD"/>
    <w:rsid w:val="11772AA4"/>
    <w:rsid w:val="118107EC"/>
    <w:rsid w:val="11D0201D"/>
    <w:rsid w:val="125466D3"/>
    <w:rsid w:val="1271461A"/>
    <w:rsid w:val="12E24EE2"/>
    <w:rsid w:val="13D50BC4"/>
    <w:rsid w:val="13E75DFD"/>
    <w:rsid w:val="14B17F78"/>
    <w:rsid w:val="14BF612F"/>
    <w:rsid w:val="14FB20D9"/>
    <w:rsid w:val="1515079D"/>
    <w:rsid w:val="165E0673"/>
    <w:rsid w:val="16B831D5"/>
    <w:rsid w:val="16BB723D"/>
    <w:rsid w:val="17E50567"/>
    <w:rsid w:val="186504BB"/>
    <w:rsid w:val="19A445FC"/>
    <w:rsid w:val="1BDD260C"/>
    <w:rsid w:val="1BE8440E"/>
    <w:rsid w:val="1CA04473"/>
    <w:rsid w:val="1D155CEE"/>
    <w:rsid w:val="1D1638FE"/>
    <w:rsid w:val="1DB91AD3"/>
    <w:rsid w:val="1E312DEB"/>
    <w:rsid w:val="1E740ACF"/>
    <w:rsid w:val="1E8471DD"/>
    <w:rsid w:val="1FF35744"/>
    <w:rsid w:val="1FF6BC77"/>
    <w:rsid w:val="2186353C"/>
    <w:rsid w:val="235B5C06"/>
    <w:rsid w:val="23860B96"/>
    <w:rsid w:val="240371BF"/>
    <w:rsid w:val="244F3473"/>
    <w:rsid w:val="24C97D99"/>
    <w:rsid w:val="25A718F0"/>
    <w:rsid w:val="25BB59F6"/>
    <w:rsid w:val="260F557C"/>
    <w:rsid w:val="26970054"/>
    <w:rsid w:val="281408E2"/>
    <w:rsid w:val="2915632A"/>
    <w:rsid w:val="29FD04D3"/>
    <w:rsid w:val="2BFF7BC6"/>
    <w:rsid w:val="2C8A61B5"/>
    <w:rsid w:val="2DF04E50"/>
    <w:rsid w:val="2E586DFA"/>
    <w:rsid w:val="2F040D46"/>
    <w:rsid w:val="2F6B035B"/>
    <w:rsid w:val="2FAE5751"/>
    <w:rsid w:val="2FB1A395"/>
    <w:rsid w:val="2FCD58C2"/>
    <w:rsid w:val="2FD9A7D8"/>
    <w:rsid w:val="2FDBF714"/>
    <w:rsid w:val="30AB6865"/>
    <w:rsid w:val="319F7F4E"/>
    <w:rsid w:val="31C04FAC"/>
    <w:rsid w:val="32BD1EF1"/>
    <w:rsid w:val="3304709D"/>
    <w:rsid w:val="334A5C5E"/>
    <w:rsid w:val="33A773CB"/>
    <w:rsid w:val="349D6851"/>
    <w:rsid w:val="35455B14"/>
    <w:rsid w:val="36AA5135"/>
    <w:rsid w:val="36BE0DA7"/>
    <w:rsid w:val="376B6AA6"/>
    <w:rsid w:val="376D39B2"/>
    <w:rsid w:val="37DE7E55"/>
    <w:rsid w:val="37E16F03"/>
    <w:rsid w:val="37F53A3B"/>
    <w:rsid w:val="389B6C89"/>
    <w:rsid w:val="38D469F0"/>
    <w:rsid w:val="39627CCD"/>
    <w:rsid w:val="397BAF1F"/>
    <w:rsid w:val="3A0D4616"/>
    <w:rsid w:val="3A117D49"/>
    <w:rsid w:val="3AB79AF3"/>
    <w:rsid w:val="3ABA0B83"/>
    <w:rsid w:val="3AE834C0"/>
    <w:rsid w:val="3B5B6CD8"/>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55B1156"/>
    <w:rsid w:val="469171A5"/>
    <w:rsid w:val="47C879B9"/>
    <w:rsid w:val="482251CE"/>
    <w:rsid w:val="486A6C7A"/>
    <w:rsid w:val="487E1D5D"/>
    <w:rsid w:val="497951B9"/>
    <w:rsid w:val="4A627F82"/>
    <w:rsid w:val="4B0E749A"/>
    <w:rsid w:val="4B2477C4"/>
    <w:rsid w:val="4B4F25DA"/>
    <w:rsid w:val="4BE068DB"/>
    <w:rsid w:val="4D577224"/>
    <w:rsid w:val="4DBF1CEB"/>
    <w:rsid w:val="4DF0007C"/>
    <w:rsid w:val="4E3C33C6"/>
    <w:rsid w:val="4E580AD1"/>
    <w:rsid w:val="4EAB630A"/>
    <w:rsid w:val="4ECE2238"/>
    <w:rsid w:val="4F2B7BF3"/>
    <w:rsid w:val="4F833267"/>
    <w:rsid w:val="4FE9BD67"/>
    <w:rsid w:val="4FFB052F"/>
    <w:rsid w:val="537E6D0A"/>
    <w:rsid w:val="53F74C96"/>
    <w:rsid w:val="549E63A2"/>
    <w:rsid w:val="55170BA8"/>
    <w:rsid w:val="553218C9"/>
    <w:rsid w:val="567E1AA5"/>
    <w:rsid w:val="56E47B74"/>
    <w:rsid w:val="57175D52"/>
    <w:rsid w:val="57BD3DD4"/>
    <w:rsid w:val="584960D7"/>
    <w:rsid w:val="589D722F"/>
    <w:rsid w:val="5AF92295"/>
    <w:rsid w:val="5B250254"/>
    <w:rsid w:val="5B5F0D1B"/>
    <w:rsid w:val="5B6D41C2"/>
    <w:rsid w:val="5BDD79E6"/>
    <w:rsid w:val="5BF561CA"/>
    <w:rsid w:val="5BFF5DFC"/>
    <w:rsid w:val="5CD71FC4"/>
    <w:rsid w:val="5D1F11B5"/>
    <w:rsid w:val="5D695134"/>
    <w:rsid w:val="5DAE1B18"/>
    <w:rsid w:val="5DE7D9E5"/>
    <w:rsid w:val="5E68269B"/>
    <w:rsid w:val="5ECEC941"/>
    <w:rsid w:val="5FBF9FF3"/>
    <w:rsid w:val="5FCD4E2C"/>
    <w:rsid w:val="5FEF394A"/>
    <w:rsid w:val="5FF67715"/>
    <w:rsid w:val="60F67351"/>
    <w:rsid w:val="617445B9"/>
    <w:rsid w:val="621A52DB"/>
    <w:rsid w:val="62BF3928"/>
    <w:rsid w:val="63241F79"/>
    <w:rsid w:val="63B3701E"/>
    <w:rsid w:val="647F5392"/>
    <w:rsid w:val="65A17F68"/>
    <w:rsid w:val="65E66580"/>
    <w:rsid w:val="664B1D71"/>
    <w:rsid w:val="664B4E8E"/>
    <w:rsid w:val="67277B67"/>
    <w:rsid w:val="67AA3209"/>
    <w:rsid w:val="698D0931"/>
    <w:rsid w:val="6A7FE5F3"/>
    <w:rsid w:val="6B053271"/>
    <w:rsid w:val="6BDD78B3"/>
    <w:rsid w:val="6BEC4697"/>
    <w:rsid w:val="6C4A05C8"/>
    <w:rsid w:val="6C8742B8"/>
    <w:rsid w:val="6DBF5E93"/>
    <w:rsid w:val="6DFF077E"/>
    <w:rsid w:val="6E714EF0"/>
    <w:rsid w:val="6E7E3605"/>
    <w:rsid w:val="6E7FDCC7"/>
    <w:rsid w:val="6ED6A62E"/>
    <w:rsid w:val="6EE00B15"/>
    <w:rsid w:val="6F6FB3EB"/>
    <w:rsid w:val="6F8731EA"/>
    <w:rsid w:val="6FC73F26"/>
    <w:rsid w:val="6FCE6052"/>
    <w:rsid w:val="6FD57C00"/>
    <w:rsid w:val="6FEFFFD8"/>
    <w:rsid w:val="6FF5CC65"/>
    <w:rsid w:val="6FFB47EC"/>
    <w:rsid w:val="6FFF034A"/>
    <w:rsid w:val="70484440"/>
    <w:rsid w:val="712A28F1"/>
    <w:rsid w:val="715C0E4B"/>
    <w:rsid w:val="71992E7C"/>
    <w:rsid w:val="72233669"/>
    <w:rsid w:val="72666E9C"/>
    <w:rsid w:val="72734D90"/>
    <w:rsid w:val="73160E6D"/>
    <w:rsid w:val="7332FE48"/>
    <w:rsid w:val="73AB61DA"/>
    <w:rsid w:val="73AD73D5"/>
    <w:rsid w:val="73B6EB34"/>
    <w:rsid w:val="73FA497D"/>
    <w:rsid w:val="744731E5"/>
    <w:rsid w:val="74BBD01D"/>
    <w:rsid w:val="74ED5379"/>
    <w:rsid w:val="75152352"/>
    <w:rsid w:val="75993EAC"/>
    <w:rsid w:val="75DEEEC2"/>
    <w:rsid w:val="75E32345"/>
    <w:rsid w:val="76BA3172"/>
    <w:rsid w:val="76E3355F"/>
    <w:rsid w:val="76FF5125"/>
    <w:rsid w:val="77636498"/>
    <w:rsid w:val="776F6FFA"/>
    <w:rsid w:val="778769C8"/>
    <w:rsid w:val="77A75DCA"/>
    <w:rsid w:val="77DC22F5"/>
    <w:rsid w:val="78351885"/>
    <w:rsid w:val="783E271A"/>
    <w:rsid w:val="78616DE9"/>
    <w:rsid w:val="78E875D7"/>
    <w:rsid w:val="78FD609A"/>
    <w:rsid w:val="79086DAD"/>
    <w:rsid w:val="79D7FD79"/>
    <w:rsid w:val="79EE5BA4"/>
    <w:rsid w:val="7A34058C"/>
    <w:rsid w:val="7A894339"/>
    <w:rsid w:val="7AD284E8"/>
    <w:rsid w:val="7AE9614D"/>
    <w:rsid w:val="7AFF7572"/>
    <w:rsid w:val="7B613DE7"/>
    <w:rsid w:val="7B6C7DFB"/>
    <w:rsid w:val="7BBFBED0"/>
    <w:rsid w:val="7BC3E394"/>
    <w:rsid w:val="7C1F3737"/>
    <w:rsid w:val="7CBFC87B"/>
    <w:rsid w:val="7CFE0F48"/>
    <w:rsid w:val="7D272ABC"/>
    <w:rsid w:val="7D2E22BD"/>
    <w:rsid w:val="7D7EC23E"/>
    <w:rsid w:val="7E8ADEBF"/>
    <w:rsid w:val="7EEA7F7A"/>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9EE20D5"/>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88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eastAsia="黑体" w:asciiTheme="majorAscii" w:hAnsiTheme="majorAscii"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7"/>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qFormat/>
    <w:uiPriority w:val="0"/>
    <w:rPr>
      <w:rFonts w:ascii="宋体" w:hAnsi="Courier New" w:eastAsia="宋体"/>
      <w:sz w:val="21"/>
    </w:r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7"/>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2"/>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eastAsia="黑体" w:asciiTheme="majorAscii" w:hAnsiTheme="majorAscii"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7">
    <w:name w:val="Normal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38">
    <w:name w:val="WPSOffice手动目录 1"/>
    <w:qFormat/>
    <w:uiPriority w:val="0"/>
    <w:pPr>
      <w:ind w:leftChars="0"/>
    </w:pPr>
    <w:rPr>
      <w:rFonts w:asciiTheme="minorHAnsi" w:hAnsiTheme="minorHAnsi" w:eastAsiaTheme="minorEastAsia" w:cstheme="minorBidi"/>
      <w:sz w:val="20"/>
      <w:szCs w:val="20"/>
    </w:rPr>
  </w:style>
  <w:style w:type="paragraph" w:customStyle="1" w:styleId="39">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3</TotalTime>
  <ScaleCrop>false</ScaleCrop>
  <LinksUpToDate>false</LinksUpToDate>
  <CharactersWithSpaces>8692</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user</cp:lastModifiedBy>
  <cp:lastPrinted>2025-08-07T01:34:00Z</cp:lastPrinted>
  <dcterms:modified xsi:type="dcterms:W3CDTF">2026-09-10T15:55:31Z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E8ED2D5BA6E84D1EA187C5FE2FCED3F5</vt:lpwstr>
  </property>
</Properties>
</file>