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EADAA7">
      <w:bookmarkStart w:id="0" w:name="_Toc15377425"/>
      <w:bookmarkStart w:id="1" w:name="_Toc15377193"/>
      <w:bookmarkStart w:id="2" w:name="_Toc15396475"/>
      <w:bookmarkStart w:id="3" w:name="_Toc15396597"/>
      <w:bookmarkStart w:id="4" w:name="_Toc15378441"/>
      <w:bookmarkStart w:id="5" w:name="_Toc15306267"/>
    </w:p>
    <w:p w14:paraId="0154B8B0">
      <w:pPr>
        <w:pStyle w:val="8"/>
        <w:spacing w:before="93"/>
        <w:jc w:val="center"/>
        <w:rPr>
          <w:rFonts w:ascii="Times New Roman" w:eastAsia="方正小标宋简体"/>
          <w:kern w:val="2"/>
          <w:sz w:val="44"/>
          <w:szCs w:val="44"/>
        </w:rPr>
      </w:pPr>
    </w:p>
    <w:p w14:paraId="46E291B1">
      <w:pPr>
        <w:pStyle w:val="8"/>
        <w:spacing w:before="93"/>
        <w:jc w:val="center"/>
        <w:rPr>
          <w:rFonts w:ascii="Times New Roman" w:eastAsia="方正小标宋简体"/>
          <w:kern w:val="2"/>
          <w:sz w:val="44"/>
          <w:szCs w:val="44"/>
        </w:rPr>
      </w:pPr>
    </w:p>
    <w:p w14:paraId="5728C407">
      <w:pPr>
        <w:pStyle w:val="8"/>
        <w:spacing w:before="93"/>
        <w:jc w:val="center"/>
        <w:rPr>
          <w:rFonts w:ascii="Times New Roman" w:eastAsia="方正小标宋简体"/>
          <w:kern w:val="2"/>
          <w:sz w:val="44"/>
          <w:szCs w:val="44"/>
        </w:rPr>
      </w:pPr>
    </w:p>
    <w:p w14:paraId="61843EAF">
      <w:pPr>
        <w:pStyle w:val="8"/>
        <w:spacing w:before="93"/>
        <w:jc w:val="center"/>
        <w:rPr>
          <w:rFonts w:ascii="Times New Roman" w:eastAsia="方正小标宋简体"/>
          <w:kern w:val="2"/>
          <w:sz w:val="44"/>
          <w:szCs w:val="44"/>
        </w:rPr>
      </w:pPr>
    </w:p>
    <w:bookmarkEnd w:id="0"/>
    <w:bookmarkEnd w:id="1"/>
    <w:bookmarkEnd w:id="2"/>
    <w:bookmarkEnd w:id="3"/>
    <w:bookmarkEnd w:id="4"/>
    <w:p w14:paraId="15049106">
      <w:pPr>
        <w:pStyle w:val="8"/>
        <w:spacing w:before="93"/>
        <w:jc w:val="center"/>
        <w:rPr>
          <w:rFonts w:hint="default" w:ascii="Times New Roman" w:hAnsi="Times New Roman" w:eastAsia="方正小标宋_GBK" w:cs="Times New Roman"/>
          <w:kern w:val="2"/>
          <w:sz w:val="52"/>
          <w:szCs w:val="52"/>
        </w:rPr>
      </w:pPr>
      <w:bookmarkStart w:id="6" w:name="_Toc15377194"/>
      <w:bookmarkStart w:id="7" w:name="_Toc15396476"/>
      <w:bookmarkStart w:id="8" w:name="_Toc15378442"/>
      <w:bookmarkStart w:id="9" w:name="_Toc15377426"/>
      <w:bookmarkStart w:id="10" w:name="_Toc15396598"/>
      <w:r>
        <w:rPr>
          <w:rFonts w:hint="default" w:ascii="Times New Roman" w:hAnsi="Times New Roman" w:eastAsia="方正小标宋_GBK" w:cs="Times New Roman"/>
          <w:kern w:val="2"/>
          <w:sz w:val="52"/>
          <w:szCs w:val="52"/>
        </w:rPr>
        <w:t>2025年度</w:t>
      </w:r>
    </w:p>
    <w:p w14:paraId="344DBC31">
      <w:pPr>
        <w:pStyle w:val="8"/>
        <w:spacing w:before="93"/>
        <w:jc w:val="center"/>
        <w:rPr>
          <w:rFonts w:hint="default" w:ascii="Times New Roman" w:hAnsi="Times New Roman" w:eastAsia="方正小标宋_GBK" w:cs="Times New Roman"/>
          <w:kern w:val="2"/>
          <w:sz w:val="52"/>
          <w:szCs w:val="52"/>
          <w:lang w:eastAsia="zh-CN"/>
        </w:rPr>
      </w:pPr>
      <w:r>
        <w:rPr>
          <w:rFonts w:hint="default" w:ascii="Times New Roman" w:hAnsi="Times New Roman" w:eastAsia="方正小标宋_GBK" w:cs="Times New Roman"/>
          <w:kern w:val="2"/>
          <w:sz w:val="52"/>
          <w:szCs w:val="52"/>
        </w:rPr>
        <w:t>攀枝花市</w:t>
      </w:r>
      <w:bookmarkEnd w:id="5"/>
      <w:bookmarkStart w:id="11" w:name="_Toc15306268"/>
      <w:r>
        <w:rPr>
          <w:rFonts w:hint="default" w:ascii="Times New Roman" w:hAnsi="Times New Roman" w:eastAsia="方正小标宋_GBK" w:cs="Times New Roman"/>
          <w:kern w:val="2"/>
          <w:sz w:val="52"/>
          <w:szCs w:val="52"/>
          <w:lang w:eastAsia="zh-CN"/>
        </w:rPr>
        <w:t>社会科学界联合会</w:t>
      </w:r>
    </w:p>
    <w:p w14:paraId="34C298FE">
      <w:pPr>
        <w:pStyle w:val="8"/>
        <w:spacing w:before="93"/>
        <w:jc w:val="center"/>
        <w:rPr>
          <w:rFonts w:hint="default" w:ascii="Times New Roman" w:hAnsi="Times New Roman" w:eastAsia="方正小标宋_GBK" w:cs="Times New Roman"/>
          <w:kern w:val="2"/>
          <w:sz w:val="52"/>
          <w:szCs w:val="52"/>
          <w:lang w:eastAsia="zh-CN"/>
        </w:rPr>
      </w:pPr>
      <w:r>
        <w:rPr>
          <w:rFonts w:hint="eastAsia" w:ascii="Times New Roman" w:eastAsia="方正小标宋_GBK" w:cs="Times New Roman"/>
          <w:kern w:val="2"/>
          <w:sz w:val="52"/>
          <w:szCs w:val="52"/>
          <w:lang w:eastAsia="zh-CN"/>
        </w:rPr>
        <w:t>单位</w:t>
      </w:r>
      <w:bookmarkStart w:id="68" w:name="_GoBack"/>
      <w:bookmarkEnd w:id="68"/>
      <w:r>
        <w:rPr>
          <w:rFonts w:hint="default" w:ascii="Times New Roman" w:hAnsi="Times New Roman" w:eastAsia="方正小标宋_GBK" w:cs="Times New Roman"/>
          <w:kern w:val="2"/>
          <w:sz w:val="52"/>
          <w:szCs w:val="52"/>
        </w:rPr>
        <w:t>决算</w:t>
      </w:r>
      <w:bookmarkEnd w:id="6"/>
      <w:bookmarkEnd w:id="7"/>
      <w:bookmarkEnd w:id="8"/>
      <w:bookmarkEnd w:id="9"/>
      <w:bookmarkEnd w:id="10"/>
      <w:bookmarkEnd w:id="11"/>
      <w:r>
        <w:rPr>
          <w:rFonts w:hint="default" w:ascii="Times New Roman" w:hAnsi="Times New Roman" w:eastAsia="方正小标宋_GBK" w:cs="Times New Roman"/>
          <w:kern w:val="2"/>
          <w:sz w:val="52"/>
          <w:szCs w:val="52"/>
          <w:lang w:eastAsia="zh-CN"/>
        </w:rPr>
        <w:t>公开编制说明</w:t>
      </w:r>
    </w:p>
    <w:p w14:paraId="56ED9194">
      <w:pPr>
        <w:widowControl/>
        <w:jc w:val="both"/>
        <w:rPr>
          <w:rFonts w:eastAsia="黑体"/>
          <w:sz w:val="48"/>
          <w:szCs w:val="48"/>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14:paraId="4DC4C178">
      <w:pPr>
        <w:widowControl/>
        <w:jc w:val="center"/>
        <w:rPr>
          <w:rFonts w:eastAsia="黑体"/>
          <w:sz w:val="48"/>
          <w:szCs w:val="48"/>
        </w:rPr>
      </w:pPr>
      <w:r>
        <w:rPr>
          <w:rFonts w:hint="eastAsia" w:eastAsia="黑体"/>
          <w:sz w:val="48"/>
          <w:szCs w:val="48"/>
        </w:rPr>
        <w:t>目录</w:t>
      </w:r>
    </w:p>
    <w:p w14:paraId="2FB39CC6">
      <w:pPr>
        <w:widowControl/>
        <w:jc w:val="center"/>
        <w:rPr>
          <w:rFonts w:eastAsia="黑体" w:cstheme="minorBidi"/>
          <w:sz w:val="28"/>
          <w:szCs w:val="28"/>
        </w:rPr>
      </w:pPr>
    </w:p>
    <w:p w14:paraId="0E963594">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公开时间：2026年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10</w:t>
      </w:r>
      <w:r>
        <w:rPr>
          <w:rFonts w:hint="eastAsia" w:ascii="Times New Roman" w:hAnsi="Times New Roman" w:eastAsia="仿宋_GB2312" w:cs="仿宋_GB2312"/>
          <w:sz w:val="32"/>
          <w:szCs w:val="32"/>
        </w:rPr>
        <w:t>日</w:t>
      </w:r>
    </w:p>
    <w:p w14:paraId="54AB742B"/>
    <w:p w14:paraId="2601E985">
      <w:pPr>
        <w:pStyle w:val="13"/>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第一部分 部门概况</w:t>
      </w:r>
      <w:r>
        <w:rPr>
          <w:rFonts w:hint="eastAsia" w:ascii="Times New Roman" w:hAnsi="Times New Roman" w:eastAsia="黑体" w:cs="黑体"/>
          <w:sz w:val="32"/>
          <w:szCs w:val="32"/>
          <w:lang w:val="en-US" w:eastAsia="zh-CN"/>
        </w:rPr>
        <w:tab/>
      </w:r>
      <w:r>
        <w:rPr>
          <w:rFonts w:hint="eastAsia" w:ascii="Times New Roman" w:hAnsi="Times New Roman" w:eastAsia="黑体" w:cs="黑体"/>
          <w:sz w:val="32"/>
          <w:szCs w:val="32"/>
          <w:lang w:val="en-US" w:eastAsia="zh-CN"/>
        </w:rPr>
        <w:t>1</w:t>
      </w:r>
    </w:p>
    <w:p w14:paraId="6668DC60">
      <w:pPr>
        <w:pStyle w:val="14"/>
        <w:keepNext w:val="0"/>
        <w:keepLines w:val="0"/>
        <w:pageBreakBefore w:val="0"/>
        <w:widowControl w:val="0"/>
        <w:tabs>
          <w:tab w:val="right" w:leader="middleDot" w:pos="8296"/>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eastAsia="仿宋_GB2312" w:cs="仿宋_GB2312"/>
          <w:sz w:val="32"/>
          <w:szCs w:val="32"/>
          <w:lang w:val="en-US" w:eastAsia="zh-CN"/>
        </w:rPr>
      </w:pPr>
      <w:r>
        <w:rPr>
          <w:rFonts w:hint="eastAsia" w:eastAsia="仿宋_GB2312" w:cs="仿宋_GB2312"/>
          <w:sz w:val="32"/>
          <w:szCs w:val="32"/>
        </w:rPr>
        <w:t>一、部门职责</w:t>
      </w:r>
      <w:r>
        <w:rPr>
          <w:rFonts w:hint="eastAsia" w:eastAsia="仿宋_GB2312" w:cs="仿宋_GB2312"/>
          <w:sz w:val="32"/>
          <w:szCs w:val="32"/>
          <w:lang w:val="en-US" w:eastAsia="zh-CN"/>
        </w:rPr>
        <w:tab/>
      </w:r>
      <w:r>
        <w:rPr>
          <w:rFonts w:hint="eastAsia" w:eastAsia="仿宋_GB2312" w:cs="仿宋_GB2312"/>
          <w:sz w:val="32"/>
          <w:szCs w:val="32"/>
          <w:lang w:val="en-US" w:eastAsia="zh-CN"/>
        </w:rPr>
        <w:t>1</w:t>
      </w:r>
    </w:p>
    <w:p w14:paraId="40879322">
      <w:pPr>
        <w:pStyle w:val="14"/>
        <w:keepNext w:val="0"/>
        <w:keepLines w:val="0"/>
        <w:pageBreakBefore w:val="0"/>
        <w:widowControl w:val="0"/>
        <w:tabs>
          <w:tab w:val="right" w:leader="middleDot" w:pos="8296"/>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eastAsia="仿宋_GB2312" w:cs="仿宋_GB2312"/>
          <w:sz w:val="32"/>
          <w:szCs w:val="32"/>
          <w:lang w:val="en-US" w:eastAsia="zh-CN"/>
        </w:rPr>
      </w:pPr>
      <w:r>
        <w:rPr>
          <w:rFonts w:hint="eastAsia" w:eastAsia="仿宋_GB2312" w:cs="仿宋_GB2312"/>
          <w:sz w:val="32"/>
          <w:szCs w:val="32"/>
        </w:rPr>
        <w:t>二、机构设置</w:t>
      </w:r>
      <w:r>
        <w:rPr>
          <w:rFonts w:hint="eastAsia" w:eastAsia="仿宋_GB2312" w:cs="仿宋_GB2312"/>
          <w:sz w:val="32"/>
          <w:szCs w:val="32"/>
          <w:lang w:val="en-US" w:eastAsia="zh-CN"/>
        </w:rPr>
        <w:tab/>
      </w:r>
      <w:r>
        <w:rPr>
          <w:rFonts w:hint="eastAsia" w:eastAsia="仿宋_GB2312" w:cs="仿宋_GB2312"/>
          <w:sz w:val="32"/>
          <w:szCs w:val="32"/>
          <w:lang w:val="en-US" w:eastAsia="zh-CN"/>
        </w:rPr>
        <w:t>2</w:t>
      </w:r>
    </w:p>
    <w:p w14:paraId="49C2F4B9">
      <w:pPr>
        <w:pStyle w:val="13"/>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第二部分 2025年度部门决算情况说明</w:t>
      </w:r>
      <w:r>
        <w:rPr>
          <w:rFonts w:hint="eastAsia" w:ascii="Times New Roman" w:hAnsi="Times New Roman" w:eastAsia="黑体" w:cs="黑体"/>
          <w:sz w:val="32"/>
          <w:szCs w:val="32"/>
          <w:lang w:val="en-US" w:eastAsia="zh-CN"/>
        </w:rPr>
        <w:tab/>
      </w:r>
      <w:r>
        <w:rPr>
          <w:rFonts w:hint="eastAsia" w:ascii="Times New Roman" w:hAnsi="Times New Roman" w:eastAsia="黑体" w:cs="黑体"/>
          <w:sz w:val="32"/>
          <w:szCs w:val="32"/>
          <w:lang w:val="en-US" w:eastAsia="zh-CN"/>
        </w:rPr>
        <w:t>3</w:t>
      </w:r>
    </w:p>
    <w:p w14:paraId="5031C071">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一、收入支出决算总体情况说明</w:t>
      </w:r>
      <w:r>
        <w:rPr>
          <w:rFonts w:hint="eastAsia" w:eastAsia="仿宋_GB2312" w:cs="仿宋_GB2312"/>
          <w:sz w:val="32"/>
          <w:szCs w:val="32"/>
          <w:lang w:val="en-US" w:eastAsia="zh-CN"/>
        </w:rPr>
        <w:tab/>
      </w:r>
      <w:r>
        <w:rPr>
          <w:rFonts w:hint="eastAsia" w:eastAsia="仿宋_GB2312" w:cs="仿宋_GB2312"/>
          <w:sz w:val="32"/>
          <w:szCs w:val="32"/>
          <w:lang w:val="en-US" w:eastAsia="zh-CN"/>
        </w:rPr>
        <w:t>3</w:t>
      </w:r>
    </w:p>
    <w:p w14:paraId="2B3DC684">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二、收入决算情况说明</w:t>
      </w:r>
      <w:r>
        <w:rPr>
          <w:rFonts w:hint="eastAsia" w:eastAsia="仿宋_GB2312" w:cs="仿宋_GB2312"/>
          <w:sz w:val="32"/>
          <w:szCs w:val="32"/>
          <w:lang w:val="en-US" w:eastAsia="zh-CN"/>
        </w:rPr>
        <w:tab/>
      </w:r>
      <w:r>
        <w:rPr>
          <w:rFonts w:hint="eastAsia" w:eastAsia="仿宋_GB2312" w:cs="仿宋_GB2312"/>
          <w:sz w:val="32"/>
          <w:szCs w:val="32"/>
          <w:lang w:val="en-US" w:eastAsia="zh-CN"/>
        </w:rPr>
        <w:t>3</w:t>
      </w:r>
    </w:p>
    <w:p w14:paraId="6807A23A">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三、支出决算情况说明</w:t>
      </w:r>
      <w:r>
        <w:rPr>
          <w:rFonts w:hint="eastAsia" w:eastAsia="仿宋_GB2312" w:cs="仿宋_GB2312"/>
          <w:sz w:val="32"/>
          <w:szCs w:val="32"/>
          <w:lang w:val="en-US" w:eastAsia="zh-CN"/>
        </w:rPr>
        <w:tab/>
      </w:r>
      <w:r>
        <w:rPr>
          <w:rFonts w:hint="eastAsia" w:eastAsia="仿宋_GB2312" w:cs="仿宋_GB2312"/>
          <w:sz w:val="32"/>
          <w:szCs w:val="32"/>
          <w:lang w:val="en-US" w:eastAsia="zh-CN"/>
        </w:rPr>
        <w:t>4</w:t>
      </w:r>
    </w:p>
    <w:p w14:paraId="2E0FA0F1">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四、财政拨款收入支出决算总体情况说明</w:t>
      </w:r>
      <w:r>
        <w:rPr>
          <w:rFonts w:hint="eastAsia" w:eastAsia="仿宋_GB2312" w:cs="仿宋_GB2312"/>
          <w:sz w:val="32"/>
          <w:szCs w:val="32"/>
          <w:lang w:val="en-US" w:eastAsia="zh-CN"/>
        </w:rPr>
        <w:tab/>
      </w:r>
      <w:r>
        <w:rPr>
          <w:rFonts w:hint="eastAsia" w:eastAsia="仿宋_GB2312" w:cs="仿宋_GB2312"/>
          <w:sz w:val="32"/>
          <w:szCs w:val="32"/>
          <w:lang w:val="en-US" w:eastAsia="zh-CN"/>
        </w:rPr>
        <w:t>5</w:t>
      </w:r>
    </w:p>
    <w:p w14:paraId="08BF633F">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五、一般公共预算财政拨款支出决算情况说明</w:t>
      </w:r>
      <w:r>
        <w:rPr>
          <w:rFonts w:hint="eastAsia" w:eastAsia="仿宋_GB2312" w:cs="仿宋_GB2312"/>
          <w:sz w:val="32"/>
          <w:szCs w:val="32"/>
          <w:lang w:val="en-US" w:eastAsia="zh-CN"/>
        </w:rPr>
        <w:tab/>
      </w:r>
      <w:r>
        <w:rPr>
          <w:rFonts w:hint="eastAsia" w:eastAsia="仿宋_GB2312" w:cs="仿宋_GB2312"/>
          <w:sz w:val="32"/>
          <w:szCs w:val="32"/>
          <w:lang w:val="en-US" w:eastAsia="zh-CN"/>
        </w:rPr>
        <w:t>5</w:t>
      </w:r>
    </w:p>
    <w:p w14:paraId="375EDC71">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六、一般公共预算财政拨款基本支出决算情况说明</w:t>
      </w:r>
      <w:r>
        <w:rPr>
          <w:rFonts w:hint="eastAsia" w:eastAsia="仿宋_GB2312" w:cs="仿宋_GB2312"/>
          <w:sz w:val="32"/>
          <w:szCs w:val="32"/>
          <w:lang w:val="en-US" w:eastAsia="zh-CN"/>
        </w:rPr>
        <w:tab/>
      </w:r>
      <w:r>
        <w:rPr>
          <w:rFonts w:hint="eastAsia" w:eastAsia="仿宋_GB2312" w:cs="仿宋_GB2312"/>
          <w:sz w:val="32"/>
          <w:szCs w:val="32"/>
          <w:lang w:val="en-US" w:eastAsia="zh-CN"/>
        </w:rPr>
        <w:t>8</w:t>
      </w:r>
    </w:p>
    <w:p w14:paraId="1E8FDB79">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七、财政拨款“三公”经费支出决算情况说明</w:t>
      </w:r>
      <w:r>
        <w:rPr>
          <w:rFonts w:hint="eastAsia" w:eastAsia="仿宋_GB2312" w:cs="仿宋_GB2312"/>
          <w:sz w:val="32"/>
          <w:szCs w:val="32"/>
          <w:lang w:val="en-US" w:eastAsia="zh-CN"/>
        </w:rPr>
        <w:tab/>
      </w:r>
      <w:r>
        <w:rPr>
          <w:rFonts w:hint="eastAsia" w:eastAsia="仿宋_GB2312" w:cs="仿宋_GB2312"/>
          <w:sz w:val="32"/>
          <w:szCs w:val="32"/>
          <w:lang w:val="en-US" w:eastAsia="zh-CN"/>
        </w:rPr>
        <w:t>8</w:t>
      </w:r>
    </w:p>
    <w:p w14:paraId="5D0F49F8">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八、政府性基金预算支出决算情况说明</w:t>
      </w:r>
      <w:r>
        <w:rPr>
          <w:rFonts w:hint="eastAsia" w:eastAsia="仿宋_GB2312" w:cs="仿宋_GB2312"/>
          <w:sz w:val="32"/>
          <w:szCs w:val="32"/>
          <w:lang w:val="en-US" w:eastAsia="zh-CN"/>
        </w:rPr>
        <w:tab/>
      </w:r>
      <w:r>
        <w:rPr>
          <w:rFonts w:hint="eastAsia" w:eastAsia="仿宋_GB2312" w:cs="仿宋_GB2312"/>
          <w:sz w:val="32"/>
          <w:szCs w:val="32"/>
          <w:lang w:val="en-US" w:eastAsia="zh-CN"/>
        </w:rPr>
        <w:t>10</w:t>
      </w:r>
    </w:p>
    <w:p w14:paraId="48D7B30A">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九、国有资本经营预算支出决算情况说明</w:t>
      </w:r>
      <w:r>
        <w:rPr>
          <w:rFonts w:hint="eastAsia" w:eastAsia="仿宋_GB2312" w:cs="仿宋_GB2312"/>
          <w:sz w:val="32"/>
          <w:szCs w:val="32"/>
          <w:lang w:val="en-US" w:eastAsia="zh-CN"/>
        </w:rPr>
        <w:tab/>
      </w:r>
      <w:r>
        <w:rPr>
          <w:rFonts w:hint="eastAsia" w:eastAsia="仿宋_GB2312" w:cs="仿宋_GB2312"/>
          <w:sz w:val="32"/>
          <w:szCs w:val="32"/>
          <w:lang w:val="en-US" w:eastAsia="zh-CN"/>
        </w:rPr>
        <w:t>10</w:t>
      </w:r>
    </w:p>
    <w:p w14:paraId="283E8F50">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十、其他重要事项的情况说明</w:t>
      </w:r>
      <w:r>
        <w:rPr>
          <w:rFonts w:hint="eastAsia" w:eastAsia="仿宋_GB2312" w:cs="仿宋_GB2312"/>
          <w:sz w:val="32"/>
          <w:szCs w:val="32"/>
          <w:lang w:val="en-US" w:eastAsia="zh-CN"/>
        </w:rPr>
        <w:tab/>
      </w:r>
      <w:r>
        <w:rPr>
          <w:rFonts w:hint="eastAsia" w:eastAsia="仿宋_GB2312" w:cs="仿宋_GB2312"/>
          <w:sz w:val="32"/>
          <w:szCs w:val="32"/>
          <w:lang w:val="en-US" w:eastAsia="zh-CN"/>
        </w:rPr>
        <w:t>10</w:t>
      </w:r>
    </w:p>
    <w:p w14:paraId="3EBC4D8D">
      <w:pPr>
        <w:pStyle w:val="13"/>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第三部分 名词解释</w:t>
      </w:r>
      <w:r>
        <w:rPr>
          <w:rFonts w:hint="eastAsia" w:ascii="Times New Roman" w:hAnsi="Times New Roman" w:eastAsia="黑体" w:cs="黑体"/>
          <w:sz w:val="32"/>
          <w:szCs w:val="32"/>
          <w:lang w:val="en-US" w:eastAsia="zh-CN"/>
        </w:rPr>
        <w:tab/>
      </w:r>
      <w:r>
        <w:rPr>
          <w:rFonts w:hint="eastAsia" w:ascii="Times New Roman" w:hAnsi="Times New Roman" w:eastAsia="黑体" w:cs="黑体"/>
          <w:sz w:val="32"/>
          <w:szCs w:val="32"/>
          <w:lang w:val="en-US" w:eastAsia="zh-CN"/>
        </w:rPr>
        <w:t>12</w:t>
      </w:r>
    </w:p>
    <w:p w14:paraId="77292325">
      <w:pPr>
        <w:pStyle w:val="13"/>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第四部分 附件</w:t>
      </w:r>
      <w:r>
        <w:rPr>
          <w:rFonts w:hint="eastAsia" w:ascii="Times New Roman" w:hAnsi="Times New Roman" w:eastAsia="黑体" w:cs="黑体"/>
          <w:sz w:val="32"/>
          <w:szCs w:val="32"/>
          <w:lang w:val="en-US" w:eastAsia="zh-CN"/>
        </w:rPr>
        <w:tab/>
      </w:r>
      <w:r>
        <w:rPr>
          <w:rFonts w:hint="eastAsia" w:ascii="Times New Roman" w:hAnsi="Times New Roman" w:eastAsia="黑体" w:cs="黑体"/>
          <w:sz w:val="32"/>
          <w:szCs w:val="32"/>
          <w:lang w:val="en-US" w:eastAsia="zh-CN"/>
        </w:rPr>
        <w:t>15</w:t>
      </w:r>
    </w:p>
    <w:p w14:paraId="1BFC3644">
      <w:pPr>
        <w:pStyle w:val="13"/>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第五部分 附表</w:t>
      </w:r>
      <w:r>
        <w:rPr>
          <w:rFonts w:hint="eastAsia" w:ascii="Times New Roman" w:hAnsi="Times New Roman" w:eastAsia="黑体" w:cs="黑体"/>
          <w:sz w:val="32"/>
          <w:szCs w:val="32"/>
          <w:lang w:val="en-US" w:eastAsia="zh-CN"/>
        </w:rPr>
        <w:tab/>
      </w:r>
      <w:r>
        <w:rPr>
          <w:rFonts w:hint="eastAsia" w:ascii="Times New Roman" w:hAnsi="Times New Roman" w:eastAsia="黑体" w:cs="黑体"/>
          <w:sz w:val="32"/>
          <w:szCs w:val="32"/>
          <w:lang w:val="en-US" w:eastAsia="zh-CN"/>
        </w:rPr>
        <w:t>16</w:t>
      </w:r>
    </w:p>
    <w:p w14:paraId="16B60841">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一、收入支出决算总表</w:t>
      </w:r>
      <w:r>
        <w:rPr>
          <w:rFonts w:hint="eastAsia" w:eastAsia="仿宋_GB2312" w:cs="仿宋_GB2312"/>
          <w:sz w:val="32"/>
          <w:szCs w:val="32"/>
          <w:lang w:val="en-US" w:eastAsia="zh-CN"/>
        </w:rPr>
        <w:tab/>
      </w:r>
      <w:r>
        <w:rPr>
          <w:rFonts w:hint="eastAsia" w:eastAsia="仿宋_GB2312" w:cs="仿宋_GB2312"/>
          <w:sz w:val="32"/>
          <w:szCs w:val="32"/>
          <w:lang w:val="en-US" w:eastAsia="zh-CN"/>
        </w:rPr>
        <w:t>16</w:t>
      </w:r>
    </w:p>
    <w:p w14:paraId="0D40D733">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二、收入决算表</w:t>
      </w:r>
      <w:r>
        <w:rPr>
          <w:rFonts w:hint="eastAsia" w:eastAsia="仿宋_GB2312" w:cs="仿宋_GB2312"/>
          <w:sz w:val="32"/>
          <w:szCs w:val="32"/>
          <w:lang w:val="en-US" w:eastAsia="zh-CN"/>
        </w:rPr>
        <w:tab/>
      </w:r>
      <w:r>
        <w:rPr>
          <w:rFonts w:hint="eastAsia" w:eastAsia="仿宋_GB2312" w:cs="仿宋_GB2312"/>
          <w:sz w:val="32"/>
          <w:szCs w:val="32"/>
          <w:lang w:val="en-US" w:eastAsia="zh-CN"/>
        </w:rPr>
        <w:t>16</w:t>
      </w:r>
    </w:p>
    <w:p w14:paraId="3EB1406C">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三、支出决算表</w:t>
      </w:r>
      <w:r>
        <w:rPr>
          <w:rFonts w:hint="eastAsia" w:eastAsia="仿宋_GB2312" w:cs="仿宋_GB2312"/>
          <w:sz w:val="32"/>
          <w:szCs w:val="32"/>
          <w:lang w:val="en-US" w:eastAsia="zh-CN"/>
        </w:rPr>
        <w:tab/>
      </w:r>
      <w:r>
        <w:rPr>
          <w:rFonts w:hint="eastAsia" w:eastAsia="仿宋_GB2312" w:cs="仿宋_GB2312"/>
          <w:sz w:val="32"/>
          <w:szCs w:val="32"/>
          <w:lang w:val="en-US" w:eastAsia="zh-CN"/>
        </w:rPr>
        <w:t>16</w:t>
      </w:r>
    </w:p>
    <w:p w14:paraId="4EA46229">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四、财政拨款收入支出决算总表</w:t>
      </w:r>
      <w:r>
        <w:rPr>
          <w:rFonts w:hint="eastAsia" w:eastAsia="仿宋_GB2312" w:cs="仿宋_GB2312"/>
          <w:sz w:val="32"/>
          <w:szCs w:val="32"/>
          <w:lang w:val="en-US" w:eastAsia="zh-CN"/>
        </w:rPr>
        <w:tab/>
      </w:r>
      <w:r>
        <w:rPr>
          <w:rFonts w:hint="eastAsia" w:eastAsia="仿宋_GB2312" w:cs="仿宋_GB2312"/>
          <w:sz w:val="32"/>
          <w:szCs w:val="32"/>
          <w:lang w:val="en-US" w:eastAsia="zh-CN"/>
        </w:rPr>
        <w:t>16</w:t>
      </w:r>
    </w:p>
    <w:p w14:paraId="3691299B">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五、财政拨款支出决算明细表</w:t>
      </w:r>
      <w:r>
        <w:rPr>
          <w:rFonts w:hint="eastAsia" w:eastAsia="仿宋_GB2312" w:cs="仿宋_GB2312"/>
          <w:sz w:val="32"/>
          <w:szCs w:val="32"/>
          <w:lang w:val="en-US" w:eastAsia="zh-CN"/>
        </w:rPr>
        <w:tab/>
      </w:r>
      <w:r>
        <w:rPr>
          <w:rFonts w:hint="eastAsia" w:eastAsia="仿宋_GB2312" w:cs="仿宋_GB2312"/>
          <w:sz w:val="32"/>
          <w:szCs w:val="32"/>
          <w:lang w:val="en-US" w:eastAsia="zh-CN"/>
        </w:rPr>
        <w:t>16</w:t>
      </w:r>
    </w:p>
    <w:p w14:paraId="7D126BC4">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六、一般公共预算财政拨款支出决算表</w:t>
      </w:r>
      <w:r>
        <w:rPr>
          <w:rFonts w:hint="eastAsia" w:eastAsia="仿宋_GB2312" w:cs="仿宋_GB2312"/>
          <w:sz w:val="32"/>
          <w:szCs w:val="32"/>
          <w:lang w:val="en-US" w:eastAsia="zh-CN"/>
        </w:rPr>
        <w:tab/>
      </w:r>
      <w:r>
        <w:rPr>
          <w:rFonts w:hint="eastAsia" w:eastAsia="仿宋_GB2312" w:cs="仿宋_GB2312"/>
          <w:sz w:val="32"/>
          <w:szCs w:val="32"/>
          <w:lang w:val="en-US" w:eastAsia="zh-CN"/>
        </w:rPr>
        <w:t>16</w:t>
      </w:r>
    </w:p>
    <w:p w14:paraId="57D910F0">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七、一般公共预算财政拨款支出决算明细表</w:t>
      </w:r>
      <w:r>
        <w:rPr>
          <w:rFonts w:hint="eastAsia" w:eastAsia="仿宋_GB2312" w:cs="仿宋_GB2312"/>
          <w:sz w:val="32"/>
          <w:szCs w:val="32"/>
          <w:lang w:val="en-US" w:eastAsia="zh-CN"/>
        </w:rPr>
        <w:tab/>
      </w:r>
      <w:r>
        <w:rPr>
          <w:rFonts w:hint="eastAsia" w:eastAsia="仿宋_GB2312" w:cs="仿宋_GB2312"/>
          <w:sz w:val="32"/>
          <w:szCs w:val="32"/>
          <w:lang w:val="en-US" w:eastAsia="zh-CN"/>
        </w:rPr>
        <w:t>16</w:t>
      </w:r>
    </w:p>
    <w:p w14:paraId="7F3EB9B3">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八、一般公共预算财政拨款基本支出决算明细表</w:t>
      </w:r>
      <w:r>
        <w:rPr>
          <w:rFonts w:hint="eastAsia" w:eastAsia="仿宋_GB2312" w:cs="仿宋_GB2312"/>
          <w:sz w:val="32"/>
          <w:szCs w:val="32"/>
          <w:lang w:val="en-US" w:eastAsia="zh-CN"/>
        </w:rPr>
        <w:tab/>
      </w:r>
      <w:r>
        <w:rPr>
          <w:rFonts w:hint="eastAsia" w:eastAsia="仿宋_GB2312" w:cs="仿宋_GB2312"/>
          <w:sz w:val="32"/>
          <w:szCs w:val="32"/>
          <w:lang w:val="en-US" w:eastAsia="zh-CN"/>
        </w:rPr>
        <w:t>16</w:t>
      </w:r>
    </w:p>
    <w:p w14:paraId="105B6E15">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九、一般公共预算财政拨款项目支出决算表</w:t>
      </w:r>
      <w:r>
        <w:rPr>
          <w:rFonts w:hint="eastAsia" w:eastAsia="仿宋_GB2312" w:cs="仿宋_GB2312"/>
          <w:sz w:val="32"/>
          <w:szCs w:val="32"/>
          <w:lang w:val="en-US" w:eastAsia="zh-CN"/>
        </w:rPr>
        <w:tab/>
      </w:r>
      <w:r>
        <w:rPr>
          <w:rFonts w:hint="eastAsia" w:eastAsia="仿宋_GB2312" w:cs="仿宋_GB2312"/>
          <w:sz w:val="32"/>
          <w:szCs w:val="32"/>
          <w:lang w:val="en-US" w:eastAsia="zh-CN"/>
        </w:rPr>
        <w:t>16</w:t>
      </w:r>
    </w:p>
    <w:p w14:paraId="29449729">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十、政府性基金预算财政拨款收入支出决算表</w:t>
      </w:r>
      <w:r>
        <w:rPr>
          <w:rFonts w:hint="eastAsia" w:eastAsia="仿宋_GB2312" w:cs="仿宋_GB2312"/>
          <w:sz w:val="32"/>
          <w:szCs w:val="32"/>
          <w:lang w:val="en-US" w:eastAsia="zh-CN"/>
        </w:rPr>
        <w:tab/>
      </w:r>
      <w:r>
        <w:rPr>
          <w:rFonts w:hint="eastAsia" w:eastAsia="仿宋_GB2312" w:cs="仿宋_GB2312"/>
          <w:sz w:val="32"/>
          <w:szCs w:val="32"/>
          <w:lang w:val="en-US" w:eastAsia="zh-CN"/>
        </w:rPr>
        <w:t>16</w:t>
      </w:r>
    </w:p>
    <w:p w14:paraId="5BF7E80A">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十一、国有资本经营预算财政拨款收入支出决算表</w:t>
      </w:r>
      <w:r>
        <w:rPr>
          <w:rFonts w:hint="eastAsia" w:eastAsia="仿宋_GB2312" w:cs="仿宋_GB2312"/>
          <w:sz w:val="32"/>
          <w:szCs w:val="32"/>
          <w:lang w:val="en-US" w:eastAsia="zh-CN"/>
        </w:rPr>
        <w:tab/>
      </w:r>
      <w:r>
        <w:rPr>
          <w:rFonts w:hint="eastAsia" w:eastAsia="仿宋_GB2312" w:cs="仿宋_GB2312"/>
          <w:sz w:val="32"/>
          <w:szCs w:val="32"/>
          <w:lang w:val="en-US" w:eastAsia="zh-CN"/>
        </w:rPr>
        <w:t>16</w:t>
      </w:r>
    </w:p>
    <w:p w14:paraId="6CBDB791">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十二、国有资本经营预算财政拨款支出决算表</w:t>
      </w:r>
      <w:r>
        <w:rPr>
          <w:rFonts w:hint="eastAsia" w:eastAsia="仿宋_GB2312" w:cs="仿宋_GB2312"/>
          <w:sz w:val="32"/>
          <w:szCs w:val="32"/>
          <w:lang w:val="en-US" w:eastAsia="zh-CN"/>
        </w:rPr>
        <w:tab/>
      </w:r>
      <w:r>
        <w:rPr>
          <w:rFonts w:hint="eastAsia" w:eastAsia="仿宋_GB2312" w:cs="仿宋_GB2312"/>
          <w:sz w:val="32"/>
          <w:szCs w:val="32"/>
          <w:lang w:val="en-US" w:eastAsia="zh-CN"/>
        </w:rPr>
        <w:t>16</w:t>
      </w:r>
    </w:p>
    <w:p w14:paraId="04CBEEF3">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十三、财政拨款“三公”经费支出决算表</w:t>
      </w:r>
      <w:r>
        <w:rPr>
          <w:rFonts w:hint="eastAsia" w:eastAsia="仿宋_GB2312" w:cs="仿宋_GB2312"/>
          <w:sz w:val="32"/>
          <w:szCs w:val="32"/>
          <w:lang w:val="en-US" w:eastAsia="zh-CN"/>
        </w:rPr>
        <w:tab/>
      </w:r>
      <w:r>
        <w:rPr>
          <w:rFonts w:hint="eastAsia" w:eastAsia="仿宋_GB2312" w:cs="仿宋_GB2312"/>
          <w:sz w:val="32"/>
          <w:szCs w:val="32"/>
          <w:lang w:val="en-US" w:eastAsia="zh-CN"/>
        </w:rPr>
        <w:t>16</w:t>
      </w:r>
    </w:p>
    <w:p w14:paraId="02593656">
      <w:pPr>
        <w:pStyle w:val="5"/>
        <w:ind w:left="1676" w:leftChars="0" w:firstLine="419" w:firstLineChars="0"/>
        <w:jc w:val="center"/>
        <w:rPr>
          <w:rFonts w:hint="eastAsia" w:eastAsia="方正小标宋简体" w:cs="方正小标宋简体"/>
          <w:b w:val="0"/>
        </w:rPr>
      </w:pPr>
      <w:bookmarkStart w:id="12" w:name="_Toc15396599"/>
      <w:bookmarkStart w:id="13" w:name="_Toc15377196"/>
    </w:p>
    <w:p w14:paraId="6393D22B">
      <w:pPr>
        <w:rPr>
          <w:rFonts w:hint="eastAsia"/>
        </w:rPr>
        <w:sectPr>
          <w:footerReference r:id="rId6" w:type="first"/>
          <w:footerReference r:id="rId5" w:type="default"/>
          <w:pgSz w:w="11906" w:h="16838"/>
          <w:pgMar w:top="1440" w:right="1800" w:bottom="1440" w:left="1800" w:header="851" w:footer="992" w:gutter="0"/>
          <w:pgNumType w:start="1"/>
          <w:cols w:space="425" w:num="1"/>
          <w:docGrid w:type="lines" w:linePitch="312" w:charSpace="0"/>
        </w:sectPr>
      </w:pPr>
    </w:p>
    <w:p w14:paraId="087D36B0">
      <w:pPr>
        <w:pStyle w:val="5"/>
        <w:jc w:val="center"/>
        <w:rPr>
          <w:rStyle w:val="28"/>
          <w:rFonts w:eastAsia="方正小标宋简体" w:cs="方正小标宋简体"/>
          <w:b/>
          <w:bCs w:val="0"/>
        </w:rPr>
      </w:pPr>
      <w:r>
        <w:rPr>
          <w:rFonts w:hint="eastAsia" w:eastAsia="方正小标宋简体" w:cs="方正小标宋简体"/>
          <w:b w:val="0"/>
        </w:rPr>
        <w:t xml:space="preserve">第一部分  </w:t>
      </w:r>
      <w:r>
        <w:rPr>
          <w:rStyle w:val="28"/>
          <w:rFonts w:hint="eastAsia" w:eastAsia="方正小标宋简体" w:cs="方正小标宋简体"/>
          <w:b w:val="0"/>
          <w:bCs w:val="0"/>
        </w:rPr>
        <w:t>部门概况</w:t>
      </w:r>
      <w:bookmarkEnd w:id="12"/>
      <w:bookmarkEnd w:id="13"/>
    </w:p>
    <w:p w14:paraId="14A2D107">
      <w:pPr>
        <w:widowControl/>
        <w:jc w:val="left"/>
        <w:rPr>
          <w:rFonts w:eastAsia="黑体"/>
          <w:sz w:val="32"/>
          <w:szCs w:val="32"/>
        </w:rPr>
      </w:pPr>
    </w:p>
    <w:p w14:paraId="35D5587F">
      <w:pPr>
        <w:pStyle w:val="6"/>
        <w:rPr>
          <w:rStyle w:val="29"/>
          <w:rFonts w:ascii="Times New Roman" w:hAnsi="Times New Roman"/>
          <w:b w:val="0"/>
          <w:bCs w:val="0"/>
        </w:rPr>
      </w:pPr>
      <w:bookmarkStart w:id="14" w:name="_Toc15396600"/>
      <w:bookmarkStart w:id="15" w:name="_Toc15377197"/>
      <w:r>
        <w:rPr>
          <w:rFonts w:hint="eastAsia" w:ascii="Times New Roman" w:hAnsi="Times New Roman" w:eastAsia="黑体"/>
          <w:b w:val="0"/>
        </w:rPr>
        <w:t>一、</w:t>
      </w:r>
      <w:bookmarkEnd w:id="14"/>
      <w:bookmarkEnd w:id="15"/>
      <w:r>
        <w:rPr>
          <w:rFonts w:hint="eastAsia" w:ascii="Times New Roman" w:hAnsi="Times New Roman" w:eastAsia="黑体"/>
          <w:b w:val="0"/>
        </w:rPr>
        <w:t>部门职责</w:t>
      </w:r>
    </w:p>
    <w:p w14:paraId="221D25AE">
      <w:pPr>
        <w:keepNext w:val="0"/>
        <w:keepLines w:val="0"/>
        <w:pageBreakBefore w:val="0"/>
        <w:widowControl w:val="0"/>
        <w:kinsoku/>
        <w:wordWrap/>
        <w:overflowPunct/>
        <w:topLinePunct w:val="0"/>
        <w:autoSpaceDE/>
        <w:autoSpaceDN/>
        <w:bidi w:val="0"/>
        <w:adjustRightInd/>
        <w:snapToGrid/>
        <w:ind w:firstLine="640" w:firstLineChars="200"/>
        <w:textAlignment w:val="auto"/>
        <w:rPr>
          <w:rStyle w:val="29"/>
          <w:rFonts w:ascii="Times New Roman" w:hAnsi="Times New Roman" w:eastAsia="黑体"/>
          <w:b w:val="0"/>
          <w:bCs w:val="0"/>
        </w:rPr>
      </w:pPr>
      <w:r>
        <w:rPr>
          <w:rFonts w:hint="eastAsia" w:eastAsia="仿宋_GB2312" w:cs="仿宋_GB2312"/>
          <w:sz w:val="32"/>
          <w:szCs w:val="32"/>
          <w:lang w:eastAsia="zh-CN"/>
        </w:rPr>
        <w:t>攀枝花市社会科学界联合会</w:t>
      </w:r>
      <w:r>
        <w:rPr>
          <w:rFonts w:hint="eastAsia" w:eastAsia="仿宋_GB2312" w:cs="仿宋_GB2312"/>
          <w:sz w:val="32"/>
          <w:szCs w:val="32"/>
        </w:rPr>
        <w:t>是中共攀枝花市委领导下的学术性群众团体，是党和政府联系广大哲学社会科学工作者的桥梁和纽带。其主要职责是：1.深入学习贯彻习近平新时代中国特色社会主义思想，坚持和巩固马克思主义在哲学社会科学领域的指导地位。2.参与制定全市哲学社会科学发展中长期规划和有关专项规划。3.编制全市哲学社会科学研究规划，组织实施重大学术研究和创新工程，加强哲学社会科学重点研究基地、重点实验室建设和高水平研究团队培育。4.积极开展科学论证和决策咨询研究，推进高水平新型智库建设，推动科研成果转化应用，为党委、政府科学决策提供智力服务。5.组织开展全市哲学社会科学优秀科研成果评奖活动。6.开展学术交流。7.依法依规对市级哲学社会科学学术性社会组织和民办社科研究机构进行业务指导、管理监督、协调服务。8.加强哲学社会科学普及基地和人文社科讲坛建设，开展社会科学宣传普及和咨询工作。9.编辑出版社科理论刊物《攀枝花社会科学》等。</w:t>
      </w:r>
    </w:p>
    <w:p w14:paraId="6BD76F79">
      <w:pPr>
        <w:pStyle w:val="6"/>
        <w:rPr>
          <w:rStyle w:val="29"/>
          <w:rFonts w:ascii="Times New Roman" w:hAnsi="Times New Roman"/>
          <w:b w:val="0"/>
          <w:bCs w:val="0"/>
        </w:rPr>
      </w:pPr>
      <w:bookmarkStart w:id="16" w:name="_Toc15396601"/>
      <w:bookmarkStart w:id="17" w:name="_Toc15377200"/>
      <w:r>
        <w:rPr>
          <w:rFonts w:hint="eastAsia" w:ascii="Times New Roman" w:hAnsi="Times New Roman" w:eastAsia="黑体"/>
          <w:b w:val="0"/>
        </w:rPr>
        <w:t>二、机</w:t>
      </w:r>
      <w:r>
        <w:rPr>
          <w:rStyle w:val="29"/>
          <w:rFonts w:hint="eastAsia" w:ascii="Times New Roman" w:hAnsi="Times New Roman" w:eastAsia="黑体"/>
          <w:b w:val="0"/>
          <w:bCs w:val="0"/>
        </w:rPr>
        <w:t>构设置</w:t>
      </w:r>
      <w:bookmarkEnd w:id="16"/>
      <w:bookmarkEnd w:id="17"/>
    </w:p>
    <w:p w14:paraId="6B86DD34">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eastAsia="仿宋"/>
          <w:kern w:val="0"/>
          <w:sz w:val="32"/>
          <w:szCs w:val="32"/>
        </w:rPr>
      </w:pPr>
      <w:r>
        <w:rPr>
          <w:rFonts w:hint="eastAsia" w:eastAsia="仿宋_GB2312" w:cs="仿宋_GB2312"/>
          <w:sz w:val="32"/>
          <w:szCs w:val="32"/>
          <w:lang w:eastAsia="zh-CN"/>
        </w:rPr>
        <w:t>攀枝花市社会科学界联合会</w:t>
      </w:r>
      <w:r>
        <w:rPr>
          <w:rFonts w:hint="eastAsia" w:eastAsia="仿宋_GB2312" w:cs="仿宋_GB2312"/>
          <w:sz w:val="32"/>
          <w:szCs w:val="32"/>
        </w:rPr>
        <w:t>是参照公务员法管理的事业单位，为财政全额拨款二级预算单位，主管部门为市委宣传部。机关设置办公室、规划评奖科、学会学术科3个职能科室。总编制9个，截至202</w:t>
      </w:r>
      <w:r>
        <w:rPr>
          <w:rFonts w:hint="eastAsia" w:eastAsia="仿宋_GB2312" w:cs="仿宋_GB2312"/>
          <w:sz w:val="32"/>
          <w:szCs w:val="32"/>
          <w:lang w:val="en-US" w:eastAsia="zh-CN"/>
        </w:rPr>
        <w:t>5</w:t>
      </w:r>
      <w:r>
        <w:rPr>
          <w:rFonts w:hint="eastAsia" w:eastAsia="仿宋_GB2312" w:cs="仿宋_GB2312"/>
          <w:sz w:val="32"/>
          <w:szCs w:val="32"/>
        </w:rPr>
        <w:t>年底在职人员</w:t>
      </w:r>
      <w:r>
        <w:rPr>
          <w:rFonts w:hint="eastAsia" w:eastAsia="仿宋_GB2312" w:cs="仿宋_GB2312"/>
          <w:sz w:val="32"/>
          <w:szCs w:val="32"/>
          <w:lang w:val="en-US" w:eastAsia="zh-CN"/>
        </w:rPr>
        <w:t>10</w:t>
      </w:r>
      <w:r>
        <w:rPr>
          <w:rFonts w:hint="eastAsia" w:eastAsia="仿宋_GB2312" w:cs="仿宋_GB2312"/>
          <w:sz w:val="32"/>
          <w:szCs w:val="32"/>
        </w:rPr>
        <w:t>人。本年度调入1人。</w:t>
      </w:r>
      <w:r>
        <w:rPr>
          <w:rFonts w:eastAsia="仿宋"/>
          <w:sz w:val="32"/>
          <w:szCs w:val="32"/>
        </w:rPr>
        <w:br w:type="page"/>
      </w:r>
    </w:p>
    <w:p w14:paraId="5B36B992">
      <w:pPr>
        <w:pStyle w:val="5"/>
        <w:bidi w:val="0"/>
      </w:pPr>
      <w:bookmarkStart w:id="18" w:name="_Toc15377204"/>
      <w:bookmarkStart w:id="19" w:name="_Toc15396602"/>
      <w:r>
        <w:rPr>
          <w:rFonts w:hint="eastAsia"/>
        </w:rPr>
        <w:drawing>
          <wp:anchor distT="0" distB="0" distL="114300" distR="114300" simplePos="0" relativeHeight="251659264" behindDoc="0" locked="0" layoutInCell="1" allowOverlap="1">
            <wp:simplePos x="0" y="0"/>
            <wp:positionH relativeFrom="column">
              <wp:posOffset>8890</wp:posOffset>
            </wp:positionH>
            <wp:positionV relativeFrom="paragraph">
              <wp:posOffset>2675255</wp:posOffset>
            </wp:positionV>
            <wp:extent cx="5256530" cy="2988310"/>
            <wp:effectExtent l="5080" t="4445" r="15240" b="1714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rPr>
        <w:t xml:space="preserve">第二部分  </w:t>
      </w:r>
      <w:r>
        <w:rPr>
          <w:rFonts w:hint="default" w:ascii="Times New Roman" w:hAnsi="Times New Roman" w:cs="Times New Roman"/>
        </w:rPr>
        <w:t>2025年度</w:t>
      </w:r>
      <w:r>
        <w:rPr>
          <w:rFonts w:hint="eastAsia"/>
        </w:rPr>
        <w:t>部门决算情况说明</w:t>
      </w:r>
      <w:bookmarkEnd w:id="18"/>
      <w:bookmarkEnd w:id="19"/>
    </w:p>
    <w:p w14:paraId="62039350"/>
    <w:p w14:paraId="16462683">
      <w:pPr>
        <w:pStyle w:val="27"/>
        <w:spacing w:line="600" w:lineRule="exact"/>
        <w:ind w:firstLine="640"/>
        <w:outlineLvl w:val="1"/>
        <w:rPr>
          <w:rStyle w:val="29"/>
          <w:rFonts w:ascii="Times New Roman" w:hAnsi="Times New Roman" w:eastAsia="黑体"/>
          <w:b w:val="0"/>
        </w:rPr>
      </w:pPr>
      <w:bookmarkStart w:id="20" w:name="_Toc15377205"/>
      <w:bookmarkStart w:id="21" w:name="_Toc15396603"/>
      <w:r>
        <w:rPr>
          <w:rFonts w:hint="eastAsia" w:eastAsia="黑体"/>
          <w:sz w:val="32"/>
          <w:szCs w:val="32"/>
        </w:rPr>
        <w:t>一、收</w:t>
      </w:r>
      <w:r>
        <w:rPr>
          <w:rStyle w:val="29"/>
          <w:rFonts w:hint="eastAsia" w:ascii="Times New Roman" w:hAnsi="Times New Roman" w:eastAsia="黑体"/>
          <w:b w:val="0"/>
        </w:rPr>
        <w:t>入支出决算总体情况说明</w:t>
      </w:r>
      <w:bookmarkEnd w:id="20"/>
      <w:bookmarkEnd w:id="21"/>
    </w:p>
    <w:p w14:paraId="000BB618">
      <w:pPr>
        <w:pStyle w:val="27"/>
        <w:spacing w:line="600" w:lineRule="exact"/>
        <w:ind w:firstLine="640"/>
        <w:outlineLvl w:val="1"/>
        <w:rPr>
          <w:rFonts w:hint="eastAsia" w:eastAsia="仿宋_GB2312" w:cs="仿宋_GB2312"/>
          <w:sz w:val="32"/>
          <w:szCs w:val="32"/>
        </w:rPr>
      </w:pPr>
      <w:r>
        <w:rPr>
          <w:rFonts w:hint="eastAsia" w:eastAsia="仿宋_GB2312" w:cs="仿宋_GB2312"/>
          <w:sz w:val="32"/>
          <w:szCs w:val="32"/>
        </w:rPr>
        <w:t>2025年度收入、支出总计均为218.49万元。与上年度相比，收入、支出总计各减少</w:t>
      </w:r>
      <w:r>
        <w:rPr>
          <w:rFonts w:hint="eastAsia" w:eastAsia="仿宋_GB2312" w:cs="仿宋_GB2312"/>
          <w:sz w:val="32"/>
          <w:szCs w:val="32"/>
          <w:lang w:val="en-US" w:eastAsia="zh-CN"/>
        </w:rPr>
        <w:t>18.73</w:t>
      </w:r>
      <w:r>
        <w:rPr>
          <w:rFonts w:hint="eastAsia" w:eastAsia="仿宋_GB2312" w:cs="仿宋_GB2312"/>
          <w:sz w:val="32"/>
          <w:szCs w:val="32"/>
        </w:rPr>
        <w:t>万元，下降</w:t>
      </w:r>
      <w:r>
        <w:rPr>
          <w:rFonts w:hint="eastAsia" w:eastAsia="仿宋_GB2312" w:cs="仿宋_GB2312"/>
          <w:sz w:val="32"/>
          <w:szCs w:val="32"/>
          <w:lang w:val="en-US" w:eastAsia="zh-CN"/>
        </w:rPr>
        <w:t>7.9</w:t>
      </w:r>
      <w:r>
        <w:rPr>
          <w:rFonts w:hint="eastAsia" w:eastAsia="仿宋_GB2312" w:cs="仿宋_GB2312"/>
          <w:sz w:val="32"/>
          <w:szCs w:val="32"/>
        </w:rPr>
        <w:t>%。主要变动原因是</w:t>
      </w:r>
      <w:r>
        <w:rPr>
          <w:rFonts w:hint="eastAsia" w:eastAsia="仿宋_GB2312" w:cs="仿宋_GB2312"/>
          <w:sz w:val="32"/>
          <w:szCs w:val="32"/>
          <w:highlight w:val="none"/>
        </w:rPr>
        <w:t>上年度</w:t>
      </w:r>
      <w:r>
        <w:rPr>
          <w:rFonts w:hint="eastAsia" w:eastAsia="仿宋" w:cs="Times New Roman"/>
          <w:color w:val="000000" w:themeColor="text1"/>
          <w:sz w:val="32"/>
          <w:szCs w:val="32"/>
          <w:highlight w:val="none"/>
          <w:lang w:val="en-US" w:eastAsia="zh-CN"/>
          <w14:textFill>
            <w14:solidFill>
              <w14:schemeClr w14:val="tx1"/>
            </w14:solidFill>
          </w14:textFill>
        </w:rPr>
        <w:t>追加了</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项目</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经</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费</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，本年度无该类项目安排</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w:t>
      </w:r>
    </w:p>
    <w:p w14:paraId="12E5B432">
      <w:pPr>
        <w:pStyle w:val="27"/>
        <w:spacing w:line="600" w:lineRule="exact"/>
        <w:ind w:firstLine="640"/>
        <w:outlineLvl w:val="1"/>
        <w:rPr>
          <w:rFonts w:eastAsia="仿宋_GB2312" w:cs="仿宋_GB2312"/>
          <w:sz w:val="32"/>
          <w:szCs w:val="32"/>
        </w:rPr>
      </w:pPr>
      <w:r>
        <w:rPr>
          <w:rFonts w:hint="eastAsia" w:eastAsia="仿宋_GB2312" w:cs="仿宋_GB2312"/>
          <w:sz w:val="32"/>
          <w:szCs w:val="32"/>
        </w:rPr>
        <w:t>（图1：收入、支出决算总计变动情况图）（柱状图）</w:t>
      </w:r>
    </w:p>
    <w:p w14:paraId="4346285B">
      <w:pPr>
        <w:ind w:firstLine="640" w:firstLineChars="200"/>
        <w:rPr>
          <w:rFonts w:eastAsia="仿宋_GB2312" w:cs="仿宋_GB2312"/>
          <w:sz w:val="32"/>
          <w:szCs w:val="32"/>
        </w:rPr>
      </w:pPr>
    </w:p>
    <w:p w14:paraId="498D9A68">
      <w:pPr>
        <w:pStyle w:val="27"/>
        <w:spacing w:line="600" w:lineRule="exact"/>
        <w:ind w:firstLine="640"/>
        <w:outlineLvl w:val="1"/>
        <w:rPr>
          <w:rFonts w:eastAsia="黑体"/>
          <w:sz w:val="32"/>
          <w:szCs w:val="32"/>
        </w:rPr>
      </w:pPr>
      <w:bookmarkStart w:id="22" w:name="_Toc15377206"/>
      <w:bookmarkStart w:id="23" w:name="_Toc15396604"/>
      <w:r>
        <w:rPr>
          <w:rFonts w:hint="eastAsia" w:eastAsia="黑体"/>
          <w:sz w:val="32"/>
          <w:szCs w:val="32"/>
        </w:rPr>
        <w:t>二、收入决算情况说明</w:t>
      </w:r>
      <w:bookmarkEnd w:id="22"/>
      <w:bookmarkEnd w:id="23"/>
    </w:p>
    <w:p w14:paraId="6120487B">
      <w:pPr>
        <w:pStyle w:val="27"/>
        <w:spacing w:line="600" w:lineRule="exact"/>
        <w:ind w:firstLine="640"/>
        <w:outlineLvl w:val="1"/>
        <w:rPr>
          <w:rFonts w:hint="eastAsia" w:eastAsia="仿宋_GB2312" w:cs="仿宋_GB2312"/>
          <w:sz w:val="32"/>
          <w:szCs w:val="32"/>
        </w:rPr>
      </w:pPr>
      <w:r>
        <w:rPr>
          <w:rFonts w:hint="eastAsia" w:eastAsia="仿宋_GB2312" w:cs="仿宋_GB2312"/>
          <w:sz w:val="32"/>
          <w:szCs w:val="32"/>
        </w:rPr>
        <w:t>2025年度本年收入合计218.49万元，其中：一般公共预算财政拨款收入218.49万元，占</w:t>
      </w:r>
      <w:r>
        <w:rPr>
          <w:rFonts w:hint="eastAsia" w:eastAsia="仿宋_GB2312" w:cs="仿宋_GB2312"/>
          <w:sz w:val="32"/>
          <w:szCs w:val="32"/>
          <w:lang w:val="en-US" w:eastAsia="zh-CN"/>
        </w:rPr>
        <w:t>100</w:t>
      </w:r>
      <w:r>
        <w:rPr>
          <w:rFonts w:hint="eastAsia" w:eastAsia="仿宋_GB2312" w:cs="仿宋_GB2312"/>
          <w:sz w:val="32"/>
          <w:szCs w:val="32"/>
        </w:rPr>
        <w:t>%。</w:t>
      </w:r>
    </w:p>
    <w:p w14:paraId="4FAB9584">
      <w:pPr>
        <w:pStyle w:val="27"/>
        <w:spacing w:line="600" w:lineRule="exact"/>
        <w:ind w:firstLine="640"/>
        <w:outlineLvl w:val="1"/>
        <w:rPr>
          <w:rFonts w:hint="eastAsia" w:eastAsia="仿宋_GB2312" w:cs="仿宋_GB2312"/>
          <w:sz w:val="32"/>
          <w:szCs w:val="32"/>
        </w:rPr>
      </w:pPr>
    </w:p>
    <w:p w14:paraId="529823DD">
      <w:pPr>
        <w:pStyle w:val="27"/>
        <w:spacing w:line="600" w:lineRule="exact"/>
        <w:ind w:firstLine="640"/>
        <w:outlineLvl w:val="1"/>
        <w:rPr>
          <w:rFonts w:hint="eastAsia" w:eastAsia="仿宋_GB2312" w:cs="仿宋_GB2312"/>
          <w:sz w:val="32"/>
          <w:szCs w:val="32"/>
        </w:rPr>
      </w:pPr>
    </w:p>
    <w:p w14:paraId="26E6CA78">
      <w:pPr>
        <w:pStyle w:val="27"/>
        <w:spacing w:line="600" w:lineRule="exact"/>
        <w:ind w:firstLine="640"/>
        <w:outlineLvl w:val="1"/>
        <w:rPr>
          <w:rFonts w:hint="eastAsia" w:eastAsia="仿宋_GB2312" w:cs="仿宋_GB2312"/>
          <w:sz w:val="32"/>
          <w:szCs w:val="32"/>
        </w:rPr>
      </w:pPr>
    </w:p>
    <w:p w14:paraId="677F1E44">
      <w:pPr>
        <w:pStyle w:val="27"/>
        <w:keepNext w:val="0"/>
        <w:keepLines w:val="0"/>
        <w:pageBreakBefore w:val="0"/>
        <w:widowControl w:val="0"/>
        <w:kinsoku/>
        <w:wordWrap/>
        <w:overflowPunct/>
        <w:topLinePunct w:val="0"/>
        <w:autoSpaceDE/>
        <w:autoSpaceDN/>
        <w:bidi w:val="0"/>
        <w:adjustRightInd/>
        <w:snapToGrid/>
        <w:spacing w:line="240" w:lineRule="auto"/>
        <w:textAlignment w:val="auto"/>
        <w:outlineLvl w:val="1"/>
        <w:rPr>
          <w:rFonts w:eastAsia="仿宋_GB2312" w:cs="仿宋_GB2312"/>
          <w:sz w:val="32"/>
          <w:szCs w:val="32"/>
        </w:rPr>
      </w:pPr>
      <w:r>
        <w:rPr>
          <w:rFonts w:hint="eastAsia" w:eastAsia="仿宋_GB2312" w:cs="仿宋_GB2312"/>
          <w:sz w:val="32"/>
          <w:szCs w:val="32"/>
        </w:rPr>
        <w:drawing>
          <wp:anchor distT="0" distB="0" distL="114300" distR="114300" simplePos="0" relativeHeight="251660288" behindDoc="0" locked="0" layoutInCell="1" allowOverlap="1">
            <wp:simplePos x="0" y="0"/>
            <wp:positionH relativeFrom="column">
              <wp:posOffset>8890</wp:posOffset>
            </wp:positionH>
            <wp:positionV relativeFrom="paragraph">
              <wp:posOffset>84455</wp:posOffset>
            </wp:positionV>
            <wp:extent cx="5256530" cy="2988310"/>
            <wp:effectExtent l="5080" t="4445" r="15240" b="1714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eastAsia="仿宋_GB2312" w:cs="仿宋_GB2312"/>
          <w:sz w:val="32"/>
          <w:szCs w:val="32"/>
        </w:rPr>
        <w:t>（图2：收入决算结构图）（饼状图）</w:t>
      </w:r>
    </w:p>
    <w:p w14:paraId="2E6CA3D4">
      <w:pPr>
        <w:ind w:firstLine="800" w:firstLineChars="250"/>
        <w:rPr>
          <w:rFonts w:eastAsia="仿宋_GB2312" w:cs="仿宋_GB2312"/>
          <w:sz w:val="32"/>
          <w:szCs w:val="32"/>
        </w:rPr>
      </w:pPr>
    </w:p>
    <w:p w14:paraId="16C68D24">
      <w:pPr>
        <w:pStyle w:val="27"/>
        <w:spacing w:line="600" w:lineRule="exact"/>
        <w:ind w:firstLine="640"/>
        <w:outlineLvl w:val="1"/>
        <w:rPr>
          <w:rStyle w:val="29"/>
          <w:rFonts w:ascii="Times New Roman" w:hAnsi="Times New Roman" w:eastAsia="黑体"/>
          <w:b w:val="0"/>
        </w:rPr>
      </w:pPr>
      <w:bookmarkStart w:id="24" w:name="_Toc15396605"/>
      <w:bookmarkStart w:id="25" w:name="_Toc15377207"/>
      <w:r>
        <w:rPr>
          <w:rFonts w:hint="eastAsia" w:eastAsia="黑体"/>
          <w:sz w:val="32"/>
          <w:szCs w:val="32"/>
        </w:rPr>
        <w:t>三、支</w:t>
      </w:r>
      <w:r>
        <w:rPr>
          <w:rStyle w:val="29"/>
          <w:rFonts w:hint="eastAsia" w:ascii="Times New Roman" w:hAnsi="Times New Roman" w:eastAsia="黑体"/>
          <w:b w:val="0"/>
        </w:rPr>
        <w:t>出决算情况说明</w:t>
      </w:r>
      <w:bookmarkEnd w:id="24"/>
      <w:bookmarkEnd w:id="25"/>
    </w:p>
    <w:p w14:paraId="66703361">
      <w:pPr>
        <w:pStyle w:val="27"/>
        <w:spacing w:line="600" w:lineRule="exact"/>
        <w:ind w:firstLine="640"/>
        <w:outlineLvl w:val="1"/>
        <w:rPr>
          <w:rFonts w:hint="eastAsia" w:eastAsia="仿宋_GB2312" w:cs="仿宋_GB2312"/>
          <w:sz w:val="32"/>
          <w:szCs w:val="32"/>
        </w:rPr>
      </w:pPr>
      <w:r>
        <w:rPr>
          <w:rFonts w:hint="eastAsia" w:eastAsia="仿宋_GB2312" w:cs="仿宋_GB2312"/>
          <w:sz w:val="32"/>
          <w:szCs w:val="32"/>
        </w:rPr>
        <w:drawing>
          <wp:anchor distT="0" distB="0" distL="114300" distR="114300" simplePos="0" relativeHeight="251661312" behindDoc="0" locked="0" layoutInCell="1" allowOverlap="1">
            <wp:simplePos x="0" y="0"/>
            <wp:positionH relativeFrom="column">
              <wp:posOffset>8890</wp:posOffset>
            </wp:positionH>
            <wp:positionV relativeFrom="paragraph">
              <wp:posOffset>911860</wp:posOffset>
            </wp:positionV>
            <wp:extent cx="5256530" cy="2988310"/>
            <wp:effectExtent l="5080" t="4445" r="15240" b="1714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eastAsia="仿宋_GB2312" w:cs="仿宋_GB2312"/>
          <w:sz w:val="32"/>
          <w:szCs w:val="32"/>
        </w:rPr>
        <w:t>2025年度本年支出合计218.49万元，其中：基本支出215.49万元，占</w:t>
      </w:r>
      <w:r>
        <w:rPr>
          <w:rFonts w:hint="eastAsia" w:eastAsia="仿宋_GB2312" w:cs="仿宋_GB2312"/>
          <w:sz w:val="32"/>
          <w:szCs w:val="32"/>
          <w:lang w:val="en-US" w:eastAsia="zh-CN"/>
        </w:rPr>
        <w:t>98.6</w:t>
      </w:r>
      <w:r>
        <w:rPr>
          <w:rFonts w:hint="eastAsia" w:eastAsia="仿宋_GB2312" w:cs="仿宋_GB2312"/>
          <w:sz w:val="32"/>
          <w:szCs w:val="32"/>
        </w:rPr>
        <w:t>%；项目支出3万元，占</w:t>
      </w:r>
      <w:r>
        <w:rPr>
          <w:rFonts w:hint="eastAsia" w:eastAsia="仿宋_GB2312" w:cs="仿宋_GB2312"/>
          <w:sz w:val="32"/>
          <w:szCs w:val="32"/>
          <w:lang w:val="en-US" w:eastAsia="zh-CN"/>
        </w:rPr>
        <w:t>1.4</w:t>
      </w:r>
      <w:r>
        <w:rPr>
          <w:rFonts w:hint="eastAsia" w:eastAsia="仿宋_GB2312" w:cs="仿宋_GB2312"/>
          <w:sz w:val="32"/>
          <w:szCs w:val="32"/>
        </w:rPr>
        <w:t>%。</w:t>
      </w:r>
    </w:p>
    <w:p w14:paraId="4FE0ED43">
      <w:pPr>
        <w:pStyle w:val="27"/>
        <w:spacing w:line="600" w:lineRule="exact"/>
        <w:ind w:firstLine="640"/>
        <w:outlineLvl w:val="1"/>
        <w:rPr>
          <w:rFonts w:eastAsia="仿宋_GB2312" w:cs="仿宋_GB2312"/>
          <w:sz w:val="32"/>
          <w:szCs w:val="32"/>
        </w:rPr>
      </w:pPr>
      <w:r>
        <w:rPr>
          <w:rFonts w:hint="eastAsia" w:eastAsia="仿宋_GB2312" w:cs="仿宋_GB2312"/>
          <w:sz w:val="32"/>
          <w:szCs w:val="32"/>
        </w:rPr>
        <w:t>（图3：支出决算结构图）（饼状图）</w:t>
      </w:r>
    </w:p>
    <w:p w14:paraId="57F5A34C">
      <w:pPr>
        <w:spacing w:line="600" w:lineRule="exact"/>
        <w:ind w:firstLine="640" w:firstLineChars="200"/>
        <w:outlineLvl w:val="1"/>
        <w:rPr>
          <w:rStyle w:val="29"/>
          <w:rFonts w:ascii="Times New Roman" w:hAnsi="Times New Roman" w:eastAsia="黑体"/>
          <w:b w:val="0"/>
        </w:rPr>
      </w:pPr>
      <w:bookmarkStart w:id="26" w:name="_Toc15377208"/>
      <w:bookmarkStart w:id="27" w:name="_Toc15396606"/>
      <w:r>
        <w:rPr>
          <w:rFonts w:hint="eastAsia" w:eastAsia="黑体"/>
          <w:sz w:val="32"/>
          <w:szCs w:val="32"/>
        </w:rPr>
        <w:t>四、财</w:t>
      </w:r>
      <w:r>
        <w:rPr>
          <w:rStyle w:val="29"/>
          <w:rFonts w:hint="eastAsia" w:ascii="Times New Roman" w:hAnsi="Times New Roman" w:eastAsia="黑体"/>
          <w:b w:val="0"/>
        </w:rPr>
        <w:t>政拨款收入支出决算总体情况说明</w:t>
      </w:r>
      <w:bookmarkEnd w:id="26"/>
      <w:bookmarkEnd w:id="27"/>
    </w:p>
    <w:p w14:paraId="3174FCFB">
      <w:pPr>
        <w:spacing w:line="600" w:lineRule="exact"/>
        <w:ind w:firstLine="640"/>
        <w:rPr>
          <w:rFonts w:eastAsia="仿宋_GB2312" w:cs="仿宋_GB2312"/>
          <w:sz w:val="32"/>
          <w:szCs w:val="32"/>
        </w:rPr>
      </w:pPr>
      <w:r>
        <w:rPr>
          <w:rFonts w:hint="eastAsia" w:eastAsia="仿宋_GB2312" w:cs="仿宋_GB2312"/>
          <w:sz w:val="32"/>
          <w:szCs w:val="32"/>
        </w:rPr>
        <w:drawing>
          <wp:anchor distT="0" distB="0" distL="114300" distR="114300" simplePos="0" relativeHeight="251662336" behindDoc="0" locked="0" layoutInCell="1" allowOverlap="1">
            <wp:simplePos x="0" y="0"/>
            <wp:positionH relativeFrom="column">
              <wp:posOffset>8890</wp:posOffset>
            </wp:positionH>
            <wp:positionV relativeFrom="paragraph">
              <wp:posOffset>1627505</wp:posOffset>
            </wp:positionV>
            <wp:extent cx="5256530" cy="2988310"/>
            <wp:effectExtent l="5080" t="4445" r="15240" b="17145"/>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eastAsia="仿宋_GB2312" w:cs="仿宋_GB2312"/>
          <w:sz w:val="32"/>
          <w:szCs w:val="32"/>
        </w:rPr>
        <w:t>2025年度财政拨款收入、支出总计均为218.49万元。与上年度相比，财政拨款收入、支出总计各减少</w:t>
      </w:r>
      <w:r>
        <w:rPr>
          <w:rFonts w:hint="eastAsia" w:eastAsia="仿宋_GB2312" w:cs="仿宋_GB2312"/>
          <w:sz w:val="32"/>
          <w:szCs w:val="32"/>
          <w:lang w:val="en-US" w:eastAsia="zh-CN"/>
        </w:rPr>
        <w:t>18.73</w:t>
      </w:r>
      <w:r>
        <w:rPr>
          <w:rFonts w:hint="eastAsia" w:eastAsia="仿宋_GB2312" w:cs="仿宋_GB2312"/>
          <w:sz w:val="32"/>
          <w:szCs w:val="32"/>
        </w:rPr>
        <w:t>万元，下降</w:t>
      </w:r>
      <w:r>
        <w:rPr>
          <w:rFonts w:hint="eastAsia" w:eastAsia="仿宋_GB2312" w:cs="仿宋_GB2312"/>
          <w:sz w:val="32"/>
          <w:szCs w:val="32"/>
          <w:lang w:val="en-US" w:eastAsia="zh-CN"/>
        </w:rPr>
        <w:t>7.9</w:t>
      </w:r>
      <w:r>
        <w:rPr>
          <w:rFonts w:hint="eastAsia" w:eastAsia="仿宋_GB2312" w:cs="仿宋_GB2312"/>
          <w:sz w:val="32"/>
          <w:szCs w:val="32"/>
        </w:rPr>
        <w:t>%。主要变动原因是</w:t>
      </w:r>
      <w:r>
        <w:rPr>
          <w:rFonts w:hint="eastAsia" w:eastAsia="仿宋_GB2312" w:cs="仿宋_GB2312"/>
          <w:sz w:val="32"/>
          <w:szCs w:val="32"/>
          <w:highlight w:val="none"/>
        </w:rPr>
        <w:t>上年度</w:t>
      </w:r>
      <w:r>
        <w:rPr>
          <w:rFonts w:hint="eastAsia" w:eastAsia="仿宋" w:cs="Times New Roman"/>
          <w:color w:val="000000" w:themeColor="text1"/>
          <w:sz w:val="32"/>
          <w:szCs w:val="32"/>
          <w:highlight w:val="none"/>
          <w:lang w:val="en-US" w:eastAsia="zh-CN"/>
          <w14:textFill>
            <w14:solidFill>
              <w14:schemeClr w14:val="tx1"/>
            </w14:solidFill>
          </w14:textFill>
        </w:rPr>
        <w:t>追加了</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项目</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经</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费</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，本年度无该类项目安排</w:t>
      </w:r>
      <w:r>
        <w:rPr>
          <w:rFonts w:hint="eastAsia" w:eastAsia="仿宋" w:cs="Times New Roman"/>
          <w:color w:val="000000" w:themeColor="text1"/>
          <w:sz w:val="32"/>
          <w:szCs w:val="32"/>
          <w:highlight w:val="none"/>
          <w:lang w:val="en-US" w:eastAsia="zh-CN"/>
          <w14:textFill>
            <w14:solidFill>
              <w14:schemeClr w14:val="tx1"/>
            </w14:solidFill>
          </w14:textFill>
        </w:rPr>
        <w:t>。</w:t>
      </w:r>
    </w:p>
    <w:p w14:paraId="20D17137">
      <w:pPr>
        <w:spacing w:line="600" w:lineRule="exact"/>
        <w:ind w:firstLine="640" w:firstLineChars="200"/>
        <w:rPr>
          <w:rFonts w:eastAsia="仿宋_GB2312" w:cs="仿宋_GB2312"/>
          <w:sz w:val="32"/>
          <w:szCs w:val="32"/>
        </w:rPr>
      </w:pPr>
      <w:r>
        <w:rPr>
          <w:rFonts w:hint="eastAsia" w:eastAsia="仿宋_GB2312" w:cs="仿宋_GB2312"/>
          <w:sz w:val="32"/>
          <w:szCs w:val="32"/>
        </w:rPr>
        <w:t>（图4：财政拨款收、支决算总计变动情况）（柱状图）</w:t>
      </w:r>
    </w:p>
    <w:p w14:paraId="77779C70">
      <w:pPr>
        <w:spacing w:line="600" w:lineRule="exact"/>
        <w:ind w:firstLine="640"/>
        <w:rPr>
          <w:rFonts w:eastAsia="仿宋_GB2312" w:cs="仿宋_GB2312"/>
          <w:sz w:val="32"/>
          <w:szCs w:val="32"/>
        </w:rPr>
      </w:pPr>
    </w:p>
    <w:p w14:paraId="7C043940">
      <w:pPr>
        <w:spacing w:line="600" w:lineRule="exact"/>
        <w:ind w:firstLine="640" w:firstLineChars="200"/>
        <w:outlineLvl w:val="1"/>
        <w:rPr>
          <w:rStyle w:val="29"/>
          <w:rFonts w:ascii="Times New Roman" w:hAnsi="Times New Roman" w:eastAsia="黑体"/>
          <w:b w:val="0"/>
        </w:rPr>
      </w:pPr>
      <w:bookmarkStart w:id="28" w:name="_Toc15377209"/>
      <w:bookmarkStart w:id="29" w:name="_Toc15396607"/>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般公共预算财政拨款支出决算情况说明</w:t>
      </w:r>
      <w:bookmarkEnd w:id="28"/>
      <w:bookmarkEnd w:id="29"/>
    </w:p>
    <w:p w14:paraId="36BCC5DB">
      <w:pPr>
        <w:spacing w:line="600" w:lineRule="exact"/>
        <w:ind w:firstLine="643" w:firstLineChars="200"/>
        <w:outlineLvl w:val="2"/>
        <w:rPr>
          <w:rFonts w:eastAsia="楷体_GB2312" w:cs="楷体_GB2312"/>
          <w:b/>
          <w:sz w:val="32"/>
          <w:szCs w:val="32"/>
        </w:rPr>
      </w:pPr>
      <w:bookmarkStart w:id="30" w:name="_Toc15377210"/>
      <w:r>
        <w:rPr>
          <w:rFonts w:hint="eastAsia" w:eastAsia="楷体_GB2312" w:cs="楷体_GB2312"/>
          <w:b/>
          <w:sz w:val="32"/>
          <w:szCs w:val="32"/>
        </w:rPr>
        <w:t>（一）一般公共预算财政拨款支出决算总体情况</w:t>
      </w:r>
      <w:bookmarkEnd w:id="30"/>
    </w:p>
    <w:p w14:paraId="20124CA1">
      <w:pPr>
        <w:spacing w:line="600" w:lineRule="exact"/>
        <w:ind w:firstLine="640"/>
        <w:rPr>
          <w:rFonts w:hint="eastAsia" w:eastAsia="仿宋" w:cs="Times New Roman"/>
          <w:color w:val="000000" w:themeColor="text1"/>
          <w:sz w:val="32"/>
          <w:szCs w:val="32"/>
          <w:highlight w:val="none"/>
          <w:lang w:val="en-US" w:eastAsia="zh-CN"/>
          <w14:textFill>
            <w14:solidFill>
              <w14:schemeClr w14:val="tx1"/>
            </w14:solidFill>
          </w14:textFill>
        </w:rPr>
      </w:pPr>
      <w:r>
        <w:rPr>
          <w:rFonts w:hint="eastAsia" w:eastAsia="仿宋_GB2312" w:cs="仿宋_GB2312"/>
          <w:sz w:val="32"/>
          <w:szCs w:val="32"/>
        </w:rPr>
        <w:t>2025年度一般公共预算财政拨款支出218.49万元，占本年支出合计的</w:t>
      </w:r>
      <w:r>
        <w:rPr>
          <w:rFonts w:hint="eastAsia" w:eastAsia="仿宋_GB2312" w:cs="仿宋_GB2312"/>
          <w:sz w:val="32"/>
          <w:szCs w:val="32"/>
          <w:lang w:val="en-US" w:eastAsia="zh-CN"/>
        </w:rPr>
        <w:t>100</w:t>
      </w:r>
      <w:r>
        <w:rPr>
          <w:rFonts w:hint="eastAsia" w:eastAsia="仿宋_GB2312" w:cs="仿宋_GB2312"/>
          <w:sz w:val="32"/>
          <w:szCs w:val="32"/>
        </w:rPr>
        <w:t>%。与上年度相比，一般公共预算财政拨款支出减少</w:t>
      </w:r>
      <w:r>
        <w:rPr>
          <w:rFonts w:hint="eastAsia" w:eastAsia="仿宋_GB2312" w:cs="仿宋_GB2312"/>
          <w:sz w:val="32"/>
          <w:szCs w:val="32"/>
          <w:lang w:val="en-US" w:eastAsia="zh-CN"/>
        </w:rPr>
        <w:t>18.73</w:t>
      </w:r>
      <w:r>
        <w:rPr>
          <w:rFonts w:hint="eastAsia" w:eastAsia="仿宋_GB2312" w:cs="仿宋_GB2312"/>
          <w:sz w:val="32"/>
          <w:szCs w:val="32"/>
        </w:rPr>
        <w:t>万元，下降</w:t>
      </w:r>
      <w:r>
        <w:rPr>
          <w:rFonts w:hint="eastAsia" w:eastAsia="仿宋_GB2312" w:cs="仿宋_GB2312"/>
          <w:sz w:val="32"/>
          <w:szCs w:val="32"/>
          <w:lang w:val="en-US" w:eastAsia="zh-CN"/>
        </w:rPr>
        <w:t>7.9</w:t>
      </w:r>
      <w:r>
        <w:rPr>
          <w:rFonts w:hint="eastAsia" w:eastAsia="仿宋_GB2312" w:cs="仿宋_GB2312"/>
          <w:sz w:val="32"/>
          <w:szCs w:val="32"/>
        </w:rPr>
        <w:t>%。主要变动原因是</w:t>
      </w:r>
      <w:r>
        <w:rPr>
          <w:rFonts w:hint="eastAsia" w:eastAsia="仿宋_GB2312" w:cs="仿宋_GB2312"/>
          <w:sz w:val="32"/>
          <w:szCs w:val="32"/>
          <w:highlight w:val="none"/>
        </w:rPr>
        <w:t>上年度</w:t>
      </w:r>
      <w:r>
        <w:rPr>
          <w:rFonts w:hint="eastAsia" w:eastAsia="仿宋" w:cs="Times New Roman"/>
          <w:color w:val="000000" w:themeColor="text1"/>
          <w:sz w:val="32"/>
          <w:szCs w:val="32"/>
          <w:highlight w:val="none"/>
          <w:lang w:val="en-US" w:eastAsia="zh-CN"/>
          <w14:textFill>
            <w14:solidFill>
              <w14:schemeClr w14:val="tx1"/>
            </w14:solidFill>
          </w14:textFill>
        </w:rPr>
        <w:t>追加了</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项目</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经</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费</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，本年度无该类项目安排</w:t>
      </w:r>
      <w:r>
        <w:rPr>
          <w:rFonts w:hint="eastAsia" w:eastAsia="仿宋" w:cs="Times New Roman"/>
          <w:color w:val="000000" w:themeColor="text1"/>
          <w:sz w:val="32"/>
          <w:szCs w:val="32"/>
          <w:highlight w:val="none"/>
          <w:lang w:val="en-US" w:eastAsia="zh-CN"/>
          <w14:textFill>
            <w14:solidFill>
              <w14:schemeClr w14:val="tx1"/>
            </w14:solidFill>
          </w14:textFill>
        </w:rPr>
        <w:t>。</w:t>
      </w:r>
    </w:p>
    <w:p w14:paraId="03689DB3">
      <w:pPr>
        <w:spacing w:line="600" w:lineRule="exact"/>
        <w:rPr>
          <w:rFonts w:hint="eastAsia" w:eastAsia="仿宋_GB2312" w:cs="仿宋_GB2312"/>
          <w:sz w:val="32"/>
          <w:szCs w:val="32"/>
        </w:rPr>
      </w:pPr>
    </w:p>
    <w:p w14:paraId="157CEC5A">
      <w:pPr>
        <w:spacing w:line="600" w:lineRule="exact"/>
        <w:ind w:firstLine="640"/>
        <w:rPr>
          <w:rFonts w:eastAsia="仿宋_GB2312" w:cs="仿宋_GB2312"/>
          <w:sz w:val="32"/>
          <w:szCs w:val="32"/>
        </w:rPr>
      </w:pPr>
      <w:r>
        <w:rPr>
          <w:rFonts w:hint="eastAsia" w:eastAsia="仿宋_GB2312" w:cs="仿宋_GB2312"/>
          <w:sz w:val="32"/>
          <w:szCs w:val="32"/>
        </w:rPr>
        <w:drawing>
          <wp:anchor distT="0" distB="0" distL="114300" distR="114300" simplePos="0" relativeHeight="251665408" behindDoc="0" locked="0" layoutInCell="1" allowOverlap="1">
            <wp:simplePos x="0" y="0"/>
            <wp:positionH relativeFrom="column">
              <wp:posOffset>61595</wp:posOffset>
            </wp:positionH>
            <wp:positionV relativeFrom="paragraph">
              <wp:posOffset>103505</wp:posOffset>
            </wp:positionV>
            <wp:extent cx="5150485" cy="2799080"/>
            <wp:effectExtent l="4445" t="4445" r="7620" b="15875"/>
            <wp:wrapTopAndBottom/>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eastAsia="仿宋_GB2312" w:cs="仿宋_GB2312"/>
          <w:sz w:val="32"/>
          <w:szCs w:val="32"/>
        </w:rPr>
        <w:t>（图5：一般公共预算财政拨款支出决算变动情况）（柱状图）</w:t>
      </w:r>
    </w:p>
    <w:p w14:paraId="3730915B">
      <w:pPr>
        <w:spacing w:line="600" w:lineRule="exact"/>
        <w:ind w:firstLine="640"/>
        <w:rPr>
          <w:rFonts w:eastAsia="仿宋_GB2312" w:cs="仿宋_GB2312"/>
          <w:sz w:val="32"/>
          <w:szCs w:val="32"/>
        </w:rPr>
      </w:pPr>
    </w:p>
    <w:p w14:paraId="72736145">
      <w:pPr>
        <w:spacing w:line="600" w:lineRule="exact"/>
        <w:ind w:firstLine="643" w:firstLineChars="200"/>
        <w:outlineLvl w:val="2"/>
        <w:rPr>
          <w:rFonts w:eastAsia="楷体_GB2312" w:cs="楷体_GB2312"/>
          <w:b/>
          <w:sz w:val="32"/>
          <w:szCs w:val="32"/>
        </w:rPr>
      </w:pPr>
      <w:bookmarkStart w:id="31" w:name="_Toc15377211"/>
      <w:r>
        <w:rPr>
          <w:rFonts w:hint="eastAsia" w:eastAsia="楷体_GB2312" w:cs="楷体_GB2312"/>
          <w:b/>
          <w:sz w:val="32"/>
          <w:szCs w:val="32"/>
        </w:rPr>
        <w:t>（二）一般公共预算财政拨款支出决算结构情况</w:t>
      </w:r>
      <w:bookmarkEnd w:id="31"/>
    </w:p>
    <w:p w14:paraId="46434065">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2025年度一般公共预算财政拨款支出218.49万元，主要用于以下方面：一般公共服务支出9.81万元，占</w:t>
      </w:r>
      <w:r>
        <w:rPr>
          <w:rFonts w:hint="eastAsia" w:eastAsia="仿宋_GB2312" w:cs="仿宋_GB2312"/>
          <w:sz w:val="32"/>
          <w:szCs w:val="32"/>
          <w:lang w:val="en-US" w:eastAsia="zh-CN"/>
        </w:rPr>
        <w:t>4.5</w:t>
      </w:r>
      <w:r>
        <w:rPr>
          <w:rFonts w:hint="eastAsia" w:eastAsia="仿宋_GB2312" w:cs="仿宋_GB2312"/>
          <w:sz w:val="32"/>
          <w:szCs w:val="32"/>
        </w:rPr>
        <w:t>%；科学技术支出163.12万元，占</w:t>
      </w:r>
      <w:r>
        <w:rPr>
          <w:rFonts w:hint="eastAsia" w:eastAsia="仿宋_GB2312" w:cs="仿宋_GB2312"/>
          <w:sz w:val="32"/>
          <w:szCs w:val="32"/>
          <w:lang w:val="en-US" w:eastAsia="zh-CN"/>
        </w:rPr>
        <w:t>74.7</w:t>
      </w:r>
      <w:r>
        <w:rPr>
          <w:rFonts w:hint="eastAsia" w:eastAsia="仿宋_GB2312" w:cs="仿宋_GB2312"/>
          <w:sz w:val="32"/>
          <w:szCs w:val="32"/>
        </w:rPr>
        <w:t>%；社会保障和就业支出19.33万元，占</w:t>
      </w:r>
      <w:r>
        <w:rPr>
          <w:rFonts w:hint="eastAsia" w:eastAsia="仿宋_GB2312" w:cs="仿宋_GB2312"/>
          <w:sz w:val="32"/>
          <w:szCs w:val="32"/>
          <w:lang w:val="en-US" w:eastAsia="zh-CN"/>
        </w:rPr>
        <w:t>8.8</w:t>
      </w:r>
      <w:r>
        <w:rPr>
          <w:rFonts w:hint="eastAsia" w:eastAsia="仿宋_GB2312" w:cs="仿宋_GB2312"/>
          <w:sz w:val="32"/>
          <w:szCs w:val="32"/>
        </w:rPr>
        <w:t>%；卫生健康支出11.09万元，占</w:t>
      </w:r>
      <w:r>
        <w:rPr>
          <w:rFonts w:hint="eastAsia" w:eastAsia="仿宋_GB2312" w:cs="仿宋_GB2312"/>
          <w:sz w:val="32"/>
          <w:szCs w:val="32"/>
          <w:lang w:val="en-US" w:eastAsia="zh-CN"/>
        </w:rPr>
        <w:t>5.1</w:t>
      </w:r>
      <w:r>
        <w:rPr>
          <w:rFonts w:hint="eastAsia" w:eastAsia="仿宋_GB2312" w:cs="仿宋_GB2312"/>
          <w:sz w:val="32"/>
          <w:szCs w:val="32"/>
        </w:rPr>
        <w:t>%；住房保障支出15.14万元，占</w:t>
      </w:r>
      <w:r>
        <w:rPr>
          <w:rFonts w:hint="eastAsia" w:eastAsia="仿宋_GB2312" w:cs="仿宋_GB2312"/>
          <w:sz w:val="32"/>
          <w:szCs w:val="32"/>
          <w:lang w:val="en-US" w:eastAsia="zh-CN"/>
        </w:rPr>
        <w:t>6.9</w:t>
      </w:r>
      <w:r>
        <w:rPr>
          <w:rFonts w:hint="eastAsia" w:eastAsia="仿宋_GB2312" w:cs="仿宋_GB2312"/>
          <w:sz w:val="32"/>
          <w:szCs w:val="32"/>
        </w:rPr>
        <w:t>%</w:t>
      </w:r>
      <w:r>
        <w:rPr>
          <w:rFonts w:hint="eastAsia" w:eastAsia="仿宋_GB2312" w:cs="仿宋_GB2312"/>
          <w:sz w:val="32"/>
          <w:szCs w:val="32"/>
          <w:lang w:eastAsia="zh-CN"/>
        </w:rPr>
        <w:t>。</w:t>
      </w:r>
    </w:p>
    <w:p w14:paraId="3364AC2D">
      <w:pPr>
        <w:spacing w:line="600" w:lineRule="exact"/>
        <w:ind w:firstLine="640"/>
        <w:rPr>
          <w:rFonts w:hint="eastAsia" w:eastAsia="仿宋_GB2312" w:cs="仿宋_GB2312"/>
          <w:sz w:val="32"/>
          <w:szCs w:val="32"/>
        </w:rPr>
      </w:pPr>
    </w:p>
    <w:p w14:paraId="5B7C0936">
      <w:pPr>
        <w:spacing w:line="600" w:lineRule="exact"/>
        <w:ind w:firstLine="640"/>
        <w:rPr>
          <w:rFonts w:hint="eastAsia" w:eastAsia="仿宋_GB2312" w:cs="仿宋_GB2312"/>
          <w:sz w:val="32"/>
          <w:szCs w:val="32"/>
        </w:rPr>
      </w:pPr>
    </w:p>
    <w:p w14:paraId="3014F234">
      <w:pPr>
        <w:spacing w:line="600" w:lineRule="exact"/>
        <w:ind w:firstLine="640"/>
        <w:rPr>
          <w:rFonts w:hint="eastAsia" w:eastAsia="仿宋_GB2312" w:cs="仿宋_GB2312"/>
          <w:sz w:val="32"/>
          <w:szCs w:val="32"/>
        </w:rPr>
      </w:pPr>
    </w:p>
    <w:p w14:paraId="6ECC26D2">
      <w:pPr>
        <w:spacing w:line="600" w:lineRule="exact"/>
        <w:ind w:firstLine="640"/>
        <w:rPr>
          <w:rFonts w:hint="eastAsia" w:eastAsia="仿宋_GB2312" w:cs="仿宋_GB2312"/>
          <w:sz w:val="32"/>
          <w:szCs w:val="32"/>
        </w:rPr>
      </w:pPr>
    </w:p>
    <w:p w14:paraId="18700469">
      <w:pPr>
        <w:spacing w:line="600" w:lineRule="exact"/>
        <w:ind w:firstLine="640"/>
        <w:rPr>
          <w:rFonts w:hint="eastAsia" w:eastAsia="仿宋_GB2312" w:cs="仿宋_GB2312"/>
          <w:sz w:val="32"/>
          <w:szCs w:val="32"/>
        </w:rPr>
      </w:pPr>
    </w:p>
    <w:p w14:paraId="60657730">
      <w:pPr>
        <w:spacing w:line="600" w:lineRule="exact"/>
        <w:ind w:firstLine="640"/>
        <w:rPr>
          <w:rFonts w:hint="eastAsia" w:eastAsia="仿宋_GB2312" w:cs="仿宋_GB2312"/>
          <w:sz w:val="32"/>
          <w:szCs w:val="32"/>
        </w:rPr>
      </w:pPr>
    </w:p>
    <w:p w14:paraId="2ECFE721">
      <w:pPr>
        <w:spacing w:line="600" w:lineRule="exact"/>
        <w:ind w:firstLine="640"/>
        <w:rPr>
          <w:rFonts w:eastAsia="仿宋_GB2312" w:cs="仿宋_GB2312"/>
          <w:sz w:val="32"/>
          <w:szCs w:val="32"/>
        </w:rPr>
      </w:pPr>
      <w:r>
        <w:rPr>
          <w:rFonts w:hint="eastAsia" w:eastAsia="仿宋_GB2312" w:cs="仿宋_GB2312"/>
          <w:sz w:val="32"/>
          <w:szCs w:val="32"/>
        </w:rPr>
        <w:drawing>
          <wp:anchor distT="0" distB="0" distL="114300" distR="114300" simplePos="0" relativeHeight="251663360" behindDoc="0" locked="0" layoutInCell="1" allowOverlap="1">
            <wp:simplePos x="0" y="0"/>
            <wp:positionH relativeFrom="column">
              <wp:posOffset>8890</wp:posOffset>
            </wp:positionH>
            <wp:positionV relativeFrom="paragraph">
              <wp:posOffset>29210</wp:posOffset>
            </wp:positionV>
            <wp:extent cx="5256530" cy="2988310"/>
            <wp:effectExtent l="5080" t="4445" r="15240" b="17145"/>
            <wp:wrapTopAndBottom/>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eastAsia="仿宋_GB2312" w:cs="仿宋_GB2312"/>
          <w:sz w:val="32"/>
          <w:szCs w:val="32"/>
        </w:rPr>
        <w:t>（图6：一般公共预算财政拨款支出决算结构）（饼状图）</w:t>
      </w:r>
    </w:p>
    <w:p w14:paraId="49A8FC19">
      <w:pPr>
        <w:spacing w:line="600" w:lineRule="exact"/>
        <w:ind w:firstLine="640"/>
        <w:rPr>
          <w:rFonts w:eastAsia="仿宋_GB2312" w:cs="仿宋_GB2312"/>
          <w:sz w:val="32"/>
          <w:szCs w:val="32"/>
        </w:rPr>
      </w:pPr>
    </w:p>
    <w:p w14:paraId="5AF151A5">
      <w:pPr>
        <w:spacing w:line="600" w:lineRule="exact"/>
        <w:ind w:firstLine="643" w:firstLineChars="200"/>
        <w:outlineLvl w:val="2"/>
        <w:rPr>
          <w:rFonts w:eastAsia="楷体_GB2312" w:cs="楷体_GB2312"/>
          <w:b/>
          <w:sz w:val="32"/>
          <w:szCs w:val="32"/>
        </w:rPr>
      </w:pPr>
      <w:bookmarkStart w:id="32" w:name="_Toc15377212"/>
      <w:r>
        <w:rPr>
          <w:rFonts w:hint="eastAsia" w:eastAsia="楷体_GB2312" w:cs="楷体_GB2312"/>
          <w:b/>
          <w:sz w:val="32"/>
          <w:szCs w:val="32"/>
        </w:rPr>
        <w:t>（三）一般公共预算财政拨款支出决算具体情况</w:t>
      </w:r>
      <w:bookmarkEnd w:id="32"/>
    </w:p>
    <w:p w14:paraId="425FF582">
      <w:pPr>
        <w:spacing w:line="600" w:lineRule="exact"/>
        <w:ind w:firstLine="640"/>
        <w:rPr>
          <w:rFonts w:eastAsia="仿宋_GB2312" w:cs="仿宋_GB2312"/>
          <w:sz w:val="32"/>
          <w:szCs w:val="32"/>
        </w:rPr>
      </w:pPr>
      <w:bookmarkStart w:id="33" w:name="_Toc15377444"/>
      <w:bookmarkStart w:id="34" w:name="_Toc15378460"/>
      <w:bookmarkStart w:id="35" w:name="_Toc15377213"/>
      <w:r>
        <w:rPr>
          <w:rFonts w:hint="eastAsia" w:eastAsia="仿宋_GB2312" w:cs="仿宋_GB2312"/>
          <w:sz w:val="32"/>
          <w:szCs w:val="32"/>
        </w:rPr>
        <w:t>2025年度一般公共预算支出决算数为218.49，完成预算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33"/>
      <w:bookmarkEnd w:id="34"/>
      <w:bookmarkEnd w:id="35"/>
    </w:p>
    <w:p w14:paraId="6EB48406">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1.一般公共服务（类）人大事务（款）行政运行（项）：支出决算为</w:t>
      </w:r>
      <w:r>
        <w:rPr>
          <w:rFonts w:hint="eastAsia" w:eastAsia="仿宋_GB2312" w:cs="仿宋_GB2312"/>
          <w:sz w:val="32"/>
          <w:szCs w:val="32"/>
          <w:lang w:val="en-US" w:eastAsia="zh-CN"/>
        </w:rPr>
        <w:t>9.81</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3B5F161F">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2.科学技术（类）科学技术管理事务（款）行政运行（项）：支出决算为160.12万元，完成预算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5A3D4968">
      <w:pPr>
        <w:spacing w:line="600" w:lineRule="exact"/>
        <w:ind w:firstLine="640"/>
        <w:rPr>
          <w:rFonts w:hint="eastAsia" w:eastAsia="仿宋_GB2312" w:cs="仿宋_GB2312"/>
          <w:sz w:val="32"/>
          <w:szCs w:val="32"/>
          <w:lang w:eastAsia="zh-CN"/>
        </w:rPr>
      </w:pPr>
      <w:r>
        <w:rPr>
          <w:rFonts w:hint="eastAsia" w:eastAsia="仿宋_GB2312" w:cs="仿宋_GB2312"/>
          <w:sz w:val="32"/>
          <w:szCs w:val="32"/>
          <w:lang w:val="en-US" w:eastAsia="zh-CN"/>
        </w:rPr>
        <w:t>3.</w:t>
      </w:r>
      <w:r>
        <w:rPr>
          <w:rFonts w:hint="eastAsia" w:eastAsia="仿宋_GB2312" w:cs="仿宋_GB2312"/>
          <w:sz w:val="32"/>
          <w:szCs w:val="32"/>
        </w:rPr>
        <w:t>科学技术（类）其他科学技术支出（款）其他科学技术支出（项）：支出决算为</w:t>
      </w:r>
      <w:r>
        <w:rPr>
          <w:rFonts w:hint="eastAsia" w:eastAsia="仿宋_GB2312" w:cs="仿宋_GB2312"/>
          <w:sz w:val="32"/>
          <w:szCs w:val="32"/>
          <w:lang w:val="en-US" w:eastAsia="zh-CN"/>
        </w:rPr>
        <w:t>3</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419C1DEE">
      <w:pPr>
        <w:spacing w:line="600" w:lineRule="exact"/>
        <w:ind w:firstLine="640"/>
        <w:rPr>
          <w:rFonts w:hint="eastAsia" w:eastAsia="仿宋_GB2312" w:cs="仿宋_GB2312"/>
          <w:sz w:val="32"/>
          <w:szCs w:val="32"/>
          <w:lang w:eastAsia="zh-CN"/>
        </w:rPr>
      </w:pPr>
      <w:r>
        <w:rPr>
          <w:rFonts w:hint="eastAsia" w:eastAsia="仿宋_GB2312" w:cs="仿宋_GB2312"/>
          <w:sz w:val="32"/>
          <w:szCs w:val="32"/>
          <w:lang w:val="en-US" w:eastAsia="zh-CN"/>
        </w:rPr>
        <w:t>4.</w:t>
      </w:r>
      <w:r>
        <w:rPr>
          <w:rFonts w:hint="eastAsia" w:eastAsia="仿宋_GB2312" w:cs="仿宋_GB2312"/>
          <w:sz w:val="32"/>
          <w:szCs w:val="32"/>
        </w:rPr>
        <w:t>社会保障和就业（类）行政事业单位养老支出（款）行政单位离退休（项）：支出决算为0.37万元，完成预算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3A998451">
      <w:pPr>
        <w:spacing w:line="600" w:lineRule="exact"/>
        <w:ind w:firstLine="640"/>
        <w:rPr>
          <w:rFonts w:hint="eastAsia" w:eastAsia="仿宋_GB2312" w:cs="仿宋_GB2312"/>
          <w:sz w:val="32"/>
          <w:szCs w:val="32"/>
          <w:lang w:eastAsia="zh-CN"/>
        </w:rPr>
      </w:pPr>
      <w:r>
        <w:rPr>
          <w:rFonts w:hint="eastAsia" w:eastAsia="仿宋_GB2312" w:cs="仿宋_GB2312"/>
          <w:sz w:val="32"/>
          <w:szCs w:val="32"/>
          <w:lang w:val="en-US" w:eastAsia="zh-CN"/>
        </w:rPr>
        <w:t>5.</w:t>
      </w:r>
      <w:r>
        <w:rPr>
          <w:rFonts w:hint="eastAsia" w:eastAsia="仿宋_GB2312" w:cs="仿宋_GB2312"/>
          <w:sz w:val="32"/>
          <w:szCs w:val="32"/>
        </w:rPr>
        <w:t>社会保障和就业（类）行政事业单位养老支出（款）机关事业单位基本养老保险缴费（项）：支出决算为18.96万元，完成预算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44FEAAEC">
      <w:pPr>
        <w:spacing w:line="600" w:lineRule="exact"/>
        <w:ind w:firstLine="640"/>
        <w:rPr>
          <w:rFonts w:hint="eastAsia" w:eastAsia="仿宋_GB2312" w:cs="仿宋_GB2312"/>
          <w:sz w:val="32"/>
          <w:szCs w:val="32"/>
          <w:lang w:eastAsia="zh-CN"/>
        </w:rPr>
      </w:pPr>
      <w:r>
        <w:rPr>
          <w:rFonts w:hint="eastAsia" w:eastAsia="仿宋_GB2312" w:cs="仿宋_GB2312"/>
          <w:sz w:val="32"/>
          <w:szCs w:val="32"/>
          <w:lang w:val="en-US" w:eastAsia="zh-CN"/>
        </w:rPr>
        <w:t>6</w:t>
      </w:r>
      <w:r>
        <w:rPr>
          <w:rFonts w:hint="eastAsia" w:eastAsia="仿宋_GB2312" w:cs="仿宋_GB2312"/>
          <w:sz w:val="32"/>
          <w:szCs w:val="32"/>
        </w:rPr>
        <w:t>.卫生健康（类）行政事业单位医疗（款）行政单位医疗（项）：支出决算为10.03万元，完成预算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171EFEB7">
      <w:pPr>
        <w:spacing w:line="600" w:lineRule="exact"/>
        <w:ind w:firstLine="640"/>
        <w:rPr>
          <w:rFonts w:hint="eastAsia" w:eastAsia="仿宋_GB2312" w:cs="仿宋_GB2312"/>
          <w:sz w:val="32"/>
          <w:szCs w:val="32"/>
          <w:lang w:eastAsia="zh-CN"/>
        </w:rPr>
      </w:pPr>
      <w:r>
        <w:rPr>
          <w:rFonts w:hint="eastAsia" w:eastAsia="仿宋_GB2312" w:cs="仿宋_GB2312"/>
          <w:sz w:val="32"/>
          <w:szCs w:val="32"/>
          <w:lang w:val="en-US" w:eastAsia="zh-CN"/>
        </w:rPr>
        <w:t>7.</w:t>
      </w:r>
      <w:r>
        <w:rPr>
          <w:rFonts w:hint="eastAsia" w:eastAsia="仿宋_GB2312" w:cs="仿宋_GB2312"/>
          <w:sz w:val="32"/>
          <w:szCs w:val="32"/>
        </w:rPr>
        <w:t>卫生健康（类）行政事业单位医疗（款）公务员医疗补助（项）：支出决算为1.06万元，完成预算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77725D0D">
      <w:pPr>
        <w:spacing w:line="600" w:lineRule="exact"/>
        <w:ind w:firstLine="640"/>
        <w:rPr>
          <w:rFonts w:hint="eastAsia" w:eastAsia="仿宋_GB2312" w:cs="仿宋_GB2312"/>
          <w:sz w:val="32"/>
          <w:szCs w:val="32"/>
          <w:lang w:eastAsia="zh-CN"/>
        </w:rPr>
      </w:pPr>
      <w:r>
        <w:rPr>
          <w:rFonts w:hint="eastAsia" w:eastAsia="仿宋_GB2312" w:cs="仿宋_GB2312"/>
          <w:sz w:val="32"/>
          <w:szCs w:val="32"/>
          <w:lang w:val="en-US" w:eastAsia="zh-CN"/>
        </w:rPr>
        <w:t>8.</w:t>
      </w:r>
      <w:r>
        <w:rPr>
          <w:rFonts w:hint="eastAsia" w:eastAsia="仿宋_GB2312" w:cs="仿宋_GB2312"/>
          <w:sz w:val="32"/>
          <w:szCs w:val="32"/>
        </w:rPr>
        <w:t>住房保障（类）住房改革支出（款）住房公积金（项）：支出决算为15.14万元，完成预算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14D8D877">
      <w:pPr>
        <w:spacing w:line="600" w:lineRule="exact"/>
        <w:ind w:firstLine="640"/>
        <w:rPr>
          <w:rFonts w:eastAsia="仿宋_GB2312" w:cs="仿宋_GB2312"/>
          <w:sz w:val="32"/>
          <w:szCs w:val="32"/>
        </w:rPr>
      </w:pPr>
    </w:p>
    <w:p w14:paraId="35B1ABE2">
      <w:pPr>
        <w:tabs>
          <w:tab w:val="right" w:pos="8306"/>
        </w:tabs>
        <w:spacing w:line="600" w:lineRule="exact"/>
        <w:ind w:firstLine="640"/>
        <w:outlineLvl w:val="1"/>
        <w:rPr>
          <w:rStyle w:val="29"/>
          <w:rFonts w:ascii="Times New Roman" w:hAnsi="Times New Roman"/>
        </w:rPr>
      </w:pPr>
      <w:bookmarkStart w:id="36" w:name="_Toc15396608"/>
      <w:bookmarkStart w:id="37" w:name="_Toc15377214"/>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36"/>
      <w:bookmarkEnd w:id="37"/>
      <w:r>
        <w:rPr>
          <w:rStyle w:val="29"/>
          <w:rFonts w:ascii="Times New Roman" w:hAnsi="Times New Roman" w:eastAsia="黑体"/>
          <w:b w:val="0"/>
        </w:rPr>
        <w:tab/>
      </w:r>
    </w:p>
    <w:p w14:paraId="2FBD4BB2">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2025年度一般公共预算财政拨款基本支出</w:t>
      </w:r>
      <w:r>
        <w:rPr>
          <w:rFonts w:hint="eastAsia" w:eastAsia="仿宋_GB2312" w:cs="仿宋_GB2312"/>
          <w:sz w:val="32"/>
          <w:szCs w:val="32"/>
          <w:lang w:val="en-US" w:eastAsia="zh-CN"/>
        </w:rPr>
        <w:t>215.49</w:t>
      </w:r>
      <w:r>
        <w:rPr>
          <w:rFonts w:hint="eastAsia" w:eastAsia="仿宋_GB2312" w:cs="仿宋_GB2312"/>
          <w:sz w:val="32"/>
          <w:szCs w:val="32"/>
        </w:rPr>
        <w:t>万元，其中：</w:t>
      </w:r>
    </w:p>
    <w:p w14:paraId="1931ED0C">
      <w:pPr>
        <w:spacing w:line="600" w:lineRule="exact"/>
        <w:ind w:firstLine="640"/>
        <w:rPr>
          <w:rFonts w:eastAsia="仿宋_GB2312" w:cs="仿宋_GB2312"/>
          <w:sz w:val="32"/>
          <w:szCs w:val="32"/>
        </w:rPr>
      </w:pPr>
      <w:r>
        <w:rPr>
          <w:rFonts w:hint="eastAsia" w:eastAsia="仿宋_GB2312" w:cs="仿宋_GB2312"/>
          <w:sz w:val="32"/>
          <w:szCs w:val="32"/>
        </w:rPr>
        <w:t>人员经费192.13万元，主要包括：基本工资、津贴补贴、奖金、机关事业单位基本养老保险缴费、职工基本医疗保险缴费</w:t>
      </w:r>
      <w:r>
        <w:rPr>
          <w:rFonts w:hint="eastAsia" w:eastAsia="仿宋_GB2312" w:cs="仿宋_GB2312"/>
          <w:sz w:val="32"/>
          <w:szCs w:val="32"/>
          <w:lang w:eastAsia="zh-CN"/>
        </w:rPr>
        <w:t>、公务员医疗补助缴费、</w:t>
      </w:r>
      <w:r>
        <w:rPr>
          <w:rFonts w:hint="eastAsia" w:eastAsia="仿宋_GB2312" w:cs="仿宋_GB2312"/>
          <w:sz w:val="32"/>
          <w:szCs w:val="32"/>
        </w:rPr>
        <w:t>其他社会保障缴费、住房公积金、其他工资福利支出、对个人和家庭的补助</w:t>
      </w:r>
      <w:r>
        <w:rPr>
          <w:rFonts w:hint="eastAsia" w:eastAsia="仿宋_GB2312" w:cs="仿宋_GB2312"/>
          <w:sz w:val="32"/>
          <w:szCs w:val="32"/>
          <w:lang w:eastAsia="zh-CN"/>
        </w:rPr>
        <w:t>、</w:t>
      </w:r>
      <w:r>
        <w:rPr>
          <w:rFonts w:hint="eastAsia" w:eastAsia="仿宋_GB2312" w:cs="仿宋_GB2312"/>
          <w:sz w:val="32"/>
          <w:szCs w:val="32"/>
        </w:rPr>
        <w:t>生活补助、医疗费补助、奖励金等。</w:t>
      </w:r>
      <w:r>
        <w:rPr>
          <w:rFonts w:hint="eastAsia" w:eastAsia="仿宋_GB2312" w:cs="仿宋_GB2312"/>
          <w:sz w:val="32"/>
          <w:szCs w:val="32"/>
        </w:rPr>
        <w:br w:type="textWrapping"/>
      </w:r>
      <w:r>
        <w:rPr>
          <w:rFonts w:hint="eastAsia" w:eastAsia="仿宋_GB2312" w:cs="仿宋_GB2312"/>
          <w:sz w:val="32"/>
          <w:szCs w:val="32"/>
        </w:rPr>
        <w:t>　　公用经费23.36万元，主要包括：办公费</w:t>
      </w:r>
      <w:r>
        <w:rPr>
          <w:rFonts w:hint="eastAsia" w:eastAsia="仿宋_GB2312" w:cs="仿宋_GB2312"/>
          <w:sz w:val="32"/>
          <w:szCs w:val="32"/>
          <w:lang w:eastAsia="zh-CN"/>
        </w:rPr>
        <w:t>、</w:t>
      </w:r>
      <w:r>
        <w:rPr>
          <w:rFonts w:hint="eastAsia" w:eastAsia="仿宋_GB2312" w:cs="仿宋_GB2312"/>
          <w:sz w:val="32"/>
          <w:szCs w:val="32"/>
        </w:rPr>
        <w:t>水费、电费、邮电费、物业管理费、差旅费、公务接待费、工会经费、福利费、其他交通费、其他商品和服务支出等。</w:t>
      </w:r>
    </w:p>
    <w:p w14:paraId="03AB2A9F">
      <w:pPr>
        <w:spacing w:line="600" w:lineRule="exact"/>
        <w:ind w:firstLine="640"/>
        <w:rPr>
          <w:rFonts w:eastAsia="仿宋_GB2312" w:cs="仿宋_GB2312"/>
          <w:sz w:val="32"/>
          <w:szCs w:val="32"/>
        </w:rPr>
      </w:pPr>
    </w:p>
    <w:p w14:paraId="5DFF4310">
      <w:pPr>
        <w:spacing w:line="600" w:lineRule="exact"/>
        <w:ind w:firstLine="640"/>
        <w:outlineLvl w:val="1"/>
        <w:rPr>
          <w:rStyle w:val="29"/>
          <w:rFonts w:ascii="Times New Roman" w:hAnsi="Times New Roman" w:eastAsia="黑体"/>
          <w:b w:val="0"/>
        </w:rPr>
      </w:pPr>
      <w:bookmarkStart w:id="38" w:name="_Toc15396609"/>
      <w:bookmarkStart w:id="39" w:name="_Toc15377215"/>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38"/>
      <w:bookmarkEnd w:id="39"/>
    </w:p>
    <w:p w14:paraId="5562BC7B">
      <w:pPr>
        <w:spacing w:line="600" w:lineRule="exact"/>
        <w:ind w:firstLine="643" w:firstLineChars="200"/>
        <w:outlineLvl w:val="2"/>
        <w:rPr>
          <w:rFonts w:eastAsia="楷体_GB2312" w:cs="楷体_GB2312"/>
          <w:b/>
          <w:sz w:val="32"/>
          <w:szCs w:val="32"/>
        </w:rPr>
      </w:pPr>
      <w:bookmarkStart w:id="40" w:name="_Toc15377216"/>
      <w:r>
        <w:rPr>
          <w:rFonts w:hint="eastAsia" w:eastAsia="楷体_GB2312" w:cs="楷体_GB2312"/>
          <w:b/>
          <w:sz w:val="32"/>
          <w:szCs w:val="32"/>
        </w:rPr>
        <w:t>（一）财政拨款“三公”经费支出决算总体情况说明</w:t>
      </w:r>
      <w:bookmarkEnd w:id="40"/>
    </w:p>
    <w:p w14:paraId="0237B7AE">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2025年度财政拨款“三公”经费支出决算为</w:t>
      </w:r>
      <w:r>
        <w:rPr>
          <w:rFonts w:hint="eastAsia" w:eastAsia="仿宋_GB2312" w:cs="仿宋_GB2312"/>
          <w:sz w:val="32"/>
          <w:szCs w:val="32"/>
          <w:lang w:val="en-US" w:eastAsia="zh-CN"/>
        </w:rPr>
        <w:t>0.2</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%，较上年度</w:t>
      </w:r>
      <w:r>
        <w:rPr>
          <w:rFonts w:hint="eastAsia" w:eastAsia="仿宋_GB2312" w:cs="仿宋_GB2312"/>
          <w:sz w:val="32"/>
          <w:szCs w:val="32"/>
          <w:lang w:eastAsia="zh-CN"/>
        </w:rPr>
        <w:t>不变</w:t>
      </w:r>
      <w:r>
        <w:rPr>
          <w:rFonts w:hint="eastAsia" w:eastAsia="仿宋_GB2312" w:cs="仿宋_GB2312"/>
          <w:sz w:val="32"/>
          <w:szCs w:val="32"/>
        </w:rPr>
        <w:t>。决算数与预算数持平</w:t>
      </w:r>
      <w:r>
        <w:rPr>
          <w:rFonts w:hint="eastAsia" w:eastAsia="仿宋_GB2312" w:cs="仿宋_GB2312"/>
          <w:sz w:val="32"/>
          <w:szCs w:val="32"/>
          <w:lang w:eastAsia="zh-CN"/>
        </w:rPr>
        <w:t>。</w:t>
      </w:r>
    </w:p>
    <w:p w14:paraId="07A47470">
      <w:pPr>
        <w:spacing w:line="600" w:lineRule="exact"/>
        <w:ind w:firstLine="643" w:firstLineChars="200"/>
        <w:outlineLvl w:val="2"/>
        <w:rPr>
          <w:rFonts w:eastAsia="楷体_GB2312" w:cs="楷体_GB2312"/>
          <w:b/>
          <w:sz w:val="32"/>
          <w:szCs w:val="32"/>
        </w:rPr>
      </w:pPr>
      <w:bookmarkStart w:id="41" w:name="_Toc15377217"/>
      <w:r>
        <w:rPr>
          <w:rFonts w:hint="eastAsia" w:eastAsia="楷体_GB2312" w:cs="楷体_GB2312"/>
          <w:b/>
          <w:sz w:val="32"/>
          <w:szCs w:val="32"/>
        </w:rPr>
        <w:t>（二）财政拨款“三公”经费支出决算具体情况说明</w:t>
      </w:r>
      <w:bookmarkEnd w:id="41"/>
    </w:p>
    <w:p w14:paraId="38F4B05E">
      <w:pPr>
        <w:spacing w:line="600" w:lineRule="exact"/>
        <w:ind w:firstLine="640"/>
        <w:rPr>
          <w:rFonts w:eastAsia="仿宋_GB2312" w:cs="仿宋_GB2312"/>
          <w:sz w:val="32"/>
          <w:szCs w:val="32"/>
        </w:rPr>
      </w:pPr>
      <w:r>
        <w:rPr>
          <w:rFonts w:hint="eastAsia" w:eastAsia="仿宋_GB2312" w:cs="仿宋_GB2312"/>
          <w:sz w:val="32"/>
          <w:szCs w:val="32"/>
        </w:rPr>
        <w:t>2025年度财政拨款“三公”经费支出决算中，因公出国（境）费支出决算</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%；公务用车购置及运行维护费支出决算</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%；公务接待费支出决算</w:t>
      </w:r>
      <w:r>
        <w:rPr>
          <w:rFonts w:hint="eastAsia" w:eastAsia="仿宋_GB2312" w:cs="仿宋_GB2312"/>
          <w:sz w:val="32"/>
          <w:szCs w:val="32"/>
          <w:lang w:val="en-US" w:eastAsia="zh-CN"/>
        </w:rPr>
        <w:t>0.2</w:t>
      </w:r>
      <w:r>
        <w:rPr>
          <w:rFonts w:hint="eastAsia" w:eastAsia="仿宋_GB2312" w:cs="仿宋_GB2312"/>
          <w:sz w:val="32"/>
          <w:szCs w:val="32"/>
        </w:rPr>
        <w:t>万元，占</w:t>
      </w:r>
      <w:r>
        <w:rPr>
          <w:rFonts w:hint="eastAsia" w:eastAsia="仿宋_GB2312" w:cs="仿宋_GB2312"/>
          <w:sz w:val="32"/>
          <w:szCs w:val="32"/>
          <w:lang w:val="en-US" w:eastAsia="zh-CN"/>
        </w:rPr>
        <w:t>100</w:t>
      </w:r>
      <w:r>
        <w:rPr>
          <w:rFonts w:hint="eastAsia" w:eastAsia="仿宋_GB2312" w:cs="仿宋_GB2312"/>
          <w:sz w:val="32"/>
          <w:szCs w:val="32"/>
        </w:rPr>
        <w:t>%。具体情况如下：</w:t>
      </w:r>
    </w:p>
    <w:p w14:paraId="3E8D571E">
      <w:pPr>
        <w:spacing w:line="600" w:lineRule="exact"/>
        <w:ind w:firstLine="640"/>
        <w:rPr>
          <w:rFonts w:eastAsia="仿宋_GB2312" w:cs="仿宋_GB2312"/>
          <w:sz w:val="32"/>
          <w:szCs w:val="32"/>
        </w:rPr>
      </w:pPr>
      <w:r>
        <w:rPr>
          <w:rFonts w:hint="eastAsia" w:eastAsia="仿宋_GB2312" w:cs="仿宋_GB2312"/>
          <w:sz w:val="32"/>
          <w:szCs w:val="32"/>
        </w:rPr>
        <w:drawing>
          <wp:anchor distT="0" distB="0" distL="114300" distR="114300" simplePos="0" relativeHeight="251664384" behindDoc="0" locked="0" layoutInCell="1" allowOverlap="1">
            <wp:simplePos x="0" y="0"/>
            <wp:positionH relativeFrom="column">
              <wp:posOffset>-26035</wp:posOffset>
            </wp:positionH>
            <wp:positionV relativeFrom="paragraph">
              <wp:posOffset>23495</wp:posOffset>
            </wp:positionV>
            <wp:extent cx="5256530" cy="2988310"/>
            <wp:effectExtent l="5080" t="4445" r="15240" b="1714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eastAsia="仿宋_GB2312" w:cs="仿宋_GB2312"/>
          <w:sz w:val="32"/>
          <w:szCs w:val="32"/>
        </w:rPr>
        <w:t>（图7：财政拨款“三公”经费支出结构）（饼状图）</w:t>
      </w:r>
    </w:p>
    <w:p w14:paraId="5F87FCA0">
      <w:pPr>
        <w:spacing w:line="600" w:lineRule="exact"/>
        <w:ind w:firstLine="640"/>
        <w:rPr>
          <w:rFonts w:hint="default" w:ascii="Times New Roman" w:hAnsi="Times New Roman" w:eastAsia="仿宋_GB2312" w:cs="Times New Roman"/>
          <w:b/>
          <w:color w:val="000000" w:themeColor="text1"/>
          <w:sz w:val="32"/>
          <w:szCs w:val="32"/>
          <w14:textFill>
            <w14:solidFill>
              <w14:schemeClr w14:val="tx1"/>
            </w14:solidFill>
          </w14:textFill>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全年安排因公出国（境）团组</w:t>
      </w:r>
      <w:r>
        <w:rPr>
          <w:rFonts w:hint="eastAsia" w:eastAsia="仿宋_GB2312" w:cs="仿宋_GB2312"/>
          <w:sz w:val="32"/>
          <w:szCs w:val="32"/>
          <w:lang w:val="en-US" w:eastAsia="zh-CN"/>
        </w:rPr>
        <w:t>0</w:t>
      </w:r>
      <w:r>
        <w:rPr>
          <w:rFonts w:hint="eastAsia" w:eastAsia="仿宋_GB2312" w:cs="仿宋_GB2312"/>
          <w:sz w:val="32"/>
          <w:szCs w:val="32"/>
        </w:rPr>
        <w:t>次，出国（境）</w:t>
      </w:r>
      <w:r>
        <w:rPr>
          <w:rFonts w:hint="eastAsia" w:eastAsia="仿宋_GB2312" w:cs="仿宋_GB2312"/>
          <w:sz w:val="32"/>
          <w:szCs w:val="32"/>
          <w:lang w:val="en-US" w:eastAsia="zh-CN"/>
        </w:rPr>
        <w:t>0</w:t>
      </w:r>
      <w:r>
        <w:rPr>
          <w:rFonts w:hint="eastAsia" w:eastAsia="仿宋_GB2312" w:cs="仿宋_GB2312"/>
          <w:sz w:val="32"/>
          <w:szCs w:val="32"/>
        </w:rPr>
        <w:t>人。因公出国（境）支出决算</w:t>
      </w:r>
      <w:r>
        <w:rPr>
          <w:rFonts w:hint="eastAsia" w:eastAsia="仿宋_GB2312" w:cs="仿宋_GB2312"/>
          <w:sz w:val="32"/>
          <w:szCs w:val="32"/>
          <w:lang w:eastAsia="zh-CN"/>
        </w:rPr>
        <w:t>与</w:t>
      </w:r>
      <w:r>
        <w:rPr>
          <w:rFonts w:hint="eastAsia" w:eastAsia="仿宋_GB2312" w:cs="仿宋_GB2312"/>
          <w:sz w:val="32"/>
          <w:szCs w:val="32"/>
        </w:rPr>
        <w:t>上年度</w:t>
      </w:r>
      <w:r>
        <w:rPr>
          <w:rFonts w:hint="eastAsia" w:eastAsia="仿宋_GB2312" w:cs="仿宋_GB2312"/>
          <w:sz w:val="32"/>
          <w:szCs w:val="32"/>
          <w:lang w:eastAsia="zh-CN"/>
        </w:rPr>
        <w:t>持平。</w:t>
      </w:r>
      <w:r>
        <w:rPr>
          <w:rFonts w:hint="default" w:ascii="Times New Roman" w:hAnsi="Times New Roman" w:eastAsia="仿宋_GB2312" w:cs="Times New Roman"/>
          <w:color w:val="000000" w:themeColor="text1"/>
          <w:sz w:val="32"/>
          <w:szCs w:val="32"/>
          <w14:textFill>
            <w14:solidFill>
              <w14:schemeClr w14:val="tx1"/>
            </w14:solidFill>
          </w14:textFill>
        </w:rPr>
        <w:t>主要原因是我单位未有因公出国（境）事项。</w:t>
      </w:r>
    </w:p>
    <w:p w14:paraId="6E66A87D">
      <w:pPr>
        <w:spacing w:line="600" w:lineRule="exact"/>
        <w:ind w:firstLine="640"/>
        <w:rPr>
          <w:rFonts w:hint="eastAsia" w:eastAsia="仿宋_GB2312" w:cs="仿宋_GB2312"/>
          <w:sz w:val="32"/>
          <w:szCs w:val="32"/>
          <w:lang w:eastAsia="zh-CN"/>
        </w:rPr>
      </w:pPr>
      <w:r>
        <w:rPr>
          <w:rFonts w:hint="eastAsia" w:eastAsia="仿宋_GB2312" w:cs="仿宋_GB2312"/>
          <w:b/>
          <w:bCs/>
          <w:sz w:val="32"/>
          <w:szCs w:val="32"/>
        </w:rPr>
        <w:t>2.公务用车购置及运行维护费支出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公务用车购置及运行维护费支出决算</w:t>
      </w:r>
      <w:r>
        <w:rPr>
          <w:rFonts w:hint="eastAsia" w:eastAsia="仿宋_GB2312" w:cs="仿宋_GB2312"/>
          <w:sz w:val="32"/>
          <w:szCs w:val="32"/>
          <w:lang w:eastAsia="zh-CN"/>
        </w:rPr>
        <w:t>与</w:t>
      </w:r>
      <w:r>
        <w:rPr>
          <w:rFonts w:hint="eastAsia" w:eastAsia="仿宋_GB2312" w:cs="仿宋_GB2312"/>
          <w:sz w:val="32"/>
          <w:szCs w:val="32"/>
        </w:rPr>
        <w:t>上年度</w:t>
      </w:r>
      <w:r>
        <w:rPr>
          <w:rFonts w:hint="eastAsia" w:eastAsia="仿宋_GB2312" w:cs="仿宋_GB2312"/>
          <w:sz w:val="32"/>
          <w:szCs w:val="32"/>
          <w:lang w:eastAsia="zh-CN"/>
        </w:rPr>
        <w:t>持平</w:t>
      </w:r>
      <w:r>
        <w:rPr>
          <w:rFonts w:hint="eastAsia" w:eastAsia="仿宋_GB2312" w:cs="仿宋_GB2312"/>
          <w:sz w:val="32"/>
          <w:szCs w:val="32"/>
        </w:rPr>
        <w:t>。主要原因是</w:t>
      </w:r>
      <w:r>
        <w:rPr>
          <w:rFonts w:hint="default" w:ascii="Times New Roman" w:hAnsi="Times New Roman" w:eastAsia="仿宋_GB2312" w:cs="Times New Roman"/>
          <w:color w:val="000000" w:themeColor="text1"/>
          <w:sz w:val="32"/>
          <w:szCs w:val="32"/>
          <w14:textFill>
            <w14:solidFill>
              <w14:schemeClr w14:val="tx1"/>
            </w14:solidFill>
          </w14:textFill>
        </w:rPr>
        <w:t>我单位没有公务</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用</w:t>
      </w:r>
      <w:r>
        <w:rPr>
          <w:rFonts w:hint="default" w:ascii="Times New Roman" w:hAnsi="Times New Roman" w:eastAsia="仿宋_GB2312" w:cs="Times New Roman"/>
          <w:color w:val="000000" w:themeColor="text1"/>
          <w:sz w:val="32"/>
          <w:szCs w:val="32"/>
          <w14:textFill>
            <w14:solidFill>
              <w14:schemeClr w14:val="tx1"/>
            </w14:solidFill>
          </w14:textFill>
        </w:rPr>
        <w:t>车</w:t>
      </w:r>
      <w:r>
        <w:rPr>
          <w:rFonts w:hint="eastAsia" w:eastAsia="仿宋_GB2312" w:cs="Times New Roman"/>
          <w:color w:val="000000" w:themeColor="text1"/>
          <w:sz w:val="32"/>
          <w:szCs w:val="32"/>
          <w:lang w:eastAsia="zh-CN"/>
          <w14:textFill>
            <w14:solidFill>
              <w14:schemeClr w14:val="tx1"/>
            </w14:solidFill>
          </w14:textFill>
        </w:rPr>
        <w:t>。</w:t>
      </w:r>
    </w:p>
    <w:p w14:paraId="3DB8FDBE">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eastAsia="仿宋_GB2312" w:cs="仿宋_GB2312"/>
          <w:b/>
          <w:bCs/>
          <w:sz w:val="32"/>
          <w:szCs w:val="32"/>
          <w:lang w:val="en-US" w:eastAsia="zh-CN"/>
        </w:rPr>
        <w:t>0.2</w:t>
      </w:r>
      <w:r>
        <w:rPr>
          <w:rFonts w:hint="eastAsia" w:eastAsia="仿宋_GB2312" w:cs="仿宋_GB2312"/>
          <w:b/>
          <w:bCs/>
          <w:sz w:val="32"/>
          <w:szCs w:val="32"/>
        </w:rPr>
        <w:t>万元，完成预算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公务接待费支出决算比上年度</w:t>
      </w:r>
      <w:r>
        <w:rPr>
          <w:rFonts w:hint="eastAsia" w:eastAsia="仿宋_GB2312" w:cs="仿宋_GB2312"/>
          <w:sz w:val="32"/>
          <w:szCs w:val="32"/>
          <w:lang w:eastAsia="zh-CN"/>
        </w:rPr>
        <w:t>持平</w:t>
      </w:r>
      <w:r>
        <w:rPr>
          <w:rFonts w:hint="eastAsia" w:eastAsia="仿宋_GB2312" w:cs="仿宋_GB2312"/>
          <w:sz w:val="32"/>
          <w:szCs w:val="32"/>
        </w:rPr>
        <w:t>。其中：</w:t>
      </w:r>
    </w:p>
    <w:p w14:paraId="77A1445F">
      <w:pPr>
        <w:spacing w:line="600" w:lineRule="exact"/>
        <w:ind w:firstLine="640"/>
        <w:rPr>
          <w:rFonts w:eastAsia="仿宋_GB2312" w:cs="仿宋_GB2312"/>
          <w:sz w:val="32"/>
          <w:szCs w:val="32"/>
        </w:rPr>
      </w:pPr>
      <w:r>
        <w:rPr>
          <w:rFonts w:hint="eastAsia" w:eastAsia="仿宋_GB2312" w:cs="仿宋_GB2312"/>
          <w:sz w:val="32"/>
          <w:szCs w:val="32"/>
        </w:rPr>
        <w:t>国内公务接待支出</w:t>
      </w:r>
      <w:r>
        <w:rPr>
          <w:rFonts w:hint="eastAsia" w:eastAsia="仿宋_GB2312" w:cs="仿宋_GB2312"/>
          <w:sz w:val="32"/>
          <w:szCs w:val="32"/>
          <w:lang w:val="en-US" w:eastAsia="zh-CN"/>
        </w:rPr>
        <w:t>0.2</w:t>
      </w:r>
      <w:r>
        <w:rPr>
          <w:rFonts w:hint="eastAsia" w:eastAsia="仿宋_GB2312" w:cs="仿宋_GB2312"/>
          <w:sz w:val="32"/>
          <w:szCs w:val="32"/>
        </w:rPr>
        <w:t>万元，主要用于</w:t>
      </w:r>
      <w:r>
        <w:rPr>
          <w:rFonts w:hint="eastAsia" w:ascii="Times New Roman" w:hAnsi="Times New Roman" w:eastAsia="仿宋_GB2312" w:cs="仿宋_GB2312"/>
          <w:color w:val="auto"/>
          <w:kern w:val="2"/>
          <w:sz w:val="32"/>
          <w:szCs w:val="32"/>
          <w:highlight w:val="none"/>
          <w:lang w:val="en-US" w:eastAsia="zh-CN" w:bidi="ar-SA"/>
        </w:rPr>
        <w:t>用餐费</w:t>
      </w:r>
      <w:r>
        <w:rPr>
          <w:rFonts w:hint="eastAsia" w:eastAsia="仿宋_GB2312" w:cs="仿宋_GB2312"/>
          <w:sz w:val="32"/>
          <w:szCs w:val="32"/>
        </w:rPr>
        <w:t>。国内公务接待</w:t>
      </w:r>
      <w:r>
        <w:rPr>
          <w:rFonts w:hint="eastAsia" w:eastAsia="仿宋_GB2312" w:cs="仿宋_GB2312"/>
          <w:sz w:val="32"/>
          <w:szCs w:val="32"/>
          <w:lang w:val="en-US" w:eastAsia="zh-CN"/>
        </w:rPr>
        <w:t>2</w:t>
      </w:r>
      <w:r>
        <w:rPr>
          <w:rFonts w:hint="eastAsia" w:eastAsia="仿宋_GB2312" w:cs="仿宋_GB2312"/>
          <w:sz w:val="32"/>
          <w:szCs w:val="32"/>
        </w:rPr>
        <w:t>批次，</w:t>
      </w:r>
      <w:r>
        <w:rPr>
          <w:rFonts w:hint="eastAsia" w:eastAsia="仿宋_GB2312" w:cs="仿宋_GB2312"/>
          <w:sz w:val="32"/>
          <w:szCs w:val="32"/>
          <w:lang w:val="en-US" w:eastAsia="zh-CN"/>
        </w:rPr>
        <w:t>19</w:t>
      </w:r>
      <w:r>
        <w:rPr>
          <w:rFonts w:hint="eastAsia" w:eastAsia="仿宋_GB2312" w:cs="仿宋_GB2312"/>
          <w:sz w:val="32"/>
          <w:szCs w:val="32"/>
        </w:rPr>
        <w:t>人次（不包括陪同人员），共计支出</w:t>
      </w:r>
      <w:r>
        <w:rPr>
          <w:rFonts w:hint="eastAsia" w:eastAsia="仿宋_GB2312" w:cs="仿宋_GB2312"/>
          <w:sz w:val="32"/>
          <w:szCs w:val="32"/>
          <w:lang w:val="en-US" w:eastAsia="zh-CN"/>
        </w:rPr>
        <w:t>0.2</w:t>
      </w:r>
      <w:r>
        <w:rPr>
          <w:rFonts w:hint="eastAsia" w:eastAsia="仿宋_GB2312" w:cs="仿宋_GB2312"/>
          <w:sz w:val="32"/>
          <w:szCs w:val="32"/>
        </w:rPr>
        <w:t>万元，具体内容包括：</w:t>
      </w:r>
      <w:r>
        <w:rPr>
          <w:rFonts w:hint="eastAsia" w:eastAsia="仿宋_GB2312" w:cs="仿宋_GB2312"/>
          <w:sz w:val="32"/>
          <w:szCs w:val="32"/>
          <w:lang w:eastAsia="zh-CN"/>
        </w:rPr>
        <w:t>接待中国社科院社会学研究所来攀调研用餐费</w:t>
      </w:r>
      <w:r>
        <w:rPr>
          <w:rFonts w:hint="eastAsia" w:eastAsia="仿宋_GB2312" w:cs="仿宋_GB2312"/>
          <w:sz w:val="32"/>
          <w:szCs w:val="32"/>
          <w:lang w:val="en-US" w:eastAsia="zh-CN"/>
        </w:rPr>
        <w:t>0.09万元，接待省社科院来攀开展课题研究用餐费0.11万元。</w:t>
      </w:r>
    </w:p>
    <w:p w14:paraId="4973417C">
      <w:pPr>
        <w:spacing w:line="600" w:lineRule="exact"/>
        <w:ind w:firstLine="640"/>
        <w:rPr>
          <w:rFonts w:eastAsia="仿宋_GB2312" w:cs="仿宋_GB2312"/>
          <w:sz w:val="32"/>
          <w:szCs w:val="32"/>
        </w:rPr>
      </w:pPr>
      <w:bookmarkStart w:id="42" w:name="_Toc15396610"/>
      <w:bookmarkStart w:id="43" w:name="_Toc15377218"/>
    </w:p>
    <w:p w14:paraId="7DFC6771">
      <w:pPr>
        <w:spacing w:line="600" w:lineRule="exact"/>
        <w:ind w:firstLine="640"/>
        <w:outlineLvl w:val="1"/>
        <w:rPr>
          <w:rStyle w:val="29"/>
          <w:rFonts w:ascii="Times New Roman" w:hAnsi="Times New Roman" w:eastAsia="黑体"/>
        </w:rPr>
      </w:pPr>
      <w:r>
        <w:rPr>
          <w:rFonts w:hint="eastAsia" w:eastAsia="黑体"/>
          <w:sz w:val="32"/>
          <w:szCs w:val="32"/>
        </w:rPr>
        <w:t>八、</w:t>
      </w:r>
      <w:r>
        <w:rPr>
          <w:rStyle w:val="29"/>
          <w:rFonts w:hint="eastAsia" w:ascii="Times New Roman" w:hAnsi="Times New Roman" w:eastAsia="黑体"/>
          <w:b w:val="0"/>
        </w:rPr>
        <w:t>政府性基金预算支出决算情况说明</w:t>
      </w:r>
      <w:bookmarkEnd w:id="42"/>
      <w:bookmarkEnd w:id="43"/>
    </w:p>
    <w:p w14:paraId="133FA07D">
      <w:pPr>
        <w:spacing w:line="600" w:lineRule="exact"/>
        <w:ind w:firstLine="640"/>
        <w:rPr>
          <w:rFonts w:eastAsia="仿宋_GB2312" w:cs="仿宋_GB2312"/>
          <w:b/>
          <w:bCs/>
          <w:sz w:val="32"/>
          <w:szCs w:val="32"/>
        </w:rPr>
      </w:pPr>
      <w:r>
        <w:rPr>
          <w:rFonts w:hint="eastAsia" w:eastAsia="仿宋_GB2312" w:cs="仿宋_GB2312"/>
          <w:sz w:val="32"/>
          <w:szCs w:val="32"/>
        </w:rPr>
        <w:t>2025年度政府性基金预算财政拨款支出</w:t>
      </w:r>
      <w:r>
        <w:rPr>
          <w:rFonts w:hint="eastAsia" w:eastAsia="仿宋_GB2312" w:cs="仿宋_GB2312"/>
          <w:sz w:val="32"/>
          <w:szCs w:val="32"/>
          <w:lang w:val="en-US" w:eastAsia="zh-CN"/>
        </w:rPr>
        <w:t>0</w:t>
      </w:r>
      <w:r>
        <w:rPr>
          <w:rFonts w:hint="eastAsia" w:eastAsia="仿宋_GB2312" w:cs="仿宋_GB2312"/>
          <w:sz w:val="32"/>
          <w:szCs w:val="32"/>
        </w:rPr>
        <w:t>万元，占本年支出合计的</w:t>
      </w:r>
      <w:r>
        <w:rPr>
          <w:rFonts w:hint="eastAsia" w:eastAsia="仿宋_GB2312" w:cs="仿宋_GB2312"/>
          <w:sz w:val="32"/>
          <w:szCs w:val="32"/>
          <w:lang w:val="en-US" w:eastAsia="zh-CN"/>
        </w:rPr>
        <w:t>0</w:t>
      </w:r>
      <w:r>
        <w:rPr>
          <w:rFonts w:hint="eastAsia" w:eastAsia="仿宋_GB2312" w:cs="仿宋_GB2312"/>
          <w:sz w:val="32"/>
          <w:szCs w:val="32"/>
        </w:rPr>
        <w:t>%。与上年度</w:t>
      </w:r>
      <w:r>
        <w:rPr>
          <w:rFonts w:hint="eastAsia" w:eastAsia="仿宋_GB2312" w:cs="仿宋_GB2312"/>
          <w:sz w:val="32"/>
          <w:szCs w:val="32"/>
          <w:lang w:eastAsia="zh-CN"/>
        </w:rPr>
        <w:t>持平。</w:t>
      </w:r>
    </w:p>
    <w:p w14:paraId="4B532083">
      <w:pPr>
        <w:spacing w:line="600" w:lineRule="exact"/>
        <w:ind w:firstLine="640"/>
        <w:rPr>
          <w:rFonts w:eastAsia="仿宋_GB2312" w:cs="仿宋_GB2312"/>
          <w:sz w:val="32"/>
          <w:szCs w:val="32"/>
        </w:rPr>
      </w:pPr>
    </w:p>
    <w:p w14:paraId="527F04C5">
      <w:pPr>
        <w:spacing w:line="600" w:lineRule="exact"/>
        <w:ind w:left="630"/>
        <w:outlineLvl w:val="1"/>
        <w:rPr>
          <w:rStyle w:val="29"/>
          <w:rFonts w:ascii="Times New Roman" w:hAnsi="Times New Roman" w:eastAsia="黑体"/>
          <w:b w:val="0"/>
        </w:rPr>
      </w:pPr>
      <w:bookmarkStart w:id="44" w:name="_Toc15377219"/>
      <w:bookmarkStart w:id="45" w:name="_Toc15396611"/>
      <w:r>
        <w:rPr>
          <w:rStyle w:val="29"/>
          <w:rFonts w:hint="eastAsia" w:ascii="Times New Roman" w:hAnsi="Times New Roman" w:eastAsia="黑体"/>
          <w:b w:val="0"/>
        </w:rPr>
        <w:t>九、国有资本经营预算支出决算情况说明</w:t>
      </w:r>
      <w:bookmarkEnd w:id="44"/>
      <w:bookmarkEnd w:id="45"/>
    </w:p>
    <w:p w14:paraId="36847B10">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2025年度国有资本经营预算财政拨款支出</w:t>
      </w:r>
      <w:r>
        <w:rPr>
          <w:rFonts w:hint="eastAsia" w:eastAsia="仿宋_GB2312" w:cs="仿宋_GB2312"/>
          <w:sz w:val="32"/>
          <w:szCs w:val="32"/>
          <w:lang w:val="en-US" w:eastAsia="zh-CN"/>
        </w:rPr>
        <w:t>0</w:t>
      </w:r>
      <w:r>
        <w:rPr>
          <w:rFonts w:hint="eastAsia" w:eastAsia="仿宋_GB2312" w:cs="仿宋_GB2312"/>
          <w:sz w:val="32"/>
          <w:szCs w:val="32"/>
        </w:rPr>
        <w:t>万元，占本年支出合计的</w:t>
      </w:r>
      <w:r>
        <w:rPr>
          <w:rFonts w:hint="eastAsia" w:eastAsia="仿宋_GB2312" w:cs="仿宋_GB2312"/>
          <w:sz w:val="32"/>
          <w:szCs w:val="32"/>
          <w:lang w:val="en-US" w:eastAsia="zh-CN"/>
        </w:rPr>
        <w:t>0</w:t>
      </w:r>
      <w:r>
        <w:rPr>
          <w:rFonts w:hint="eastAsia" w:eastAsia="仿宋_GB2312" w:cs="仿宋_GB2312"/>
          <w:sz w:val="32"/>
          <w:szCs w:val="32"/>
        </w:rPr>
        <w:t>%。与上年度</w:t>
      </w:r>
      <w:r>
        <w:rPr>
          <w:rFonts w:hint="eastAsia" w:eastAsia="仿宋_GB2312" w:cs="仿宋_GB2312"/>
          <w:sz w:val="32"/>
          <w:szCs w:val="32"/>
          <w:lang w:eastAsia="zh-CN"/>
        </w:rPr>
        <w:t>持平。</w:t>
      </w:r>
    </w:p>
    <w:p w14:paraId="3C3BE83E">
      <w:pPr>
        <w:spacing w:line="600" w:lineRule="exact"/>
        <w:ind w:firstLine="640"/>
        <w:rPr>
          <w:rFonts w:eastAsia="仿宋_GB2312" w:cs="仿宋_GB2312"/>
          <w:sz w:val="32"/>
          <w:szCs w:val="32"/>
        </w:rPr>
      </w:pPr>
    </w:p>
    <w:p w14:paraId="37309470">
      <w:pPr>
        <w:spacing w:line="600" w:lineRule="exact"/>
        <w:ind w:left="630"/>
        <w:outlineLvl w:val="1"/>
        <w:rPr>
          <w:rStyle w:val="29"/>
          <w:rFonts w:ascii="Times New Roman" w:hAnsi="Times New Roman" w:eastAsia="黑体"/>
          <w:b w:val="0"/>
        </w:rPr>
      </w:pPr>
      <w:bookmarkStart w:id="46" w:name="_Toc15377221"/>
      <w:bookmarkStart w:id="47" w:name="_Toc15396612"/>
      <w:r>
        <w:rPr>
          <w:rStyle w:val="29"/>
          <w:rFonts w:hint="eastAsia" w:ascii="Times New Roman" w:hAnsi="Times New Roman" w:eastAsia="黑体"/>
          <w:b w:val="0"/>
        </w:rPr>
        <w:t>十、其他重要事项的情况说明</w:t>
      </w:r>
      <w:bookmarkEnd w:id="46"/>
      <w:bookmarkEnd w:id="47"/>
    </w:p>
    <w:p w14:paraId="70E51E2B">
      <w:pPr>
        <w:spacing w:line="600" w:lineRule="exact"/>
        <w:ind w:firstLine="643" w:firstLineChars="200"/>
        <w:outlineLvl w:val="2"/>
        <w:rPr>
          <w:rFonts w:eastAsia="楷体_GB2312" w:cs="楷体_GB2312"/>
          <w:b/>
          <w:sz w:val="32"/>
          <w:szCs w:val="32"/>
        </w:rPr>
      </w:pPr>
      <w:bookmarkStart w:id="48" w:name="_Toc15377222"/>
      <w:r>
        <w:rPr>
          <w:rFonts w:hint="eastAsia" w:eastAsia="楷体_GB2312" w:cs="楷体_GB2312"/>
          <w:b/>
          <w:sz w:val="32"/>
          <w:szCs w:val="32"/>
        </w:rPr>
        <w:t>（一）机关运行经费支出情况</w:t>
      </w:r>
      <w:bookmarkEnd w:id="48"/>
    </w:p>
    <w:p w14:paraId="7F2803E3">
      <w:pPr>
        <w:spacing w:line="600" w:lineRule="exact"/>
        <w:ind w:firstLine="640"/>
        <w:rPr>
          <w:rFonts w:eastAsia="仿宋_GB2312" w:cs="仿宋_GB2312"/>
          <w:sz w:val="32"/>
          <w:szCs w:val="32"/>
        </w:rPr>
      </w:pPr>
      <w:r>
        <w:rPr>
          <w:rFonts w:hint="eastAsia" w:eastAsia="仿宋_GB2312" w:cs="仿宋_GB2312"/>
          <w:sz w:val="32"/>
          <w:szCs w:val="32"/>
        </w:rPr>
        <w:t>2025年度，</w:t>
      </w:r>
      <w:r>
        <w:rPr>
          <w:rFonts w:hint="eastAsia" w:ascii="仿宋_GB2312" w:hAnsi="仿宋_GB2312" w:eastAsia="仿宋_GB2312" w:cs="仿宋_GB2312"/>
          <w:sz w:val="32"/>
          <w:szCs w:val="32"/>
        </w:rPr>
        <w:t>攀枝花市社会科学界联合会</w:t>
      </w:r>
      <w:r>
        <w:rPr>
          <w:rFonts w:hint="eastAsia" w:eastAsia="仿宋_GB2312" w:cs="仿宋_GB2312"/>
          <w:sz w:val="32"/>
          <w:szCs w:val="32"/>
        </w:rPr>
        <w:t>机关运行经费支出23.36万元，比上年度增加</w:t>
      </w:r>
      <w:r>
        <w:rPr>
          <w:rFonts w:hint="eastAsia" w:eastAsia="仿宋_GB2312" w:cs="仿宋_GB2312"/>
          <w:sz w:val="32"/>
          <w:szCs w:val="32"/>
          <w:lang w:val="en-US" w:eastAsia="zh-CN"/>
        </w:rPr>
        <w:t>1.44</w:t>
      </w:r>
      <w:r>
        <w:rPr>
          <w:rFonts w:hint="eastAsia" w:eastAsia="仿宋_GB2312" w:cs="仿宋_GB2312"/>
          <w:sz w:val="32"/>
          <w:szCs w:val="32"/>
        </w:rPr>
        <w:t>万元，增长</w:t>
      </w:r>
      <w:r>
        <w:rPr>
          <w:rFonts w:hint="eastAsia" w:eastAsia="仿宋_GB2312" w:cs="仿宋_GB2312"/>
          <w:sz w:val="32"/>
          <w:szCs w:val="32"/>
          <w:lang w:val="en-US" w:eastAsia="zh-CN"/>
        </w:rPr>
        <w:t>6.6</w:t>
      </w:r>
      <w:r>
        <w:rPr>
          <w:rFonts w:hint="eastAsia" w:eastAsia="仿宋_GB2312" w:cs="仿宋_GB2312"/>
          <w:sz w:val="32"/>
          <w:szCs w:val="32"/>
        </w:rPr>
        <w:t>%。主要原因是</w:t>
      </w:r>
      <w:r>
        <w:rPr>
          <w:rFonts w:hint="eastAsia" w:eastAsia="仿宋_GB2312" w:cs="仿宋_GB2312"/>
          <w:sz w:val="32"/>
          <w:szCs w:val="32"/>
          <w:lang w:val="en-US" w:eastAsia="zh-CN"/>
        </w:rPr>
        <w:t>物业管理费增加，用于支付2024年度、2025年度部分保安保洁相关费用。</w:t>
      </w:r>
    </w:p>
    <w:p w14:paraId="6770F07F">
      <w:pPr>
        <w:spacing w:line="600" w:lineRule="exact"/>
        <w:ind w:firstLine="643" w:firstLineChars="200"/>
        <w:outlineLvl w:val="2"/>
        <w:rPr>
          <w:rFonts w:hint="eastAsia" w:eastAsia="楷体_GB2312" w:cs="楷体_GB2312"/>
          <w:b/>
          <w:sz w:val="32"/>
          <w:szCs w:val="32"/>
        </w:rPr>
      </w:pPr>
      <w:bookmarkStart w:id="49" w:name="_Toc15377223"/>
    </w:p>
    <w:p w14:paraId="6921BFBC">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（二）政府采购支出情况</w:t>
      </w:r>
      <w:bookmarkEnd w:id="49"/>
    </w:p>
    <w:p w14:paraId="222A2824">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2025年度，</w:t>
      </w:r>
      <w:r>
        <w:rPr>
          <w:rFonts w:hint="eastAsia" w:ascii="仿宋_GB2312" w:hAnsi="仿宋_GB2312" w:eastAsia="仿宋_GB2312" w:cs="仿宋_GB2312"/>
          <w:sz w:val="32"/>
          <w:szCs w:val="32"/>
        </w:rPr>
        <w:t>攀枝花市社会科学界联合会</w:t>
      </w:r>
      <w:r>
        <w:rPr>
          <w:rFonts w:hint="eastAsia" w:eastAsia="仿宋_GB2312" w:cs="仿宋_GB2312"/>
          <w:sz w:val="32"/>
          <w:szCs w:val="32"/>
        </w:rPr>
        <w:t>政府采购支出总额</w:t>
      </w:r>
      <w:r>
        <w:rPr>
          <w:rFonts w:hint="eastAsia" w:eastAsia="仿宋_GB2312" w:cs="仿宋_GB2312"/>
          <w:sz w:val="32"/>
          <w:szCs w:val="32"/>
          <w:lang w:val="en-US" w:eastAsia="zh-CN"/>
        </w:rPr>
        <w:t>0</w:t>
      </w:r>
      <w:r>
        <w:rPr>
          <w:rFonts w:hint="eastAsia" w:eastAsia="仿宋_GB2312" w:cs="仿宋_GB2312"/>
          <w:sz w:val="32"/>
          <w:szCs w:val="32"/>
        </w:rPr>
        <w:t>万元</w:t>
      </w:r>
      <w:r>
        <w:rPr>
          <w:rFonts w:hint="eastAsia" w:eastAsia="仿宋_GB2312" w:cs="仿宋_GB2312"/>
          <w:sz w:val="32"/>
          <w:szCs w:val="32"/>
          <w:lang w:eastAsia="zh-CN"/>
        </w:rPr>
        <w:t>。</w:t>
      </w:r>
    </w:p>
    <w:p w14:paraId="1DD2AD16">
      <w:pPr>
        <w:spacing w:line="600" w:lineRule="exact"/>
        <w:ind w:firstLine="640"/>
        <w:rPr>
          <w:rFonts w:eastAsia="仿宋_GB2312" w:cs="仿宋_GB2312"/>
          <w:sz w:val="32"/>
          <w:szCs w:val="32"/>
        </w:rPr>
      </w:pPr>
    </w:p>
    <w:p w14:paraId="7F0D7851">
      <w:pPr>
        <w:spacing w:line="600" w:lineRule="exact"/>
        <w:ind w:firstLine="643" w:firstLineChars="200"/>
        <w:outlineLvl w:val="2"/>
        <w:rPr>
          <w:rFonts w:eastAsia="楷体_GB2312" w:cs="楷体_GB2312"/>
          <w:b/>
          <w:sz w:val="32"/>
          <w:szCs w:val="32"/>
        </w:rPr>
      </w:pPr>
      <w:bookmarkStart w:id="50" w:name="_Toc15377224"/>
      <w:r>
        <w:rPr>
          <w:rFonts w:hint="eastAsia" w:eastAsia="楷体_GB2312" w:cs="楷体_GB2312"/>
          <w:b/>
          <w:sz w:val="32"/>
          <w:szCs w:val="32"/>
        </w:rPr>
        <w:t>（三）国有资产占有使用情况</w:t>
      </w:r>
      <w:bookmarkEnd w:id="50"/>
    </w:p>
    <w:p w14:paraId="151D43D0">
      <w:pPr>
        <w:spacing w:line="600" w:lineRule="exact"/>
        <w:ind w:firstLine="640"/>
        <w:rPr>
          <w:rFonts w:eastAsia="仿宋_GB2312" w:cs="仿宋_GB2312"/>
          <w:sz w:val="32"/>
          <w:szCs w:val="32"/>
        </w:rPr>
      </w:pPr>
      <w:r>
        <w:rPr>
          <w:rFonts w:hint="eastAsia" w:eastAsia="仿宋_GB2312" w:cs="仿宋_GB2312"/>
          <w:sz w:val="32"/>
          <w:szCs w:val="32"/>
        </w:rPr>
        <w:t>截至2025年12月31日，</w:t>
      </w:r>
      <w:r>
        <w:rPr>
          <w:rFonts w:hint="eastAsia" w:ascii="仿宋_GB2312" w:hAnsi="仿宋_GB2312" w:eastAsia="仿宋_GB2312" w:cs="仿宋_GB2312"/>
          <w:sz w:val="32"/>
          <w:szCs w:val="32"/>
        </w:rPr>
        <w:t>攀枝花市社会科学界联合会</w:t>
      </w:r>
      <w:r>
        <w:rPr>
          <w:rFonts w:hint="eastAsia" w:eastAsia="仿宋_GB2312" w:cs="仿宋_GB2312"/>
          <w:sz w:val="32"/>
          <w:szCs w:val="32"/>
        </w:rPr>
        <w:t>共有车辆</w:t>
      </w:r>
      <w:r>
        <w:rPr>
          <w:rFonts w:hint="eastAsia" w:eastAsia="仿宋_GB2312" w:cs="仿宋_GB2312"/>
          <w:sz w:val="32"/>
          <w:szCs w:val="32"/>
          <w:lang w:val="en-US" w:eastAsia="zh-CN"/>
        </w:rPr>
        <w:t>0</w:t>
      </w:r>
      <w:r>
        <w:rPr>
          <w:rFonts w:hint="eastAsia" w:eastAsia="仿宋_GB2312" w:cs="仿宋_GB2312"/>
          <w:sz w:val="32"/>
          <w:szCs w:val="32"/>
        </w:rPr>
        <w:t>辆。</w:t>
      </w:r>
    </w:p>
    <w:p w14:paraId="105F7C90">
      <w:pPr>
        <w:spacing w:line="600" w:lineRule="exact"/>
        <w:ind w:firstLine="640"/>
        <w:rPr>
          <w:rFonts w:eastAsia="仿宋_GB2312" w:cs="仿宋_GB2312"/>
          <w:sz w:val="32"/>
          <w:szCs w:val="32"/>
        </w:rPr>
      </w:pPr>
    </w:p>
    <w:p w14:paraId="200D8D3F">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14:paraId="4E5EBDFF">
      <w:pPr>
        <w:spacing w:line="600" w:lineRule="exact"/>
        <w:ind w:firstLine="640"/>
        <w:rPr>
          <w:rFonts w:eastAsia="仿宋_GB2312" w:cs="仿宋_GB2312"/>
          <w:sz w:val="32"/>
          <w:szCs w:val="32"/>
        </w:rPr>
      </w:pPr>
      <w:r>
        <w:rPr>
          <w:rFonts w:hint="eastAsia" w:eastAsia="仿宋_GB2312" w:cs="仿宋_GB2312"/>
          <w:sz w:val="32"/>
          <w:szCs w:val="32"/>
        </w:rPr>
        <w:t>根据预算绩效管理要求，</w:t>
      </w:r>
      <w:r>
        <w:rPr>
          <w:rFonts w:hint="eastAsia" w:ascii="仿宋_GB2312" w:hAnsi="仿宋_GB2312" w:eastAsia="仿宋_GB2312" w:cs="仿宋_GB2312"/>
          <w:sz w:val="32"/>
          <w:szCs w:val="32"/>
        </w:rPr>
        <w:t>攀枝花市社会科学界联合会</w:t>
      </w:r>
      <w:r>
        <w:rPr>
          <w:rFonts w:hint="eastAsia" w:eastAsia="仿宋_GB2312" w:cs="仿宋_GB2312"/>
          <w:sz w:val="32"/>
          <w:szCs w:val="32"/>
        </w:rPr>
        <w:t>在2025年度，组织对</w:t>
      </w:r>
      <w:r>
        <w:rPr>
          <w:rFonts w:hint="eastAsia" w:eastAsia="仿宋_GB2312" w:cs="仿宋_GB2312"/>
          <w:sz w:val="32"/>
          <w:szCs w:val="32"/>
          <w:lang w:eastAsia="zh-CN"/>
        </w:rPr>
        <w:t>社科学术研讨和科普宣传</w:t>
      </w:r>
      <w:r>
        <w:rPr>
          <w:rFonts w:hint="eastAsia" w:eastAsia="仿宋_GB2312" w:cs="仿宋_GB2312"/>
          <w:sz w:val="32"/>
          <w:szCs w:val="32"/>
          <w:lang w:val="en-US" w:eastAsia="zh-CN"/>
        </w:rPr>
        <w:t>1</w:t>
      </w:r>
      <w:r>
        <w:rPr>
          <w:rFonts w:hint="eastAsia" w:eastAsia="仿宋_GB2312" w:cs="仿宋_GB2312"/>
          <w:sz w:val="32"/>
          <w:szCs w:val="32"/>
        </w:rPr>
        <w:t>个项目涉及金额</w:t>
      </w:r>
      <w:r>
        <w:rPr>
          <w:rFonts w:hint="eastAsia" w:eastAsia="仿宋_GB2312" w:cs="仿宋_GB2312"/>
          <w:sz w:val="32"/>
          <w:szCs w:val="32"/>
          <w:lang w:val="en-US" w:eastAsia="zh-CN"/>
        </w:rPr>
        <w:t>3</w:t>
      </w:r>
      <w:r>
        <w:rPr>
          <w:rFonts w:hint="eastAsia" w:eastAsia="仿宋_GB2312" w:cs="仿宋_GB2312"/>
          <w:sz w:val="32"/>
          <w:szCs w:val="32"/>
        </w:rPr>
        <w:t>万元开展了事前绩效评估，对</w:t>
      </w:r>
      <w:r>
        <w:rPr>
          <w:rFonts w:hint="eastAsia" w:eastAsia="仿宋_GB2312" w:cs="仿宋_GB2312"/>
          <w:sz w:val="32"/>
          <w:szCs w:val="32"/>
          <w:lang w:val="en-US" w:eastAsia="zh-CN"/>
        </w:rPr>
        <w:t>1</w:t>
      </w:r>
      <w:r>
        <w:rPr>
          <w:rFonts w:hint="eastAsia" w:eastAsia="仿宋_GB2312" w:cs="仿宋_GB2312"/>
          <w:sz w:val="32"/>
          <w:szCs w:val="32"/>
        </w:rPr>
        <w:t>个项目编制了绩效目标，预算执行过程中，选取</w:t>
      </w:r>
      <w:r>
        <w:rPr>
          <w:rFonts w:hint="eastAsia" w:eastAsia="仿宋_GB2312" w:cs="仿宋_GB2312"/>
          <w:sz w:val="32"/>
          <w:szCs w:val="32"/>
          <w:lang w:val="en-US" w:eastAsia="zh-CN"/>
        </w:rPr>
        <w:t>1</w:t>
      </w:r>
      <w:r>
        <w:rPr>
          <w:rFonts w:hint="eastAsia" w:eastAsia="仿宋_GB2312" w:cs="仿宋_GB2312"/>
          <w:sz w:val="32"/>
          <w:szCs w:val="32"/>
        </w:rPr>
        <w:t>个项目开展绩效监控。</w:t>
      </w:r>
    </w:p>
    <w:p w14:paraId="5B4F4168">
      <w:pPr>
        <w:rPr>
          <w:rFonts w:eastAsia="仿宋_GB2312" w:cs="仿宋_GB2312"/>
          <w:sz w:val="32"/>
          <w:szCs w:val="32"/>
        </w:rPr>
      </w:pPr>
      <w:r>
        <w:rPr>
          <w:rFonts w:eastAsia="仿宋_GB2312" w:cs="仿宋_GB2312"/>
          <w:sz w:val="32"/>
          <w:szCs w:val="32"/>
        </w:rPr>
        <w:br w:type="page"/>
      </w:r>
    </w:p>
    <w:p w14:paraId="56B7587A">
      <w:pPr>
        <w:pStyle w:val="2"/>
      </w:pPr>
    </w:p>
    <w:p w14:paraId="314F6538">
      <w:pPr>
        <w:pStyle w:val="5"/>
        <w:jc w:val="center"/>
        <w:rPr>
          <w:rFonts w:hint="eastAsia" w:eastAsia="方正小标宋简体" w:cs="方正小标宋简体"/>
          <w:b w:val="0"/>
        </w:rPr>
      </w:pPr>
      <w:bookmarkStart w:id="51" w:name="_Toc15377225"/>
      <w:bookmarkStart w:id="52" w:name="_Toc15396613"/>
      <w:r>
        <w:rPr>
          <w:rFonts w:hint="eastAsia" w:eastAsia="方正小标宋简体" w:cs="方正小标宋简体"/>
          <w:b w:val="0"/>
        </w:rPr>
        <w:t>第三部分  名词解释</w:t>
      </w:r>
      <w:bookmarkEnd w:id="51"/>
      <w:bookmarkEnd w:id="52"/>
    </w:p>
    <w:p w14:paraId="7B55D154">
      <w:pPr>
        <w:spacing w:line="600" w:lineRule="exact"/>
        <w:jc w:val="left"/>
        <w:rPr>
          <w:b/>
          <w:sz w:val="44"/>
          <w:szCs w:val="44"/>
        </w:rPr>
      </w:pPr>
    </w:p>
    <w:p w14:paraId="1A77FB53">
      <w:pPr>
        <w:spacing w:line="600" w:lineRule="exact"/>
        <w:ind w:firstLine="640"/>
        <w:rPr>
          <w:rFonts w:eastAsia="仿宋_GB2312" w:cs="仿宋_GB2312"/>
          <w:sz w:val="32"/>
          <w:szCs w:val="32"/>
        </w:rPr>
      </w:pPr>
      <w:r>
        <w:rPr>
          <w:rFonts w:hint="eastAsia" w:eastAsia="仿宋_GB2312" w:cs="仿宋_GB2312"/>
          <w:sz w:val="32"/>
          <w:szCs w:val="32"/>
        </w:rPr>
        <w:t>1.财政拨款收入：指单位从同级财政部门取得的财政预算资金。</w:t>
      </w:r>
    </w:p>
    <w:p w14:paraId="48FDCF8A">
      <w:pPr>
        <w:spacing w:line="600" w:lineRule="exact"/>
        <w:ind w:firstLine="640"/>
        <w:rPr>
          <w:rFonts w:eastAsia="仿宋_GB2312" w:cs="仿宋_GB2312"/>
          <w:sz w:val="32"/>
          <w:szCs w:val="32"/>
        </w:rPr>
      </w:pPr>
      <w:r>
        <w:rPr>
          <w:rFonts w:hint="eastAsia" w:eastAsia="仿宋_GB2312" w:cs="仿宋_GB2312"/>
          <w:sz w:val="32"/>
          <w:szCs w:val="32"/>
          <w:lang w:val="en-US" w:eastAsia="zh-CN"/>
        </w:rPr>
        <w:t>2</w:t>
      </w:r>
      <w:r>
        <w:rPr>
          <w:rFonts w:hint="eastAsia" w:eastAsia="仿宋_GB2312" w:cs="仿宋_GB2312"/>
          <w:sz w:val="32"/>
          <w:szCs w:val="32"/>
        </w:rPr>
        <w:t xml:space="preserve">.年初结转和结余：指以前年度尚未完成、结转到本年按有关规定继续使用的资金。 </w:t>
      </w:r>
    </w:p>
    <w:p w14:paraId="412B2A2C">
      <w:pPr>
        <w:spacing w:line="600" w:lineRule="exact"/>
        <w:ind w:firstLine="640"/>
        <w:rPr>
          <w:rFonts w:eastAsia="仿宋_GB2312" w:cs="仿宋_GB2312"/>
          <w:sz w:val="32"/>
          <w:szCs w:val="32"/>
        </w:rPr>
      </w:pPr>
      <w:r>
        <w:rPr>
          <w:rFonts w:hint="eastAsia" w:eastAsia="仿宋_GB2312" w:cs="仿宋_GB2312"/>
          <w:sz w:val="32"/>
          <w:szCs w:val="32"/>
          <w:lang w:val="en-US" w:eastAsia="zh-CN"/>
        </w:rPr>
        <w:t>3</w:t>
      </w:r>
      <w:r>
        <w:rPr>
          <w:rFonts w:hint="eastAsia" w:eastAsia="仿宋_GB2312" w:cs="仿宋_GB2312"/>
          <w:sz w:val="32"/>
          <w:szCs w:val="32"/>
        </w:rPr>
        <w:t>.年末结转和结余：指单位按有关规定结转到下年或以后年度继续使用的资金。</w:t>
      </w:r>
    </w:p>
    <w:p w14:paraId="44013BDF">
      <w:pPr>
        <w:spacing w:line="600" w:lineRule="exact"/>
        <w:ind w:firstLine="640"/>
        <w:rPr>
          <w:rFonts w:hint="eastAsia" w:eastAsia="仿宋_GB2312" w:cs="仿宋_GB2312"/>
          <w:sz w:val="32"/>
          <w:szCs w:val="32"/>
          <w:lang w:eastAsia="zh-CN"/>
        </w:rPr>
      </w:pPr>
      <w:r>
        <w:rPr>
          <w:rFonts w:hint="eastAsia" w:eastAsia="仿宋_GB2312" w:cs="仿宋_GB2312"/>
          <w:sz w:val="32"/>
          <w:szCs w:val="32"/>
          <w:lang w:val="en-US" w:eastAsia="zh-CN"/>
        </w:rPr>
        <w:t>4</w:t>
      </w:r>
      <w:r>
        <w:rPr>
          <w:rFonts w:hint="eastAsia" w:eastAsia="仿宋_GB2312" w:cs="仿宋_GB2312"/>
          <w:sz w:val="32"/>
          <w:szCs w:val="32"/>
        </w:rPr>
        <w:t>.一般公共服务（类）人大事务（款）行政运行（项）：</w:t>
      </w:r>
      <w:r>
        <w:rPr>
          <w:rFonts w:hint="eastAsia" w:eastAsia="仿宋_GB2312" w:cs="仿宋_GB2312"/>
          <w:sz w:val="32"/>
          <w:szCs w:val="32"/>
          <w:lang w:eastAsia="zh-CN"/>
        </w:rPr>
        <w:t>指</w:t>
      </w:r>
      <w:r>
        <w:rPr>
          <w:rFonts w:hint="default" w:ascii="Times New Roman" w:hAnsi="Times New Roman" w:eastAsia="仿宋_GB2312" w:cs="Times New Roman"/>
          <w:color w:val="000000" w:themeColor="text1"/>
          <w:kern w:val="0"/>
          <w:sz w:val="32"/>
          <w:szCs w:val="32"/>
          <w14:textFill>
            <w14:solidFill>
              <w14:schemeClr w14:val="tx1"/>
            </w14:solidFill>
          </w14:textFill>
        </w:rPr>
        <w:t>行政单位（包括实行公务员管理的事业单位）的基本支出</w:t>
      </w:r>
      <w:r>
        <w:rPr>
          <w:rFonts w:hint="eastAsia" w:eastAsia="仿宋_GB2312" w:cs="仿宋_GB2312"/>
          <w:sz w:val="32"/>
          <w:szCs w:val="32"/>
          <w:lang w:eastAsia="zh-CN"/>
        </w:rPr>
        <w:t>。</w:t>
      </w:r>
    </w:p>
    <w:p w14:paraId="4A0DA902">
      <w:pPr>
        <w:spacing w:line="600" w:lineRule="exact"/>
        <w:ind w:firstLine="640"/>
        <w:rPr>
          <w:rFonts w:hint="eastAsia" w:eastAsia="仿宋_GB2312" w:cs="仿宋_GB2312"/>
          <w:sz w:val="32"/>
          <w:szCs w:val="32"/>
          <w:lang w:eastAsia="zh-CN"/>
        </w:rPr>
      </w:pPr>
      <w:r>
        <w:rPr>
          <w:rFonts w:hint="eastAsia" w:eastAsia="仿宋_GB2312" w:cs="仿宋_GB2312"/>
          <w:sz w:val="32"/>
          <w:szCs w:val="32"/>
          <w:lang w:val="en-US" w:eastAsia="zh-CN"/>
        </w:rPr>
        <w:t>5</w:t>
      </w:r>
      <w:r>
        <w:rPr>
          <w:rFonts w:hint="eastAsia" w:eastAsia="仿宋_GB2312" w:cs="仿宋_GB2312"/>
          <w:sz w:val="32"/>
          <w:szCs w:val="32"/>
        </w:rPr>
        <w:t>.科学技术（类）科学技术管理事务（款）行政运行（项）：</w:t>
      </w:r>
      <w:r>
        <w:rPr>
          <w:rFonts w:hint="eastAsia" w:eastAsia="仿宋_GB2312" w:cs="仿宋_GB2312"/>
          <w:sz w:val="32"/>
          <w:szCs w:val="32"/>
          <w:lang w:eastAsia="zh-CN"/>
        </w:rPr>
        <w:t>指</w:t>
      </w:r>
      <w:r>
        <w:rPr>
          <w:rFonts w:hint="default" w:ascii="Times New Roman" w:hAnsi="Times New Roman" w:eastAsia="仿宋_GB2312" w:cs="Times New Roman"/>
          <w:color w:val="000000" w:themeColor="text1"/>
          <w:kern w:val="0"/>
          <w:sz w:val="32"/>
          <w:szCs w:val="32"/>
          <w14:textFill>
            <w14:solidFill>
              <w14:schemeClr w14:val="tx1"/>
            </w14:solidFill>
          </w14:textFill>
        </w:rPr>
        <w:t>行政单位（包括实行公务员管理的事业单位）科学技术管理事务方面的基本支出</w:t>
      </w:r>
      <w:r>
        <w:rPr>
          <w:rFonts w:hint="eastAsia" w:eastAsia="仿宋_GB2312" w:cs="仿宋_GB2312"/>
          <w:sz w:val="32"/>
          <w:szCs w:val="32"/>
          <w:lang w:eastAsia="zh-CN"/>
        </w:rPr>
        <w:t>。</w:t>
      </w:r>
    </w:p>
    <w:p w14:paraId="416C050F">
      <w:pPr>
        <w:spacing w:line="600" w:lineRule="exact"/>
        <w:ind w:firstLine="640"/>
        <w:rPr>
          <w:rFonts w:hint="eastAsia" w:eastAsia="仿宋_GB2312" w:cs="仿宋_GB2312"/>
          <w:sz w:val="32"/>
          <w:szCs w:val="32"/>
          <w:lang w:eastAsia="zh-CN"/>
        </w:rPr>
      </w:pPr>
      <w:r>
        <w:rPr>
          <w:rFonts w:hint="eastAsia" w:eastAsia="仿宋_GB2312" w:cs="仿宋_GB2312"/>
          <w:sz w:val="32"/>
          <w:szCs w:val="32"/>
          <w:lang w:val="en-US" w:eastAsia="zh-CN"/>
        </w:rPr>
        <w:t>6.</w:t>
      </w:r>
      <w:r>
        <w:rPr>
          <w:rFonts w:hint="eastAsia" w:eastAsia="仿宋_GB2312" w:cs="仿宋_GB2312"/>
          <w:sz w:val="32"/>
          <w:szCs w:val="32"/>
        </w:rPr>
        <w:t>科学技术（类）其他科学技术支出（款）其他科学技术支出（项）：</w:t>
      </w:r>
      <w:r>
        <w:rPr>
          <w:rFonts w:hint="eastAsia" w:eastAsia="仿宋_GB2312" w:cs="仿宋_GB2312"/>
          <w:sz w:val="32"/>
          <w:szCs w:val="32"/>
          <w:lang w:eastAsia="zh-CN"/>
        </w:rPr>
        <w:t>指</w:t>
      </w:r>
      <w:r>
        <w:rPr>
          <w:rFonts w:hint="default" w:ascii="Times New Roman" w:hAnsi="Times New Roman" w:eastAsia="仿宋_GB2312" w:cs="Times New Roman"/>
          <w:color w:val="000000" w:themeColor="text1"/>
          <w:kern w:val="0"/>
          <w:sz w:val="32"/>
          <w:szCs w:val="32"/>
          <w14:textFill>
            <w14:solidFill>
              <w14:schemeClr w14:val="tx1"/>
            </w14:solidFill>
          </w14:textFill>
        </w:rPr>
        <w:t>其他</w:t>
      </w:r>
      <w:r>
        <w:rPr>
          <w:rFonts w:hint="eastAsia" w:eastAsia="仿宋_GB2312" w:cs="仿宋_GB2312"/>
          <w:sz w:val="32"/>
          <w:szCs w:val="32"/>
        </w:rPr>
        <w:t>科学技术支出</w:t>
      </w:r>
      <w:r>
        <w:rPr>
          <w:rFonts w:hint="eastAsia" w:eastAsia="仿宋_GB2312" w:cs="仿宋_GB2312"/>
          <w:sz w:val="32"/>
          <w:szCs w:val="32"/>
          <w:lang w:eastAsia="zh-CN"/>
        </w:rPr>
        <w:t>中除以上各项外</w:t>
      </w:r>
      <w:r>
        <w:rPr>
          <w:rFonts w:hint="default" w:ascii="Times New Roman" w:hAnsi="Times New Roman" w:eastAsia="仿宋_GB2312" w:cs="Times New Roman"/>
          <w:color w:val="000000" w:themeColor="text1"/>
          <w:kern w:val="0"/>
          <w:sz w:val="32"/>
          <w:szCs w:val="32"/>
          <w14:textFill>
            <w14:solidFill>
              <w14:schemeClr w14:val="tx1"/>
            </w14:solidFill>
          </w14:textFill>
        </w:rPr>
        <w:t>用于</w:t>
      </w:r>
      <w:r>
        <w:rPr>
          <w:rFonts w:hint="eastAsia" w:eastAsia="仿宋_GB2312" w:cs="Times New Roman"/>
          <w:color w:val="000000" w:themeColor="text1"/>
          <w:kern w:val="0"/>
          <w:sz w:val="32"/>
          <w:szCs w:val="32"/>
          <w:lang w:eastAsia="zh-CN"/>
          <w14:textFill>
            <w14:solidFill>
              <w14:schemeClr w14:val="tx1"/>
            </w14:solidFill>
          </w14:textFill>
        </w:rPr>
        <w:t>科技方面</w:t>
      </w:r>
      <w:r>
        <w:rPr>
          <w:rFonts w:hint="default" w:ascii="Times New Roman" w:hAnsi="Times New Roman" w:eastAsia="仿宋_GB2312" w:cs="Times New Roman"/>
          <w:color w:val="000000" w:themeColor="text1"/>
          <w:kern w:val="0"/>
          <w:sz w:val="32"/>
          <w:szCs w:val="32"/>
          <w14:textFill>
            <w14:solidFill>
              <w14:schemeClr w14:val="tx1"/>
            </w14:solidFill>
          </w14:textFill>
        </w:rPr>
        <w:t>的支出</w:t>
      </w:r>
      <w:r>
        <w:rPr>
          <w:rFonts w:hint="eastAsia" w:eastAsia="仿宋_GB2312" w:cs="仿宋_GB2312"/>
          <w:sz w:val="32"/>
          <w:szCs w:val="32"/>
          <w:lang w:eastAsia="zh-CN"/>
        </w:rPr>
        <w:t>。</w:t>
      </w:r>
    </w:p>
    <w:p w14:paraId="3D26EDA1">
      <w:pPr>
        <w:spacing w:line="600" w:lineRule="exact"/>
        <w:ind w:firstLine="640"/>
        <w:rPr>
          <w:rFonts w:hint="eastAsia" w:eastAsia="仿宋_GB2312" w:cs="仿宋_GB2312"/>
          <w:sz w:val="32"/>
          <w:szCs w:val="32"/>
          <w:lang w:eastAsia="zh-CN"/>
        </w:rPr>
      </w:pPr>
      <w:r>
        <w:rPr>
          <w:rFonts w:hint="eastAsia" w:eastAsia="仿宋_GB2312" w:cs="仿宋_GB2312"/>
          <w:sz w:val="32"/>
          <w:szCs w:val="32"/>
          <w:lang w:val="en-US" w:eastAsia="zh-CN"/>
        </w:rPr>
        <w:t>7.</w:t>
      </w:r>
      <w:r>
        <w:rPr>
          <w:rFonts w:hint="eastAsia" w:eastAsia="仿宋_GB2312" w:cs="仿宋_GB2312"/>
          <w:sz w:val="32"/>
          <w:szCs w:val="32"/>
        </w:rPr>
        <w:t>社会保障和就业（类）行政事业单位养老支出（款）行政单位离退休（项）：</w:t>
      </w:r>
      <w:r>
        <w:rPr>
          <w:rFonts w:hint="eastAsia" w:eastAsia="仿宋_GB2312" w:cs="仿宋_GB2312"/>
          <w:sz w:val="32"/>
          <w:szCs w:val="32"/>
          <w:lang w:eastAsia="zh-CN"/>
        </w:rPr>
        <w:t>指</w:t>
      </w:r>
      <w:r>
        <w:rPr>
          <w:rFonts w:hint="default" w:ascii="Times New Roman" w:hAnsi="Times New Roman" w:eastAsia="仿宋_GB2312" w:cs="Times New Roman"/>
          <w:color w:val="000000" w:themeColor="text1"/>
          <w:kern w:val="0"/>
          <w:sz w:val="32"/>
          <w:szCs w:val="32"/>
          <w14:textFill>
            <w14:solidFill>
              <w14:schemeClr w14:val="tx1"/>
            </w14:solidFill>
          </w14:textFill>
        </w:rPr>
        <w:t>行政单位（包括实行公务员管理的事业单位）开支的离退休经费</w:t>
      </w:r>
      <w:r>
        <w:rPr>
          <w:rFonts w:hint="eastAsia" w:eastAsia="仿宋_GB2312" w:cs="仿宋_GB2312"/>
          <w:sz w:val="32"/>
          <w:szCs w:val="32"/>
          <w:lang w:eastAsia="zh-CN"/>
        </w:rPr>
        <w:t>。</w:t>
      </w:r>
    </w:p>
    <w:p w14:paraId="4E74AC6A">
      <w:pPr>
        <w:spacing w:line="600" w:lineRule="exact"/>
        <w:ind w:firstLine="640"/>
        <w:rPr>
          <w:rFonts w:hint="eastAsia" w:eastAsia="仿宋_GB2312" w:cs="仿宋_GB2312"/>
          <w:sz w:val="32"/>
          <w:szCs w:val="32"/>
          <w:lang w:eastAsia="zh-CN"/>
        </w:rPr>
      </w:pPr>
      <w:r>
        <w:rPr>
          <w:rFonts w:hint="eastAsia" w:eastAsia="仿宋_GB2312" w:cs="仿宋_GB2312"/>
          <w:sz w:val="32"/>
          <w:szCs w:val="32"/>
          <w:lang w:val="en-US" w:eastAsia="zh-CN"/>
        </w:rPr>
        <w:t>8.</w:t>
      </w:r>
      <w:r>
        <w:rPr>
          <w:rFonts w:hint="eastAsia" w:eastAsia="仿宋_GB2312" w:cs="仿宋_GB2312"/>
          <w:sz w:val="32"/>
          <w:szCs w:val="32"/>
        </w:rPr>
        <w:t>社会保障和就业（类）行政事业单位养老支出（款）机关事业单位基本养老保险缴费（项）：</w:t>
      </w:r>
      <w:r>
        <w:rPr>
          <w:rFonts w:hint="eastAsia" w:eastAsia="仿宋_GB2312" w:cs="仿宋_GB2312"/>
          <w:sz w:val="32"/>
          <w:szCs w:val="32"/>
          <w:lang w:eastAsia="zh-CN"/>
        </w:rPr>
        <w:t>指</w:t>
      </w:r>
      <w:r>
        <w:rPr>
          <w:rFonts w:hint="default" w:ascii="Times New Roman" w:hAnsi="Times New Roman" w:eastAsia="仿宋_GB2312" w:cs="Times New Roman"/>
          <w:color w:val="000000" w:themeColor="text1"/>
          <w:kern w:val="0"/>
          <w:sz w:val="32"/>
          <w:szCs w:val="32"/>
          <w14:textFill>
            <w14:solidFill>
              <w14:schemeClr w14:val="tx1"/>
            </w14:solidFill>
          </w14:textFill>
        </w:rPr>
        <w:t>机关事业单位实施养老保险制度由单位缴纳的基本养老保险支出</w:t>
      </w:r>
      <w:r>
        <w:rPr>
          <w:rFonts w:hint="eastAsia" w:eastAsia="仿宋_GB2312" w:cs="仿宋_GB2312"/>
          <w:sz w:val="32"/>
          <w:szCs w:val="32"/>
          <w:lang w:eastAsia="zh-CN"/>
        </w:rPr>
        <w:t>。</w:t>
      </w:r>
    </w:p>
    <w:p w14:paraId="49D814EA">
      <w:pPr>
        <w:spacing w:line="600" w:lineRule="exact"/>
        <w:ind w:firstLine="640"/>
        <w:rPr>
          <w:rFonts w:hint="eastAsia" w:eastAsia="仿宋_GB2312" w:cs="仿宋_GB2312"/>
          <w:sz w:val="32"/>
          <w:szCs w:val="32"/>
          <w:lang w:eastAsia="zh-CN"/>
        </w:rPr>
      </w:pPr>
      <w:r>
        <w:rPr>
          <w:rFonts w:hint="eastAsia" w:eastAsia="仿宋_GB2312" w:cs="仿宋_GB2312"/>
          <w:sz w:val="32"/>
          <w:szCs w:val="32"/>
          <w:lang w:val="en-US" w:eastAsia="zh-CN"/>
        </w:rPr>
        <w:t>9</w:t>
      </w:r>
      <w:r>
        <w:rPr>
          <w:rFonts w:hint="eastAsia" w:eastAsia="仿宋_GB2312" w:cs="仿宋_GB2312"/>
          <w:sz w:val="32"/>
          <w:szCs w:val="32"/>
        </w:rPr>
        <w:t>.卫生健康（类）行政事业单位医疗（款）行政单位医疗（项）：</w:t>
      </w:r>
      <w:r>
        <w:rPr>
          <w:rFonts w:hint="eastAsia" w:eastAsia="仿宋_GB2312" w:cs="仿宋_GB2312"/>
          <w:sz w:val="32"/>
          <w:szCs w:val="32"/>
          <w:lang w:eastAsia="zh-CN"/>
        </w:rPr>
        <w:t>指</w:t>
      </w:r>
      <w:r>
        <w:rPr>
          <w:rFonts w:hint="default" w:eastAsia="仿宋_GB2312" w:cs="仿宋_GB2312"/>
          <w:sz w:val="32"/>
          <w:szCs w:val="32"/>
          <w:lang w:val="en-US" w:eastAsia="zh-CN"/>
        </w:rPr>
        <w:t>财政部门安排的行政单位基本医疗保险缴费经费</w:t>
      </w:r>
      <w:r>
        <w:rPr>
          <w:rFonts w:hint="eastAsia" w:eastAsia="仿宋_GB2312" w:cs="仿宋_GB2312"/>
          <w:sz w:val="32"/>
          <w:szCs w:val="32"/>
          <w:lang w:eastAsia="zh-CN"/>
        </w:rPr>
        <w:t>。</w:t>
      </w:r>
    </w:p>
    <w:p w14:paraId="4168A105">
      <w:pPr>
        <w:spacing w:line="600" w:lineRule="exact"/>
        <w:ind w:firstLine="640"/>
        <w:rPr>
          <w:rFonts w:hint="eastAsia" w:eastAsia="仿宋_GB2312" w:cs="仿宋_GB2312"/>
          <w:sz w:val="32"/>
          <w:szCs w:val="32"/>
          <w:lang w:eastAsia="zh-CN"/>
        </w:rPr>
      </w:pPr>
      <w:r>
        <w:rPr>
          <w:rFonts w:hint="eastAsia" w:eastAsia="仿宋_GB2312" w:cs="仿宋_GB2312"/>
          <w:sz w:val="32"/>
          <w:szCs w:val="32"/>
          <w:lang w:val="en-US" w:eastAsia="zh-CN"/>
        </w:rPr>
        <w:t>10.</w:t>
      </w:r>
      <w:r>
        <w:rPr>
          <w:rFonts w:hint="eastAsia" w:eastAsia="仿宋_GB2312" w:cs="仿宋_GB2312"/>
          <w:sz w:val="32"/>
          <w:szCs w:val="32"/>
        </w:rPr>
        <w:t>卫生健康（类）行政事业单位医疗（款）公务员医疗补助（项）：</w:t>
      </w:r>
      <w:r>
        <w:rPr>
          <w:rFonts w:hint="eastAsia" w:eastAsia="仿宋_GB2312" w:cs="仿宋_GB2312"/>
          <w:sz w:val="32"/>
          <w:szCs w:val="32"/>
          <w:lang w:eastAsia="zh-CN"/>
        </w:rPr>
        <w:t>指</w:t>
      </w:r>
      <w:r>
        <w:rPr>
          <w:rFonts w:hint="default" w:ascii="Times New Roman" w:hAnsi="Times New Roman" w:eastAsia="仿宋_GB2312" w:cs="Times New Roman"/>
          <w:color w:val="000000" w:themeColor="text1"/>
          <w:kern w:val="0"/>
          <w:sz w:val="32"/>
          <w:szCs w:val="32"/>
          <w14:textFill>
            <w14:solidFill>
              <w14:schemeClr w14:val="tx1"/>
            </w14:solidFill>
          </w14:textFill>
        </w:rPr>
        <w:t>财政部门安排的</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公务员医疗补助经费</w:t>
      </w:r>
      <w:r>
        <w:rPr>
          <w:rFonts w:hint="eastAsia" w:eastAsia="仿宋_GB2312" w:cs="仿宋_GB2312"/>
          <w:sz w:val="32"/>
          <w:szCs w:val="32"/>
          <w:lang w:eastAsia="zh-CN"/>
        </w:rPr>
        <w:t>。</w:t>
      </w:r>
    </w:p>
    <w:p w14:paraId="7F7E119A">
      <w:pPr>
        <w:spacing w:line="600" w:lineRule="exact"/>
        <w:ind w:firstLine="640"/>
        <w:rPr>
          <w:rFonts w:hint="eastAsia" w:eastAsia="仿宋_GB2312" w:cs="仿宋_GB2312"/>
          <w:sz w:val="32"/>
          <w:szCs w:val="32"/>
          <w:lang w:eastAsia="zh-CN"/>
        </w:rPr>
      </w:pPr>
      <w:r>
        <w:rPr>
          <w:rFonts w:hint="eastAsia" w:eastAsia="仿宋_GB2312" w:cs="仿宋_GB2312"/>
          <w:sz w:val="32"/>
          <w:szCs w:val="32"/>
          <w:lang w:val="en-US" w:eastAsia="zh-CN"/>
        </w:rPr>
        <w:t>11.</w:t>
      </w:r>
      <w:r>
        <w:rPr>
          <w:rFonts w:hint="eastAsia" w:eastAsia="仿宋_GB2312" w:cs="仿宋_GB2312"/>
          <w:sz w:val="32"/>
          <w:szCs w:val="32"/>
        </w:rPr>
        <w:t>住房保障（类）住房改革支出（款）住房公积金（项）：</w:t>
      </w:r>
      <w:r>
        <w:rPr>
          <w:rFonts w:hint="eastAsia" w:eastAsia="仿宋_GB2312" w:cs="仿宋_GB2312"/>
          <w:sz w:val="32"/>
          <w:szCs w:val="32"/>
          <w:lang w:eastAsia="zh-CN"/>
        </w:rPr>
        <w:t>指</w:t>
      </w:r>
      <w:r>
        <w:rPr>
          <w:rFonts w:hint="default" w:eastAsia="仿宋_GB2312" w:cs="仿宋_GB2312"/>
          <w:sz w:val="32"/>
          <w:szCs w:val="32"/>
        </w:rPr>
        <w:t>行政事业单位按人力资源和社会保障、财政部规定的基本工资和津贴补贴以及规定比例为职工缴纳的住房公积金</w:t>
      </w:r>
      <w:r>
        <w:rPr>
          <w:rFonts w:hint="eastAsia" w:eastAsia="仿宋_GB2312" w:cs="仿宋_GB2312"/>
          <w:sz w:val="32"/>
          <w:szCs w:val="32"/>
          <w:lang w:eastAsia="zh-CN"/>
        </w:rPr>
        <w:t>。</w:t>
      </w:r>
    </w:p>
    <w:p w14:paraId="04159B89">
      <w:pPr>
        <w:spacing w:line="600" w:lineRule="exact"/>
        <w:ind w:firstLine="640"/>
        <w:rPr>
          <w:rFonts w:eastAsia="仿宋_GB2312" w:cs="仿宋_GB2312"/>
          <w:sz w:val="32"/>
          <w:szCs w:val="32"/>
        </w:rPr>
      </w:pPr>
      <w:r>
        <w:rPr>
          <w:rFonts w:hint="eastAsia" w:eastAsia="仿宋_GB2312" w:cs="仿宋_GB2312"/>
          <w:sz w:val="32"/>
          <w:szCs w:val="32"/>
          <w:lang w:val="en-US" w:eastAsia="zh-CN"/>
        </w:rPr>
        <w:t>12</w:t>
      </w:r>
      <w:r>
        <w:rPr>
          <w:rFonts w:hint="eastAsia" w:eastAsia="仿宋_GB2312" w:cs="仿宋_GB2312"/>
          <w:sz w:val="32"/>
          <w:szCs w:val="32"/>
        </w:rPr>
        <w:t>.基本支出：指为保障机构正常运转、完成日常工作任务而发生的人员支出和公用支出。</w:t>
      </w:r>
    </w:p>
    <w:p w14:paraId="4B87916B">
      <w:pPr>
        <w:spacing w:line="600" w:lineRule="exact"/>
        <w:ind w:firstLine="640"/>
        <w:rPr>
          <w:rFonts w:eastAsia="仿宋_GB2312" w:cs="仿宋_GB2312"/>
          <w:sz w:val="32"/>
          <w:szCs w:val="32"/>
        </w:rPr>
      </w:pPr>
      <w:r>
        <w:rPr>
          <w:rFonts w:hint="eastAsia" w:eastAsia="仿宋_GB2312" w:cs="仿宋_GB2312"/>
          <w:sz w:val="32"/>
          <w:szCs w:val="32"/>
          <w:lang w:val="en-US" w:eastAsia="zh-CN"/>
        </w:rPr>
        <w:t>13</w:t>
      </w:r>
      <w:r>
        <w:rPr>
          <w:rFonts w:hint="eastAsia" w:eastAsia="仿宋_GB2312" w:cs="仿宋_GB2312"/>
          <w:sz w:val="32"/>
          <w:szCs w:val="32"/>
        </w:rPr>
        <w:t xml:space="preserve">.项目支出：指在基本支出之外为完成特定行政任务和事业发展目标所发生的支出。 </w:t>
      </w:r>
    </w:p>
    <w:p w14:paraId="7498AE64">
      <w:pPr>
        <w:spacing w:line="600" w:lineRule="exact"/>
        <w:ind w:firstLine="640"/>
        <w:rPr>
          <w:rFonts w:eastAsia="仿宋_GB2312" w:cs="仿宋_GB2312"/>
          <w:sz w:val="32"/>
          <w:szCs w:val="32"/>
        </w:rPr>
      </w:pPr>
      <w:r>
        <w:rPr>
          <w:rFonts w:hint="eastAsia" w:eastAsia="仿宋_GB2312" w:cs="仿宋_GB2312"/>
          <w:sz w:val="32"/>
          <w:szCs w:val="32"/>
          <w:lang w:val="en-US" w:eastAsia="zh-CN"/>
        </w:rPr>
        <w:t>14</w:t>
      </w:r>
      <w:r>
        <w:rPr>
          <w:rFonts w:hint="eastAsia"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B243C08">
      <w:pPr>
        <w:keepNext w:val="0"/>
        <w:keepLines w:val="0"/>
        <w:pageBreakBefore w:val="0"/>
        <w:widowControl w:val="0"/>
        <w:kinsoku/>
        <w:wordWrap/>
        <w:overflowPunct/>
        <w:topLinePunct w:val="0"/>
        <w:autoSpaceDE/>
        <w:autoSpaceDN/>
        <w:bidi w:val="0"/>
        <w:adjustRightInd/>
        <w:snapToGrid/>
        <w:spacing w:line="600" w:lineRule="exact"/>
        <w:ind w:firstLine="641" w:firstLineChars="0"/>
        <w:jc w:val="left"/>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eastAsia="仿宋_GB2312" w:cs="仿宋_GB2312"/>
          <w:sz w:val="32"/>
          <w:szCs w:val="32"/>
          <w:lang w:val="en-US" w:eastAsia="zh-CN"/>
        </w:rPr>
        <w:t>15</w:t>
      </w:r>
      <w:r>
        <w:rPr>
          <w:rFonts w:hint="eastAsia"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3" w:name="_Toc15377226"/>
      <w:r>
        <w:rPr>
          <w:rFonts w:hint="eastAsia" w:eastAsia="仿宋_GB2312" w:cs="仿宋_GB2312"/>
          <w:sz w:val="32"/>
          <w:szCs w:val="32"/>
        </w:rPr>
        <w:br w:type="page"/>
      </w:r>
    </w:p>
    <w:p w14:paraId="029EED86">
      <w:pPr>
        <w:pStyle w:val="5"/>
        <w:bidi w:val="0"/>
        <w:rPr>
          <w:rFonts w:hint="eastAsia" w:eastAsia="方正小标宋简体"/>
          <w:lang w:eastAsia="zh-CN"/>
        </w:rPr>
      </w:pPr>
      <w:r>
        <w:rPr>
          <w:rFonts w:hint="eastAsia"/>
        </w:rPr>
        <w:t>第</w:t>
      </w:r>
      <w:r>
        <w:rPr>
          <w:rFonts w:hint="eastAsia"/>
          <w:lang w:eastAsia="zh-CN"/>
        </w:rPr>
        <w:t>四</w:t>
      </w:r>
      <w:r>
        <w:rPr>
          <w:rFonts w:hint="eastAsia"/>
        </w:rPr>
        <w:t>部分 附</w:t>
      </w:r>
      <w:r>
        <w:rPr>
          <w:rFonts w:hint="eastAsia"/>
          <w:lang w:eastAsia="zh-CN"/>
        </w:rPr>
        <w:t>件</w:t>
      </w:r>
    </w:p>
    <w:p w14:paraId="7993C050">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kern w:val="2"/>
          <w:sz w:val="32"/>
          <w:szCs w:val="32"/>
          <w:u w:val="none"/>
          <w:lang w:val="en-US" w:eastAsia="zh-CN" w:bidi="ar"/>
        </w:rPr>
      </w:pPr>
      <w:r>
        <w:rPr>
          <w:rFonts w:hint="eastAsia" w:ascii="Times New Roman" w:hAnsi="Times New Roman" w:eastAsia="仿宋_GB2312" w:cs="仿宋_GB2312"/>
          <w:b w:val="0"/>
          <w:bCs w:val="0"/>
          <w:kern w:val="0"/>
          <w:position w:val="0"/>
          <w:sz w:val="32"/>
          <w:szCs w:val="32"/>
          <w:highlight w:val="none"/>
          <w:lang w:val="en-US" w:eastAsia="zh-CN" w:bidi="ar-SA"/>
        </w:rPr>
        <w:t>部门预算项目支出绩效自评表（202</w:t>
      </w:r>
      <w:r>
        <w:rPr>
          <w:rFonts w:hint="eastAsia" w:ascii="Times New Roman" w:eastAsia="仿宋_GB2312" w:cs="仿宋_GB2312"/>
          <w:b w:val="0"/>
          <w:bCs w:val="0"/>
          <w:kern w:val="0"/>
          <w:position w:val="0"/>
          <w:sz w:val="32"/>
          <w:szCs w:val="32"/>
          <w:highlight w:val="none"/>
          <w:lang w:val="en-US" w:eastAsia="zh-CN" w:bidi="ar-SA"/>
        </w:rPr>
        <w:t>5</w:t>
      </w:r>
      <w:r>
        <w:rPr>
          <w:rFonts w:hint="eastAsia" w:ascii="Times New Roman" w:hAnsi="Times New Roman" w:eastAsia="仿宋_GB2312" w:cs="仿宋_GB2312"/>
          <w:b w:val="0"/>
          <w:bCs w:val="0"/>
          <w:kern w:val="0"/>
          <w:position w:val="0"/>
          <w:sz w:val="32"/>
          <w:szCs w:val="32"/>
          <w:highlight w:val="none"/>
          <w:lang w:val="en-US" w:eastAsia="zh-CN" w:bidi="ar-SA"/>
        </w:rPr>
        <w:t>年度）</w:t>
      </w:r>
      <w:r>
        <w:rPr>
          <w:rFonts w:hint="eastAsia" w:ascii="Times New Roman" w:eastAsia="仿宋_GB2312" w:cs="仿宋_GB2312"/>
          <w:b w:val="0"/>
          <w:bCs w:val="0"/>
          <w:kern w:val="0"/>
          <w:position w:val="0"/>
          <w:sz w:val="32"/>
          <w:szCs w:val="32"/>
          <w:highlight w:val="none"/>
          <w:lang w:val="en-US" w:eastAsia="zh-CN" w:bidi="ar-SA"/>
        </w:rPr>
        <w:t>见附件</w:t>
      </w:r>
    </w:p>
    <w:p w14:paraId="76E47791">
      <w:pPr>
        <w:spacing w:line="578" w:lineRule="exact"/>
        <w:ind w:firstLine="640"/>
        <w:rPr>
          <w:rFonts w:eastAsia="仿宋_GB2312" w:cs="仿宋_GB2312"/>
          <w:kern w:val="0"/>
          <w:sz w:val="32"/>
          <w:szCs w:val="32"/>
        </w:rPr>
      </w:pPr>
      <w:bookmarkStart w:id="54" w:name="_Toc15396618"/>
      <w:r>
        <w:rPr>
          <w:rFonts w:hint="eastAsia" w:eastAsia="仿宋_GB2312" w:cs="仿宋_GB2312"/>
          <w:kern w:val="0"/>
          <w:sz w:val="32"/>
          <w:szCs w:val="32"/>
        </w:rPr>
        <w:br w:type="page"/>
      </w:r>
    </w:p>
    <w:p w14:paraId="52BAAB98">
      <w:pPr>
        <w:widowControl/>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w:t>
      </w:r>
      <w:r>
        <w:rPr>
          <w:rStyle w:val="28"/>
          <w:rFonts w:hint="eastAsia" w:ascii="方正小标宋简体" w:hAnsi="方正小标宋简体" w:eastAsia="方正小标宋简体" w:cs="方正小标宋简体"/>
          <w:b w:val="0"/>
          <w:sz w:val="44"/>
          <w:szCs w:val="44"/>
        </w:rPr>
        <w:t>五部分 附表</w:t>
      </w:r>
      <w:bookmarkEnd w:id="53"/>
      <w:bookmarkEnd w:id="54"/>
      <w:bookmarkStart w:id="55" w:name="_Toc15396619"/>
    </w:p>
    <w:p w14:paraId="4DB2AB4D">
      <w:pPr>
        <w:pStyle w:val="14"/>
        <w:adjustRightInd w:val="0"/>
        <w:snapToGrid w:val="0"/>
        <w:spacing w:line="560" w:lineRule="exact"/>
        <w:jc w:val="left"/>
        <w:rPr>
          <w:rFonts w:eastAsia="仿宋_GB2312" w:cs="仿宋_GB2312"/>
          <w:sz w:val="32"/>
          <w:szCs w:val="32"/>
        </w:rPr>
      </w:pPr>
    </w:p>
    <w:p w14:paraId="7157C04B">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55"/>
    </w:p>
    <w:p w14:paraId="1944D301">
      <w:pPr>
        <w:pStyle w:val="14"/>
        <w:adjustRightInd w:val="0"/>
        <w:snapToGrid w:val="0"/>
        <w:spacing w:line="560" w:lineRule="exact"/>
        <w:jc w:val="left"/>
        <w:rPr>
          <w:rFonts w:eastAsia="仿宋_GB2312" w:cs="仿宋_GB2312"/>
          <w:sz w:val="32"/>
          <w:szCs w:val="32"/>
        </w:rPr>
      </w:pPr>
      <w:bookmarkStart w:id="56" w:name="_Toc15396620"/>
      <w:r>
        <w:rPr>
          <w:rFonts w:hint="eastAsia" w:eastAsia="仿宋_GB2312" w:cs="仿宋_GB2312"/>
          <w:sz w:val="32"/>
          <w:szCs w:val="32"/>
        </w:rPr>
        <w:t>二、收入决算表</w:t>
      </w:r>
      <w:bookmarkEnd w:id="56"/>
    </w:p>
    <w:p w14:paraId="2EBDF0CD">
      <w:pPr>
        <w:pStyle w:val="14"/>
        <w:adjustRightInd w:val="0"/>
        <w:snapToGrid w:val="0"/>
        <w:spacing w:line="560" w:lineRule="exact"/>
        <w:jc w:val="left"/>
        <w:rPr>
          <w:rFonts w:eastAsia="仿宋_GB2312" w:cs="仿宋_GB2312"/>
          <w:sz w:val="32"/>
          <w:szCs w:val="32"/>
        </w:rPr>
      </w:pPr>
      <w:bookmarkStart w:id="57" w:name="_Toc15396621"/>
      <w:r>
        <w:rPr>
          <w:rFonts w:hint="eastAsia" w:eastAsia="仿宋_GB2312" w:cs="仿宋_GB2312"/>
          <w:sz w:val="32"/>
          <w:szCs w:val="32"/>
        </w:rPr>
        <w:t>三、支出决算表</w:t>
      </w:r>
      <w:bookmarkEnd w:id="57"/>
    </w:p>
    <w:p w14:paraId="203B4A10">
      <w:pPr>
        <w:pStyle w:val="14"/>
        <w:adjustRightInd w:val="0"/>
        <w:snapToGrid w:val="0"/>
        <w:spacing w:line="560" w:lineRule="exact"/>
        <w:jc w:val="left"/>
        <w:rPr>
          <w:rFonts w:eastAsia="仿宋_GB2312" w:cs="仿宋_GB2312"/>
          <w:sz w:val="32"/>
          <w:szCs w:val="32"/>
        </w:rPr>
      </w:pPr>
      <w:bookmarkStart w:id="58" w:name="_Toc15396622"/>
      <w:r>
        <w:rPr>
          <w:rFonts w:hint="eastAsia" w:eastAsia="仿宋_GB2312" w:cs="仿宋_GB2312"/>
          <w:sz w:val="32"/>
          <w:szCs w:val="32"/>
        </w:rPr>
        <w:t>四、财政拨款收入支出决算总表</w:t>
      </w:r>
      <w:bookmarkEnd w:id="58"/>
    </w:p>
    <w:p w14:paraId="2FEFD4A5">
      <w:pPr>
        <w:pStyle w:val="14"/>
        <w:adjustRightInd w:val="0"/>
        <w:snapToGrid w:val="0"/>
        <w:spacing w:line="560" w:lineRule="exact"/>
        <w:jc w:val="left"/>
        <w:rPr>
          <w:rFonts w:eastAsia="仿宋_GB2312" w:cs="仿宋_GB2312"/>
          <w:sz w:val="32"/>
          <w:szCs w:val="32"/>
        </w:rPr>
      </w:pPr>
      <w:bookmarkStart w:id="59" w:name="_Toc15396623"/>
      <w:r>
        <w:rPr>
          <w:rFonts w:hint="eastAsia" w:eastAsia="仿宋_GB2312" w:cs="仿宋_GB2312"/>
          <w:sz w:val="32"/>
          <w:szCs w:val="32"/>
        </w:rPr>
        <w:t>五、财政拨款支出决算明细表</w:t>
      </w:r>
      <w:bookmarkEnd w:id="59"/>
      <w:bookmarkStart w:id="60" w:name="_Toc15396624"/>
    </w:p>
    <w:p w14:paraId="57F54ECA">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60"/>
    </w:p>
    <w:p w14:paraId="5151D808">
      <w:pPr>
        <w:pStyle w:val="14"/>
        <w:adjustRightInd w:val="0"/>
        <w:snapToGrid w:val="0"/>
        <w:spacing w:line="560" w:lineRule="exact"/>
        <w:jc w:val="left"/>
        <w:rPr>
          <w:rFonts w:eastAsia="仿宋_GB2312" w:cs="仿宋_GB2312"/>
          <w:sz w:val="32"/>
          <w:szCs w:val="32"/>
        </w:rPr>
      </w:pPr>
      <w:bookmarkStart w:id="61" w:name="_Toc15396625"/>
      <w:r>
        <w:rPr>
          <w:rFonts w:hint="eastAsia" w:eastAsia="仿宋_GB2312" w:cs="仿宋_GB2312"/>
          <w:sz w:val="32"/>
          <w:szCs w:val="32"/>
        </w:rPr>
        <w:t>七、一般公共预算财政拨款支出决算明细表</w:t>
      </w:r>
      <w:bookmarkEnd w:id="61"/>
    </w:p>
    <w:p w14:paraId="0BB37FB3">
      <w:pPr>
        <w:pStyle w:val="14"/>
        <w:adjustRightInd w:val="0"/>
        <w:snapToGrid w:val="0"/>
        <w:spacing w:line="560" w:lineRule="exact"/>
        <w:jc w:val="left"/>
        <w:rPr>
          <w:rFonts w:eastAsia="仿宋_GB2312" w:cs="仿宋_GB2312"/>
          <w:sz w:val="32"/>
          <w:szCs w:val="32"/>
        </w:rPr>
      </w:pPr>
      <w:bookmarkStart w:id="62" w:name="_Toc15396626"/>
      <w:r>
        <w:rPr>
          <w:rFonts w:hint="eastAsia" w:eastAsia="仿宋_GB2312" w:cs="仿宋_GB2312"/>
          <w:sz w:val="32"/>
          <w:szCs w:val="32"/>
        </w:rPr>
        <w:t>八、一般公共预算财政拨款基本支出决算表</w:t>
      </w:r>
      <w:bookmarkEnd w:id="62"/>
    </w:p>
    <w:p w14:paraId="14AF2557">
      <w:pPr>
        <w:pStyle w:val="14"/>
        <w:adjustRightInd w:val="0"/>
        <w:snapToGrid w:val="0"/>
        <w:spacing w:line="560" w:lineRule="exact"/>
        <w:jc w:val="left"/>
        <w:rPr>
          <w:rFonts w:eastAsia="仿宋_GB2312" w:cs="仿宋_GB2312"/>
          <w:sz w:val="32"/>
          <w:szCs w:val="32"/>
        </w:rPr>
      </w:pPr>
      <w:bookmarkStart w:id="63" w:name="_Toc15396627"/>
      <w:r>
        <w:rPr>
          <w:rFonts w:hint="eastAsia" w:eastAsia="仿宋_GB2312" w:cs="仿宋_GB2312"/>
          <w:sz w:val="32"/>
          <w:szCs w:val="32"/>
        </w:rPr>
        <w:t>九、一般公共预算财政拨款项目支出决算表</w:t>
      </w:r>
      <w:bookmarkEnd w:id="63"/>
    </w:p>
    <w:p w14:paraId="7FA6F8B0">
      <w:pPr>
        <w:pStyle w:val="14"/>
        <w:adjustRightInd w:val="0"/>
        <w:snapToGrid w:val="0"/>
        <w:spacing w:line="560" w:lineRule="exact"/>
        <w:jc w:val="left"/>
        <w:rPr>
          <w:rFonts w:eastAsia="仿宋_GB2312" w:cs="仿宋_GB2312"/>
          <w:sz w:val="32"/>
          <w:szCs w:val="32"/>
        </w:rPr>
      </w:pPr>
      <w:bookmarkStart w:id="64" w:name="_Toc15396628"/>
      <w:r>
        <w:rPr>
          <w:rFonts w:hint="eastAsia" w:eastAsia="仿宋_GB2312" w:cs="仿宋_GB2312"/>
          <w:sz w:val="32"/>
          <w:szCs w:val="32"/>
        </w:rPr>
        <w:t>十、</w:t>
      </w:r>
      <w:bookmarkEnd w:id="64"/>
      <w:r>
        <w:rPr>
          <w:rFonts w:hint="eastAsia" w:eastAsia="仿宋_GB2312" w:cs="仿宋_GB2312"/>
          <w:sz w:val="32"/>
          <w:szCs w:val="32"/>
        </w:rPr>
        <w:t>政府性基金预算财政拨款收入支出决算表</w:t>
      </w:r>
    </w:p>
    <w:p w14:paraId="6B47782F">
      <w:pPr>
        <w:pStyle w:val="14"/>
        <w:adjustRightInd w:val="0"/>
        <w:snapToGrid w:val="0"/>
        <w:spacing w:line="560" w:lineRule="exact"/>
        <w:jc w:val="left"/>
        <w:rPr>
          <w:rFonts w:eastAsia="仿宋_GB2312" w:cs="仿宋_GB2312"/>
          <w:sz w:val="32"/>
          <w:szCs w:val="32"/>
        </w:rPr>
      </w:pPr>
      <w:bookmarkStart w:id="65" w:name="_Toc15396629"/>
      <w:r>
        <w:rPr>
          <w:rFonts w:hint="eastAsia" w:eastAsia="仿宋_GB2312" w:cs="仿宋_GB2312"/>
          <w:sz w:val="32"/>
          <w:szCs w:val="32"/>
        </w:rPr>
        <w:t>十一、</w:t>
      </w:r>
      <w:bookmarkEnd w:id="65"/>
      <w:r>
        <w:rPr>
          <w:rFonts w:hint="eastAsia" w:eastAsia="仿宋_GB2312" w:cs="仿宋_GB2312"/>
          <w:sz w:val="32"/>
          <w:szCs w:val="32"/>
        </w:rPr>
        <w:t>国有资本经营预算财政拨款收入支出决算表</w:t>
      </w:r>
    </w:p>
    <w:p w14:paraId="5DC36779">
      <w:pPr>
        <w:pStyle w:val="14"/>
        <w:adjustRightInd w:val="0"/>
        <w:snapToGrid w:val="0"/>
        <w:spacing w:line="560" w:lineRule="exact"/>
        <w:jc w:val="left"/>
        <w:rPr>
          <w:rFonts w:eastAsia="仿宋_GB2312" w:cs="仿宋_GB2312"/>
          <w:sz w:val="32"/>
          <w:szCs w:val="32"/>
        </w:rPr>
      </w:pPr>
      <w:bookmarkStart w:id="66" w:name="_Toc15396630"/>
      <w:r>
        <w:rPr>
          <w:rFonts w:hint="eastAsia" w:eastAsia="仿宋_GB2312" w:cs="仿宋_GB2312"/>
          <w:sz w:val="32"/>
          <w:szCs w:val="32"/>
        </w:rPr>
        <w:t>十二、</w:t>
      </w:r>
      <w:bookmarkEnd w:id="66"/>
      <w:r>
        <w:rPr>
          <w:rFonts w:hint="eastAsia" w:eastAsia="仿宋_GB2312" w:cs="仿宋_GB2312"/>
          <w:sz w:val="32"/>
          <w:szCs w:val="32"/>
        </w:rPr>
        <w:t>国有资本经营预算财政拨款支出决算表</w:t>
      </w:r>
    </w:p>
    <w:p w14:paraId="3F1191CF">
      <w:pPr>
        <w:pStyle w:val="14"/>
        <w:adjustRightInd w:val="0"/>
        <w:snapToGrid w:val="0"/>
        <w:spacing w:line="560" w:lineRule="exact"/>
        <w:jc w:val="left"/>
        <w:rPr>
          <w:rFonts w:eastAsia="仿宋_GB2312" w:cs="仿宋_GB2312"/>
          <w:sz w:val="32"/>
          <w:szCs w:val="32"/>
        </w:rPr>
      </w:pPr>
      <w:bookmarkStart w:id="67" w:name="_Toc15396631"/>
      <w:r>
        <w:rPr>
          <w:rFonts w:hint="eastAsia" w:eastAsia="仿宋_GB2312" w:cs="仿宋_GB2312"/>
          <w:sz w:val="32"/>
          <w:szCs w:val="32"/>
        </w:rPr>
        <w:t>十三、</w:t>
      </w:r>
      <w:bookmarkEnd w:id="67"/>
      <w:r>
        <w:rPr>
          <w:rFonts w:hint="eastAsia" w:eastAsia="仿宋_GB2312" w:cs="仿宋_GB2312"/>
          <w:sz w:val="32"/>
          <w:szCs w:val="32"/>
        </w:rPr>
        <w:t>财政拨款“三公”经费支出决算表</w:t>
      </w:r>
    </w:p>
    <w:p w14:paraId="42B3A48C"/>
    <w:sectPr>
      <w:footerReference r:id="rId7"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Cambria">
    <w:altName w:val="FreeSerif"/>
    <w:panose1 w:val="02040503050406030204"/>
    <w:charset w:val="00"/>
    <w:family w:val="roman"/>
    <w:pitch w:val="default"/>
    <w:sig w:usb0="00000000" w:usb1="00000000" w:usb2="00000000" w:usb3="00000000" w:csb0="0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7C01A">
    <w:pPr>
      <w:pStyle w:val="11"/>
      <w:jc w:val="center"/>
    </w:pPr>
  </w:p>
  <w:p w14:paraId="5A7BC278">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81E48">
    <w:pPr>
      <w:pStyle w:val="11"/>
      <w:jc w:val="center"/>
    </w:pPr>
  </w:p>
  <w:p w14:paraId="20C1215E">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0F9AE">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D800A8">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2BD800A8">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34A36">
    <w:pPr>
      <w:pStyle w:val="1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4CA4C6">
                          <w:pPr>
                            <w:pStyle w:val="11"/>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F4CA4C6">
                    <w:pPr>
                      <w:pStyle w:val="11"/>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p w14:paraId="0F0E554E">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2BF61">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19"/>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1ADD"/>
    <w:rsid w:val="00163351"/>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66425"/>
    <w:rsid w:val="0037013F"/>
    <w:rsid w:val="00380C92"/>
    <w:rsid w:val="003A167B"/>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75C6A"/>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741F"/>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87D95"/>
    <w:rsid w:val="009931C3"/>
    <w:rsid w:val="009A1776"/>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5EA2"/>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3BF5"/>
    <w:rsid w:val="00D51247"/>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317B1B"/>
    <w:rsid w:val="02FEBE30"/>
    <w:rsid w:val="061E35DE"/>
    <w:rsid w:val="066E0107"/>
    <w:rsid w:val="07996F6E"/>
    <w:rsid w:val="07DFD8BA"/>
    <w:rsid w:val="08DB07E4"/>
    <w:rsid w:val="09867E8F"/>
    <w:rsid w:val="0A2032A3"/>
    <w:rsid w:val="0C6C4794"/>
    <w:rsid w:val="0CA8290A"/>
    <w:rsid w:val="0D35B1ED"/>
    <w:rsid w:val="0DE07E2B"/>
    <w:rsid w:val="0F98263C"/>
    <w:rsid w:val="101860EC"/>
    <w:rsid w:val="10C055FF"/>
    <w:rsid w:val="11772AA4"/>
    <w:rsid w:val="118107EC"/>
    <w:rsid w:val="13D50BC4"/>
    <w:rsid w:val="14022904"/>
    <w:rsid w:val="152F2A07"/>
    <w:rsid w:val="165E0673"/>
    <w:rsid w:val="16BB723D"/>
    <w:rsid w:val="186504BB"/>
    <w:rsid w:val="1938089F"/>
    <w:rsid w:val="19A445FC"/>
    <w:rsid w:val="1B7D550C"/>
    <w:rsid w:val="1BE8440E"/>
    <w:rsid w:val="1D155CEE"/>
    <w:rsid w:val="1E740ACF"/>
    <w:rsid w:val="1FF35744"/>
    <w:rsid w:val="1FF6BC77"/>
    <w:rsid w:val="21962A9E"/>
    <w:rsid w:val="21AE7C77"/>
    <w:rsid w:val="22BC3C41"/>
    <w:rsid w:val="23860B96"/>
    <w:rsid w:val="240371BF"/>
    <w:rsid w:val="260F557C"/>
    <w:rsid w:val="281408E2"/>
    <w:rsid w:val="29FD04D3"/>
    <w:rsid w:val="2BFF7BC6"/>
    <w:rsid w:val="2C8A61B5"/>
    <w:rsid w:val="2D2E01CF"/>
    <w:rsid w:val="2DF04E50"/>
    <w:rsid w:val="2E9545B0"/>
    <w:rsid w:val="2F040D46"/>
    <w:rsid w:val="2FAE5751"/>
    <w:rsid w:val="2FB1A395"/>
    <w:rsid w:val="2FD9A7D8"/>
    <w:rsid w:val="319F7F4E"/>
    <w:rsid w:val="321B2544"/>
    <w:rsid w:val="3304709D"/>
    <w:rsid w:val="33AF0D0F"/>
    <w:rsid w:val="34281836"/>
    <w:rsid w:val="349D6851"/>
    <w:rsid w:val="35BA6CAF"/>
    <w:rsid w:val="364D14C1"/>
    <w:rsid w:val="36AA5135"/>
    <w:rsid w:val="36BE0DA7"/>
    <w:rsid w:val="376B6AA6"/>
    <w:rsid w:val="376D39B2"/>
    <w:rsid w:val="37E16F03"/>
    <w:rsid w:val="37F53A3B"/>
    <w:rsid w:val="37FF622A"/>
    <w:rsid w:val="389B6C89"/>
    <w:rsid w:val="38D469F0"/>
    <w:rsid w:val="39627CCD"/>
    <w:rsid w:val="397BAF1F"/>
    <w:rsid w:val="3AB79AF3"/>
    <w:rsid w:val="3B7EF35A"/>
    <w:rsid w:val="3B9FDB6C"/>
    <w:rsid w:val="3BF5BC2F"/>
    <w:rsid w:val="3CEBA265"/>
    <w:rsid w:val="3D98207C"/>
    <w:rsid w:val="3D9B0D99"/>
    <w:rsid w:val="3DEE7CF3"/>
    <w:rsid w:val="3DF02244"/>
    <w:rsid w:val="3E78745D"/>
    <w:rsid w:val="3FEF000C"/>
    <w:rsid w:val="3FF4CAE0"/>
    <w:rsid w:val="3FF7B227"/>
    <w:rsid w:val="40E54C45"/>
    <w:rsid w:val="43A407DF"/>
    <w:rsid w:val="44515BEA"/>
    <w:rsid w:val="44E268DA"/>
    <w:rsid w:val="453F7E5B"/>
    <w:rsid w:val="486A6C7A"/>
    <w:rsid w:val="49176D9B"/>
    <w:rsid w:val="4A627F82"/>
    <w:rsid w:val="4B0E749A"/>
    <w:rsid w:val="4B4F25DA"/>
    <w:rsid w:val="4BDA0CFB"/>
    <w:rsid w:val="4BE068DB"/>
    <w:rsid w:val="4D3C0CCC"/>
    <w:rsid w:val="4D577224"/>
    <w:rsid w:val="4DBF1CEB"/>
    <w:rsid w:val="4EAB630A"/>
    <w:rsid w:val="4ECE2238"/>
    <w:rsid w:val="4F833267"/>
    <w:rsid w:val="4FE9BD67"/>
    <w:rsid w:val="4FFB052F"/>
    <w:rsid w:val="53083A92"/>
    <w:rsid w:val="537E6D0A"/>
    <w:rsid w:val="53AF27A2"/>
    <w:rsid w:val="53F74C96"/>
    <w:rsid w:val="56E47B74"/>
    <w:rsid w:val="57BD3DD4"/>
    <w:rsid w:val="5AF92295"/>
    <w:rsid w:val="5BDD79E6"/>
    <w:rsid w:val="5BF561CA"/>
    <w:rsid w:val="5BFF5DFC"/>
    <w:rsid w:val="5C7762AA"/>
    <w:rsid w:val="5CD71FC4"/>
    <w:rsid w:val="5D1F11B5"/>
    <w:rsid w:val="5DAE1B18"/>
    <w:rsid w:val="5DE7D9E5"/>
    <w:rsid w:val="5ECEC941"/>
    <w:rsid w:val="5F493CB7"/>
    <w:rsid w:val="5FBF9FF3"/>
    <w:rsid w:val="5FCD4E2C"/>
    <w:rsid w:val="5FD15F49"/>
    <w:rsid w:val="5FEF394A"/>
    <w:rsid w:val="5FF67715"/>
    <w:rsid w:val="62BF3928"/>
    <w:rsid w:val="647F5392"/>
    <w:rsid w:val="664B1D71"/>
    <w:rsid w:val="67AA3209"/>
    <w:rsid w:val="681C4F0D"/>
    <w:rsid w:val="69046D0F"/>
    <w:rsid w:val="698D0931"/>
    <w:rsid w:val="6A993CED"/>
    <w:rsid w:val="6B053271"/>
    <w:rsid w:val="6BCE6674"/>
    <w:rsid w:val="6C4A05C8"/>
    <w:rsid w:val="6C8742B8"/>
    <w:rsid w:val="6C8A170F"/>
    <w:rsid w:val="6CB54609"/>
    <w:rsid w:val="6DBF5E93"/>
    <w:rsid w:val="6DFF077E"/>
    <w:rsid w:val="6E7E3605"/>
    <w:rsid w:val="6E7FDCC7"/>
    <w:rsid w:val="6ED6A62E"/>
    <w:rsid w:val="6EE00B15"/>
    <w:rsid w:val="6F544B20"/>
    <w:rsid w:val="6F6FB3EB"/>
    <w:rsid w:val="6F784160"/>
    <w:rsid w:val="6F8731EA"/>
    <w:rsid w:val="6FCE6052"/>
    <w:rsid w:val="6FD57C00"/>
    <w:rsid w:val="6FEFFFD8"/>
    <w:rsid w:val="6FF5CC65"/>
    <w:rsid w:val="6FFB47EC"/>
    <w:rsid w:val="6FFF034A"/>
    <w:rsid w:val="70496804"/>
    <w:rsid w:val="712A28F1"/>
    <w:rsid w:val="715C0E4B"/>
    <w:rsid w:val="72233669"/>
    <w:rsid w:val="72734D90"/>
    <w:rsid w:val="7332FE48"/>
    <w:rsid w:val="73AB61DA"/>
    <w:rsid w:val="73AD73D5"/>
    <w:rsid w:val="73B6EB34"/>
    <w:rsid w:val="73FA497D"/>
    <w:rsid w:val="744731E5"/>
    <w:rsid w:val="74527205"/>
    <w:rsid w:val="74BBD01D"/>
    <w:rsid w:val="74ED5379"/>
    <w:rsid w:val="74FC2395"/>
    <w:rsid w:val="75DEEEC2"/>
    <w:rsid w:val="76E3355F"/>
    <w:rsid w:val="76FF5125"/>
    <w:rsid w:val="776F6FFA"/>
    <w:rsid w:val="778769C8"/>
    <w:rsid w:val="77DC22F5"/>
    <w:rsid w:val="79086DAD"/>
    <w:rsid w:val="79974F09"/>
    <w:rsid w:val="79D7FD79"/>
    <w:rsid w:val="79EE5BA4"/>
    <w:rsid w:val="7A894339"/>
    <w:rsid w:val="7AFF7572"/>
    <w:rsid w:val="7B6C7DFB"/>
    <w:rsid w:val="7BAF05B0"/>
    <w:rsid w:val="7BBFBED0"/>
    <w:rsid w:val="7BC3E394"/>
    <w:rsid w:val="7C1F3737"/>
    <w:rsid w:val="7CBFC87B"/>
    <w:rsid w:val="7CFE0F48"/>
    <w:rsid w:val="7D7EC23E"/>
    <w:rsid w:val="7D916348"/>
    <w:rsid w:val="7E8ADEBF"/>
    <w:rsid w:val="7EADB4CE"/>
    <w:rsid w:val="7EEF11D3"/>
    <w:rsid w:val="7EFF84BB"/>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 w:val="7FFF703C"/>
    <w:rsid w:val="99FF2014"/>
    <w:rsid w:val="A6DD0D7F"/>
    <w:rsid w:val="ABDE9CEB"/>
    <w:rsid w:val="ADC6F725"/>
    <w:rsid w:val="B7CF06AB"/>
    <w:rsid w:val="B7CFA926"/>
    <w:rsid w:val="B7EF2DC2"/>
    <w:rsid w:val="B7F8786B"/>
    <w:rsid w:val="B82FFF23"/>
    <w:rsid w:val="BABB6AA1"/>
    <w:rsid w:val="BB2F4199"/>
    <w:rsid w:val="BD079C78"/>
    <w:rsid w:val="BD733540"/>
    <w:rsid w:val="BF3735D5"/>
    <w:rsid w:val="BF7F09AC"/>
    <w:rsid w:val="BFD475C3"/>
    <w:rsid w:val="BFDE5EA6"/>
    <w:rsid w:val="CBDE2C0E"/>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EFFC6316"/>
    <w:rsid w:val="F2BEBCB8"/>
    <w:rsid w:val="F36FB518"/>
    <w:rsid w:val="F3DE1A04"/>
    <w:rsid w:val="F3F722E5"/>
    <w:rsid w:val="F7DF4C28"/>
    <w:rsid w:val="F8FD2FC4"/>
    <w:rsid w:val="FA5F1E70"/>
    <w:rsid w:val="FA5FDB97"/>
    <w:rsid w:val="FB7F486A"/>
    <w:rsid w:val="FBFF5B2E"/>
    <w:rsid w:val="FD7FFE2B"/>
    <w:rsid w:val="FDEE196B"/>
    <w:rsid w:val="FDFE6575"/>
    <w:rsid w:val="FEDFDDC2"/>
    <w:rsid w:val="FEED32F6"/>
    <w:rsid w:val="FEF781DD"/>
    <w:rsid w:val="FF1451DA"/>
    <w:rsid w:val="FF3F7E3F"/>
    <w:rsid w:val="FFBA12D7"/>
    <w:rsid w:val="FFDFFAEE"/>
    <w:rsid w:val="FFF3967D"/>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spacing w:before="340" w:after="330" w:line="514" w:lineRule="auto"/>
      <w:jc w:val="center"/>
      <w:outlineLvl w:val="0"/>
    </w:pPr>
    <w:rPr>
      <w:rFonts w:ascii="方正小标宋简体" w:hAnsi="方正小标宋简体" w:eastAsia="方正小标宋简体" w:cs="方正小标宋简体"/>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link w:val="35"/>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link w:val="5"/>
    <w:qFormat/>
    <w:uiPriority w:val="9"/>
    <w:rPr>
      <w:rFonts w:ascii="方正小标宋简体" w:hAnsi="方正小标宋简体" w:eastAsia="方正小标宋简体" w:cs="方正小标宋简体"/>
      <w:kern w:val="44"/>
      <w:sz w:val="44"/>
      <w:szCs w:val="44"/>
      <w:lang w:val="en-US" w:eastAsia="zh-CN" w:bidi="ar-SA"/>
    </w:rPr>
  </w:style>
  <w:style w:type="character" w:customStyle="1" w:styleId="29">
    <w:name w:val="标题 2 Char"/>
    <w:basedOn w:val="16"/>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7"/>
    <w:qFormat/>
    <w:uiPriority w:val="9"/>
    <w:rPr>
      <w:rFonts w:ascii="Times New Roman" w:hAnsi="Times New Roman"/>
      <w:b/>
      <w:bCs/>
      <w:kern w:val="2"/>
      <w:sz w:val="32"/>
      <w:szCs w:val="32"/>
    </w:rPr>
  </w:style>
  <w:style w:type="paragraph" w:customStyle="1" w:styleId="33">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character" w:customStyle="1" w:styleId="35">
    <w:name w:val="正文首行缩进 2 Char"/>
    <w:basedOn w:val="16"/>
    <w:link w:val="3"/>
    <w:qFormat/>
    <w:uiPriority w:val="99"/>
    <w:rPr>
      <w:rFonts w:ascii="仿宋_GB2312"/>
      <w:kern w:val="2"/>
      <w:sz w:val="21"/>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82193766610292"/>
          <c:y val="0.0291117722056949"/>
        </c:manualLayout>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收入、支出决算总计变动情况图</c:v>
                </c:pt>
              </c:strCache>
            </c:strRef>
          </c:tx>
          <c:spPr>
            <a:solidFill>
              <a:schemeClr val="accent1"/>
            </a:solidFill>
            <a:ln>
              <a:noFill/>
            </a:ln>
            <a:effectLst/>
          </c:spPr>
          <c:invertIfNegative val="0"/>
          <c:dLbls>
            <c:numFmt formatCode="0.00&quot;万元&quot;"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2024年度收入、支出总计</c:v>
                </c:pt>
                <c:pt idx="1">
                  <c:v>2025年度收入、支出总计</c:v>
                </c:pt>
              </c:strCache>
            </c:strRef>
          </c:cat>
          <c:val>
            <c:numRef>
              <c:f>Sheet1!$B$2:$B$3</c:f>
              <c:numCache>
                <c:formatCode>General</c:formatCode>
                <c:ptCount val="2"/>
                <c:pt idx="0">
                  <c:v>237.22</c:v>
                </c:pt>
                <c:pt idx="1">
                  <c:v>218.49</c:v>
                </c:pt>
              </c:numCache>
            </c:numRef>
          </c:val>
        </c:ser>
        <c:dLbls>
          <c:showLegendKey val="0"/>
          <c:showVal val="1"/>
          <c:showCatName val="0"/>
          <c:showSerName val="0"/>
          <c:showPercent val="0"/>
          <c:showBubbleSize val="0"/>
        </c:dLbls>
        <c:gapWidth val="246"/>
        <c:overlap val="-28"/>
        <c:axId val="228641086"/>
        <c:axId val="598905507"/>
      </c:barChart>
      <c:catAx>
        <c:axId val="22864108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8905507"/>
        <c:crosses val="autoZero"/>
        <c:auto val="1"/>
        <c:lblAlgn val="ctr"/>
        <c:lblOffset val="100"/>
        <c:noMultiLvlLbl val="0"/>
      </c:catAx>
      <c:valAx>
        <c:axId val="598905507"/>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8641086"/>
        <c:crosses val="autoZero"/>
        <c:crossBetween val="between"/>
      </c:valAx>
      <c:spPr>
        <a:noFill/>
        <a:ln>
          <a:noFill/>
        </a:ln>
        <a:effectLst/>
      </c:spPr>
    </c:plotArea>
    <c:plotVisOnly val="1"/>
    <c:dispBlanksAs val="gap"/>
    <c:showDLblsOverMax val="0"/>
    <c:extLst>
      <c:ext uri="{0b15fc19-7d7d-44ad-8c2d-2c3a37ce22c3}">
        <chartProps xmlns="https://web.wps.cn/et/2018/main" chartId="{c1080711-ab88-4009-9a66-79251d56a20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2025年度收入决算结构图</c:v>
                </c:pt>
              </c:strCache>
            </c:strRef>
          </c:tx>
          <c:spPr/>
          <c:explosion val="0"/>
          <c:dPt>
            <c:idx val="0"/>
            <c:bubble3D val="0"/>
            <c:spPr>
              <a:solidFill>
                <a:schemeClr val="accent1"/>
              </a:solidFill>
              <a:ln>
                <a:solidFill>
                  <a:schemeClr val="bg1"/>
                </a:solidFill>
              </a:ln>
              <a:effectLst/>
            </c:spPr>
          </c:dPt>
          <c:dLbls>
            <c:dLbl>
              <c:idx val="0"/>
              <c:layout>
                <c:manualLayout>
                  <c:x val="-0.00398703193065209"/>
                  <c:y val="-0.182267318317822"/>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218.49万元; 100%</a:t>
                    </a:r>
                  </a:p>
                </c:rich>
              </c:tx>
              <c:dLblPos val="bestFit"/>
              <c:showLegendKey val="0"/>
              <c:showVal val="1"/>
              <c:showCatName val="0"/>
              <c:showSerName val="0"/>
              <c:showPercent val="1"/>
              <c:showBubbleSize val="0"/>
              <c:separator>;</c:separator>
              <c:extLst>
                <c:ext xmlns:c15="http://schemas.microsoft.com/office/drawing/2012/chart" uri="{CE6537A1-D6FC-4f65-9D91-7224C49458BB}">
                  <c15:layout/>
                </c:ext>
              </c:extLst>
            </c:dLbl>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1"/>
            <c:showBubbleSize val="0"/>
            <c:separator>;</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218.49</c:v>
                </c:pt>
              </c:numCache>
            </c:numRef>
          </c:val>
        </c:ser>
        <c:dLbls>
          <c:showLegendKey val="0"/>
          <c:showVal val="1"/>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132e8de-fe1a-4e38-b22f-c42dd49e824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2025年度支出决算结构图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215.49万元; </a:t>
                    </a:r>
                    <a:r>
                      <a:rPr lang="en-US" altLang="zh-CN"/>
                      <a:t>98.6%</a:t>
                    </a:r>
                    <a:endParaRPr lang="en-US" altLang="zh-CN"/>
                  </a:p>
                </c:rich>
              </c:tx>
              <c:dLblPos val="ctr"/>
              <c:showLegendKey val="0"/>
              <c:showVal val="1"/>
              <c:showCatName val="0"/>
              <c:showSerName val="0"/>
              <c:showPercent val="1"/>
              <c:showBubbleSize val="0"/>
              <c:separator>;</c:separator>
              <c:extLst>
                <c:ext xmlns:c15="http://schemas.microsoft.com/office/drawing/2012/chart" uri="{CE6537A1-D6FC-4f65-9D91-7224C49458BB}"/>
              </c:extLst>
            </c:dLbl>
            <c:dLbl>
              <c:idx val="1"/>
              <c:layout>
                <c:manualLayout>
                  <c:x val="-0.173301587723204"/>
                  <c:y val="0.0765857585695913"/>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3万元; </a:t>
                    </a:r>
                    <a:r>
                      <a:rPr lang="en-US" altLang="zh-CN"/>
                      <a:t>1.4%</a:t>
                    </a:r>
                    <a:endParaRPr lang="en-US" altLang="zh-CN"/>
                  </a:p>
                </c:rich>
              </c:tx>
              <c:dLblPos val="bestFit"/>
              <c:showLegendKey val="0"/>
              <c:showVal val="1"/>
              <c:showCatName val="0"/>
              <c:showSerName val="0"/>
              <c:showPercent val="1"/>
              <c:showBubbleSize val="0"/>
              <c:separator>;</c:separator>
              <c:extLst>
                <c:ext xmlns:c15="http://schemas.microsoft.com/office/drawing/2012/chart" uri="{CE6537A1-D6FC-4f65-9D91-7224C49458BB}">
                  <c15:layout>
                    <c:manualLayout>
                      <c:w val="0.149190625755013"/>
                      <c:h val="0.122821929451764"/>
                    </c:manualLayout>
                  </c15:layout>
                </c:ext>
              </c:extLst>
            </c:dLbl>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eparator>;</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215.49</c:v>
                </c:pt>
                <c:pt idx="1">
                  <c:v>3</c:v>
                </c:pt>
              </c:numCache>
            </c:numRef>
          </c:val>
        </c:ser>
        <c:dLbls>
          <c:showLegendKey val="0"/>
          <c:showVal val="1"/>
          <c:showCatName val="0"/>
          <c:showSerName val="0"/>
          <c:showPercent val="1"/>
          <c:showBubbleSize val="0"/>
          <c:showLeaderLines val="1"/>
        </c:dLbls>
        <c:firstSliceAng val="0"/>
      </c:pieChart>
      <c:spPr>
        <a:noFill/>
        <a:ln>
          <a:noFill/>
        </a:ln>
        <a:effectLst/>
      </c:spPr>
    </c:plotArea>
    <c:legend>
      <c:legendPos val="t"/>
      <c:layout>
        <c:manualLayout>
          <c:xMode val="edge"/>
          <c:yMode val="edge"/>
          <c:x val="0.383123942981396"/>
          <c:y val="0.13429664258393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19c1ce2-94ea-46f1-8772-d99473b7d96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93645808166223"/>
          <c:y val="0.0325116872078198"/>
        </c:manualLayout>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2025年度财政拨款收、支决算总计变动情况</c:v>
                </c:pt>
              </c:strCache>
            </c:strRef>
          </c:tx>
          <c:spPr>
            <a:solidFill>
              <a:schemeClr val="accent1"/>
            </a:solidFill>
            <a:ln>
              <a:noFill/>
            </a:ln>
            <a:effectLst/>
          </c:spPr>
          <c:invertIfNegative val="0"/>
          <c:dLbls>
            <c:numFmt formatCode="0.00&quot;万元&quot;"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2024年度财政拨款收入、支出总计</c:v>
                </c:pt>
                <c:pt idx="1">
                  <c:v>2025年度财政拨款收入、支出总计</c:v>
                </c:pt>
              </c:strCache>
            </c:strRef>
          </c:cat>
          <c:val>
            <c:numRef>
              <c:f>Sheet1!$B$2:$B$3</c:f>
              <c:numCache>
                <c:formatCode>General</c:formatCode>
                <c:ptCount val="2"/>
                <c:pt idx="0">
                  <c:v>237.22</c:v>
                </c:pt>
                <c:pt idx="1">
                  <c:v>218.49</c:v>
                </c:pt>
              </c:numCache>
            </c:numRef>
          </c:val>
        </c:ser>
        <c:dLbls>
          <c:showLegendKey val="0"/>
          <c:showVal val="1"/>
          <c:showCatName val="0"/>
          <c:showSerName val="0"/>
          <c:showPercent val="0"/>
          <c:showBubbleSize val="0"/>
        </c:dLbls>
        <c:gapWidth val="246"/>
        <c:overlap val="-28"/>
        <c:axId val="228641086"/>
        <c:axId val="598905507"/>
      </c:barChart>
      <c:catAx>
        <c:axId val="22864108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8905507"/>
        <c:crosses val="autoZero"/>
        <c:auto val="1"/>
        <c:lblAlgn val="ctr"/>
        <c:lblOffset val="100"/>
        <c:noMultiLvlLbl val="0"/>
      </c:catAx>
      <c:valAx>
        <c:axId val="598905507"/>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8641086"/>
        <c:crosses val="autoZero"/>
        <c:crossBetween val="between"/>
      </c:valAx>
      <c:spPr>
        <a:noFill/>
        <a:ln>
          <a:noFill/>
        </a:ln>
        <a:effectLst/>
      </c:spPr>
    </c:plotArea>
    <c:plotVisOnly val="1"/>
    <c:dispBlanksAs val="gap"/>
    <c:showDLblsOverMax val="0"/>
    <c:extLst>
      <c:ext uri="{0b15fc19-7d7d-44ad-8c2d-2c3a37ce22c3}">
        <chartProps xmlns="https://web.wps.cn/et/2018/main" chartId="{c1080711-ab88-4009-9a66-79251d56a20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39284851413384"/>
          <c:y val="0.0359116022099447"/>
        </c:manualLayout>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manualLayout>
          <c:layoutTarget val="inner"/>
          <c:xMode val="edge"/>
          <c:yMode val="edge"/>
          <c:x val="0.0686880889103648"/>
          <c:y val="0.161920951976201"/>
          <c:w val="0.908721913505678"/>
          <c:h val="0.735741606459839"/>
        </c:manualLayout>
      </c:layout>
      <c:barChart>
        <c:barDir val="col"/>
        <c:grouping val="clustered"/>
        <c:varyColors val="0"/>
        <c:ser>
          <c:idx val="0"/>
          <c:order val="0"/>
          <c:tx>
            <c:strRef>
              <c:f>Sheet1!$B$1</c:f>
              <c:strCache>
                <c:ptCount val="1"/>
                <c:pt idx="0">
                  <c:v>2025年度一般公共预算财政拨款支出决算变动情况</c:v>
                </c:pt>
              </c:strCache>
            </c:strRef>
          </c:tx>
          <c:spPr>
            <a:solidFill>
              <a:schemeClr val="accent1"/>
            </a:solidFill>
            <a:ln>
              <a:noFill/>
            </a:ln>
            <a:effectLst/>
          </c:spPr>
          <c:invertIfNegative val="0"/>
          <c:dLbls>
            <c:numFmt formatCode="0.00&quot;万元&quot;"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2024年度一般公共预算财政拨款支出</c:v>
                </c:pt>
                <c:pt idx="1">
                  <c:v>2025年度一般公共预算财政拨款支出</c:v>
                </c:pt>
              </c:strCache>
            </c:strRef>
          </c:cat>
          <c:val>
            <c:numRef>
              <c:f>Sheet1!$B$2:$B$3</c:f>
              <c:numCache>
                <c:formatCode>General</c:formatCode>
                <c:ptCount val="2"/>
                <c:pt idx="0">
                  <c:v>237.22</c:v>
                </c:pt>
                <c:pt idx="1">
                  <c:v>218.49</c:v>
                </c:pt>
              </c:numCache>
            </c:numRef>
          </c:val>
        </c:ser>
        <c:dLbls>
          <c:showLegendKey val="0"/>
          <c:showVal val="1"/>
          <c:showCatName val="0"/>
          <c:showSerName val="0"/>
          <c:showPercent val="0"/>
          <c:showBubbleSize val="0"/>
        </c:dLbls>
        <c:gapWidth val="246"/>
        <c:overlap val="-28"/>
        <c:axId val="228641086"/>
        <c:axId val="598905507"/>
      </c:barChart>
      <c:catAx>
        <c:axId val="22864108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8905507"/>
        <c:crosses val="autoZero"/>
        <c:auto val="1"/>
        <c:lblAlgn val="ctr"/>
        <c:lblOffset val="100"/>
        <c:noMultiLvlLbl val="0"/>
      </c:catAx>
      <c:valAx>
        <c:axId val="598905507"/>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8641086"/>
        <c:crosses val="autoZero"/>
        <c:crossBetween val="between"/>
      </c:valAx>
      <c:spPr>
        <a:noFill/>
        <a:ln>
          <a:noFill/>
        </a:ln>
        <a:effectLst/>
      </c:spPr>
    </c:plotArea>
    <c:plotVisOnly val="1"/>
    <c:dispBlanksAs val="gap"/>
    <c:showDLblsOverMax val="0"/>
    <c:extLst>
      <c:ext uri="{0b15fc19-7d7d-44ad-8c2d-2c3a37ce22c3}">
        <chartProps xmlns="https://web.wps.cn/et/2018/main" chartId="{c1080711-ab88-4009-9a66-79251d56a20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2025年度一般公共预算财政拨款支出决算结构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Lbl>
              <c:idx val="0"/>
              <c:layout>
                <c:manualLayout>
                  <c:x val="0.0577203437071411"/>
                  <c:y val="0.0048757291915611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2072940402187"/>
                  <c:y val="0.0044695138198307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0.00&quot;万元&quot;"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一般公共服务支出</c:v>
                </c:pt>
                <c:pt idx="1">
                  <c:v>科学技术支出</c:v>
                </c:pt>
                <c:pt idx="2">
                  <c:v>社会保障和就业支出</c:v>
                </c:pt>
                <c:pt idx="3">
                  <c:v>卫生健康支出</c:v>
                </c:pt>
                <c:pt idx="4">
                  <c:v>住房保障支出</c:v>
                </c:pt>
              </c:strCache>
            </c:strRef>
          </c:cat>
          <c:val>
            <c:numRef>
              <c:f>Sheet1!$B$2:$B$6</c:f>
              <c:numCache>
                <c:formatCode>General</c:formatCode>
                <c:ptCount val="5"/>
                <c:pt idx="0">
                  <c:v>9.81</c:v>
                </c:pt>
                <c:pt idx="1">
                  <c:v>163.12</c:v>
                </c:pt>
                <c:pt idx="2">
                  <c:v>19.33</c:v>
                </c:pt>
                <c:pt idx="3">
                  <c:v>11.09</c:v>
                </c:pt>
                <c:pt idx="4">
                  <c:v>15.14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53d07a2-9943-4ac9-95dc-0b0f8c3ddf6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2025年度财政拨款“三公”经费支出结构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dLbl>
              <c:idx val="0"/>
              <c:layout>
                <c:manualLayout>
                  <c:x val="0.0133859634220481"/>
                  <c:y val="-0.130684232894178"/>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0.2万元；</a:t>
                    </a:r>
                    <a:r>
                      <a:rPr lang="en-US" altLang="zh-CN"/>
                      <a:t>100%</a:t>
                    </a:r>
                    <a:endParaRPr lang="en-US" altLang="zh-CN"/>
                  </a:p>
                </c:rich>
              </c:tx>
              <c:dLblPos val="bestFit"/>
              <c:showLegendKey val="0"/>
              <c:showVal val="1"/>
              <c:showCatName val="0"/>
              <c:showSerName val="0"/>
              <c:showPercent val="0"/>
              <c:showBubbleSize val="0"/>
              <c:separator>;</c:separator>
              <c:extLst>
                <c:ext xmlns:c15="http://schemas.microsoft.com/office/drawing/2012/chart" uri="{CE6537A1-D6FC-4f65-9D91-7224C49458BB}">
                  <c15:layout>
                    <c:manualLayout>
                      <c:w val="0.173955061609084"/>
                      <c:h val="0.157458563535912"/>
                    </c:manualLayout>
                  </c15:layout>
                </c:ext>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0</a:t>
                    </a:r>
                  </a:p>
                </c:rich>
              </c:tx>
              <c:dLblPos val="bestFit"/>
              <c:showLegendKey val="0"/>
              <c:showVal val="1"/>
              <c:showCatName val="0"/>
              <c:showSerName val="0"/>
              <c:showPercent val="1"/>
              <c:showBubbleSize val="0"/>
              <c:separator>;</c:separator>
              <c:extLst>
                <c:ext xmlns:c15="http://schemas.microsoft.com/office/drawing/2012/chart" uri="{CE6537A1-D6FC-4f65-9D91-7224C49458BB}"/>
              </c:extLst>
            </c:dLbl>
            <c:dLbl>
              <c:idx val="2"/>
              <c:delete val="1"/>
            </c:dLbl>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eparator>;</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公务接待费支出</c:v>
                </c:pt>
                <c:pt idx="1">
                  <c:v>公务用车购置及运行维护费支出</c:v>
                </c:pt>
                <c:pt idx="2">
                  <c:v>因公出国（境）费支出</c:v>
                </c:pt>
              </c:strCache>
            </c:strRef>
          </c:cat>
          <c:val>
            <c:numRef>
              <c:f>Sheet1!$B$2:$B$4</c:f>
              <c:numCache>
                <c:formatCode>General</c:formatCode>
                <c:ptCount val="3"/>
                <c:pt idx="0">
                  <c:v>0.2</c:v>
                </c:pt>
                <c:pt idx="1">
                  <c:v>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53d07a2-9943-4ac9-95dc-0b0f8c3ddf6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19</Pages>
  <Words>1334</Words>
  <Characters>7606</Characters>
  <Lines>63</Lines>
  <Paragraphs>17</Paragraphs>
  <TotalTime>4</TotalTime>
  <ScaleCrop>false</ScaleCrop>
  <LinksUpToDate>false</LinksUpToDate>
  <CharactersWithSpaces>8923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2020-08-11T01:49:00Z</dcterms:created>
  <dc:creator>曹颖</dc:creator>
  <cp:lastModifiedBy>user</cp:lastModifiedBy>
  <cp:lastPrinted>2026-08-29T08:27:00Z</cp:lastPrinted>
  <dcterms:modified xsi:type="dcterms:W3CDTF">2026-09-10T11:21:12Z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3BF536824C220DA3E40E8B68BA118B1C_42</vt:lpwstr>
  </property>
</Properties>
</file>