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93"/>
        <w:rPr>
          <w:rFonts w:hint="default" w:ascii="Times New Roman" w:hAnsi="Times New Roman" w:eastAsia="Arial Unicode MS" w:cs="Times New Roman"/>
          <w:kern w:val="2"/>
          <w:sz w:val="72"/>
          <w:szCs w:val="72"/>
        </w:rPr>
      </w:pPr>
      <w:bookmarkStart w:id="0" w:name="_Toc15377193"/>
      <w:bookmarkStart w:id="1" w:name="_Toc15306267"/>
      <w:bookmarkStart w:id="2" w:name="_Toc15396597"/>
      <w:bookmarkStart w:id="3" w:name="_Toc15378441"/>
      <w:bookmarkStart w:id="4" w:name="_Toc15396475"/>
      <w:bookmarkStart w:id="5" w:name="_Toc15377425"/>
    </w:p>
    <w:p>
      <w:pPr>
        <w:pStyle w:val="6"/>
        <w:spacing w:before="93"/>
        <w:rPr>
          <w:rFonts w:hint="default" w:ascii="Times New Roman" w:hAnsi="Times New Roman" w:eastAsia="Arial Unicode MS" w:cs="Times New Roman"/>
          <w:kern w:val="2"/>
          <w:sz w:val="72"/>
          <w:szCs w:val="72"/>
        </w:rPr>
      </w:pPr>
    </w:p>
    <w:p>
      <w:pPr>
        <w:pStyle w:val="6"/>
        <w:spacing w:before="93"/>
        <w:rPr>
          <w:rFonts w:hint="default" w:ascii="Times New Roman" w:hAnsi="Times New Roman" w:eastAsia="Arial Unicode MS" w:cs="Times New Roman"/>
          <w:kern w:val="2"/>
          <w:sz w:val="72"/>
          <w:szCs w:val="72"/>
        </w:rPr>
      </w:pPr>
    </w:p>
    <w:p>
      <w:pPr>
        <w:pStyle w:val="6"/>
        <w:spacing w:before="93"/>
        <w:jc w:val="center"/>
        <w:rPr>
          <w:rFonts w:hint="default" w:ascii="Times New Roman" w:hAnsi="Times New Roman" w:eastAsia="方正小标宋_GBK" w:cs="Times New Roman"/>
          <w:b/>
          <w:bCs/>
          <w:kern w:val="2"/>
          <w:sz w:val="44"/>
          <w:szCs w:val="44"/>
        </w:rPr>
      </w:pPr>
      <w:r>
        <w:rPr>
          <w:rFonts w:hint="default" w:ascii="Times New Roman" w:hAnsi="Times New Roman" w:eastAsia="方正小标宋_GBK" w:cs="Times New Roman"/>
          <w:b/>
          <w:bCs/>
          <w:kern w:val="2"/>
          <w:sz w:val="44"/>
          <w:szCs w:val="44"/>
        </w:rPr>
        <w:t>202</w:t>
      </w:r>
      <w:r>
        <w:rPr>
          <w:rFonts w:hint="default" w:ascii="Times New Roman" w:hAnsi="Times New Roman" w:eastAsia="方正小标宋_GBK" w:cs="Times New Roman"/>
          <w:b/>
          <w:bCs/>
          <w:kern w:val="2"/>
          <w:sz w:val="44"/>
          <w:szCs w:val="44"/>
          <w:lang w:val="en-US" w:eastAsia="zh-CN"/>
        </w:rPr>
        <w:t>5</w:t>
      </w:r>
      <w:r>
        <w:rPr>
          <w:rFonts w:hint="default" w:ascii="Times New Roman" w:hAnsi="Times New Roman" w:eastAsia="方正小标宋_GBK" w:cs="Times New Roman"/>
          <w:b/>
          <w:bCs/>
          <w:kern w:val="2"/>
          <w:sz w:val="44"/>
          <w:szCs w:val="44"/>
        </w:rPr>
        <w:t>年度四川省</w:t>
      </w:r>
    </w:p>
    <w:p>
      <w:pPr>
        <w:jc w:val="center"/>
        <w:rPr>
          <w:rFonts w:hint="default" w:ascii="Times New Roman" w:hAnsi="Times New Roman" w:eastAsia="方正小标宋_GBK" w:cs="Times New Roman"/>
          <w:b/>
          <w:bCs/>
          <w:kern w:val="2"/>
          <w:sz w:val="44"/>
          <w:szCs w:val="44"/>
        </w:rPr>
      </w:pPr>
      <w:r>
        <w:rPr>
          <w:rFonts w:hint="default" w:ascii="Times New Roman" w:hAnsi="Times New Roman" w:eastAsia="方正小标宋_GBK" w:cs="Times New Roman"/>
          <w:b/>
          <w:bCs/>
          <w:kern w:val="2"/>
          <w:sz w:val="44"/>
          <w:szCs w:val="44"/>
        </w:rPr>
        <w:t>中共攀枝花市委组织部</w:t>
      </w:r>
      <w:r>
        <w:rPr>
          <w:rFonts w:hint="default" w:ascii="Times New Roman" w:hAnsi="Times New Roman" w:eastAsia="方正小标宋_GBK" w:cs="Times New Roman"/>
          <w:b/>
          <w:bCs/>
          <w:kern w:val="2"/>
          <w:sz w:val="44"/>
          <w:szCs w:val="44"/>
          <w:lang w:val="en-US" w:eastAsia="zh-CN"/>
        </w:rPr>
        <w:t>部门</w:t>
      </w:r>
      <w:r>
        <w:rPr>
          <w:rFonts w:hint="default" w:ascii="Times New Roman" w:hAnsi="Times New Roman" w:eastAsia="方正小标宋_GBK" w:cs="Times New Roman"/>
          <w:b/>
          <w:bCs/>
          <w:kern w:val="2"/>
          <w:sz w:val="44"/>
          <w:szCs w:val="44"/>
        </w:rPr>
        <w:t>决算</w:t>
      </w:r>
    </w:p>
    <w:p>
      <w:pPr>
        <w:jc w:val="center"/>
        <w:rPr>
          <w:rFonts w:hint="default" w:ascii="Times New Roman" w:hAnsi="Times New Roman" w:cs="Times New Roman"/>
          <w:b/>
          <w:bCs/>
          <w:sz w:val="44"/>
          <w:szCs w:val="44"/>
        </w:rPr>
      </w:pPr>
      <w:r>
        <w:rPr>
          <w:rFonts w:hint="default" w:ascii="Times New Roman" w:hAnsi="Times New Roman" w:eastAsia="方正小标宋_GBK" w:cs="Times New Roman"/>
          <w:b/>
          <w:bCs/>
          <w:color w:val="auto"/>
          <w:kern w:val="2"/>
          <w:sz w:val="44"/>
          <w:szCs w:val="44"/>
          <w:highlight w:val="none"/>
          <w:lang w:val="en-US" w:eastAsia="zh-CN" w:bidi="ar-SA"/>
        </w:rPr>
        <w:t>公开编制说明</w:t>
      </w:r>
    </w:p>
    <w:p>
      <w:pPr>
        <w:pStyle w:val="6"/>
        <w:spacing w:before="93"/>
        <w:jc w:val="center"/>
        <w:rPr>
          <w:rFonts w:hint="default" w:ascii="Times New Roman" w:hAnsi="Times New Roman" w:eastAsia="方正小标宋_GBK" w:cs="Times New Roman"/>
          <w:kern w:val="2"/>
          <w:sz w:val="44"/>
          <w:szCs w:val="44"/>
        </w:rPr>
      </w:pPr>
    </w:p>
    <w:p>
      <w:pPr>
        <w:spacing w:line="600" w:lineRule="exact"/>
        <w:jc w:val="center"/>
        <w:outlineLvl w:val="0"/>
        <w:rPr>
          <w:rFonts w:hint="default" w:ascii="Times New Roman" w:hAnsi="Times New Roman" w:eastAsia="Arial Unicode MS" w:cs="Times New Roman"/>
          <w:sz w:val="72"/>
          <w:szCs w:val="72"/>
        </w:rPr>
      </w:pPr>
    </w:p>
    <w:p>
      <w:pPr>
        <w:pStyle w:val="2"/>
        <w:rPr>
          <w:rFonts w:hint="default" w:ascii="Times New Roman" w:hAnsi="Times New Roman" w:cs="Times New Roman"/>
        </w:rPr>
        <w:sectPr>
          <w:footerReference r:id="rId5" w:type="first"/>
          <w:headerReference r:id="rId3" w:type="default"/>
          <w:footerReference r:id="rId4" w:type="default"/>
          <w:pgSz w:w="11906" w:h="16838"/>
          <w:pgMar w:top="2098" w:right="1474" w:bottom="1984" w:left="1587" w:header="907" w:footer="1644" w:gutter="0"/>
          <w:pgNumType w:fmt="decimal" w:start="1"/>
          <w:cols w:space="0" w:num="1"/>
          <w:titlePg/>
          <w:rtlGutter w:val="0"/>
          <w:docGrid w:type="linesAndChars" w:linePitch="579" w:charSpace="4135"/>
        </w:sectPr>
      </w:pPr>
    </w:p>
    <w:p>
      <w:pPr>
        <w:rPr>
          <w:rFonts w:hint="default" w:ascii="Times New Roman" w:hAnsi="Times New Roman" w:cs="Times New Roman"/>
        </w:rPr>
      </w:pPr>
    </w:p>
    <w:bookmarkEnd w:id="0"/>
    <w:bookmarkEnd w:id="1"/>
    <w:bookmarkEnd w:id="2"/>
    <w:bookmarkEnd w:id="3"/>
    <w:bookmarkEnd w:id="4"/>
    <w:bookmarkEnd w:id="5"/>
    <w:p>
      <w:pPr>
        <w:widowControl/>
        <w:jc w:val="center"/>
        <w:rPr>
          <w:rFonts w:hint="default" w:ascii="Times New Roman" w:hAnsi="Times New Roman" w:eastAsia="黑体" w:cs="Times New Roman"/>
          <w:sz w:val="48"/>
          <w:szCs w:val="48"/>
        </w:rPr>
      </w:pPr>
      <w:r>
        <w:rPr>
          <w:rFonts w:hint="default" w:ascii="Times New Roman" w:hAnsi="Times New Roman" w:eastAsia="黑体" w:cs="Times New Roman"/>
          <w:sz w:val="48"/>
          <w:szCs w:val="48"/>
        </w:rPr>
        <w:t>目录</w:t>
      </w:r>
    </w:p>
    <w:p>
      <w:pPr>
        <w:widowControl/>
        <w:jc w:val="center"/>
        <w:rPr>
          <w:rFonts w:hint="default" w:ascii="Times New Roman" w:hAnsi="Times New Roman" w:eastAsia="黑体" w:cs="Times New Roman"/>
          <w:sz w:val="28"/>
          <w:szCs w:val="28"/>
        </w:rPr>
      </w:pPr>
    </w:p>
    <w:p>
      <w:pPr>
        <w:pStyle w:val="13"/>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公开时间：202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年9月</w:t>
      </w:r>
      <w:r>
        <w:rPr>
          <w:rFonts w:hint="default" w:ascii="Times New Roman" w:hAnsi="Times New Roman" w:eastAsia="仿宋_GB2312" w:cs="Times New Roman"/>
          <w:sz w:val="32"/>
          <w:szCs w:val="32"/>
          <w:lang w:val="en" w:eastAsia="zh-CN"/>
        </w:rPr>
        <w:t>10</w:t>
      </w:r>
      <w:bookmarkStart w:id="99" w:name="_GoBack"/>
      <w:bookmarkEnd w:id="99"/>
      <w:r>
        <w:rPr>
          <w:rFonts w:hint="default" w:ascii="Times New Roman" w:hAnsi="Times New Roman" w:eastAsia="仿宋_GB2312" w:cs="Times New Roman"/>
          <w:sz w:val="32"/>
          <w:szCs w:val="32"/>
        </w:rPr>
        <w:t>日</w:t>
      </w:r>
    </w:p>
    <w:p>
      <w:pPr>
        <w:rPr>
          <w:rFonts w:hint="default" w:ascii="Times New Roman" w:hAnsi="Times New Roman" w:cs="Times New Roman"/>
        </w:rPr>
      </w:pPr>
    </w:p>
    <w:sdt>
      <w:sdtPr>
        <w:rPr>
          <w:rFonts w:hint="default" w:ascii="Times New Roman" w:hAnsi="Times New Roman" w:eastAsia="宋体" w:cs="Times New Roman"/>
          <w:kern w:val="2"/>
          <w:sz w:val="21"/>
          <w:szCs w:val="24"/>
          <w:lang w:val="en-US" w:eastAsia="zh-CN" w:bidi="ar-SA"/>
        </w:rPr>
        <w:id w:val="147476368"/>
        <w15:color w:val="DBDBDB"/>
        <w:docPartObj>
          <w:docPartGallery w:val="Table of Contents"/>
          <w:docPartUnique/>
        </w:docPartObj>
      </w:sdtPr>
      <w:sdtEndPr>
        <w:rPr>
          <w:rFonts w:hint="default" w:ascii="Times New Roman" w:hAnsi="Times New Roman" w:eastAsia="黑体" w:cs="Times New Roman"/>
          <w:kern w:val="2"/>
          <w:sz w:val="28"/>
          <w:szCs w:val="32"/>
          <w:lang w:val="en-US" w:eastAsia="zh-CN" w:bidi="ar-SA"/>
        </w:rPr>
      </w:sdtEndPr>
      <w:sdtContent>
        <w:p>
          <w:pPr>
            <w:spacing w:before="0" w:beforeLines="0" w:after="0" w:afterLines="0" w:line="240" w:lineRule="auto"/>
            <w:ind w:left="0" w:leftChars="0" w:right="0" w:rightChars="0" w:firstLine="0" w:firstLineChars="0"/>
            <w:jc w:val="center"/>
            <w:rPr>
              <w:rFonts w:hint="default" w:ascii="Times New Roman" w:hAnsi="Times New Roman" w:cs="Times New Roman"/>
            </w:rPr>
          </w:pPr>
        </w:p>
        <w:p>
          <w:pPr>
            <w:pStyle w:val="13"/>
            <w:tabs>
              <w:tab w:val="right" w:leader="dot" w:pos="8306"/>
              <w:tab w:val="clear" w:pos="8296"/>
            </w:tabs>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TOC \o "1-2" \h \u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_Toc5446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 xml:space="preserve">第一部分  </w:t>
          </w:r>
          <w:r>
            <w:rPr>
              <w:rFonts w:hint="default" w:ascii="Times New Roman" w:hAnsi="Times New Roman" w:eastAsia="黑体" w:cs="Times New Roman"/>
              <w:bCs w:val="0"/>
              <w:sz w:val="32"/>
              <w:szCs w:val="32"/>
            </w:rPr>
            <w:t>部门概况</w:t>
          </w:r>
          <w:r>
            <w:rPr>
              <w:rFonts w:hint="default" w:ascii="Times New Roman" w:hAnsi="Times New Roman" w:eastAsia="黑体" w:cs="Times New Roman"/>
              <w:sz w:val="32"/>
              <w:szCs w:val="32"/>
            </w:rPr>
            <w:tab/>
          </w:r>
          <w:r>
            <w:rPr>
              <w:rFonts w:hint="eastAsia"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_Toc9174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一、部门职责</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_Toc9174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黑体"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_Toc10300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二、机</w:t>
          </w:r>
          <w:r>
            <w:rPr>
              <w:rFonts w:hint="default" w:ascii="Times New Roman" w:hAnsi="Times New Roman" w:eastAsia="方正仿宋_GBK" w:cs="Times New Roman"/>
              <w:bCs w:val="0"/>
              <w:sz w:val="32"/>
              <w:szCs w:val="32"/>
            </w:rPr>
            <w:t>构设置</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_Toc10300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3"/>
            <w:tabs>
              <w:tab w:val="right" w:leader="dot" w:pos="8306"/>
              <w:tab w:val="clear" w:pos="8296"/>
            </w:tabs>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_Toc13885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第二部分  202</w:t>
          </w:r>
          <w:r>
            <w:rPr>
              <w:rFonts w:hint="default" w:ascii="Times New Roman" w:hAnsi="Times New Roman" w:eastAsia="黑体" w:cs="Times New Roman"/>
              <w:sz w:val="32"/>
              <w:szCs w:val="32"/>
              <w:lang w:val="en-US" w:eastAsia="zh-CN"/>
            </w:rPr>
            <w:t>5</w:t>
          </w:r>
          <w:r>
            <w:rPr>
              <w:rFonts w:hint="default" w:ascii="Times New Roman" w:hAnsi="Times New Roman" w:eastAsia="黑体" w:cs="Times New Roman"/>
              <w:sz w:val="32"/>
              <w:szCs w:val="32"/>
            </w:rPr>
            <w:t>年度部门决算情况说明</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_Toc13885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8</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_Toc30797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一、收入支出决算总体情况说明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_Toc30797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8</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_Toc29902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二、收入决算情况说明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_Toc29902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8</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_Toc25192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三、支出决算情况说明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_Toc25192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_Toc11956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四、财政拨款收入支出决算总体情况说明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_Toc11956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_Toc3892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五、一般公共预算财政拨款支出决算情况说明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_Toc3892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_Toc20347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六、一般公共预算财政拨款基本支出决算情况说明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_Toc20347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12</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_Toc4999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七、财政拨款“三公”经费支出决算情况说明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_Toc4999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_Toc31278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八、政府性基金预算支出决算情况说明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_Toc31278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_Toc10631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九、国有资本经营预算支出决算情况说明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_Toc10631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_Toc16000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十、其他重要事项的情况说明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_Toc16000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3"/>
            <w:tabs>
              <w:tab w:val="right" w:leader="dot" w:pos="8306"/>
              <w:tab w:val="clear" w:pos="8296"/>
            </w:tabs>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_Toc28598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第三部分  名词解释</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_Toc28598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18</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13"/>
            <w:tabs>
              <w:tab w:val="right" w:leader="dot" w:pos="8306"/>
              <w:tab w:val="clear" w:pos="8296"/>
            </w:tabs>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_Toc16414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第四部分  附件</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_Toc16414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20</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13"/>
            <w:tabs>
              <w:tab w:val="right" w:leader="dot" w:pos="8306"/>
              <w:tab w:val="clear" w:pos="8296"/>
            </w:tabs>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_Toc17788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 xml:space="preserve">第五部分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附表</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_Toc17788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27</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_Toc10643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一、收入支出决算总表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_Toc10643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_Toc22765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二、收入决算表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_Toc22765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_Toc20336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三、支出决算表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_Toc20336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_Toc22497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四、财政拨款收入支出决算总表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_Toc22497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_Toc19861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五、财政拨款支出决算明细表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_Toc19861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_Toc1680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六、一般公共预算财政拨款支出决算表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_Toc1680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_Toc30665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七、一般公共预算财政拨款支出决算明细表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_Toc30665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_Toc20563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八、一般公共预算财政拨款基本支出决算表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_Toc20563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九、一般公共预算财政拨款项目支出决算表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_Toc19264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十、政府性基金预算财政拨款收入支出决算表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_Toc19264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_Toc2065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十一、国有资本经营预算财政拨款收入支出决算表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_Toc2065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_Toc11697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十二、国有资本经营预算财政拨款支出决算表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_Toc11697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_Toc16780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十三、财政拨款“三公”经费支出决算表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_Toc16780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3"/>
            <w:adjustRightInd w:val="0"/>
            <w:snapToGrid w:val="0"/>
            <w:spacing w:before="0" w:line="56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end"/>
          </w:r>
        </w:p>
        <w:p>
          <w:pPr>
            <w:pStyle w:val="13"/>
            <w:adjustRightInd w:val="0"/>
            <w:snapToGrid w:val="0"/>
            <w:spacing w:before="0" w:line="560" w:lineRule="exact"/>
            <w:jc w:val="left"/>
            <w:rPr>
              <w:rFonts w:hint="default" w:ascii="Times New Roman" w:hAnsi="Times New Roman" w:eastAsia="黑体" w:cs="Times New Roman"/>
              <w:sz w:val="32"/>
              <w:szCs w:val="32"/>
            </w:rPr>
          </w:pPr>
        </w:p>
        <w:p>
          <w:pPr>
            <w:pStyle w:val="13"/>
            <w:adjustRightInd w:val="0"/>
            <w:snapToGrid w:val="0"/>
            <w:spacing w:before="0" w:line="560" w:lineRule="exact"/>
            <w:jc w:val="left"/>
            <w:rPr>
              <w:rFonts w:hint="default" w:ascii="Times New Roman" w:hAnsi="Times New Roman" w:eastAsia="黑体" w:cs="Times New Roman"/>
              <w:sz w:val="32"/>
              <w:szCs w:val="32"/>
            </w:rPr>
          </w:pPr>
        </w:p>
        <w:p>
          <w:pPr>
            <w:pStyle w:val="13"/>
            <w:adjustRightInd w:val="0"/>
            <w:snapToGrid w:val="0"/>
            <w:spacing w:before="0" w:line="560" w:lineRule="exact"/>
            <w:jc w:val="left"/>
            <w:rPr>
              <w:rFonts w:hint="default" w:ascii="Times New Roman" w:hAnsi="Times New Roman" w:cs="Times New Roman"/>
            </w:rPr>
          </w:pPr>
          <w:bookmarkStart w:id="6" w:name="_Toc5446"/>
          <w:bookmarkStart w:id="7" w:name="_Toc15377196"/>
          <w:bookmarkStart w:id="8" w:name="_Toc15396599"/>
        </w:p>
      </w:sdtContent>
    </w:sdt>
    <w:p>
      <w:pPr>
        <w:pStyle w:val="3"/>
        <w:jc w:val="center"/>
        <w:rPr>
          <w:rFonts w:hint="default" w:ascii="Times New Roman" w:hAnsi="Times New Roman" w:eastAsia="方正小标宋_GBK" w:cs="Times New Roman"/>
          <w:b w:val="0"/>
        </w:rPr>
      </w:pPr>
      <w:r>
        <w:rPr>
          <w:rFonts w:hint="default" w:ascii="Times New Roman" w:hAnsi="Times New Roman" w:eastAsia="方正小标宋_GBK" w:cs="Times New Roman"/>
          <w:b w:val="0"/>
        </w:rPr>
        <w:t>第一部分  部门概况</w:t>
      </w:r>
      <w:bookmarkEnd w:id="6"/>
      <w:bookmarkEnd w:id="7"/>
      <w:bookmarkEnd w:id="8"/>
    </w:p>
    <w:p>
      <w:pPr>
        <w:pStyle w:val="4"/>
        <w:pageBreakBefore w:val="0"/>
        <w:widowControl w:val="0"/>
        <w:numPr>
          <w:ilvl w:val="0"/>
          <w:numId w:val="1"/>
        </w:numPr>
        <w:kinsoku/>
        <w:wordWrap/>
        <w:overflowPunct/>
        <w:topLinePunct w:val="0"/>
        <w:autoSpaceDE/>
        <w:autoSpaceDN/>
        <w:bidi w:val="0"/>
        <w:adjustRightInd/>
        <w:snapToGrid/>
        <w:spacing w:before="0" w:after="0" w:line="240" w:lineRule="auto"/>
        <w:ind w:left="0"/>
        <w:textAlignment w:val="auto"/>
        <w:rPr>
          <w:rFonts w:hint="default" w:ascii="Times New Roman" w:hAnsi="Times New Roman" w:eastAsia="仿宋" w:cs="Times New Roman"/>
          <w:sz w:val="32"/>
          <w:szCs w:val="32"/>
        </w:rPr>
      </w:pPr>
      <w:bookmarkStart w:id="9" w:name="_Toc9174"/>
      <w:r>
        <w:rPr>
          <w:rFonts w:hint="default" w:ascii="Times New Roman" w:hAnsi="Times New Roman" w:eastAsia="黑体" w:cs="Times New Roman"/>
          <w:b w:val="0"/>
        </w:rPr>
        <w:t>部门职责</w:t>
      </w:r>
      <w:bookmarkEnd w:id="9"/>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0" w:firstLine="642"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b/>
          <w:sz w:val="32"/>
          <w:szCs w:val="32"/>
        </w:rPr>
        <w:t>1.市委组织部职能职责</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（1）负责有关组织工作、干部工作、人才工作的理论研究及重要政策的综合研究；承担中组部、省委组织部下达的重点调研课题，指导全市组织系统调研工作。</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（2）负责全市组织工作宣传的牵头抓总、综合协调工作，指导全市组织部门信息工作；指导全市组织系统信息化建设工作，承担市委组织部网站的建设、管理、维护工作；负责党内刊物的征订和发行工作。</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3）指导、检查全市各级党组织贯彻执行党的组织制度和党内生活制度；指导全市基层党组织设置、调整等工作；负责全市党员队伍建设，指导全市党费收缴、管理、使用等事项，负责全市党内统计、党员组织关系接转。</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z w:val="32"/>
          <w:szCs w:val="32"/>
        </w:rPr>
        <w:t>　  （4）负责研究和指导全市农村、国有企业、街道社区、机关、学校、科研院所等党的基层组织建设；负责基层党组织干部培训的组织、指导工作；指导基层党组织党员活动阵地建设；指</w:t>
      </w:r>
      <w:r>
        <w:rPr>
          <w:rFonts w:hint="default" w:ascii="Times New Roman" w:hAnsi="Times New Roman" w:eastAsia="方正仿宋_GBK" w:cs="Times New Roman"/>
          <w:spacing w:val="-6"/>
          <w:sz w:val="32"/>
          <w:szCs w:val="32"/>
        </w:rPr>
        <w:t>导全市大学生村干部工作，承担大学生村干部管理办公室日常工作。</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（5）负责干部综合管理和公务员管理工作；负责市委管理干部工资、退休费比例的审批工作；具体负责综合管理市级党群机关公务员考录、考核、交流、培训、申诉、控告、非领导职务设置等工作。</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6）负责对市级部门（单位）和县（区）领导班子和领导干部的考察考核和日常管理工作，提出领导班子调整配备和领导干部职务任免、交流、待遇及离退休的建议意见；负责审核办理市委和市委委托组织部管理的干部职务任免、退休、享受待遇等工作。</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7）负责综合、协调、指导全市年轻干部培养选拔和后备干部综合管理工作；负责挂职干部的接收、选派和日常管理服务工作；负责选调生的相关招录、培训、培养和日常管理工作；负责全市干部教育培训工作的整体规划、宏观指导和协调服务。</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8）负责对全市组织部门干部监督工作的综合协调和宏观指导，研究完善干部监督工作机制；负责受理“12380”信访、电话、网络举报，按干部管理权限直接或联合有关部门查办、督办，提出处理意见；办理市管干部因私事出国（境）的审批、因公出国（境）的政审。</w:t>
      </w:r>
    </w:p>
    <w:p>
      <w:pPr>
        <w:pageBreakBefore w:val="0"/>
        <w:widowControl w:val="0"/>
        <w:kinsoku/>
        <w:wordWrap/>
        <w:overflowPunct/>
        <w:topLinePunct w:val="0"/>
        <w:autoSpaceDE/>
        <w:autoSpaceDN/>
        <w:bidi w:val="0"/>
        <w:adjustRightInd/>
        <w:snapToGrid/>
        <w:spacing w:line="240" w:lineRule="auto"/>
        <w:ind w:left="0"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负责全市人才工作的牵头抓总、宏观指导、组织协调、督促检查的基础性工作；负责市级领导干部联系高层次人才和市委直接掌握联系高层次人才工作的协调服务；负责牵头或指导实施全市重大人才工程项目和专业技术人才援助工作；负责人才工作专项经费预算落实。</w:t>
      </w:r>
    </w:p>
    <w:p>
      <w:pPr>
        <w:pageBreakBefore w:val="0"/>
        <w:widowControl w:val="0"/>
        <w:kinsoku/>
        <w:wordWrap/>
        <w:overflowPunct/>
        <w:topLinePunct w:val="0"/>
        <w:autoSpaceDE/>
        <w:autoSpaceDN/>
        <w:bidi w:val="0"/>
        <w:adjustRightInd/>
        <w:snapToGrid/>
        <w:spacing w:line="240" w:lineRule="auto"/>
        <w:ind w:left="0"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（10）负责</w:t>
      </w:r>
      <w:r>
        <w:rPr>
          <w:rFonts w:hint="eastAsia" w:cs="Times New Roman"/>
          <w:sz w:val="32"/>
          <w:szCs w:val="32"/>
          <w:lang w:val="en-US" w:eastAsia="zh-CN"/>
        </w:rPr>
        <w:t>市内对口帮扶藏区彝区以及其他民族地区工作</w:t>
      </w:r>
      <w:r>
        <w:rPr>
          <w:rFonts w:hint="default" w:ascii="Times New Roman" w:hAnsi="Times New Roman" w:eastAsia="方正仿宋_GBK" w:cs="Times New Roman"/>
          <w:sz w:val="32"/>
          <w:szCs w:val="32"/>
        </w:rPr>
        <w:t>。</w:t>
      </w:r>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0" w:firstLine="642" w:firstLineChars="200"/>
        <w:textAlignment w:val="auto"/>
        <w:rPr>
          <w:rFonts w:hint="default" w:ascii="Times New Roman" w:hAnsi="Times New Roman" w:eastAsia="方正楷体_GBK" w:cs="Times New Roman"/>
          <w:b/>
          <w:sz w:val="32"/>
          <w:szCs w:val="32"/>
        </w:rPr>
      </w:pPr>
      <w:r>
        <w:rPr>
          <w:rFonts w:hint="default" w:ascii="Times New Roman" w:hAnsi="Times New Roman" w:eastAsia="方正楷体_GBK" w:cs="Times New Roman"/>
          <w:b/>
          <w:sz w:val="32"/>
          <w:szCs w:val="32"/>
        </w:rPr>
        <w:t>2.市委组织部党员教育中心职能职责</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负责全市党员干部现代远程教育学习培训的组织、管理与指导工作；负责建设和管理市远程教育辅助教学网站（攀枝花党员教育网）、市宽带型站点教学资源发布平台和市基层党建工作手机信息系统平台，办好《攀枝花党建》栏目；负责党员干部现代远程教育经费管理、分配、使用和监督。</w:t>
      </w:r>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0" w:firstLine="642" w:firstLineChars="200"/>
        <w:textAlignment w:val="auto"/>
        <w:rPr>
          <w:rFonts w:hint="default" w:ascii="Times New Roman" w:hAnsi="Times New Roman" w:eastAsia="方正楷体_GBK" w:cs="Times New Roman"/>
          <w:b/>
          <w:sz w:val="32"/>
          <w:szCs w:val="32"/>
        </w:rPr>
      </w:pPr>
      <w:r>
        <w:rPr>
          <w:rFonts w:hint="eastAsia" w:ascii="Times New Roman" w:hAnsi="Times New Roman" w:eastAsia="方正楷体_GBK" w:cs="Times New Roman"/>
          <w:b/>
          <w:sz w:val="32"/>
          <w:szCs w:val="32"/>
          <w:lang w:val="en-US" w:eastAsia="zh-CN"/>
        </w:rPr>
        <w:t>3</w:t>
      </w:r>
      <w:r>
        <w:rPr>
          <w:rFonts w:hint="default" w:ascii="Times New Roman" w:hAnsi="Times New Roman" w:eastAsia="方正楷体_GBK" w:cs="Times New Roman"/>
          <w:b/>
          <w:sz w:val="32"/>
          <w:szCs w:val="32"/>
        </w:rPr>
        <w:t>.攀枝花市干部人事档案服务中心职能职责</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z w:val="32"/>
          <w:szCs w:val="32"/>
        </w:rPr>
        <w:t>负责干部人事档案的收集、审核、整理、转接、信息化和保</w:t>
      </w:r>
      <w:r>
        <w:rPr>
          <w:rFonts w:hint="default" w:ascii="Times New Roman" w:hAnsi="Times New Roman" w:eastAsia="方正仿宋_GBK" w:cs="Times New Roman"/>
          <w:spacing w:val="-6"/>
          <w:sz w:val="32"/>
          <w:szCs w:val="32"/>
        </w:rPr>
        <w:t>管利用等事务性工作；承担全市干部人事档案管理人员的业务培训。</w:t>
      </w:r>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0" w:firstLine="642" w:firstLineChars="200"/>
        <w:textAlignment w:val="auto"/>
        <w:rPr>
          <w:rFonts w:hint="default" w:ascii="Times New Roman" w:hAnsi="Times New Roman" w:eastAsia="方正楷体_GBK" w:cs="Times New Roman"/>
          <w:b/>
          <w:sz w:val="32"/>
          <w:szCs w:val="32"/>
          <w:lang w:eastAsia="zh-CN"/>
        </w:rPr>
      </w:pPr>
      <w:r>
        <w:rPr>
          <w:rFonts w:hint="eastAsia" w:ascii="Times New Roman" w:hAnsi="Times New Roman" w:eastAsia="方正楷体_GBK" w:cs="Times New Roman"/>
          <w:b/>
          <w:sz w:val="32"/>
          <w:szCs w:val="32"/>
          <w:lang w:val="en-US" w:eastAsia="zh-CN"/>
        </w:rPr>
        <w:t>4</w:t>
      </w:r>
      <w:r>
        <w:rPr>
          <w:rFonts w:hint="default" w:ascii="Times New Roman" w:hAnsi="Times New Roman" w:eastAsia="方正楷体_GBK" w:cs="Times New Roman"/>
          <w:b/>
          <w:sz w:val="32"/>
          <w:szCs w:val="32"/>
          <w:lang w:val="en-US" w:eastAsia="zh-CN"/>
        </w:rPr>
        <w:t>.</w:t>
      </w:r>
      <w:r>
        <w:rPr>
          <w:rFonts w:hint="default" w:ascii="Times New Roman" w:hAnsi="Times New Roman" w:eastAsia="方正楷体_GBK" w:cs="Times New Roman"/>
          <w:b/>
          <w:sz w:val="32"/>
          <w:szCs w:val="32"/>
          <w:lang w:eastAsia="zh-CN"/>
        </w:rPr>
        <w:t>攀枝花</w:t>
      </w:r>
      <w:r>
        <w:rPr>
          <w:rFonts w:hint="default" w:ascii="Times New Roman" w:hAnsi="Times New Roman" w:eastAsia="方正楷体_GBK" w:cs="Times New Roman"/>
          <w:b/>
          <w:sz w:val="32"/>
          <w:szCs w:val="32"/>
          <w:lang w:val="en-US" w:eastAsia="zh-CN"/>
        </w:rPr>
        <w:t>市</w:t>
      </w:r>
      <w:r>
        <w:rPr>
          <w:rFonts w:hint="default" w:ascii="Times New Roman" w:hAnsi="Times New Roman" w:eastAsia="方正楷体_GBK" w:cs="Times New Roman"/>
          <w:b/>
          <w:sz w:val="32"/>
          <w:szCs w:val="32"/>
          <w:lang w:eastAsia="zh-CN"/>
        </w:rPr>
        <w:t>人才发展促进中心</w:t>
      </w:r>
      <w:r>
        <w:rPr>
          <w:rFonts w:hint="default" w:ascii="Times New Roman" w:hAnsi="Times New Roman" w:eastAsia="方正楷体_GBK" w:cs="Times New Roman"/>
          <w:b/>
          <w:sz w:val="32"/>
          <w:szCs w:val="32"/>
        </w:rPr>
        <w:t>职能职责</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负责统筹高层次人才全周期服务、人才政策项目落地评估、招才引智与市校合作等资源对接、人才信息库建设管理，并落实市委人才工作领导小组各项部署。</w:t>
      </w:r>
    </w:p>
    <w:p>
      <w:pPr>
        <w:pStyle w:val="4"/>
        <w:pageBreakBefore w:val="0"/>
        <w:widowControl w:val="0"/>
        <w:kinsoku/>
        <w:wordWrap/>
        <w:overflowPunct/>
        <w:topLinePunct w:val="0"/>
        <w:autoSpaceDE/>
        <w:autoSpaceDN/>
        <w:bidi w:val="0"/>
        <w:adjustRightInd/>
        <w:snapToGrid/>
        <w:spacing w:before="0" w:after="0" w:line="240" w:lineRule="auto"/>
        <w:ind w:left="0"/>
        <w:textAlignment w:val="auto"/>
        <w:rPr>
          <w:rStyle w:val="31"/>
          <w:rFonts w:hint="default" w:ascii="Times New Roman" w:hAnsi="Times New Roman" w:cs="Times New Roman"/>
          <w:b w:val="0"/>
          <w:bCs w:val="0"/>
        </w:rPr>
      </w:pPr>
      <w:bookmarkStart w:id="10" w:name="_Toc10300"/>
      <w:bookmarkStart w:id="11" w:name="_Toc15377200"/>
      <w:bookmarkStart w:id="12" w:name="_Toc15396601"/>
      <w:r>
        <w:rPr>
          <w:rFonts w:hint="default" w:ascii="Times New Roman" w:hAnsi="Times New Roman" w:eastAsia="黑体" w:cs="Times New Roman"/>
          <w:b w:val="0"/>
        </w:rPr>
        <w:t>二、机</w:t>
      </w:r>
      <w:r>
        <w:rPr>
          <w:rStyle w:val="31"/>
          <w:rFonts w:hint="default" w:ascii="Times New Roman" w:hAnsi="Times New Roman" w:eastAsia="黑体" w:cs="Times New Roman"/>
          <w:b w:val="0"/>
          <w:bCs w:val="0"/>
        </w:rPr>
        <w:t>构设置</w:t>
      </w:r>
      <w:bookmarkEnd w:id="10"/>
      <w:bookmarkEnd w:id="11"/>
      <w:bookmarkEnd w:id="12"/>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中共攀枝花市委组织部下属二级预算单位</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个，其中行政单位0个，参照公务员法管理的事业单位1个，其他事业单位</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个。</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纳入中共攀枝花市委组织部202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年度部门决算编制范围的二级预算单位包括：</w:t>
      </w:r>
    </w:p>
    <w:p>
      <w:pPr>
        <w:pStyle w:val="6"/>
        <w:keepNext w:val="0"/>
        <w:keepLines w:val="0"/>
        <w:pageBreakBefore w:val="0"/>
        <w:widowControl w:val="0"/>
        <w:numPr>
          <w:ilvl w:val="0"/>
          <w:numId w:val="2"/>
        </w:numPr>
        <w:kinsoku/>
        <w:wordWrap/>
        <w:overflowPunct/>
        <w:topLinePunct w:val="0"/>
        <w:autoSpaceDE/>
        <w:autoSpaceDN/>
        <w:bidi w:val="0"/>
        <w:adjustRightInd/>
        <w:snapToGrid/>
        <w:spacing w:beforeLines="0" w:line="240" w:lineRule="auto"/>
        <w:ind w:left="0" w:firstLine="640" w:firstLineChars="200"/>
        <w:textAlignment w:val="auto"/>
        <w:outlineLvl w:val="9"/>
        <w:rPr>
          <w:rFonts w:hint="default" w:ascii="Times New Roman" w:hAnsi="Times New Roman" w:eastAsia="仿宋" w:cs="Times New Roman"/>
          <w:bCs/>
          <w:sz w:val="32"/>
          <w:szCs w:val="32"/>
        </w:rPr>
      </w:pPr>
      <w:bookmarkStart w:id="13" w:name="_Toc15378449"/>
      <w:bookmarkStart w:id="14" w:name="_Toc15306276"/>
      <w:bookmarkStart w:id="15" w:name="_Toc15377433"/>
      <w:bookmarkStart w:id="16" w:name="_Toc15377202"/>
      <w:r>
        <w:rPr>
          <w:rFonts w:hint="default" w:ascii="Times New Roman" w:hAnsi="Times New Roman" w:eastAsia="方正仿宋_GBK" w:cs="Times New Roman"/>
          <w:kern w:val="2"/>
          <w:sz w:val="32"/>
          <w:szCs w:val="32"/>
          <w:lang w:val="en-US" w:eastAsia="zh-CN" w:bidi="ar-SA"/>
        </w:rPr>
        <w:t>中共攀枝花市委组织部党员教育中心</w:t>
      </w:r>
    </w:p>
    <w:bookmarkEnd w:id="13"/>
    <w:bookmarkEnd w:id="14"/>
    <w:bookmarkEnd w:id="15"/>
    <w:bookmarkEnd w:id="16"/>
    <w:p>
      <w:pPr>
        <w:pStyle w:val="6"/>
        <w:keepNext w:val="0"/>
        <w:keepLines w:val="0"/>
        <w:pageBreakBefore w:val="0"/>
        <w:widowControl w:val="0"/>
        <w:numPr>
          <w:ilvl w:val="0"/>
          <w:numId w:val="2"/>
        </w:numPr>
        <w:kinsoku/>
        <w:wordWrap/>
        <w:overflowPunct/>
        <w:topLinePunct w:val="0"/>
        <w:autoSpaceDE/>
        <w:autoSpaceDN/>
        <w:bidi w:val="0"/>
        <w:adjustRightInd/>
        <w:snapToGrid/>
        <w:spacing w:beforeLines="0" w:line="240" w:lineRule="auto"/>
        <w:ind w:left="0" w:firstLine="640" w:firstLineChars="200"/>
        <w:textAlignment w:val="auto"/>
        <w:outlineLvl w:val="9"/>
        <w:rPr>
          <w:rFonts w:hint="default" w:ascii="Times New Roman" w:hAnsi="Times New Roman" w:eastAsia="仿宋" w:cs="Times New Roman"/>
          <w:bCs/>
          <w:sz w:val="32"/>
          <w:szCs w:val="32"/>
        </w:rPr>
      </w:pPr>
      <w:bookmarkStart w:id="17" w:name="_Toc15377203"/>
      <w:bookmarkStart w:id="18" w:name="_Toc15378450"/>
      <w:bookmarkStart w:id="19" w:name="_Toc15306277"/>
      <w:bookmarkStart w:id="20" w:name="_Toc15377434"/>
      <w:r>
        <w:rPr>
          <w:rFonts w:hint="default" w:ascii="Times New Roman" w:hAnsi="Times New Roman" w:eastAsia="方正仿宋_GBK" w:cs="Times New Roman"/>
          <w:kern w:val="2"/>
          <w:sz w:val="32"/>
          <w:szCs w:val="32"/>
          <w:lang w:val="en-US" w:eastAsia="zh-CN" w:bidi="ar-SA"/>
        </w:rPr>
        <w:t>攀枝花市干部人事档案服务中心</w:t>
      </w:r>
    </w:p>
    <w:bookmarkEnd w:id="17"/>
    <w:bookmarkEnd w:id="18"/>
    <w:bookmarkEnd w:id="19"/>
    <w:bookmarkEnd w:id="20"/>
    <w:p>
      <w:pPr>
        <w:pStyle w:val="6"/>
        <w:keepNext w:val="0"/>
        <w:keepLines w:val="0"/>
        <w:pageBreakBefore w:val="0"/>
        <w:widowControl w:val="0"/>
        <w:numPr>
          <w:ilvl w:val="0"/>
          <w:numId w:val="2"/>
        </w:numPr>
        <w:kinsoku/>
        <w:wordWrap/>
        <w:overflowPunct/>
        <w:topLinePunct w:val="0"/>
        <w:autoSpaceDE/>
        <w:autoSpaceDN/>
        <w:bidi w:val="0"/>
        <w:adjustRightInd/>
        <w:snapToGrid/>
        <w:spacing w:beforeLines="0" w:line="240" w:lineRule="auto"/>
        <w:ind w:left="0" w:firstLine="640" w:firstLineChars="200"/>
        <w:textAlignment w:val="auto"/>
        <w:outlineLvl w:val="9"/>
        <w:rPr>
          <w:rFonts w:hint="default" w:ascii="Times New Roman" w:hAnsi="Times New Roman" w:eastAsia="仿宋" w:cs="Times New Roman"/>
          <w:bCs/>
          <w:sz w:val="32"/>
          <w:szCs w:val="32"/>
        </w:rPr>
      </w:pPr>
      <w:r>
        <w:rPr>
          <w:rFonts w:hint="default" w:ascii="Times New Roman" w:hAnsi="Times New Roman" w:eastAsia="方正仿宋_GBK" w:cs="Times New Roman"/>
          <w:kern w:val="2"/>
          <w:sz w:val="32"/>
          <w:szCs w:val="32"/>
          <w:lang w:val="en-US" w:eastAsia="zh-CN" w:bidi="ar-SA"/>
        </w:rPr>
        <w:t>攀枝花市人才发展促进中心</w:t>
      </w:r>
      <w:r>
        <w:rPr>
          <w:rFonts w:hint="default" w:ascii="Times New Roman" w:hAnsi="Times New Roman" w:eastAsia="仿宋" w:cs="Times New Roman"/>
          <w:bCs/>
          <w:sz w:val="32"/>
          <w:szCs w:val="32"/>
        </w:rPr>
        <w:br w:type="page"/>
      </w:r>
    </w:p>
    <w:p>
      <w:pPr>
        <w:pStyle w:val="3"/>
        <w:jc w:val="center"/>
        <w:rPr>
          <w:rFonts w:hint="default" w:ascii="Times New Roman" w:hAnsi="Times New Roman" w:eastAsia="方正小标宋_GBK" w:cs="Times New Roman"/>
          <w:b w:val="0"/>
        </w:rPr>
      </w:pPr>
      <w:bookmarkStart w:id="21" w:name="_Toc15396602"/>
      <w:bookmarkStart w:id="22" w:name="_Toc15377204"/>
      <w:bookmarkStart w:id="23" w:name="_Toc13885"/>
      <w:r>
        <w:rPr>
          <w:rFonts w:hint="default" w:ascii="Times New Roman" w:hAnsi="Times New Roman" w:eastAsia="方正小标宋_GBK" w:cs="Times New Roman"/>
          <w:b w:val="0"/>
        </w:rPr>
        <w:t>第二部分  202</w:t>
      </w:r>
      <w:r>
        <w:rPr>
          <w:rFonts w:hint="default" w:ascii="Times New Roman" w:hAnsi="Times New Roman" w:eastAsia="方正小标宋_GBK" w:cs="Times New Roman"/>
          <w:b w:val="0"/>
          <w:lang w:val="en-US" w:eastAsia="zh-CN"/>
        </w:rPr>
        <w:t>5</w:t>
      </w:r>
      <w:r>
        <w:rPr>
          <w:rFonts w:hint="default" w:ascii="Times New Roman" w:hAnsi="Times New Roman" w:eastAsia="方正小标宋_GBK" w:cs="Times New Roman"/>
          <w:b w:val="0"/>
        </w:rPr>
        <w:t>年度部门决算情况说明</w:t>
      </w:r>
      <w:bookmarkEnd w:id="21"/>
      <w:bookmarkEnd w:id="22"/>
      <w:bookmarkEnd w:id="23"/>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Style w:val="31"/>
          <w:rFonts w:hint="default" w:ascii="Times New Roman" w:hAnsi="Times New Roman" w:eastAsia="方正黑体_GBK" w:cs="Times New Roman"/>
          <w:b w:val="0"/>
        </w:rPr>
      </w:pPr>
      <w:bookmarkStart w:id="24" w:name="_Toc30797"/>
      <w:bookmarkStart w:id="25" w:name="_Toc15377205"/>
      <w:bookmarkStart w:id="26" w:name="_Toc15396603"/>
      <w:r>
        <w:rPr>
          <w:rFonts w:hint="default" w:ascii="Times New Roman" w:hAnsi="Times New Roman" w:eastAsia="方正黑体_GBK" w:cs="Times New Roman"/>
          <w:sz w:val="32"/>
          <w:szCs w:val="32"/>
        </w:rPr>
        <w:t>一、收</w:t>
      </w:r>
      <w:r>
        <w:rPr>
          <w:rStyle w:val="31"/>
          <w:rFonts w:hint="default" w:ascii="Times New Roman" w:hAnsi="Times New Roman" w:eastAsia="方正黑体_GBK" w:cs="Times New Roman"/>
          <w:b w:val="0"/>
        </w:rPr>
        <w:t>入支出决算总体情况说明</w:t>
      </w:r>
      <w:bookmarkEnd w:id="24"/>
      <w:bookmarkEnd w:id="25"/>
      <w:bookmarkEnd w:id="26"/>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2025年度收入、支出总计均为1785.41万元。与2024年度相比，收入、支出总计各增加130.94万元，上升7.91%。主要变动原因是人员经费和项目经费较2024年增加。</w:t>
      </w:r>
    </w:p>
    <w:p>
      <w:pPr>
        <w:spacing w:line="600" w:lineRule="exact"/>
        <w:jc w:val="center"/>
        <w:rPr>
          <w:rFonts w:hint="default" w:ascii="Times New Roman" w:hAnsi="Times New Roman" w:eastAsia="方正仿宋_GBK" w:cs="Times New Roman"/>
          <w:color w:val="auto"/>
          <w:kern w:val="2"/>
          <w:sz w:val="32"/>
          <w:szCs w:val="32"/>
          <w:highlight w:val="none"/>
          <w:lang w:val="en-US" w:eastAsia="zh-CN" w:bidi="ar-SA"/>
        </w:rPr>
      </w:pPr>
      <w:bookmarkStart w:id="27" w:name="_Toc15396604"/>
      <w:bookmarkStart w:id="28" w:name="_Toc15377206"/>
      <w:r>
        <w:rPr>
          <w:rFonts w:hint="default" w:ascii="Times New Roman" w:hAnsi="Times New Roman" w:eastAsia="方正仿宋_GBK" w:cs="Times New Roman"/>
          <w:color w:val="auto"/>
          <w:kern w:val="2"/>
          <w:sz w:val="32"/>
          <w:szCs w:val="32"/>
          <w:highlight w:val="none"/>
          <w:lang w:val="en-US" w:eastAsia="zh-CN" w:bidi="ar-SA"/>
        </w:rPr>
        <w:t>（图1：收入、支出决算总计变动情况图）（柱状图）</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rPr>
      </w:pPr>
      <w:r>
        <w:rPr>
          <w:rFonts w:hint="default" w:ascii="Times New Roman" w:hAnsi="Times New Roman" w:eastAsia="仿宋" w:cs="Times New Roman"/>
          <w:b/>
          <w:sz w:val="32"/>
          <w:szCs w:val="32"/>
          <w:lang w:eastAsia="zh-CN"/>
        </w:rPr>
        <w:drawing>
          <wp:inline distT="0" distB="0" distL="114300" distR="114300">
            <wp:extent cx="4294505" cy="2613025"/>
            <wp:effectExtent l="4445" t="4445" r="6350" b="36830"/>
            <wp:docPr id="7" name="图表 7" descr="7b0a202020202263686172745265734964223a202232303437363334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bookmarkStart w:id="29" w:name="_Toc29902"/>
      <w:r>
        <w:rPr>
          <w:rFonts w:hint="default" w:ascii="Times New Roman" w:hAnsi="Times New Roman" w:eastAsia="方正黑体_GBK" w:cs="Times New Roman"/>
          <w:sz w:val="32"/>
          <w:szCs w:val="32"/>
        </w:rPr>
        <w:t>二、收入决算情况说明</w:t>
      </w:r>
      <w:bookmarkEnd w:id="27"/>
      <w:bookmarkEnd w:id="28"/>
      <w:bookmarkEnd w:id="29"/>
    </w:p>
    <w:p>
      <w:pPr>
        <w:pStyle w:val="29"/>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本年收入合计1785.41万元，其中：一般公共预算财政拨款收入1785.41万元，占100%；政府性基金预算财政拨款收入0万元，占0%；国有资本经营预算财政拨款收入0万元，占0%；上级补助收入0万元，占0%；事业收入0万元，占0%；经营收入0万元，占0%；附属单位上缴收入0万元，占0%；其他收入0万元，占0%。</w:t>
      </w:r>
    </w:p>
    <w:p>
      <w:pPr>
        <w:spacing w:line="600" w:lineRule="exact"/>
        <w:jc w:val="center"/>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（图2：收入决算结构图）（饼状图）</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ascii="Times New Roman" w:hAnsi="Times New Roman" w:eastAsia="仿宋" w:cs="Times New Roman"/>
          <w:b/>
          <w:sz w:val="32"/>
          <w:szCs w:val="32"/>
          <w:lang w:eastAsia="zh-CN"/>
        </w:rPr>
        <w:drawing>
          <wp:inline distT="0" distB="0" distL="114300" distR="114300">
            <wp:extent cx="4434205" cy="2499995"/>
            <wp:effectExtent l="4445" t="4445" r="19050" b="10160"/>
            <wp:docPr id="1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30" w:name="_Toc15396605"/>
      <w:bookmarkStart w:id="31" w:name="_Toc25192"/>
      <w:bookmarkStart w:id="32" w:name="_Toc15377207"/>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三、支出决算情况说明</w:t>
      </w:r>
      <w:bookmarkEnd w:id="30"/>
      <w:bookmarkEnd w:id="31"/>
      <w:bookmarkEnd w:id="32"/>
    </w:p>
    <w:p>
      <w:pPr>
        <w:pStyle w:val="29"/>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2025年度本年支出合计1785.41万元，其中：基本支出1650.02万元，占92.42%；项目支出135.4</w:t>
      </w:r>
      <w:r>
        <w:rPr>
          <w:rFonts w:hint="eastAsia" w:cs="Times New Roman"/>
          <w:kern w:val="2"/>
          <w:sz w:val="32"/>
          <w:szCs w:val="32"/>
          <w:lang w:val="en-US" w:eastAsia="zh-CN" w:bidi="ar-SA"/>
        </w:rPr>
        <w:t>0</w:t>
      </w:r>
      <w:r>
        <w:rPr>
          <w:rFonts w:hint="default" w:ascii="Times New Roman" w:hAnsi="Times New Roman" w:eastAsia="方正仿宋_GBK" w:cs="Times New Roman"/>
          <w:kern w:val="2"/>
          <w:sz w:val="32"/>
          <w:szCs w:val="32"/>
          <w:lang w:val="en-US" w:eastAsia="zh-CN" w:bidi="ar-SA"/>
        </w:rPr>
        <w:t>万元，占7.58%；上缴上级支出0万元，占0%；经营支出0万元，占0%；对附属单位补助支出0万元，占0%。</w:t>
      </w:r>
    </w:p>
    <w:p>
      <w:pPr>
        <w:spacing w:line="600" w:lineRule="exact"/>
        <w:jc w:val="center"/>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（图3：支出决算结构图）（饼状图）</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仿宋" w:cs="Times New Roman"/>
          <w:b/>
          <w:sz w:val="32"/>
          <w:szCs w:val="32"/>
          <w:lang w:eastAsia="zh-CN"/>
        </w:rPr>
        <w:drawing>
          <wp:inline distT="0" distB="0" distL="114300" distR="114300">
            <wp:extent cx="4413250" cy="2442845"/>
            <wp:effectExtent l="4445" t="4445" r="20955" b="1016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33" w:name="_Toc15377208"/>
      <w:bookmarkStart w:id="34" w:name="_Toc15396606"/>
      <w:bookmarkStart w:id="35" w:name="_Toc11956"/>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四、财政拨款收入支出决算总体情况说明</w:t>
      </w:r>
      <w:bookmarkEnd w:id="33"/>
      <w:bookmarkEnd w:id="34"/>
      <w:bookmarkEnd w:id="35"/>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2025年度财政拨款收入、支出总计均为1785.41万元。与2024年度相比，财政拨款收入总计、支出总计各增加130.94万元，上升7.91%。主要变动原因是人员经费和项目经费较2024年增加。</w:t>
      </w:r>
    </w:p>
    <w:p>
      <w:pPr>
        <w:spacing w:line="600" w:lineRule="exact"/>
        <w:jc w:val="center"/>
        <w:rPr>
          <w:rFonts w:hint="default" w:ascii="Times New Roman" w:hAnsi="Times New Roman" w:eastAsia="方正仿宋_GBK" w:cs="Times New Roman"/>
          <w:color w:val="auto"/>
          <w:kern w:val="2"/>
          <w:sz w:val="32"/>
          <w:szCs w:val="32"/>
          <w:highlight w:val="none"/>
          <w:lang w:val="en-US" w:eastAsia="zh-CN" w:bidi="ar-SA"/>
        </w:rPr>
      </w:pPr>
      <w:bookmarkStart w:id="36" w:name="_Toc15396607"/>
      <w:bookmarkStart w:id="37" w:name="_Toc15377209"/>
      <w:r>
        <w:rPr>
          <w:rFonts w:hint="default" w:ascii="Times New Roman" w:hAnsi="Times New Roman" w:eastAsia="方正仿宋_GBK" w:cs="Times New Roman"/>
          <w:color w:val="auto"/>
          <w:kern w:val="2"/>
          <w:sz w:val="32"/>
          <w:szCs w:val="32"/>
          <w:highlight w:val="none"/>
          <w:lang w:val="en-US" w:eastAsia="zh-CN" w:bidi="ar-SA"/>
        </w:rPr>
        <w:t>（图4：财政拨款收、支决算总计变动情况）（柱状图）</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仿宋" w:cs="Times New Roman"/>
          <w:b/>
          <w:sz w:val="32"/>
          <w:szCs w:val="32"/>
          <w:lang w:eastAsia="zh-CN"/>
        </w:rPr>
        <w:drawing>
          <wp:inline distT="0" distB="0" distL="114300" distR="114300">
            <wp:extent cx="4294505" cy="2613025"/>
            <wp:effectExtent l="4445" t="4445" r="6350" b="36830"/>
            <wp:docPr id="1" name="图表 1" descr="7b0a202020202263686172745265734964223a202232303437363334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38" w:name="_Toc3892"/>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五、一般公共预算财政拨款支出决算情况说明</w:t>
      </w:r>
      <w:bookmarkEnd w:id="36"/>
      <w:bookmarkEnd w:id="37"/>
      <w:bookmarkEnd w:id="38"/>
    </w:p>
    <w:p>
      <w:pPr>
        <w:spacing w:line="600" w:lineRule="exact"/>
        <w:ind w:firstLine="642" w:firstLineChars="200"/>
        <w:outlineLvl w:val="9"/>
        <w:rPr>
          <w:rFonts w:hint="default" w:ascii="Times New Roman" w:hAnsi="Times New Roman" w:eastAsia="楷体_GB2312" w:cs="Times New Roman"/>
          <w:b/>
          <w:sz w:val="32"/>
          <w:szCs w:val="32"/>
        </w:rPr>
      </w:pPr>
      <w:bookmarkStart w:id="39" w:name="_Toc15377210"/>
      <w:r>
        <w:rPr>
          <w:rFonts w:hint="default" w:ascii="Times New Roman" w:hAnsi="Times New Roman" w:eastAsia="楷体_GB2312" w:cs="Times New Roman"/>
          <w:b/>
          <w:sz w:val="32"/>
          <w:szCs w:val="32"/>
        </w:rPr>
        <w:t>（一）一般公共预算财政拨款支出决算总体情况</w:t>
      </w:r>
      <w:bookmarkEnd w:id="39"/>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2025年度一般公共预算财政拨款支出1785.41万元，占本年支出合计的100%。与2024年度相比，一般公共预算财政拨款支出增加130.94万元，上升7.91%。主要变动原因是人员经费和项目经费较2024年增加。</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（图5：一般公共预算财政拨款支出决算变动情况）（柱状图）</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sz w:val="32"/>
          <w:szCs w:val="32"/>
          <w:lang w:eastAsia="zh-CN"/>
        </w:rPr>
      </w:pPr>
      <w:r>
        <w:rPr>
          <w:rFonts w:hint="default" w:ascii="Times New Roman" w:hAnsi="Times New Roman" w:eastAsia="仿宋" w:cs="Times New Roman"/>
          <w:b/>
          <w:sz w:val="32"/>
          <w:szCs w:val="32"/>
          <w:lang w:eastAsia="zh-CN"/>
        </w:rPr>
        <w:drawing>
          <wp:inline distT="0" distB="0" distL="114300" distR="114300">
            <wp:extent cx="4294505" cy="2613025"/>
            <wp:effectExtent l="4445" t="4445" r="6350" b="49530"/>
            <wp:docPr id="3" name="图表 3" descr="7b0a202020202263686172745265734964223a202232303437363334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9"/>
        <w:rPr>
          <w:rFonts w:hint="default" w:ascii="Times New Roman" w:hAnsi="Times New Roman" w:eastAsia="楷体_GB2312" w:cs="Times New Roman"/>
          <w:b/>
          <w:sz w:val="32"/>
          <w:szCs w:val="32"/>
        </w:rPr>
      </w:pPr>
      <w:bookmarkStart w:id="40" w:name="_Toc15377211"/>
      <w:r>
        <w:rPr>
          <w:rFonts w:hint="default" w:ascii="Times New Roman" w:hAnsi="Times New Roman" w:eastAsia="楷体_GB2312" w:cs="Times New Roman"/>
          <w:b/>
          <w:sz w:val="32"/>
          <w:szCs w:val="32"/>
        </w:rPr>
        <w:t>（二）一般公共预算财政拨款支出决算结构情况</w:t>
      </w:r>
      <w:bookmarkEnd w:id="40"/>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一般公共预算财政拨款支出1785.41万元，主要用于以下方面：一般公共服务支出1356.40万元，占75.97%；教育支出0万元，占0%；科学技术支出0万元，占0%；文化旅游体育与传媒支出0万元，占0%；社会保障和就业支出204.76万元，占11.47%；卫生健康支出93.38万元，占5.23%；援助其他地区支出16.50万元，占比0.92%；住房保障支出114.37万元，占6.41%。</w:t>
      </w:r>
    </w:p>
    <w:p>
      <w:pPr>
        <w:spacing w:line="600" w:lineRule="exact"/>
        <w:ind w:firstLine="640"/>
        <w:rPr>
          <w:rFonts w:hint="default" w:ascii="Times New Roman" w:hAnsi="Times New Roman" w:cs="Times New Roman"/>
        </w:rPr>
      </w:pPr>
      <w:r>
        <w:rPr>
          <w:rFonts w:hint="default" w:ascii="Times New Roman" w:hAnsi="Times New Roman" w:eastAsia="方正仿宋_GBK" w:cs="Times New Roman"/>
          <w:color w:val="auto"/>
          <w:kern w:val="2"/>
          <w:sz w:val="32"/>
          <w:szCs w:val="32"/>
          <w:highlight w:val="none"/>
          <w:lang w:val="en-US" w:eastAsia="zh-CN" w:bidi="ar-SA"/>
        </w:rPr>
        <w:t>（图6：一般公共预算财政拨款支出决算结构）（饼状图）</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 w:cs="Times New Roman"/>
          <w:b/>
          <w:sz w:val="32"/>
          <w:szCs w:val="32"/>
          <w:lang w:eastAsia="zh-CN"/>
        </w:rPr>
      </w:pPr>
      <w:r>
        <w:rPr>
          <w:rFonts w:hint="default" w:ascii="Times New Roman" w:hAnsi="Times New Roman" w:eastAsia="仿宋" w:cs="Times New Roman"/>
          <w:b/>
          <w:sz w:val="32"/>
          <w:szCs w:val="32"/>
          <w:lang w:eastAsia="zh-CN"/>
        </w:rPr>
        <w:drawing>
          <wp:inline distT="0" distB="0" distL="114300" distR="114300">
            <wp:extent cx="5104765" cy="2711450"/>
            <wp:effectExtent l="4445" t="4445" r="8890" b="14605"/>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2" w:firstLineChars="200"/>
        <w:outlineLvl w:val="9"/>
        <w:rPr>
          <w:rFonts w:hint="default" w:ascii="Times New Roman" w:hAnsi="Times New Roman" w:eastAsia="楷体_GB2312" w:cs="Times New Roman"/>
          <w:b/>
          <w:sz w:val="32"/>
          <w:szCs w:val="32"/>
        </w:rPr>
      </w:pPr>
      <w:bookmarkStart w:id="41" w:name="_Toc15377212"/>
      <w:r>
        <w:rPr>
          <w:rFonts w:hint="default" w:ascii="Times New Roman" w:hAnsi="Times New Roman" w:eastAsia="楷体_GB2312" w:cs="Times New Roman"/>
          <w:b/>
          <w:sz w:val="32"/>
          <w:szCs w:val="32"/>
        </w:rPr>
        <w:t>（三）一般公共预算财政拨款支出决算具体情况</w:t>
      </w:r>
      <w:bookmarkEnd w:id="41"/>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bookmarkStart w:id="42" w:name="_Toc15378460"/>
      <w:bookmarkStart w:id="43" w:name="_Toc15377213"/>
      <w:bookmarkStart w:id="44" w:name="_Toc15377444"/>
      <w:r>
        <w:rPr>
          <w:rFonts w:hint="default" w:ascii="Times New Roman" w:hAnsi="Times New Roman" w:eastAsia="方正仿宋_GBK" w:cs="Times New Roman"/>
          <w:kern w:val="2"/>
          <w:sz w:val="32"/>
          <w:szCs w:val="32"/>
          <w:lang w:val="en-US" w:eastAsia="zh-CN" w:bidi="ar-SA"/>
        </w:rPr>
        <w:t>2025年度一般公共预算财政拨款支出决算数为1785.41</w:t>
      </w:r>
      <w:r>
        <w:rPr>
          <w:rFonts w:hint="default" w:cs="Times New Roman"/>
          <w:kern w:val="2"/>
          <w:sz w:val="32"/>
          <w:szCs w:val="32"/>
          <w:lang w:eastAsia="zh-CN" w:bidi="ar-SA"/>
        </w:rPr>
        <w:t>万元</w:t>
      </w:r>
      <w:r>
        <w:rPr>
          <w:rFonts w:hint="default" w:ascii="Times New Roman" w:hAnsi="Times New Roman" w:eastAsia="方正仿宋_GBK" w:cs="Times New Roman"/>
          <w:kern w:val="2"/>
          <w:sz w:val="32"/>
          <w:szCs w:val="32"/>
          <w:lang w:val="en-US" w:eastAsia="zh-CN" w:bidi="ar-SA"/>
        </w:rPr>
        <w:t>，完成预算100%。其中：</w:t>
      </w:r>
      <w:bookmarkEnd w:id="42"/>
      <w:bookmarkEnd w:id="43"/>
      <w:bookmarkEnd w:id="44"/>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仿宋_GB2312" w:cs="Times New Roman"/>
          <w:sz w:val="32"/>
          <w:szCs w:val="32"/>
        </w:rPr>
        <w:t>一</w:t>
      </w:r>
      <w:r>
        <w:rPr>
          <w:rFonts w:hint="default" w:ascii="Times New Roman" w:hAnsi="Times New Roman" w:eastAsia="方正仿宋_GBK" w:cs="Times New Roman"/>
          <w:kern w:val="2"/>
          <w:sz w:val="32"/>
          <w:szCs w:val="32"/>
          <w:lang w:val="en-US" w:eastAsia="zh-CN" w:bidi="ar-SA"/>
        </w:rPr>
        <w:t>般公共服务组织事务支出：支出决算为1356.40万元，完成预算100%。</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kern w:val="2"/>
          <w:sz w:val="32"/>
          <w:szCs w:val="32"/>
          <w:lang w:val="en-US" w:eastAsia="zh-CN" w:bidi="ar-SA"/>
        </w:rPr>
        <w:t>社会保障和就业支出：支出决算为204.76万元，完成预算100%。</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kern w:val="2"/>
          <w:sz w:val="32"/>
          <w:szCs w:val="32"/>
          <w:lang w:val="en-US" w:eastAsia="zh-CN" w:bidi="ar-SA"/>
        </w:rPr>
        <w:t>卫生健康支出：支出决算为93.38万元，完成预算100%。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rPr>
        <w:t>4.</w:t>
      </w:r>
      <w:r>
        <w:rPr>
          <w:rFonts w:hint="default" w:ascii="Times New Roman" w:hAnsi="Times New Roman" w:eastAsia="方正仿宋_GBK" w:cs="Times New Roman"/>
          <w:kern w:val="2"/>
          <w:sz w:val="32"/>
          <w:szCs w:val="32"/>
          <w:lang w:val="en-US" w:eastAsia="zh-CN" w:bidi="ar-SA"/>
        </w:rPr>
        <w:t>援助其他地区支出:支出决算为16.50万元，完成预算100%。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b/>
          <w:sz w:val="32"/>
          <w:szCs w:val="32"/>
        </w:rPr>
      </w:pPr>
      <w:r>
        <w:rPr>
          <w:rFonts w:hint="default" w:ascii="Times New Roman" w:hAnsi="Times New Roman" w:eastAsia="仿宋_GB2312" w:cs="Times New Roman"/>
          <w:sz w:val="32"/>
          <w:szCs w:val="32"/>
        </w:rPr>
        <w:t>4.</w:t>
      </w:r>
      <w:r>
        <w:rPr>
          <w:rFonts w:hint="default" w:ascii="Times New Roman" w:hAnsi="Times New Roman" w:eastAsia="方正仿宋_GBK" w:cs="Times New Roman"/>
          <w:kern w:val="2"/>
          <w:sz w:val="32"/>
          <w:szCs w:val="32"/>
          <w:lang w:val="en-US" w:eastAsia="zh-CN" w:bidi="ar-SA"/>
        </w:rPr>
        <w:t>住房保障支出:支出决算为114.37万元，完成预算100%。</w:t>
      </w:r>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bookmarkStart w:id="45" w:name="_Toc15396608"/>
      <w:bookmarkStart w:id="46" w:name="_Toc20347"/>
      <w:bookmarkStart w:id="47" w:name="_Toc15377214"/>
      <w:r>
        <w:rPr>
          <w:rFonts w:hint="default" w:ascii="Times New Roman" w:hAnsi="Times New Roman" w:eastAsia="方正黑体_GBK" w:cs="Times New Roman"/>
          <w:sz w:val="32"/>
          <w:szCs w:val="32"/>
        </w:rPr>
        <w:t>六、一般公共预算财政拨款基本支出决算情况说明</w:t>
      </w:r>
      <w:bookmarkEnd w:id="45"/>
      <w:bookmarkEnd w:id="46"/>
      <w:bookmarkEnd w:id="47"/>
      <w:r>
        <w:rPr>
          <w:rFonts w:hint="default" w:ascii="Times New Roman" w:hAnsi="Times New Roman" w:eastAsia="方正黑体_GBK" w:cs="Times New Roman"/>
          <w:sz w:val="32"/>
          <w:szCs w:val="32"/>
        </w:rPr>
        <w:tab/>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pacing w:val="-6"/>
          <w:kern w:val="2"/>
          <w:sz w:val="32"/>
          <w:szCs w:val="32"/>
          <w:lang w:val="en-US" w:eastAsia="zh-CN" w:bidi="ar-SA"/>
        </w:rPr>
      </w:pPr>
      <w:r>
        <w:rPr>
          <w:rFonts w:hint="default" w:ascii="Times New Roman" w:hAnsi="Times New Roman" w:eastAsia="方正仿宋_GBK" w:cs="Times New Roman"/>
          <w:spacing w:val="-6"/>
          <w:kern w:val="2"/>
          <w:sz w:val="32"/>
          <w:szCs w:val="32"/>
          <w:lang w:val="en-US" w:eastAsia="zh-CN" w:bidi="ar-SA"/>
        </w:rPr>
        <w:t>2025年度一般公共预算财政拨款基本支出1650.02万元，其中：</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人员经费1462.9</w:t>
      </w:r>
      <w:r>
        <w:rPr>
          <w:rFonts w:hint="eastAsia"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万元，主要包括：基本工资、津贴补贴、奖金、伙食补助费、绩效工资、机关事业单位基本养老保险缴费、职业年金缴费、其他社会保障缴费、其他工资福利支出、退休费、生活补助、医疗费补助、奖励金、住房公积金、其他对个人和家庭的补助支出等。</w:t>
      </w:r>
    </w:p>
    <w:p>
      <w:pPr>
        <w:keepNext w:val="0"/>
        <w:keepLines w:val="0"/>
        <w:pageBreakBefore w:val="0"/>
        <w:widowControl w:val="0"/>
        <w:kinsoku/>
        <w:wordWrap/>
        <w:overflowPunct/>
        <w:topLinePunct w:val="0"/>
        <w:autoSpaceDE/>
        <w:autoSpaceDN/>
        <w:bidi w:val="0"/>
        <w:adjustRightInd/>
        <w:snapToGrid/>
        <w:spacing w:line="240" w:lineRule="auto"/>
        <w:ind w:firstLine="616" w:firstLineChars="200"/>
        <w:textAlignment w:val="auto"/>
        <w:rPr>
          <w:rFonts w:hint="default" w:ascii="Times New Roman" w:hAnsi="Times New Roman" w:eastAsia="方正仿宋_GBK" w:cs="Times New Roman"/>
          <w:spacing w:val="-6"/>
          <w:kern w:val="2"/>
          <w:sz w:val="32"/>
          <w:szCs w:val="32"/>
          <w:lang w:val="en-US" w:eastAsia="zh-CN" w:bidi="ar-SA"/>
        </w:rPr>
      </w:pPr>
      <w:r>
        <w:rPr>
          <w:rFonts w:hint="default" w:ascii="Times New Roman" w:hAnsi="Times New Roman" w:eastAsia="方正仿宋_GBK" w:cs="Times New Roman"/>
          <w:spacing w:val="-6"/>
          <w:kern w:val="2"/>
          <w:sz w:val="32"/>
          <w:szCs w:val="32"/>
          <w:lang w:val="en-US" w:eastAsia="zh-CN" w:bidi="ar-SA"/>
        </w:rPr>
        <w:t>公用经费187.06万元，主要包括：办公费、印刷费、水费、电费、邮电费、物业管理费、差旅费、维修（护）费、租赁费、会议费、公务接待费、劳务费、工会经费、福利费、公务用车运行维护费、其他交通费、其他商品和服务支出、办公设备购置等。</w:t>
      </w:r>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bookmarkStart w:id="48" w:name="_Toc15377215"/>
      <w:bookmarkStart w:id="49" w:name="_Toc4999"/>
      <w:bookmarkStart w:id="50" w:name="_Toc15396609"/>
      <w:r>
        <w:rPr>
          <w:rFonts w:hint="default" w:ascii="Times New Roman" w:hAnsi="Times New Roman" w:eastAsia="方正黑体_GBK" w:cs="Times New Roman"/>
          <w:sz w:val="32"/>
          <w:szCs w:val="32"/>
        </w:rPr>
        <w:t>七、财政拨款</w:t>
      </w:r>
      <w:r>
        <w:rPr>
          <w:rFonts w:hint="eastAsia" w:eastAsia="方正黑体_GBK" w:cs="Times New Roman"/>
          <w:sz w:val="32"/>
          <w:szCs w:val="32"/>
          <w:lang w:eastAsia="zh-CN"/>
        </w:rPr>
        <w:t>“三公”</w:t>
      </w:r>
      <w:r>
        <w:rPr>
          <w:rFonts w:hint="default" w:ascii="Times New Roman" w:hAnsi="Times New Roman" w:eastAsia="方正黑体_GBK" w:cs="Times New Roman"/>
          <w:sz w:val="32"/>
          <w:szCs w:val="32"/>
        </w:rPr>
        <w:t>经费支出决算情况说明</w:t>
      </w:r>
      <w:bookmarkEnd w:id="48"/>
      <w:bookmarkEnd w:id="49"/>
      <w:bookmarkEnd w:id="50"/>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9"/>
        <w:rPr>
          <w:rFonts w:hint="default" w:ascii="Times New Roman" w:hAnsi="Times New Roman" w:eastAsia="楷体_GB2312" w:cs="Times New Roman"/>
          <w:b/>
          <w:sz w:val="32"/>
          <w:szCs w:val="32"/>
        </w:rPr>
      </w:pPr>
      <w:bookmarkStart w:id="51" w:name="_Toc15377216"/>
      <w:r>
        <w:rPr>
          <w:rFonts w:hint="default" w:ascii="Times New Roman" w:hAnsi="Times New Roman" w:eastAsia="楷体_GB2312" w:cs="Times New Roman"/>
          <w:b/>
          <w:sz w:val="32"/>
          <w:szCs w:val="32"/>
        </w:rPr>
        <w:t>（一）“三公”经费财政拨款支出决算总体情况说明</w:t>
      </w:r>
      <w:bookmarkEnd w:id="51"/>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2025年度“三公”经费财政拨款支出决算为4.43万元，完成预算100%，较上年度减少0.81万元，下降15.45%。决算数与预算数持平的主要原因是加强2025年“三公”经费支出管理</w:t>
      </w:r>
      <w:r>
        <w:rPr>
          <w:rFonts w:hint="default" w:cs="Times New Roman"/>
          <w:kern w:val="2"/>
          <w:sz w:val="32"/>
          <w:szCs w:val="32"/>
          <w:lang w:eastAsia="zh-CN" w:bidi="ar-SA"/>
        </w:rPr>
        <w:t>，</w:t>
      </w:r>
      <w:r>
        <w:rPr>
          <w:rFonts w:hint="default" w:ascii="Times New Roman" w:hAnsi="Times New Roman" w:eastAsia="方正仿宋_GBK" w:cs="Times New Roman"/>
          <w:kern w:val="2"/>
          <w:sz w:val="32"/>
          <w:szCs w:val="32"/>
          <w:lang w:val="en-US" w:eastAsia="zh-CN" w:bidi="ar-SA"/>
        </w:rPr>
        <w:t>严格控制在预算内。</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9"/>
        <w:rPr>
          <w:rFonts w:hint="default" w:ascii="Times New Roman" w:hAnsi="Times New Roman" w:eastAsia="楷体_GB2312" w:cs="Times New Roman"/>
          <w:b/>
          <w:sz w:val="32"/>
          <w:szCs w:val="32"/>
        </w:rPr>
      </w:pPr>
      <w:bookmarkStart w:id="52" w:name="_Toc15377217"/>
      <w:r>
        <w:rPr>
          <w:rFonts w:hint="default" w:ascii="Times New Roman" w:hAnsi="Times New Roman" w:eastAsia="楷体_GB2312" w:cs="Times New Roman"/>
          <w:b/>
          <w:sz w:val="32"/>
          <w:szCs w:val="32"/>
        </w:rPr>
        <w:t>（二）“三公”经费财政拨款支出决算具体情况说明</w:t>
      </w:r>
      <w:bookmarkEnd w:id="52"/>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2025年度“三公”经费财政拨款支出决算中，因公出国（境）费支出决算0万元，占0%；公务用车购置及运行维护费支出决算3.79万元，占85.55%；公务接待费支出决算0.64万元，占14.45%。具体情况如下：</w:t>
      </w:r>
    </w:p>
    <w:p>
      <w:pPr>
        <w:spacing w:line="600" w:lineRule="exact"/>
        <w:jc w:val="center"/>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（图7：财政拨款“三公”经费支出结构）（饼状图）</w:t>
      </w:r>
    </w:p>
    <w:p>
      <w:pPr>
        <w:keepNext w:val="0"/>
        <w:keepLines w:val="0"/>
        <w:pageBreakBefore w:val="0"/>
        <w:widowControl w:val="0"/>
        <w:tabs>
          <w:tab w:val="center" w:pos="4482"/>
          <w:tab w:val="left" w:pos="5643"/>
        </w:tabs>
        <w:kinsoku/>
        <w:wordWrap/>
        <w:overflowPunct/>
        <w:topLinePunct w:val="0"/>
        <w:autoSpaceDE/>
        <w:autoSpaceDN/>
        <w:bidi w:val="0"/>
        <w:adjustRightInd/>
        <w:snapToGrid/>
        <w:ind w:firstLine="0" w:firstLineChars="0"/>
        <w:jc w:val="left"/>
        <w:textAlignment w:val="auto"/>
        <w:rPr>
          <w:rFonts w:hint="default" w:ascii="Times New Roman" w:hAnsi="Times New Roman" w:eastAsia="仿宋_GB2312" w:cs="Times New Roman"/>
          <w:b/>
          <w:bCs/>
          <w:sz w:val="32"/>
          <w:szCs w:val="32"/>
        </w:rPr>
      </w:pPr>
      <w:r>
        <w:rPr>
          <w:rFonts w:hint="eastAsia" w:eastAsia="仿宋" w:cs="Times New Roman"/>
          <w:b/>
          <w:sz w:val="32"/>
          <w:szCs w:val="32"/>
          <w:lang w:eastAsia="zh-CN"/>
        </w:rPr>
        <w:tab/>
      </w:r>
      <w:r>
        <w:rPr>
          <w:rFonts w:hint="default" w:ascii="Times New Roman" w:hAnsi="Times New Roman" w:eastAsia="仿宋" w:cs="Times New Roman"/>
          <w:b/>
          <w:sz w:val="32"/>
          <w:szCs w:val="32"/>
          <w:lang w:eastAsia="zh-CN"/>
        </w:rPr>
        <w:drawing>
          <wp:inline distT="0" distB="0" distL="114300" distR="114300">
            <wp:extent cx="5256530" cy="2988310"/>
            <wp:effectExtent l="5080" t="4445" r="8890" b="17145"/>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rFonts w:hint="eastAsia" w:eastAsia="仿宋" w:cs="Times New Roman"/>
          <w:b/>
          <w:sz w:val="32"/>
          <w:szCs w:val="32"/>
          <w:lang w:eastAsia="zh-CN"/>
        </w:rPr>
        <w:tab/>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1.因公出国（境）经费支出0万元，完成预算0%。</w:t>
      </w:r>
      <w:r>
        <w:rPr>
          <w:rFonts w:hint="default" w:ascii="Times New Roman" w:hAnsi="Times New Roman" w:eastAsia="方正仿宋_GBK" w:cs="Times New Roman"/>
          <w:kern w:val="2"/>
          <w:sz w:val="32"/>
          <w:szCs w:val="32"/>
          <w:lang w:val="en-US" w:eastAsia="zh-CN" w:bidi="ar-SA"/>
        </w:rPr>
        <w:t>全年安排因公出国（境）团组0次，出国（境）0人。</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2.公务用车购置及运行维护费支出</w:t>
      </w:r>
      <w:r>
        <w:rPr>
          <w:rFonts w:hint="default" w:ascii="Times New Roman" w:hAnsi="Times New Roman" w:eastAsia="仿宋_GB2312" w:cs="Times New Roman"/>
          <w:b/>
          <w:bCs/>
          <w:sz w:val="32"/>
          <w:szCs w:val="32"/>
          <w:lang w:val="en-US" w:eastAsia="zh-CN"/>
        </w:rPr>
        <w:t>3.79</w:t>
      </w:r>
      <w:r>
        <w:rPr>
          <w:rFonts w:hint="default" w:ascii="Times New Roman" w:hAnsi="Times New Roman" w:eastAsia="仿宋_GB2312" w:cs="Times New Roman"/>
          <w:b/>
          <w:bCs/>
          <w:sz w:val="32"/>
          <w:szCs w:val="32"/>
        </w:rPr>
        <w:t>万元，完成预算100%。</w:t>
      </w:r>
      <w:r>
        <w:rPr>
          <w:rFonts w:hint="default" w:ascii="Times New Roman" w:hAnsi="Times New Roman" w:eastAsia="方正仿宋_GBK" w:cs="Times New Roman"/>
          <w:kern w:val="2"/>
          <w:sz w:val="32"/>
          <w:szCs w:val="32"/>
          <w:lang w:val="en-US" w:eastAsia="zh-CN" w:bidi="ar-SA"/>
        </w:rPr>
        <w:t>公务用车购置及运行维护费支出决算比2024年度减少0.07万元，下降1.81%。主要原因是加强公务用车购置及运行维护费支出管理</w:t>
      </w:r>
      <w:r>
        <w:rPr>
          <w:rFonts w:hint="eastAsia"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严格控制在预算内。其中：公务用车购置支出0万元。全年按规定更新购置公务用车0辆，其中：轿车0辆、金额0万元，越野车0辆、金额0万元，载客汽车0辆、金额0万元。截至2025年12月31日，单位共有公务用车2辆，其中：轿车1辆、越野车1辆、载客汽车0辆。</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公务用车运行维护费支出3.79万元。主要用于市委组织部机关、党员教育中心、市干部人事档案服务中心、市人才发展促进中心日常公务外出考察、调研、专项检查等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仿宋_GB2312" w:cs="Times New Roman"/>
          <w:b/>
          <w:bCs/>
          <w:color w:val="auto"/>
          <w:sz w:val="32"/>
          <w:szCs w:val="32"/>
        </w:rPr>
        <w:t>3.公务接待费支出</w:t>
      </w:r>
      <w:r>
        <w:rPr>
          <w:rFonts w:hint="default" w:ascii="Times New Roman" w:hAnsi="Times New Roman" w:eastAsia="仿宋_GB2312" w:cs="Times New Roman"/>
          <w:b/>
          <w:bCs/>
          <w:color w:val="auto"/>
          <w:sz w:val="32"/>
          <w:szCs w:val="32"/>
          <w:lang w:val="en-US" w:eastAsia="zh-CN"/>
        </w:rPr>
        <w:t>0.64</w:t>
      </w:r>
      <w:r>
        <w:rPr>
          <w:rFonts w:hint="default" w:ascii="Times New Roman" w:hAnsi="Times New Roman" w:eastAsia="仿宋_GB2312" w:cs="Times New Roman"/>
          <w:b/>
          <w:bCs/>
          <w:color w:val="auto"/>
          <w:sz w:val="32"/>
          <w:szCs w:val="32"/>
        </w:rPr>
        <w:t>万元，完成预算100%。</w:t>
      </w:r>
      <w:r>
        <w:rPr>
          <w:rFonts w:hint="default" w:ascii="Times New Roman" w:hAnsi="Times New Roman" w:eastAsia="方正仿宋_GBK" w:cs="Times New Roman"/>
          <w:kern w:val="2"/>
          <w:sz w:val="32"/>
          <w:szCs w:val="32"/>
          <w:lang w:val="en-US" w:eastAsia="zh-CN" w:bidi="ar-SA"/>
        </w:rPr>
        <w:t>公务接待费支出决算比2024年度下降0.74万元，下降53.62%。主要原因是2025年公务活动、接待批次较2024年减少。其中：</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国内公务接待支出0.64万元，主要用于上级部门来攀调研工作、省内对口部门来攀对接工作，执行公务、开展业务活动开支的用餐费。国内公务接待6批次，37人次（不包括陪同人员），共计支出0.64万元，具体内容包括：省级对口部门来攀指导业务工作0.22万元</w:t>
      </w:r>
      <w:r>
        <w:rPr>
          <w:rFonts w:hint="eastAsia"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省级对口部门来攀考察及对接工作0.42万元。外事接待支出0万元。外事接待0批次，0人次（不包括陪同人员），共计支出0万元。</w:t>
      </w:r>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bookmarkStart w:id="53" w:name="_Toc15377218"/>
      <w:bookmarkStart w:id="54" w:name="_Toc31278"/>
      <w:bookmarkStart w:id="55" w:name="_Toc15396610"/>
      <w:r>
        <w:rPr>
          <w:rFonts w:hint="default" w:ascii="Times New Roman" w:hAnsi="Times New Roman" w:eastAsia="方正黑体_GBK" w:cs="Times New Roman"/>
          <w:sz w:val="32"/>
          <w:szCs w:val="32"/>
        </w:rPr>
        <w:t>八、政府性基金预算支出决算情况说明</w:t>
      </w:r>
      <w:bookmarkEnd w:id="53"/>
      <w:bookmarkEnd w:id="54"/>
      <w:bookmarkEnd w:id="55"/>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2025年度政府性基金预算财政拨款支出0万元。</w:t>
      </w:r>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bookmarkStart w:id="56" w:name="_Toc15396611"/>
      <w:bookmarkStart w:id="57" w:name="_Toc15377219"/>
      <w:bookmarkStart w:id="58" w:name="_Toc10631"/>
      <w:r>
        <w:rPr>
          <w:rFonts w:hint="default" w:ascii="Times New Roman" w:hAnsi="Times New Roman" w:eastAsia="方正黑体_GBK" w:cs="Times New Roman"/>
          <w:sz w:val="32"/>
          <w:szCs w:val="32"/>
        </w:rPr>
        <w:t>九、国有资本经营预算支出决算情况说明</w:t>
      </w:r>
      <w:bookmarkEnd w:id="56"/>
      <w:bookmarkEnd w:id="57"/>
      <w:bookmarkEnd w:id="58"/>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2025年度国有资本经营预算财政拨款支出0万元。</w:t>
      </w:r>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bookmarkStart w:id="59" w:name="_Toc16000"/>
      <w:bookmarkStart w:id="60" w:name="_Toc15396612"/>
      <w:bookmarkStart w:id="61" w:name="_Toc15377221"/>
      <w:r>
        <w:rPr>
          <w:rFonts w:hint="default" w:ascii="Times New Roman" w:hAnsi="Times New Roman" w:eastAsia="方正黑体_GBK" w:cs="Times New Roman"/>
          <w:sz w:val="32"/>
          <w:szCs w:val="32"/>
        </w:rPr>
        <w:t>十、其他重要事项的情况说明</w:t>
      </w:r>
      <w:bookmarkEnd w:id="59"/>
      <w:bookmarkEnd w:id="60"/>
      <w:bookmarkEnd w:id="61"/>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9"/>
        <w:rPr>
          <w:rFonts w:hint="default" w:ascii="Times New Roman" w:hAnsi="Times New Roman" w:eastAsia="楷体_GB2312" w:cs="Times New Roman"/>
          <w:b/>
          <w:color w:val="auto"/>
          <w:sz w:val="32"/>
          <w:szCs w:val="32"/>
        </w:rPr>
      </w:pPr>
      <w:bookmarkStart w:id="62" w:name="_Toc15377222"/>
      <w:r>
        <w:rPr>
          <w:rFonts w:hint="default" w:ascii="Times New Roman" w:hAnsi="Times New Roman" w:eastAsia="楷体_GB2312" w:cs="Times New Roman"/>
          <w:b/>
          <w:color w:val="auto"/>
          <w:sz w:val="32"/>
          <w:szCs w:val="32"/>
        </w:rPr>
        <w:t>（一）机关运行经费支出情况</w:t>
      </w:r>
      <w:bookmarkEnd w:id="62"/>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2025年度，中共攀枝花市委组织部机关运行经费支出187.06万元，比2024年度增加11.17万元，增长6.35%。主要原因是人员支出增加。</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9"/>
        <w:rPr>
          <w:rFonts w:hint="default" w:ascii="Times New Roman" w:hAnsi="Times New Roman" w:eastAsia="楷体_GB2312" w:cs="Times New Roman"/>
          <w:b/>
          <w:color w:val="auto"/>
          <w:sz w:val="32"/>
          <w:szCs w:val="32"/>
        </w:rPr>
      </w:pPr>
      <w:bookmarkStart w:id="63" w:name="_Toc15377223"/>
      <w:r>
        <w:rPr>
          <w:rFonts w:hint="default" w:ascii="Times New Roman" w:hAnsi="Times New Roman" w:eastAsia="楷体_GB2312" w:cs="Times New Roman"/>
          <w:b/>
          <w:color w:val="auto"/>
          <w:sz w:val="32"/>
          <w:szCs w:val="32"/>
        </w:rPr>
        <w:t>（二）政府采购支出情况</w:t>
      </w:r>
      <w:bookmarkEnd w:id="63"/>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中共攀枝花市委组织部政府采购支出总额6.82万元，其中：政府采购货物支出3.70万元、政府采购工程支出0万元、政府采购服务支出3.12万元。主要用于公务车运行的燃油费、办公纸张费用。授予中小企业合同金额4.50万元，占政府采购支出总额的65.98%，其中：授予小微企业合同金额4.13万元，占政府采购支出总额的60.56%。</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9"/>
        <w:rPr>
          <w:rFonts w:hint="default" w:ascii="Times New Roman" w:hAnsi="Times New Roman" w:eastAsia="楷体_GB2312" w:cs="Times New Roman"/>
          <w:b/>
          <w:color w:val="auto"/>
          <w:sz w:val="32"/>
          <w:szCs w:val="32"/>
        </w:rPr>
      </w:pPr>
      <w:bookmarkStart w:id="64" w:name="_Toc15377224"/>
      <w:r>
        <w:rPr>
          <w:rFonts w:hint="default" w:ascii="Times New Roman" w:hAnsi="Times New Roman" w:eastAsia="楷体_GB2312" w:cs="Times New Roman"/>
          <w:b/>
          <w:color w:val="auto"/>
          <w:sz w:val="32"/>
          <w:szCs w:val="32"/>
        </w:rPr>
        <w:t>（三）国有资产占有使用情况</w:t>
      </w:r>
      <w:bookmarkEnd w:id="64"/>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截至2025年12月31日，中共攀枝花市委组织部共有车辆2辆，其中：主要负责人用车0辆、机要通信用车0辆、应急保障用车0辆、其他用车2辆，其他用车主要是用于市委组织部机关、党员教育中心、市干部人事档案服务中心、市人才发展促进中心日常公务外出考察、调研、专项检查等工作用车。单价100万元（含）以上设备（不含车辆）0台（套）。</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9"/>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（四）预算绩效管理情况</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pacing w:val="-6"/>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根据预算绩效管理要求，市委组织部在2025年度预算编制阶段，组织对0个项目开展了预算事前绩效评估，对</w:t>
      </w:r>
      <w:r>
        <w:rPr>
          <w:rFonts w:hint="eastAsia" w:cs="Times New Roman"/>
          <w:kern w:val="2"/>
          <w:sz w:val="32"/>
          <w:szCs w:val="32"/>
          <w:lang w:val="en-US" w:eastAsia="zh-CN" w:bidi="ar-SA"/>
        </w:rPr>
        <w:t>12</w:t>
      </w:r>
      <w:r>
        <w:rPr>
          <w:rFonts w:hint="default" w:ascii="Times New Roman" w:hAnsi="Times New Roman" w:eastAsia="方正仿宋_GBK" w:cs="Times New Roman"/>
          <w:kern w:val="2"/>
          <w:sz w:val="32"/>
          <w:szCs w:val="32"/>
          <w:lang w:val="en-US" w:eastAsia="zh-CN" w:bidi="ar-SA"/>
        </w:rPr>
        <w:t>个项目</w:t>
      </w:r>
      <w:r>
        <w:rPr>
          <w:rFonts w:hint="default" w:ascii="Times New Roman" w:hAnsi="Times New Roman" w:eastAsia="方正仿宋_GBK" w:cs="Times New Roman"/>
          <w:spacing w:val="-6"/>
          <w:kern w:val="2"/>
          <w:sz w:val="32"/>
          <w:szCs w:val="32"/>
          <w:lang w:val="en-US" w:eastAsia="zh-CN" w:bidi="ar-SA"/>
        </w:rPr>
        <w:t>编制了绩效目标，预算执行过程中，选取</w:t>
      </w:r>
      <w:r>
        <w:rPr>
          <w:rFonts w:hint="eastAsia" w:cs="Times New Roman"/>
          <w:spacing w:val="-6"/>
          <w:kern w:val="2"/>
          <w:sz w:val="32"/>
          <w:szCs w:val="32"/>
          <w:lang w:val="en-US" w:eastAsia="zh-CN" w:bidi="ar-SA"/>
        </w:rPr>
        <w:t>12</w:t>
      </w:r>
      <w:r>
        <w:rPr>
          <w:rFonts w:hint="default" w:ascii="Times New Roman" w:hAnsi="Times New Roman" w:eastAsia="方正仿宋_GBK" w:cs="Times New Roman"/>
          <w:spacing w:val="-6"/>
          <w:kern w:val="2"/>
          <w:sz w:val="32"/>
          <w:szCs w:val="32"/>
          <w:lang w:val="en-US" w:eastAsia="zh-CN" w:bidi="ar-SA"/>
        </w:rPr>
        <w:t>个项目开展绩效监控。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组织对2025年度一般公共预算全面开展绩效自评，形成市委组织部部门整体（含部门预算项目）绩效自评报告、0个专项预算项目绩效自评报告，其中，市委组织部部门整体（含部门预算项目）绩效自评得分为86.55分，较好</w:t>
      </w:r>
      <w:r>
        <w:rPr>
          <w:rFonts w:hint="default" w:ascii="Times New Roman" w:hAnsi="Times New Roman" w:eastAsia="方正仿宋_GBK" w:cs="Times New Roman"/>
          <w:kern w:val="2"/>
          <w:sz w:val="32"/>
          <w:szCs w:val="32"/>
          <w:lang w:val="zh-CN" w:eastAsia="zh-CN" w:bidi="ar-SA"/>
        </w:rPr>
        <w:t>保障了机关正常运转</w:t>
      </w:r>
      <w:r>
        <w:rPr>
          <w:rFonts w:hint="eastAsia" w:cs="Times New Roman"/>
          <w:kern w:val="2"/>
          <w:sz w:val="32"/>
          <w:szCs w:val="32"/>
          <w:lang w:val="zh-CN" w:eastAsia="zh-CN" w:bidi="ar-SA"/>
        </w:rPr>
        <w:t>，</w:t>
      </w:r>
      <w:r>
        <w:rPr>
          <w:rFonts w:hint="default" w:ascii="Times New Roman" w:hAnsi="Times New Roman" w:eastAsia="方正仿宋_GBK" w:cs="Times New Roman"/>
          <w:kern w:val="2"/>
          <w:sz w:val="32"/>
          <w:szCs w:val="32"/>
          <w:lang w:val="zh-CN" w:eastAsia="zh-CN" w:bidi="ar-SA"/>
        </w:rPr>
        <w:t>履行职能职责较好，财务管理健全规范，没有发生违法违规的现象</w:t>
      </w:r>
      <w:r>
        <w:rPr>
          <w:rFonts w:hint="default" w:ascii="Times New Roman" w:hAnsi="Times New Roman" w:eastAsia="方正仿宋_GBK" w:cs="Times New Roman"/>
          <w:kern w:val="2"/>
          <w:sz w:val="32"/>
          <w:szCs w:val="32"/>
          <w:lang w:val="en-US" w:eastAsia="zh-CN" w:bidi="ar-SA"/>
        </w:rPr>
        <w:t>，绩效自评报告详见附件。</w:t>
      </w:r>
    </w:p>
    <w:p>
      <w:pPr>
        <w:pStyle w:val="20"/>
        <w:rPr>
          <w:rFonts w:hint="default" w:ascii="Times New Roman" w:hAnsi="Times New Roman" w:eastAsia="仿宋_GB2312" w:cs="Times New Roman"/>
          <w:color w:val="auto"/>
          <w:sz w:val="32"/>
          <w:szCs w:val="32"/>
        </w:rPr>
      </w:pPr>
    </w:p>
    <w:p>
      <w:pPr>
        <w:rPr>
          <w:rFonts w:hint="default" w:ascii="Times New Roman" w:hAnsi="Times New Roman" w:cs="Times New Roman"/>
        </w:rPr>
      </w:pPr>
    </w:p>
    <w:p>
      <w:pPr>
        <w:spacing w:line="600" w:lineRule="exact"/>
        <w:ind w:firstLine="640"/>
        <w:rPr>
          <w:rFonts w:hint="default" w:ascii="Times New Roman" w:hAnsi="Times New Roman" w:eastAsia="仿宋_GB2312" w:cs="Times New Roman"/>
          <w:color w:val="auto"/>
          <w:sz w:val="32"/>
          <w:szCs w:val="32"/>
        </w:rPr>
      </w:pPr>
    </w:p>
    <w:p>
      <w:pPr>
        <w:spacing w:line="600" w:lineRule="exact"/>
        <w:jc w:val="center"/>
        <w:outlineLvl w:val="0"/>
        <w:rPr>
          <w:rFonts w:hint="default" w:ascii="Times New Roman" w:hAnsi="Times New Roman" w:eastAsia="黑体" w:cs="Times New Roman"/>
          <w:sz w:val="44"/>
          <w:szCs w:val="44"/>
        </w:rPr>
      </w:pPr>
      <w:bookmarkStart w:id="65" w:name="_Toc15377225"/>
      <w:bookmarkStart w:id="66" w:name="_Toc15396613"/>
      <w:bookmarkStart w:id="67" w:name="_Toc28598"/>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pStyle w:val="2"/>
        <w:rPr>
          <w:rFonts w:hint="default" w:ascii="Times New Roman" w:hAnsi="Times New Roman" w:eastAsia="黑体" w:cs="Times New Roman"/>
          <w:sz w:val="44"/>
          <w:szCs w:val="44"/>
        </w:rPr>
      </w:pPr>
    </w:p>
    <w:p>
      <w:pPr>
        <w:rPr>
          <w:rFonts w:hint="default"/>
        </w:rPr>
      </w:pPr>
    </w:p>
    <w:p>
      <w:pPr>
        <w:spacing w:line="600" w:lineRule="exact"/>
        <w:jc w:val="both"/>
        <w:outlineLvl w:val="0"/>
        <w:rPr>
          <w:rFonts w:hint="default" w:ascii="Times New Roman" w:hAnsi="Times New Roman" w:eastAsia="黑体" w:cs="Times New Roman"/>
          <w:sz w:val="44"/>
          <w:szCs w:val="44"/>
        </w:rPr>
      </w:pPr>
    </w:p>
    <w:p>
      <w:pPr>
        <w:pStyle w:val="2"/>
        <w:rPr>
          <w:rFonts w:hint="default" w:ascii="Times New Roman" w:hAnsi="Times New Roman" w:cs="Times New Roman"/>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第三部分  名词解释</w:t>
      </w:r>
      <w:bookmarkEnd w:id="65"/>
      <w:bookmarkEnd w:id="66"/>
      <w:bookmarkEnd w:id="67"/>
    </w:p>
    <w:p>
      <w:pPr>
        <w:spacing w:line="600" w:lineRule="exact"/>
        <w:jc w:val="left"/>
        <w:rPr>
          <w:rFonts w:hint="default" w:ascii="Times New Roman" w:hAnsi="Times New Roman" w:cs="Times New Roman"/>
          <w:b/>
          <w:sz w:val="44"/>
          <w:szCs w:val="44"/>
        </w:rPr>
      </w:pPr>
    </w:p>
    <w:p>
      <w:pPr>
        <w:keepNext w:val="0"/>
        <w:keepLines w:val="0"/>
        <w:pageBreakBefore w:val="0"/>
        <w:widowControl w:val="0"/>
        <w:kinsoku/>
        <w:wordWrap/>
        <w:overflowPunct/>
        <w:topLinePunct w:val="0"/>
        <w:bidi w:val="0"/>
        <w:adjustRightInd/>
        <w:snapToGrid/>
        <w:spacing w:line="240" w:lineRule="auto"/>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pacing w:val="-6"/>
          <w:sz w:val="32"/>
          <w:szCs w:val="32"/>
        </w:rPr>
        <w:t>财政拨款收入：指单位从同级财政部门取得的财政预算资金。</w:t>
      </w:r>
    </w:p>
    <w:p>
      <w:pPr>
        <w:keepNext w:val="0"/>
        <w:keepLines w:val="0"/>
        <w:pageBreakBefore w:val="0"/>
        <w:widowControl w:val="0"/>
        <w:kinsoku/>
        <w:wordWrap/>
        <w:overflowPunct/>
        <w:topLinePunct w:val="0"/>
        <w:bidi w:val="0"/>
        <w:adjustRightInd/>
        <w:snapToGrid/>
        <w:spacing w:line="240" w:lineRule="auto"/>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2.其他收入：指单位取得的除事业收入、经营收入以外的各项收入。主要是利息收入。</w:t>
      </w:r>
    </w:p>
    <w:p>
      <w:pPr>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Style w:val="18"/>
          <w:rFonts w:hint="default" w:ascii="Times New Roman" w:hAnsi="Times New Roman" w:eastAsia="方正仿宋_GBK" w:cs="Times New Roman"/>
          <w:b w:val="0"/>
          <w:sz w:val="32"/>
          <w:szCs w:val="32"/>
        </w:rPr>
        <w:t>一般公共服务组织事务支出</w:t>
      </w:r>
      <w:r>
        <w:rPr>
          <w:rFonts w:hint="default" w:ascii="Times New Roman" w:hAnsi="Times New Roman" w:eastAsia="方正仿宋_GBK" w:cs="Times New Roman"/>
          <w:sz w:val="32"/>
          <w:szCs w:val="32"/>
        </w:rPr>
        <w:t>：指反映中国共产党组织部门的支出。</w:t>
      </w:r>
    </w:p>
    <w:p>
      <w:pPr>
        <w:pStyle w:val="28"/>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rPr>
        <w:t>4.</w:t>
      </w:r>
      <w:r>
        <w:rPr>
          <w:rFonts w:hint="default" w:ascii="Times New Roman" w:hAnsi="Times New Roman" w:eastAsia="方正仿宋_GBK" w:cs="Times New Roman"/>
          <w:sz w:val="32"/>
          <w:szCs w:val="32"/>
        </w:rPr>
        <w:t>社会保障和就业支出：指反映政府在社会保障和就业方面的支出。</w:t>
      </w:r>
    </w:p>
    <w:p>
      <w:pPr>
        <w:pStyle w:val="28"/>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rPr>
        <w:t>5.</w:t>
      </w:r>
      <w:r>
        <w:rPr>
          <w:rFonts w:hint="default" w:ascii="Times New Roman" w:hAnsi="Times New Roman" w:eastAsia="方正仿宋_GBK" w:cs="Times New Roman"/>
          <w:sz w:val="32"/>
          <w:szCs w:val="32"/>
        </w:rPr>
        <w:t>住房保障支出：指反映行政事业单位按人力资源和社会保障部、财政部规定的基本工资和津贴补贴以及规定比例为职工缴纳的住房公积金。</w:t>
      </w:r>
    </w:p>
    <w:p>
      <w:pPr>
        <w:pStyle w:val="28"/>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rPr>
        <w:t>6.</w:t>
      </w:r>
      <w:r>
        <w:rPr>
          <w:rFonts w:hint="default" w:ascii="Times New Roman" w:hAnsi="Times New Roman" w:eastAsia="方正仿宋_GBK" w:cs="Times New Roman"/>
          <w:sz w:val="32"/>
          <w:szCs w:val="32"/>
        </w:rPr>
        <w:t>卫生健康支出：指反映政府卫生健康方面的支出。</w:t>
      </w:r>
    </w:p>
    <w:p>
      <w:pPr>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7.基本支出：指为保障机构正常运转、完成日常工作任务而发生的人员支出和公用支出。</w:t>
      </w:r>
    </w:p>
    <w:p>
      <w:pPr>
        <w:pStyle w:val="28"/>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8.</w:t>
      </w:r>
      <w:r>
        <w:rPr>
          <w:rFonts w:hint="default" w:ascii="Times New Roman" w:hAnsi="Times New Roman" w:eastAsia="方正仿宋_GBK" w:cs="Times New Roman"/>
          <w:sz w:val="32"/>
          <w:szCs w:val="32"/>
        </w:rPr>
        <w:t>项目支出：指在基本支出之外为完成特定行政任务和事业发展目标所发生的支出。</w:t>
      </w:r>
    </w:p>
    <w:p>
      <w:pPr>
        <w:pStyle w:val="28"/>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9.</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三公</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default" w:ascii="Times New Roman" w:hAnsi="Times New Roman" w:eastAsia="方正小标宋_GBK" w:cs="Times New Roman"/>
          <w:b w:val="0"/>
          <w:bCs/>
          <w:kern w:val="44"/>
          <w:sz w:val="44"/>
          <w:szCs w:val="44"/>
          <w:lang w:val="en-US" w:eastAsia="zh-CN" w:bidi="ar-SA"/>
        </w:rPr>
      </w:pPr>
      <w:bookmarkStart w:id="68" w:name="_Toc15377226"/>
      <w:r>
        <w:rPr>
          <w:rFonts w:hint="default" w:ascii="Times New Roman" w:hAnsi="Times New Roman" w:eastAsia="仿宋_GB2312" w:cs="Times New Roman"/>
          <w:sz w:val="32"/>
          <w:szCs w:val="32"/>
        </w:rPr>
        <w:br w:type="page"/>
      </w:r>
      <w:bookmarkStart w:id="69" w:name="_Toc16414"/>
      <w:bookmarkStart w:id="70" w:name="_Toc15396614"/>
      <w:r>
        <w:rPr>
          <w:rFonts w:hint="default" w:ascii="Times New Roman" w:hAnsi="Times New Roman" w:eastAsia="方正小标宋_GBK" w:cs="Times New Roman"/>
          <w:b w:val="0"/>
          <w:bCs/>
          <w:kern w:val="44"/>
          <w:sz w:val="44"/>
          <w:szCs w:val="44"/>
          <w:lang w:val="en-US" w:eastAsia="zh-CN" w:bidi="ar-SA"/>
        </w:rPr>
        <w:t>第四部分  附件</w:t>
      </w:r>
      <w:bookmarkEnd w:id="69"/>
      <w:bookmarkEnd w:id="70"/>
    </w:p>
    <w:p>
      <w:pPr>
        <w:spacing w:line="572" w:lineRule="exact"/>
        <w:jc w:val="left"/>
        <w:outlineLvl w:val="9"/>
        <w:rPr>
          <w:rFonts w:hint="default" w:ascii="Times New Roman" w:hAnsi="Times New Roman" w:eastAsia="黑体" w:cs="Times New Roman"/>
          <w:color w:val="FF0000"/>
          <w:sz w:val="32"/>
          <w:szCs w:val="32"/>
        </w:rPr>
      </w:pPr>
    </w:p>
    <w:p>
      <w:pPr>
        <w:widowControl/>
        <w:spacing w:line="578" w:lineRule="exact"/>
        <w:contextualSpacing/>
        <w:rPr>
          <w:rFonts w:hint="default" w:ascii="Times New Roman" w:hAnsi="Times New Roman" w:eastAsia="方正小标宋_GBK" w:cs="Times New Roman"/>
          <w:bCs/>
          <w:sz w:val="44"/>
          <w:szCs w:val="44"/>
          <w:shd w:val="clear" w:color="auto" w:fill="FFFFFF"/>
          <w:lang w:val="en-US" w:eastAsia="zh-CN"/>
        </w:rPr>
      </w:pPr>
      <w:r>
        <w:rPr>
          <w:rFonts w:hint="default" w:ascii="Times New Roman" w:hAnsi="Times New Roman" w:eastAsia="宋体" w:cs="Times New Roman"/>
          <w:b/>
          <w:sz w:val="44"/>
          <w:szCs w:val="44"/>
          <w:shd w:val="clear" w:color="auto" w:fill="FFFFFF"/>
          <w:lang w:val="en-US" w:eastAsia="zh-CN"/>
        </w:rPr>
        <w:t xml:space="preserve">        </w:t>
      </w:r>
      <w:r>
        <w:rPr>
          <w:rFonts w:hint="default" w:ascii="Times New Roman" w:hAnsi="Times New Roman" w:eastAsia="Arial Unicode MS" w:cs="Times New Roman"/>
          <w:bCs/>
          <w:sz w:val="44"/>
          <w:szCs w:val="44"/>
          <w:shd w:val="clear" w:color="auto" w:fill="FFFFFF"/>
          <w:lang w:val="en-US" w:eastAsia="zh-CN"/>
        </w:rPr>
        <w:t xml:space="preserve"> </w:t>
      </w:r>
      <w:r>
        <w:rPr>
          <w:rFonts w:hint="default" w:ascii="Times New Roman" w:hAnsi="Times New Roman" w:eastAsia="方正小标宋_GBK" w:cs="Times New Roman"/>
          <w:bCs/>
          <w:sz w:val="44"/>
          <w:szCs w:val="44"/>
          <w:shd w:val="clear" w:color="auto" w:fill="FFFFFF"/>
          <w:lang w:val="en-US" w:eastAsia="zh-CN"/>
        </w:rPr>
        <w:t xml:space="preserve"> 中共攀枝花市委组织部</w:t>
      </w:r>
    </w:p>
    <w:p>
      <w:pPr>
        <w:widowControl/>
        <w:spacing w:line="578" w:lineRule="exact"/>
        <w:contextualSpacing/>
        <w:jc w:val="center"/>
        <w:rPr>
          <w:rFonts w:hint="default" w:ascii="Times New Roman" w:hAnsi="Times New Roman" w:eastAsia="方正小标宋_GBK" w:cs="Times New Roman"/>
          <w:bCs/>
          <w:sz w:val="44"/>
          <w:szCs w:val="44"/>
          <w:shd w:val="clear" w:color="auto" w:fill="FFFFFF"/>
        </w:rPr>
      </w:pPr>
      <w:r>
        <w:rPr>
          <w:rFonts w:hint="default" w:ascii="Times New Roman" w:hAnsi="Times New Roman" w:eastAsia="方正小标宋_GBK" w:cs="Times New Roman"/>
          <w:bCs/>
          <w:sz w:val="44"/>
          <w:szCs w:val="44"/>
          <w:shd w:val="clear" w:color="auto" w:fill="FFFFFF"/>
          <w:lang w:val="en-US" w:eastAsia="zh-CN"/>
        </w:rPr>
        <w:t>2025年</w:t>
      </w:r>
      <w:r>
        <w:rPr>
          <w:rFonts w:hint="default" w:ascii="Times New Roman" w:hAnsi="Times New Roman" w:eastAsia="方正小标宋_GBK" w:cs="Times New Roman"/>
          <w:bCs/>
          <w:sz w:val="44"/>
          <w:szCs w:val="44"/>
          <w:shd w:val="clear" w:color="auto" w:fill="FFFFFF"/>
        </w:rPr>
        <w:t>部门预算绩效自评报告</w:t>
      </w:r>
    </w:p>
    <w:p>
      <w:pPr>
        <w:pStyle w:val="20"/>
        <w:rPr>
          <w:rFonts w:hint="default" w:ascii="Times New Roman" w:hAnsi="Times New Roman" w:cs="Times New Roman"/>
          <w:sz w:val="32"/>
          <w:szCs w:val="32"/>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color w:val="000000"/>
          <w:kern w:val="0"/>
          <w:sz w:val="32"/>
          <w:szCs w:val="32"/>
          <w:shd w:val="clear" w:color="auto" w:fill="FFFFFF"/>
          <w:lang w:val="zh-CN"/>
        </w:rPr>
        <w:t>一、部门基本情况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2" w:firstLineChars="200"/>
        <w:jc w:val="both"/>
        <w:textAlignment w:val="auto"/>
        <w:outlineLvl w:val="9"/>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（一）机构组成</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市委组织部下属非独立核算单位3个，其中参照公务员法管理的事业单位1个，其他事业单位2个。主要包括：市委组织部党员教育中心、攀枝花市干部人事档案服务中心、攀枝花</w:t>
      </w:r>
      <w:r>
        <w:rPr>
          <w:rFonts w:hint="eastAsia" w:cs="Times New Roman"/>
          <w:kern w:val="2"/>
          <w:sz w:val="32"/>
          <w:szCs w:val="32"/>
          <w:lang w:val="en-US" w:eastAsia="zh-CN" w:bidi="ar-SA"/>
        </w:rPr>
        <w:t>市</w:t>
      </w:r>
      <w:r>
        <w:rPr>
          <w:rFonts w:hint="default" w:ascii="Times New Roman" w:hAnsi="Times New Roman" w:eastAsia="方正仿宋_GBK" w:cs="Times New Roman"/>
          <w:kern w:val="2"/>
          <w:sz w:val="32"/>
          <w:szCs w:val="32"/>
          <w:lang w:val="en-US" w:eastAsia="zh-CN" w:bidi="ar-SA"/>
        </w:rPr>
        <w:t>人才发展促进中心。</w:t>
      </w:r>
    </w:p>
    <w:p>
      <w:pPr>
        <w:keepNext w:val="0"/>
        <w:keepLines w:val="0"/>
        <w:pageBreakBefore w:val="0"/>
        <w:widowControl/>
        <w:kinsoku/>
        <w:wordWrap/>
        <w:overflowPunct/>
        <w:topLinePunct w:val="0"/>
        <w:autoSpaceDE/>
        <w:autoSpaceDN/>
        <w:bidi w:val="0"/>
        <w:adjustRightInd/>
        <w:snapToGrid/>
        <w:spacing w:line="240" w:lineRule="auto"/>
        <w:ind w:firstLine="642" w:firstLineChars="200"/>
        <w:contextualSpacing/>
        <w:jc w:val="left"/>
        <w:textAlignment w:val="auto"/>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（二）机构职能</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组织建设：主要负责全市党的基层组织建设、党员教育管理、党员发展、党费管理、党的工作制度、党内生活制度等方面进行指导、组织、管理，提出意见建议等。</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干部工作：主要负责领导班子和干部队伍建设的宏观管理，负责市委管理领导班子和领导干部的考察考核、日常管理，提出调整配备意见。</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人才工作：主要负责全市人才工作和人才队伍建设宏观管理、政策法规研究制定，牵头推进人才对外开放，联系服务专家工作。</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干部教育培训：主要负责全市干部教育培训工作的宏观指导、政策规划、组织协调和督促检查，指导全市干部教育培训基地建设管理、师资队伍建设等工作。</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干部监督：主要负责对领导班子和领导干部、党政领导干部选拔任用工作及有关法规贯彻执行情况进行监督。</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公务员管理：统一管理公务员录用调配、考核奖惩、培训和工资福利等事务，研究拟订全市公务员管理政策法规并组织实施，指导全市公务员绩效管理工作。</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攀枝花市干部人事档案服务中心：负责干部人事档案的收集、审核、整理、转接、信息化和保管利用等事务性工作；承担全市干部人事档案管理人员的业务培训。</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攀枝花</w:t>
      </w:r>
      <w:r>
        <w:rPr>
          <w:rFonts w:hint="eastAsia" w:cs="Times New Roman"/>
          <w:kern w:val="2"/>
          <w:sz w:val="32"/>
          <w:szCs w:val="32"/>
          <w:lang w:val="en-US" w:eastAsia="zh-CN" w:bidi="ar-SA"/>
        </w:rPr>
        <w:t>市</w:t>
      </w:r>
      <w:r>
        <w:rPr>
          <w:rFonts w:hint="default" w:ascii="Times New Roman" w:hAnsi="Times New Roman" w:eastAsia="方正仿宋_GBK" w:cs="Times New Roman"/>
          <w:kern w:val="2"/>
          <w:sz w:val="32"/>
          <w:szCs w:val="32"/>
          <w:lang w:val="en-US" w:eastAsia="zh-CN" w:bidi="ar-SA"/>
        </w:rPr>
        <w:t>人才发展促进中心：主要负责统筹高层次人才全周期服务、人才政策项目落地评估、招才引智与市校合作等资源对接、人才信息库建设管理，并落实市委人才工作领导小组各项部署。</w:t>
      </w:r>
    </w:p>
    <w:p>
      <w:pPr>
        <w:keepNext w:val="0"/>
        <w:keepLines w:val="0"/>
        <w:pageBreakBefore w:val="0"/>
        <w:widowControl/>
        <w:kinsoku/>
        <w:wordWrap/>
        <w:overflowPunct/>
        <w:topLinePunct w:val="0"/>
        <w:autoSpaceDE/>
        <w:autoSpaceDN/>
        <w:bidi w:val="0"/>
        <w:adjustRightInd/>
        <w:snapToGrid/>
        <w:spacing w:line="240" w:lineRule="auto"/>
        <w:ind w:firstLine="642" w:firstLineChars="200"/>
        <w:contextualSpacing/>
        <w:jc w:val="left"/>
        <w:textAlignment w:val="auto"/>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（三）人员概况</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截至2025年末，市委组织部编制8</w:t>
      </w:r>
      <w:r>
        <w:rPr>
          <w:rFonts w:hint="eastAsia" w:cs="Times New Roman"/>
          <w:kern w:val="2"/>
          <w:sz w:val="32"/>
          <w:szCs w:val="32"/>
          <w:lang w:val="en-US" w:eastAsia="zh-CN" w:bidi="ar-SA"/>
        </w:rPr>
        <w:t>8</w:t>
      </w:r>
      <w:r>
        <w:rPr>
          <w:rFonts w:hint="default" w:ascii="Times New Roman" w:hAnsi="Times New Roman" w:eastAsia="方正仿宋_GBK" w:cs="Times New Roman"/>
          <w:kern w:val="2"/>
          <w:sz w:val="32"/>
          <w:szCs w:val="32"/>
          <w:lang w:val="en-US" w:eastAsia="zh-CN" w:bidi="ar-SA"/>
        </w:rPr>
        <w:t>人，其中：行政编制46人，行政工勤编制8人，参公事业编制15人，事业编制19人。截止2025年12月实有在职职工</w:t>
      </w:r>
      <w:r>
        <w:rPr>
          <w:rFonts w:hint="eastAsia" w:cs="Times New Roman"/>
          <w:kern w:val="2"/>
          <w:sz w:val="32"/>
          <w:szCs w:val="32"/>
          <w:lang w:val="en-US" w:eastAsia="zh-CN" w:bidi="ar-SA"/>
        </w:rPr>
        <w:t>65</w:t>
      </w:r>
      <w:r>
        <w:rPr>
          <w:rFonts w:hint="default" w:ascii="Times New Roman" w:hAnsi="Times New Roman" w:eastAsia="方正仿宋_GBK" w:cs="Times New Roman"/>
          <w:kern w:val="2"/>
          <w:sz w:val="32"/>
          <w:szCs w:val="32"/>
          <w:lang w:val="en-US" w:eastAsia="zh-CN" w:bidi="ar-SA"/>
        </w:rPr>
        <w:t>人，其中：行政45人，工勤1人，参公事业11人，事业8人。离退休职工共计14人，其中离休0人，退休14人。</w:t>
      </w:r>
    </w:p>
    <w:p>
      <w:pPr>
        <w:keepNext w:val="0"/>
        <w:keepLines w:val="0"/>
        <w:pageBreakBefore w:val="0"/>
        <w:widowControl/>
        <w:kinsoku/>
        <w:wordWrap/>
        <w:overflowPunct/>
        <w:topLinePunct w:val="0"/>
        <w:autoSpaceDE/>
        <w:autoSpaceDN/>
        <w:bidi w:val="0"/>
        <w:adjustRightInd/>
        <w:snapToGrid/>
        <w:spacing w:line="240" w:lineRule="auto"/>
        <w:ind w:firstLine="640" w:firstLineChars="200"/>
        <w:contextualSpacing/>
        <w:jc w:val="left"/>
        <w:textAlignment w:val="auto"/>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二、部门资金收支情况</w:t>
      </w:r>
    </w:p>
    <w:p>
      <w:pPr>
        <w:keepNext w:val="0"/>
        <w:keepLines w:val="0"/>
        <w:pageBreakBefore w:val="0"/>
        <w:widowControl/>
        <w:kinsoku/>
        <w:wordWrap/>
        <w:overflowPunct/>
        <w:topLinePunct w:val="0"/>
        <w:autoSpaceDE/>
        <w:autoSpaceDN/>
        <w:bidi w:val="0"/>
        <w:adjustRightInd/>
        <w:snapToGrid/>
        <w:spacing w:line="240" w:lineRule="auto"/>
        <w:ind w:firstLine="642" w:firstLineChars="200"/>
        <w:contextualSpacing/>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楷体_GB2312" w:cs="Times New Roman"/>
          <w:b/>
          <w:bCs/>
          <w:color w:val="000000"/>
          <w:kern w:val="0"/>
          <w:sz w:val="32"/>
          <w:szCs w:val="32"/>
          <w:shd w:val="clear" w:color="auto" w:fill="FFFFFF"/>
          <w:lang w:val="zh-CN"/>
        </w:rPr>
        <w:t>（一）收入情况。</w:t>
      </w:r>
      <w:r>
        <w:rPr>
          <w:rFonts w:hint="default" w:ascii="Times New Roman" w:hAnsi="Times New Roman" w:eastAsia="方正仿宋_GBK" w:cs="Times New Roman"/>
          <w:kern w:val="2"/>
          <w:sz w:val="32"/>
          <w:szCs w:val="32"/>
          <w:lang w:val="en-US" w:eastAsia="zh-CN" w:bidi="ar-SA"/>
        </w:rPr>
        <w:t>市委组织部2025年年初预算收入1695.78万元，其中：一般公共预算财政拨款收入1695.78万元；2025年全年决算收入1785.41万元，其中：一般公共预算财政拨款收入1785.41万元。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2" w:firstLineChars="200"/>
        <w:jc w:val="both"/>
        <w:textAlignment w:val="auto"/>
        <w:outlineLvl w:val="9"/>
        <w:rPr>
          <w:rFonts w:hint="default" w:ascii="Times New Roman" w:hAnsi="Times New Roman" w:eastAsia="方正仿宋_GBK" w:cs="Times New Roman"/>
          <w:kern w:val="2"/>
          <w:sz w:val="32"/>
          <w:szCs w:val="32"/>
          <w:lang w:val="zh-CN" w:eastAsia="zh-CN" w:bidi="ar-SA"/>
        </w:rPr>
      </w:pPr>
      <w:r>
        <w:rPr>
          <w:rFonts w:hint="default" w:ascii="Times New Roman" w:hAnsi="Times New Roman" w:eastAsia="楷体_GB2312" w:cs="Times New Roman"/>
          <w:b/>
          <w:bCs/>
          <w:color w:val="000000"/>
          <w:kern w:val="0"/>
          <w:sz w:val="32"/>
          <w:szCs w:val="32"/>
          <w:shd w:val="clear" w:color="auto" w:fill="FFFFFF"/>
          <w:lang w:val="zh-CN" w:eastAsia="zh-CN" w:bidi="ar-SA"/>
        </w:rPr>
        <w:t>（二）支出情况。</w:t>
      </w:r>
      <w:r>
        <w:rPr>
          <w:rFonts w:hint="default" w:ascii="Times New Roman" w:hAnsi="Times New Roman" w:eastAsia="方正仿宋_GBK" w:cs="Times New Roman"/>
          <w:kern w:val="2"/>
          <w:sz w:val="32"/>
          <w:szCs w:val="32"/>
          <w:lang w:val="en-US" w:eastAsia="zh-CN" w:bidi="ar-SA"/>
        </w:rPr>
        <w:t>2025年，市委组织部严格执行年初预算，全年人员经费决算1462.95万元、公用经费决算187.06万元、项目经费决算135.40万元，经费使用规范高效、保障有力，全面完成年度组织工作任务，以高质量组织工作服务保障共同富裕试验区建设。</w:t>
      </w:r>
      <w:r>
        <w:rPr>
          <w:rFonts w:hint="default" w:ascii="Times New Roman" w:hAnsi="Times New Roman" w:eastAsia="方正仿宋_GBK" w:cs="Times New Roman"/>
          <w:kern w:val="2"/>
          <w:sz w:val="32"/>
          <w:szCs w:val="32"/>
          <w:lang w:val="zh-CN" w:eastAsia="zh-CN" w:bidi="ar-SA"/>
        </w:rPr>
        <w:t>全年扎实开展理论武装和干部培训，</w:t>
      </w:r>
      <w:r>
        <w:rPr>
          <w:rFonts w:hint="default" w:ascii="Times New Roman" w:hAnsi="Times New Roman" w:eastAsia="方正仿宋_GBK" w:cs="Times New Roman"/>
          <w:kern w:val="2"/>
          <w:sz w:val="32"/>
          <w:szCs w:val="32"/>
          <w:lang w:val="en-US" w:eastAsia="zh-CN" w:bidi="ar-SA"/>
        </w:rPr>
        <w:t>举办干部大讲堂5期、各类培训班136期,</w:t>
      </w:r>
      <w:r>
        <w:rPr>
          <w:rFonts w:hint="default" w:ascii="Times New Roman" w:hAnsi="Times New Roman" w:eastAsia="方正仿宋_GBK" w:cs="Times New Roman"/>
          <w:kern w:val="2"/>
          <w:sz w:val="32"/>
          <w:szCs w:val="32"/>
          <w:lang w:val="zh-CN" w:eastAsia="zh-CN" w:bidi="ar-SA"/>
        </w:rPr>
        <w:t>培训干部4.8万余人次；优化干部队伍结构，强化选育管用，激发干事创业活力；夯实基层党建基础，健全治理机制，解决群众急难问题8900余个，群众满意度超98%；深化人才引育，引进各类人才3000余名，人才集聚效应持续显现；从严加强自身建设，打造模范部门和过硬队伍，为全市发展提供了坚强组织保证和人才支撑。</w:t>
      </w:r>
    </w:p>
    <w:p>
      <w:pPr>
        <w:keepNext w:val="0"/>
        <w:keepLines w:val="0"/>
        <w:pageBreakBefore w:val="0"/>
        <w:widowControl/>
        <w:kinsoku/>
        <w:wordWrap/>
        <w:overflowPunct/>
        <w:topLinePunct w:val="0"/>
        <w:autoSpaceDE/>
        <w:autoSpaceDN/>
        <w:bidi w:val="0"/>
        <w:adjustRightInd/>
        <w:snapToGrid/>
        <w:spacing w:line="240" w:lineRule="auto"/>
        <w:ind w:firstLine="642" w:firstLineChars="200"/>
        <w:contextualSpacing/>
        <w:jc w:val="left"/>
        <w:textAlignment w:val="auto"/>
        <w:rPr>
          <w:rFonts w:hint="default" w:ascii="Times New Roman" w:hAnsi="Times New Roman" w:eastAsia="方正仿宋_GBK" w:cs="Times New Roman"/>
          <w:kern w:val="2"/>
          <w:sz w:val="32"/>
          <w:szCs w:val="32"/>
          <w:lang w:val="zh-CN" w:eastAsia="zh-CN" w:bidi="ar-SA"/>
        </w:rPr>
      </w:pPr>
      <w:r>
        <w:rPr>
          <w:rFonts w:hint="default" w:ascii="Times New Roman" w:hAnsi="Times New Roman" w:eastAsia="楷体_GB2312" w:cs="Times New Roman"/>
          <w:b/>
          <w:bCs/>
          <w:color w:val="000000"/>
          <w:kern w:val="0"/>
          <w:sz w:val="32"/>
          <w:szCs w:val="32"/>
          <w:shd w:val="clear" w:color="auto" w:fill="FFFFFF"/>
          <w:lang w:val="zh-CN"/>
        </w:rPr>
        <w:t>（三）</w:t>
      </w:r>
      <w:r>
        <w:rPr>
          <w:rFonts w:hint="default" w:ascii="Times New Roman" w:hAnsi="Times New Roman" w:eastAsia="楷体_GB2312" w:cs="Times New Roman"/>
          <w:b/>
          <w:sz w:val="32"/>
          <w:szCs w:val="32"/>
        </w:rPr>
        <w:t>结余分配和结转结余情况。</w:t>
      </w:r>
      <w:r>
        <w:rPr>
          <w:rFonts w:hint="default" w:ascii="Times New Roman" w:hAnsi="Times New Roman" w:eastAsia="方正仿宋_GBK" w:cs="Times New Roman"/>
          <w:kern w:val="2"/>
          <w:sz w:val="32"/>
          <w:szCs w:val="32"/>
          <w:lang w:val="en-US" w:eastAsia="zh-CN" w:bidi="ar-SA"/>
        </w:rPr>
        <w:t>市委组织部2025年决算报表无结转结余情况。</w:t>
      </w:r>
    </w:p>
    <w:p>
      <w:pPr>
        <w:keepNext w:val="0"/>
        <w:keepLines w:val="0"/>
        <w:pageBreakBefore w:val="0"/>
        <w:widowControl/>
        <w:kinsoku/>
        <w:wordWrap/>
        <w:overflowPunct/>
        <w:topLinePunct w:val="0"/>
        <w:autoSpaceDE/>
        <w:autoSpaceDN/>
        <w:bidi w:val="0"/>
        <w:adjustRightInd/>
        <w:snapToGrid/>
        <w:spacing w:line="240" w:lineRule="auto"/>
        <w:ind w:firstLine="640" w:firstLineChars="200"/>
        <w:contextualSpacing/>
        <w:jc w:val="left"/>
        <w:textAlignment w:val="auto"/>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三、部门预算绩效分析</w:t>
      </w:r>
    </w:p>
    <w:p>
      <w:pPr>
        <w:keepNext w:val="0"/>
        <w:keepLines w:val="0"/>
        <w:pageBreakBefore w:val="0"/>
        <w:kinsoku/>
        <w:wordWrap/>
        <w:overflowPunct/>
        <w:topLinePunct w:val="0"/>
        <w:autoSpaceDE/>
        <w:autoSpaceDN/>
        <w:bidi w:val="0"/>
        <w:adjustRightInd/>
        <w:snapToGrid/>
        <w:spacing w:line="240" w:lineRule="auto"/>
        <w:ind w:firstLine="642" w:firstLineChars="200"/>
        <w:contextualSpacing/>
        <w:jc w:val="left"/>
        <w:textAlignment w:val="auto"/>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（一）部门预算总体绩效分析</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default" w:ascii="Times New Roman" w:hAnsi="Times New Roman" w:eastAsia="方正仿宋_GBK" w:cs="Times New Roman"/>
          <w:kern w:val="2"/>
          <w:sz w:val="32"/>
          <w:szCs w:val="32"/>
          <w:lang w:val="zh-CN" w:eastAsia="zh-CN" w:bidi="ar-SA"/>
        </w:rPr>
        <w:t>履职效能。</w:t>
      </w:r>
      <w:r>
        <w:rPr>
          <w:rFonts w:hint="default" w:ascii="Times New Roman" w:hAnsi="Times New Roman" w:eastAsia="方正仿宋_GBK" w:cs="Times New Roman"/>
          <w:kern w:val="2"/>
          <w:sz w:val="32"/>
          <w:szCs w:val="32"/>
          <w:lang w:val="en-US" w:eastAsia="zh-CN" w:bidi="ar-SA"/>
        </w:rPr>
        <w:t>2025年预算资金人员支出1462.95万元，运转支出322.46万元，有力保障了组织系统紧紧围绕共同富裕试验区建设，发挥组织优势、强化组织担当，为全市改革发展稳定各项事业提供了坚强组织保证。</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default" w:ascii="Times New Roman" w:hAnsi="Times New Roman" w:eastAsia="方正仿宋_GBK" w:cs="Times New Roman"/>
          <w:kern w:val="2"/>
          <w:sz w:val="32"/>
          <w:szCs w:val="32"/>
          <w:lang w:val="zh-CN" w:eastAsia="zh-CN" w:bidi="ar-SA"/>
        </w:rPr>
        <w:t>预算管理。根据单位</w:t>
      </w:r>
      <w:r>
        <w:rPr>
          <w:rFonts w:hint="default" w:ascii="Times New Roman" w:hAnsi="Times New Roman" w:eastAsia="方正仿宋_GBK" w:cs="Times New Roman"/>
          <w:kern w:val="2"/>
          <w:sz w:val="32"/>
          <w:szCs w:val="32"/>
          <w:lang w:val="en-US" w:eastAsia="zh-CN" w:bidi="ar-SA"/>
        </w:rPr>
        <w:t>2025年</w:t>
      </w:r>
      <w:r>
        <w:rPr>
          <w:rFonts w:hint="default" w:ascii="Times New Roman" w:hAnsi="Times New Roman" w:eastAsia="方正仿宋_GBK" w:cs="Times New Roman"/>
          <w:kern w:val="2"/>
          <w:sz w:val="32"/>
          <w:szCs w:val="32"/>
          <w:lang w:val="zh-CN" w:eastAsia="zh-CN" w:bidi="ar-SA"/>
        </w:rPr>
        <w:t>工作计划以及维持单位基本运转情况，科学预算编制，收入统筹兼顾，严格控制一般性支出，</w:t>
      </w:r>
      <w:r>
        <w:rPr>
          <w:rFonts w:hint="default" w:ascii="Times New Roman" w:hAnsi="Times New Roman" w:eastAsia="方正仿宋_GBK" w:cs="Times New Roman"/>
          <w:kern w:val="2"/>
          <w:sz w:val="32"/>
          <w:szCs w:val="32"/>
          <w:lang w:val="en-US" w:eastAsia="zh-CN" w:bidi="ar-SA"/>
        </w:rPr>
        <w:t>预算执行进度与各项工作进度适时跟进，有效配合，努力实现了资金效率的最大化。</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zh-CN" w:eastAsia="zh-CN" w:bidi="ar-SA"/>
        </w:rPr>
      </w:pPr>
      <w:r>
        <w:rPr>
          <w:rFonts w:hint="default" w:ascii="Times New Roman" w:hAnsi="Times New Roman" w:eastAsia="方正仿宋_GBK" w:cs="Times New Roman"/>
          <w:kern w:val="2"/>
          <w:sz w:val="32"/>
          <w:szCs w:val="32"/>
          <w:lang w:val="en-US" w:eastAsia="zh-CN" w:bidi="ar-SA"/>
        </w:rPr>
        <w:t>3.</w:t>
      </w:r>
      <w:r>
        <w:rPr>
          <w:rFonts w:hint="default" w:ascii="Times New Roman" w:hAnsi="Times New Roman" w:eastAsia="方正仿宋_GBK" w:cs="Times New Roman"/>
          <w:kern w:val="2"/>
          <w:sz w:val="32"/>
          <w:szCs w:val="32"/>
          <w:lang w:val="zh-CN" w:eastAsia="zh-CN" w:bidi="ar-SA"/>
        </w:rPr>
        <w:t>财务管理。严格执行部机关财务管理制度，全面、正确、及时反映资金使用情况，适时分析财务计划和预算执行情况，合理使用资金，厉行节约，加强会计核算工作，保证资金安全完整，严格执行《会计法》，严格执行财务岗位设置不相容原则。</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zh-CN" w:eastAsia="zh-CN" w:bidi="ar-SA"/>
        </w:rPr>
      </w:pPr>
      <w:r>
        <w:rPr>
          <w:rFonts w:hint="default" w:ascii="Times New Roman" w:hAnsi="Times New Roman" w:eastAsia="方正仿宋_GBK" w:cs="Times New Roman"/>
          <w:kern w:val="2"/>
          <w:sz w:val="32"/>
          <w:szCs w:val="32"/>
          <w:lang w:val="en-US" w:eastAsia="zh-CN" w:bidi="ar-SA"/>
        </w:rPr>
        <w:t>4.</w:t>
      </w:r>
      <w:r>
        <w:rPr>
          <w:rFonts w:hint="default" w:ascii="Times New Roman" w:hAnsi="Times New Roman" w:eastAsia="方正仿宋_GBK" w:cs="Times New Roman"/>
          <w:kern w:val="2"/>
          <w:sz w:val="32"/>
          <w:szCs w:val="32"/>
          <w:lang w:val="zh-CN" w:eastAsia="zh-CN" w:bidi="ar-SA"/>
        </w:rPr>
        <w:t>资产管理。单位人均资产变化率</w:t>
      </w:r>
      <w:r>
        <w:rPr>
          <w:rFonts w:hint="default" w:ascii="Times New Roman" w:hAnsi="Times New Roman" w:eastAsia="方正仿宋_GBK" w:cs="Times New Roman"/>
          <w:kern w:val="2"/>
          <w:sz w:val="32"/>
          <w:szCs w:val="32"/>
          <w:lang w:val="en-US" w:eastAsia="zh-CN" w:bidi="ar-SA"/>
        </w:rPr>
        <w:t>1.03%</w:t>
      </w:r>
      <w:r>
        <w:rPr>
          <w:rFonts w:hint="default" w:ascii="Times New Roman" w:hAnsi="Times New Roman" w:eastAsia="方正仿宋_GBK" w:cs="Times New Roman"/>
          <w:kern w:val="2"/>
          <w:sz w:val="32"/>
          <w:szCs w:val="32"/>
          <w:lang w:val="zh-CN" w:eastAsia="zh-CN" w:bidi="ar-SA"/>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zh-CN" w:eastAsia="zh-CN" w:bidi="ar-SA"/>
        </w:rPr>
      </w:pPr>
      <w:r>
        <w:rPr>
          <w:rFonts w:hint="default"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zh-CN" w:eastAsia="zh-CN" w:bidi="ar-SA"/>
        </w:rPr>
        <w:t>采购管理。</w:t>
      </w:r>
      <w:r>
        <w:rPr>
          <w:rFonts w:hint="default" w:ascii="Times New Roman" w:hAnsi="Times New Roman" w:eastAsia="方正仿宋_GBK" w:cs="Times New Roman"/>
          <w:kern w:val="2"/>
          <w:sz w:val="32"/>
          <w:szCs w:val="32"/>
          <w:lang w:val="en-US" w:eastAsia="zh-CN" w:bidi="ar-SA"/>
        </w:rPr>
        <w:t>2025年政府货物支出6.82万元，其中：2025年政府采购货物支出3.70万元，政府采购服务支出3.12万元；政府采购授予中小企业合同金额4.5万元，其中：授予小微企业合同金额4.13万元。</w:t>
      </w:r>
      <w:r>
        <w:rPr>
          <w:rFonts w:hint="default" w:ascii="Times New Roman" w:hAnsi="Times New Roman" w:eastAsia="方正仿宋_GBK" w:cs="Times New Roman"/>
          <w:kern w:val="2"/>
          <w:sz w:val="32"/>
          <w:szCs w:val="32"/>
          <w:lang w:val="zh-CN" w:eastAsia="zh-CN" w:bidi="ar-SA"/>
        </w:rPr>
        <w:t>采购执行率</w:t>
      </w:r>
      <w:r>
        <w:rPr>
          <w:rFonts w:hint="default" w:ascii="Times New Roman" w:hAnsi="Times New Roman" w:eastAsia="方正仿宋_GBK" w:cs="Times New Roman"/>
          <w:kern w:val="2"/>
          <w:sz w:val="32"/>
          <w:szCs w:val="32"/>
          <w:lang w:val="en-US" w:eastAsia="zh-CN" w:bidi="ar-SA"/>
        </w:rPr>
        <w:t>93.17%，采购工作整体贴合计划，超九成的计划采购金额顺利落地，采购计划的科学性、合理性得到验证，为部机关运转提供有效物资保障。</w:t>
      </w:r>
    </w:p>
    <w:p>
      <w:pPr>
        <w:keepNext w:val="0"/>
        <w:keepLines w:val="0"/>
        <w:pageBreakBefore w:val="0"/>
        <w:widowControl/>
        <w:kinsoku/>
        <w:wordWrap/>
        <w:overflowPunct/>
        <w:topLinePunct w:val="0"/>
        <w:autoSpaceDE/>
        <w:autoSpaceDN/>
        <w:bidi w:val="0"/>
        <w:adjustRightInd/>
        <w:snapToGrid/>
        <w:spacing w:line="240" w:lineRule="auto"/>
        <w:ind w:firstLine="642" w:firstLineChars="200"/>
        <w:contextualSpacing/>
        <w:jc w:val="left"/>
        <w:textAlignment w:val="auto"/>
        <w:rPr>
          <w:rFonts w:hint="default" w:ascii="Times New Roman" w:hAnsi="Times New Roman" w:eastAsia="仿宋_GB2312" w:cs="Times New Roman"/>
          <w:color w:val="000000"/>
          <w:kern w:val="0"/>
          <w:sz w:val="32"/>
          <w:szCs w:val="32"/>
          <w:shd w:val="clear" w:color="auto" w:fill="FFFFFF"/>
        </w:rPr>
      </w:pPr>
      <w:r>
        <w:rPr>
          <w:rFonts w:hint="default" w:ascii="Times New Roman" w:hAnsi="Times New Roman" w:eastAsia="楷体_GB2312" w:cs="Times New Roman"/>
          <w:b/>
          <w:bCs/>
          <w:color w:val="000000"/>
          <w:kern w:val="0"/>
          <w:sz w:val="32"/>
          <w:szCs w:val="32"/>
          <w:shd w:val="clear" w:color="auto" w:fill="FFFFFF"/>
          <w:lang w:val="zh-CN"/>
        </w:rPr>
        <w:t>（二）部门预算项目绩效分析</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zh-CN" w:eastAsia="zh-CN" w:bidi="ar-SA"/>
        </w:rPr>
      </w:pPr>
      <w:r>
        <w:rPr>
          <w:rFonts w:hint="default" w:ascii="Times New Roman" w:hAnsi="Times New Roman" w:eastAsia="方正仿宋_GBK" w:cs="Times New Roman"/>
          <w:kern w:val="2"/>
          <w:sz w:val="32"/>
          <w:szCs w:val="32"/>
          <w:lang w:val="en-US" w:eastAsia="zh-CN" w:bidi="ar-SA"/>
        </w:rPr>
        <w:t>常年项目绩效分析。</w:t>
      </w:r>
      <w:r>
        <w:rPr>
          <w:rFonts w:hint="default" w:ascii="Times New Roman" w:hAnsi="Times New Roman" w:eastAsia="方正仿宋_GBK" w:cs="Times New Roman"/>
          <w:kern w:val="2"/>
          <w:sz w:val="32"/>
          <w:szCs w:val="32"/>
          <w:lang w:val="zh-CN" w:eastAsia="zh-CN" w:bidi="ar-SA"/>
        </w:rPr>
        <w:t>该类项目总数</w:t>
      </w:r>
      <w:r>
        <w:rPr>
          <w:rFonts w:hint="default" w:ascii="Times New Roman" w:hAnsi="Times New Roman" w:eastAsia="方正仿宋_GBK" w:cs="Times New Roman"/>
          <w:kern w:val="2"/>
          <w:sz w:val="32"/>
          <w:szCs w:val="32"/>
          <w:lang w:val="en-US" w:eastAsia="zh-CN" w:bidi="ar-SA"/>
        </w:rPr>
        <w:t>4</w:t>
      </w:r>
      <w:r>
        <w:rPr>
          <w:rFonts w:hint="default" w:ascii="Times New Roman" w:hAnsi="Times New Roman" w:eastAsia="方正仿宋_GBK" w:cs="Times New Roman"/>
          <w:kern w:val="2"/>
          <w:sz w:val="32"/>
          <w:szCs w:val="32"/>
          <w:lang w:val="zh-CN" w:eastAsia="zh-CN" w:bidi="ar-SA"/>
        </w:rPr>
        <w:t>个，涉及预算总金额</w:t>
      </w:r>
      <w:r>
        <w:rPr>
          <w:rFonts w:hint="default" w:ascii="Times New Roman" w:hAnsi="Times New Roman" w:eastAsia="方正仿宋_GBK" w:cs="Times New Roman"/>
          <w:kern w:val="2"/>
          <w:sz w:val="32"/>
          <w:szCs w:val="32"/>
          <w:lang w:val="en-US" w:eastAsia="zh-CN" w:bidi="ar-SA"/>
        </w:rPr>
        <w:t>75.43</w:t>
      </w:r>
      <w:r>
        <w:rPr>
          <w:rFonts w:hint="default" w:ascii="Times New Roman" w:hAnsi="Times New Roman" w:eastAsia="方正仿宋_GBK" w:cs="Times New Roman"/>
          <w:kern w:val="2"/>
          <w:sz w:val="32"/>
          <w:szCs w:val="32"/>
          <w:lang w:val="zh-CN" w:eastAsia="zh-CN" w:bidi="ar-SA"/>
        </w:rPr>
        <w:t>万元，1—1</w:t>
      </w:r>
      <w:r>
        <w:rPr>
          <w:rFonts w:hint="default" w:ascii="Times New Roman" w:hAnsi="Times New Roman" w:eastAsia="方正仿宋_GBK" w:cs="Times New Roman"/>
          <w:kern w:val="2"/>
          <w:sz w:val="32"/>
          <w:szCs w:val="32"/>
          <w:lang w:val="en-US" w:eastAsia="zh-CN" w:bidi="ar-SA"/>
        </w:rPr>
        <w:t>2</w:t>
      </w:r>
      <w:r>
        <w:rPr>
          <w:rFonts w:hint="default" w:ascii="Times New Roman" w:hAnsi="Times New Roman" w:eastAsia="方正仿宋_GBK" w:cs="Times New Roman"/>
          <w:kern w:val="2"/>
          <w:sz w:val="32"/>
          <w:szCs w:val="32"/>
          <w:lang w:val="zh-CN" w:eastAsia="zh-CN" w:bidi="ar-SA"/>
        </w:rPr>
        <w:t>月预算执行总体进度为</w:t>
      </w:r>
      <w:r>
        <w:rPr>
          <w:rFonts w:hint="default" w:ascii="Times New Roman" w:hAnsi="Times New Roman" w:eastAsia="方正仿宋_GBK" w:cs="Times New Roman"/>
          <w:kern w:val="2"/>
          <w:sz w:val="32"/>
          <w:szCs w:val="32"/>
          <w:lang w:val="en-US" w:eastAsia="zh-CN" w:bidi="ar-SA"/>
        </w:rPr>
        <w:t>100</w:t>
      </w:r>
      <w:r>
        <w:rPr>
          <w:rFonts w:hint="default" w:ascii="Times New Roman" w:hAnsi="Times New Roman" w:eastAsia="方正仿宋_GBK" w:cs="Times New Roman"/>
          <w:kern w:val="2"/>
          <w:sz w:val="32"/>
          <w:szCs w:val="32"/>
          <w:lang w:val="zh-CN" w:eastAsia="zh-CN" w:bidi="ar-SA"/>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zh-CN" w:eastAsia="zh-CN" w:bidi="ar-SA"/>
        </w:rPr>
      </w:pPr>
      <w:r>
        <w:rPr>
          <w:rFonts w:hint="default" w:ascii="Times New Roman" w:hAnsi="Times New Roman" w:eastAsia="方正仿宋_GBK" w:cs="Times New Roman"/>
          <w:kern w:val="2"/>
          <w:sz w:val="32"/>
          <w:szCs w:val="32"/>
          <w:lang w:val="en-US" w:eastAsia="zh-CN" w:bidi="ar-SA"/>
        </w:rPr>
        <w:t>阶段（含一次性）项目绩效分析。</w:t>
      </w:r>
      <w:r>
        <w:rPr>
          <w:rFonts w:hint="default" w:ascii="Times New Roman" w:hAnsi="Times New Roman" w:eastAsia="方正仿宋_GBK" w:cs="Times New Roman"/>
          <w:kern w:val="2"/>
          <w:sz w:val="32"/>
          <w:szCs w:val="32"/>
          <w:lang w:val="zh-CN" w:eastAsia="zh-CN" w:bidi="ar-SA"/>
        </w:rPr>
        <w:t>该类项目总数</w:t>
      </w:r>
      <w:r>
        <w:rPr>
          <w:rFonts w:hint="default" w:ascii="Times New Roman" w:hAnsi="Times New Roman" w:eastAsia="方正仿宋_GBK" w:cs="Times New Roman"/>
          <w:kern w:val="2"/>
          <w:sz w:val="32"/>
          <w:szCs w:val="32"/>
          <w:lang w:val="en-US" w:eastAsia="zh-CN" w:bidi="ar-SA"/>
        </w:rPr>
        <w:t>8</w:t>
      </w:r>
      <w:r>
        <w:rPr>
          <w:rFonts w:hint="default" w:ascii="Times New Roman" w:hAnsi="Times New Roman" w:eastAsia="方正仿宋_GBK" w:cs="Times New Roman"/>
          <w:kern w:val="2"/>
          <w:sz w:val="32"/>
          <w:szCs w:val="32"/>
          <w:lang w:val="zh-CN" w:eastAsia="zh-CN" w:bidi="ar-SA"/>
        </w:rPr>
        <w:t>个，涉及预算总金额</w:t>
      </w:r>
      <w:r>
        <w:rPr>
          <w:rFonts w:hint="default" w:ascii="Times New Roman" w:hAnsi="Times New Roman" w:eastAsia="方正仿宋_GBK" w:cs="Times New Roman"/>
          <w:kern w:val="2"/>
          <w:sz w:val="32"/>
          <w:szCs w:val="32"/>
          <w:lang w:val="en-US" w:eastAsia="zh-CN" w:bidi="ar-SA"/>
        </w:rPr>
        <w:t>48.57</w:t>
      </w:r>
      <w:r>
        <w:rPr>
          <w:rFonts w:hint="default" w:ascii="Times New Roman" w:hAnsi="Times New Roman" w:eastAsia="方正仿宋_GBK" w:cs="Times New Roman"/>
          <w:kern w:val="2"/>
          <w:sz w:val="32"/>
          <w:szCs w:val="32"/>
          <w:lang w:val="zh-CN" w:eastAsia="zh-CN" w:bidi="ar-SA"/>
        </w:rPr>
        <w:t>万元，1—1</w:t>
      </w:r>
      <w:r>
        <w:rPr>
          <w:rFonts w:hint="default" w:ascii="Times New Roman" w:hAnsi="Times New Roman" w:eastAsia="方正仿宋_GBK" w:cs="Times New Roman"/>
          <w:kern w:val="2"/>
          <w:sz w:val="32"/>
          <w:szCs w:val="32"/>
          <w:lang w:val="en-US" w:eastAsia="zh-CN" w:bidi="ar-SA"/>
        </w:rPr>
        <w:t>2</w:t>
      </w:r>
      <w:r>
        <w:rPr>
          <w:rFonts w:hint="default" w:ascii="Times New Roman" w:hAnsi="Times New Roman" w:eastAsia="方正仿宋_GBK" w:cs="Times New Roman"/>
          <w:kern w:val="2"/>
          <w:sz w:val="32"/>
          <w:szCs w:val="32"/>
          <w:lang w:val="zh-CN" w:eastAsia="zh-CN" w:bidi="ar-SA"/>
        </w:rPr>
        <w:t>月预算执行总体进度为</w:t>
      </w:r>
      <w:r>
        <w:rPr>
          <w:rFonts w:hint="default" w:ascii="Times New Roman" w:hAnsi="Times New Roman" w:eastAsia="方正仿宋_GBK" w:cs="Times New Roman"/>
          <w:kern w:val="2"/>
          <w:sz w:val="32"/>
          <w:szCs w:val="32"/>
          <w:lang w:val="en-US" w:eastAsia="zh-CN" w:bidi="ar-SA"/>
        </w:rPr>
        <w:t>100</w:t>
      </w:r>
      <w:r>
        <w:rPr>
          <w:rFonts w:hint="default" w:ascii="Times New Roman" w:hAnsi="Times New Roman" w:eastAsia="方正仿宋_GBK" w:cs="Times New Roman"/>
          <w:kern w:val="2"/>
          <w:sz w:val="32"/>
          <w:szCs w:val="32"/>
          <w:lang w:val="zh-CN" w:eastAsia="zh-CN" w:bidi="ar-SA"/>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cs="Times New Roman"/>
          <w:kern w:val="2"/>
          <w:sz w:val="32"/>
          <w:szCs w:val="32"/>
          <w:lang w:val="en-US" w:eastAsia="zh-CN" w:bidi="ar-SA"/>
        </w:rPr>
        <w:t>1.</w:t>
      </w:r>
      <w:r>
        <w:rPr>
          <w:rFonts w:hint="default" w:ascii="Times New Roman" w:hAnsi="Times New Roman" w:eastAsia="方正仿宋_GBK" w:cs="Times New Roman"/>
          <w:kern w:val="2"/>
          <w:sz w:val="32"/>
          <w:szCs w:val="32"/>
          <w:lang w:val="zh-CN" w:eastAsia="zh-CN" w:bidi="ar-SA"/>
        </w:rPr>
        <w:t>项目决策。从整体运行情况看，决策程序、目标设置、项目入库三大环节已建立基本的管理制度和操作流程，实现了预算项目从申报到入库的规范化管控，为后续预算执行、项目实施奠定了基础，整体绩效水平合格。</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spacing w:val="-6"/>
          <w:kern w:val="2"/>
          <w:sz w:val="32"/>
          <w:szCs w:val="32"/>
          <w:lang w:val="zh-CN" w:eastAsia="zh-CN" w:bidi="ar-SA"/>
        </w:rPr>
      </w:pPr>
      <w:r>
        <w:rPr>
          <w:rFonts w:hint="default" w:ascii="Times New Roman" w:hAnsi="Times New Roman" w:eastAsia="方正仿宋_GBK" w:cs="Times New Roman"/>
          <w:kern w:val="2"/>
          <w:sz w:val="32"/>
          <w:szCs w:val="32"/>
          <w:lang w:val="zh-CN" w:eastAsia="zh-CN" w:bidi="ar-SA"/>
        </w:rPr>
        <w:t>2.项目执行。从整体绩效来看，预算项目在资金执行同向、项目调整、执行结果均形成了基本管理框架，存在协同性不足的</w:t>
      </w:r>
      <w:r>
        <w:rPr>
          <w:rFonts w:hint="default" w:ascii="Times New Roman" w:hAnsi="Times New Roman" w:eastAsia="方正仿宋_GBK" w:cs="Times New Roman"/>
          <w:spacing w:val="-6"/>
          <w:kern w:val="2"/>
          <w:sz w:val="32"/>
          <w:szCs w:val="32"/>
          <w:lang w:val="zh-CN" w:eastAsia="zh-CN" w:bidi="ar-SA"/>
        </w:rPr>
        <w:t>问题，资金执行与项目推进未完全实现同频，整体绩效水平为良好。</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zh-CN" w:eastAsia="zh-CN" w:bidi="ar-SA"/>
        </w:rPr>
      </w:pPr>
      <w:r>
        <w:rPr>
          <w:rFonts w:hint="default" w:ascii="Times New Roman" w:hAnsi="Times New Roman" w:cs="Times New Roman"/>
          <w:kern w:val="2"/>
          <w:sz w:val="32"/>
          <w:szCs w:val="32"/>
          <w:lang w:val="en-US" w:eastAsia="zh-CN" w:bidi="ar-SA"/>
        </w:rPr>
        <w:t>3.</w:t>
      </w:r>
      <w:r>
        <w:rPr>
          <w:rFonts w:hint="default" w:ascii="Times New Roman" w:hAnsi="Times New Roman" w:eastAsia="方正仿宋_GBK" w:cs="Times New Roman"/>
          <w:kern w:val="2"/>
          <w:sz w:val="32"/>
          <w:szCs w:val="32"/>
          <w:lang w:val="zh-CN" w:eastAsia="zh-CN" w:bidi="ar-SA"/>
        </w:rPr>
        <w:t>目标实现。从整体来看，预算目标实现率达</w:t>
      </w:r>
      <w:r>
        <w:rPr>
          <w:rFonts w:hint="default" w:ascii="Times New Roman" w:hAnsi="Times New Roman" w:eastAsia="方正仿宋_GBK" w:cs="Times New Roman"/>
          <w:kern w:val="2"/>
          <w:sz w:val="32"/>
          <w:szCs w:val="32"/>
          <w:lang w:val="en-US" w:eastAsia="zh-CN" w:bidi="ar-SA"/>
        </w:rPr>
        <w:t>90%以上，预算资金使用合规率达99%，预算刚性约束得到有效落实；项目实际执行结果与既定绩效目标之间偏差率很低；各预算项目</w:t>
      </w:r>
      <w:r>
        <w:rPr>
          <w:rFonts w:hint="default" w:ascii="Times New Roman" w:hAnsi="Times New Roman" w:eastAsia="方正仿宋_GBK" w:cs="Times New Roman"/>
          <w:kern w:val="2"/>
          <w:sz w:val="32"/>
          <w:szCs w:val="32"/>
          <w:lang w:val="zh-CN" w:eastAsia="zh-CN" w:bidi="ar-SA"/>
        </w:rPr>
        <w:t>实现效果均达到预期效果。</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市委组织部一般公共预算项目严格纳入绩效管理，涵盖常年项目、阶段项目两大类，同步规范实施政府购买服务管理。全年项目预算执行平稳、绩效目标完成良好，未发生资金挤占、挪用、违规使用等问题，有效保障了单位依法履职及重点工作落地，整体运行规范、高效、可控。</w:t>
      </w:r>
    </w:p>
    <w:p>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楷体_GB2312" w:cs="Times New Roman"/>
          <w:b/>
          <w:bCs/>
          <w:sz w:val="32"/>
          <w:szCs w:val="32"/>
          <w:lang w:val="zh-CN"/>
        </w:rPr>
      </w:pPr>
      <w:r>
        <w:rPr>
          <w:rFonts w:hint="default" w:ascii="Times New Roman" w:hAnsi="Times New Roman" w:eastAsia="楷体_GB2312" w:cs="Times New Roman"/>
          <w:b/>
          <w:bCs/>
          <w:sz w:val="32"/>
          <w:szCs w:val="32"/>
          <w:lang w:val="en-US" w:eastAsia="zh-CN"/>
        </w:rPr>
        <w:t xml:space="preserve">   </w:t>
      </w:r>
      <w:r>
        <w:rPr>
          <w:rFonts w:hint="default" w:ascii="Times New Roman" w:hAnsi="Times New Roman" w:eastAsia="楷体_GB2312" w:cs="Times New Roman"/>
          <w:b/>
          <w:bCs/>
          <w:sz w:val="32"/>
          <w:szCs w:val="32"/>
          <w:lang w:val="zh-CN"/>
        </w:rPr>
        <w:t>（三）绩效结果应用情况</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zh-CN" w:eastAsia="zh-CN" w:bidi="ar-SA"/>
        </w:rPr>
        <w:t>2025年，</w:t>
      </w:r>
      <w:r>
        <w:rPr>
          <w:rFonts w:hint="default" w:ascii="Times New Roman" w:hAnsi="Times New Roman" w:eastAsia="方正仿宋_GBK" w:cs="Times New Roman"/>
          <w:kern w:val="2"/>
          <w:sz w:val="32"/>
          <w:szCs w:val="32"/>
          <w:lang w:val="en-US" w:eastAsia="zh-CN" w:bidi="ar-SA"/>
        </w:rPr>
        <w:t>市委组织部</w:t>
      </w:r>
      <w:r>
        <w:rPr>
          <w:rFonts w:hint="default" w:ascii="Times New Roman" w:hAnsi="Times New Roman" w:eastAsia="方正仿宋_GBK" w:cs="Times New Roman"/>
          <w:kern w:val="2"/>
          <w:sz w:val="32"/>
          <w:szCs w:val="32"/>
          <w:lang w:val="zh-CN" w:eastAsia="zh-CN" w:bidi="ar-SA"/>
        </w:rPr>
        <w:t>在预算绩效管理内部应用、信息公开、整改反馈三方面有序推进、整体规范。内部应用上，将绩效目标、执行监控、结果运用全面融入预算编制、资金管理与内部考核，有效支撑资源配置与履职管理，但仍存在个别科室绩效意识不强、预算编制精细化程度不够、信息共享不够顺畅等问题；信息公开上，严格按照财政及政务公开要求，按时通过政府网站等渠道公开预算绩效目标、执行情况、自评结果等内容，公开及时规范；整改反馈上，针对绩效监控、财政评价等发现的问题建立台账、压实责任、限期整改、及时反馈，整改完成率较高。下一步将持续强化内部应用质效、提升信息公开水平、健全整改闭环机制，不断提升预算绩效管理规范化、精细化水平。</w:t>
      </w:r>
    </w:p>
    <w:p>
      <w:pPr>
        <w:keepNext w:val="0"/>
        <w:keepLines w:val="0"/>
        <w:pageBreakBefore w:val="0"/>
        <w:widowControl/>
        <w:kinsoku/>
        <w:wordWrap/>
        <w:overflowPunct/>
        <w:topLinePunct w:val="0"/>
        <w:autoSpaceDE/>
        <w:autoSpaceDN/>
        <w:bidi w:val="0"/>
        <w:adjustRightInd/>
        <w:snapToGrid/>
        <w:spacing w:line="240" w:lineRule="auto"/>
        <w:ind w:firstLine="640" w:firstLineChars="200"/>
        <w:contextualSpacing/>
        <w:jc w:val="left"/>
        <w:textAlignment w:val="auto"/>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snapToGrid/>
        <w:spacing w:line="240" w:lineRule="auto"/>
        <w:ind w:firstLine="642" w:firstLineChars="200"/>
        <w:contextualSpacing/>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楷体_GB2312" w:cs="Times New Roman"/>
          <w:b/>
          <w:bCs/>
          <w:color w:val="000000"/>
          <w:kern w:val="0"/>
          <w:sz w:val="32"/>
          <w:szCs w:val="32"/>
          <w:shd w:val="clear" w:color="auto" w:fill="FFFFFF"/>
          <w:lang w:val="zh-CN"/>
        </w:rPr>
        <w:t>（一）评价结论</w:t>
      </w:r>
      <w:r>
        <w:rPr>
          <w:rFonts w:hint="default" w:eastAsia="楷体_GB2312" w:cs="Times New Roman"/>
          <w:b/>
          <w:bCs/>
          <w:color w:val="000000"/>
          <w:kern w:val="0"/>
          <w:sz w:val="32"/>
          <w:szCs w:val="32"/>
          <w:shd w:val="clear" w:color="auto" w:fill="FFFFFF"/>
        </w:rPr>
        <w:t>。</w:t>
      </w:r>
      <w:r>
        <w:rPr>
          <w:rFonts w:hint="default" w:ascii="Times New Roman" w:hAnsi="Times New Roman" w:eastAsia="方正仿宋_GBK" w:cs="Times New Roman"/>
          <w:kern w:val="2"/>
          <w:sz w:val="32"/>
          <w:szCs w:val="32"/>
          <w:lang w:val="en-US" w:eastAsia="zh-CN" w:bidi="ar-SA"/>
        </w:rPr>
        <w:t>2025年本单位部门预算绩效自评综合得86.55分，整体绩效为良好水平。预算执行整体规范，常年项目有效保障单位日常履职的正常运转，阶段项目按计划完成年度阶段性目标，政府购买服务实施合规且效能初显，绩效目标总体完成，财政资金使用安全、合规、有效。但自评中也发现，预算绩效管理内部应用的精细化程度不足、</w:t>
      </w:r>
      <w:r>
        <w:rPr>
          <w:rFonts w:hint="default" w:ascii="Times New Roman" w:hAnsi="Times New Roman" w:eastAsia="方正仿宋_GBK" w:cs="Times New Roman"/>
          <w:kern w:val="2"/>
          <w:sz w:val="32"/>
          <w:szCs w:val="32"/>
          <w:lang w:val="zh-CN" w:eastAsia="zh-CN" w:bidi="ar-SA"/>
        </w:rPr>
        <w:t>个别科室绩效意识不强</w:t>
      </w:r>
      <w:r>
        <w:rPr>
          <w:rFonts w:hint="default" w:ascii="Times New Roman" w:hAnsi="Times New Roman" w:eastAsia="方正仿宋_GBK" w:cs="Times New Roman"/>
          <w:kern w:val="2"/>
          <w:sz w:val="32"/>
          <w:szCs w:val="32"/>
          <w:lang w:val="en-US" w:eastAsia="zh-CN" w:bidi="ar-SA"/>
        </w:rPr>
        <w:t>等问题，后续将针对短板弱项逐项整改提升，持续完善预算绩效管理体系，进一步提高财政资金使用效益和部门履职效能。</w:t>
      </w:r>
    </w:p>
    <w:p>
      <w:pPr>
        <w:keepNext w:val="0"/>
        <w:keepLines w:val="0"/>
        <w:pageBreakBefore w:val="0"/>
        <w:widowControl/>
        <w:kinsoku/>
        <w:wordWrap/>
        <w:overflowPunct/>
        <w:topLinePunct w:val="0"/>
        <w:autoSpaceDE/>
        <w:autoSpaceDN/>
        <w:bidi w:val="0"/>
        <w:adjustRightInd/>
        <w:snapToGrid/>
        <w:spacing w:line="240" w:lineRule="auto"/>
        <w:contextualSpacing/>
        <w:jc w:val="left"/>
        <w:textAlignment w:val="auto"/>
        <w:rPr>
          <w:rFonts w:hint="default" w:ascii="Times New Roman" w:hAnsi="Times New Roman" w:eastAsia="仿宋_GB2312" w:cs="Times New Roman"/>
          <w:b/>
          <w:bCs/>
          <w:color w:val="000000"/>
          <w:kern w:val="0"/>
          <w:sz w:val="32"/>
          <w:szCs w:val="32"/>
          <w:shd w:val="clear" w:color="auto" w:fill="FFFFFF"/>
        </w:rPr>
      </w:pPr>
      <w:r>
        <w:rPr>
          <w:rFonts w:hint="default" w:ascii="Times New Roman" w:hAnsi="Times New Roman" w:eastAsia="楷体_GB2312" w:cs="Times New Roman"/>
          <w:b/>
          <w:bCs/>
          <w:color w:val="000000"/>
          <w:kern w:val="0"/>
          <w:sz w:val="32"/>
          <w:szCs w:val="32"/>
          <w:shd w:val="clear" w:color="auto" w:fill="FFFFFF"/>
          <w:lang w:val="en-US" w:eastAsia="zh-CN"/>
        </w:rPr>
        <w:t xml:space="preserve">   </w:t>
      </w:r>
      <w:r>
        <w:rPr>
          <w:rFonts w:hint="default" w:ascii="Times New Roman" w:hAnsi="Times New Roman" w:eastAsia="楷体_GB2312" w:cs="Times New Roman"/>
          <w:b/>
          <w:bCs/>
          <w:color w:val="000000"/>
          <w:kern w:val="0"/>
          <w:sz w:val="32"/>
          <w:szCs w:val="32"/>
          <w:shd w:val="clear" w:color="auto" w:fill="FFFFFF"/>
          <w:lang w:val="zh-CN"/>
        </w:rPr>
        <w:t>（二）存在问题。</w:t>
      </w:r>
      <w:r>
        <w:rPr>
          <w:rFonts w:hint="default" w:ascii="Times New Roman" w:hAnsi="Times New Roman" w:eastAsia="方正仿宋_GBK" w:cs="Times New Roman"/>
          <w:kern w:val="2"/>
          <w:sz w:val="32"/>
          <w:szCs w:val="32"/>
          <w:lang w:val="en-US" w:eastAsia="zh-CN" w:bidi="ar-SA"/>
        </w:rPr>
        <w:t>部门预算绩效自评发现</w:t>
      </w:r>
      <w:r>
        <w:rPr>
          <w:rFonts w:hint="default" w:ascii="Times New Roman" w:hAnsi="Times New Roman" w:eastAsia="方正仿宋_GBK" w:cs="Times New Roman"/>
          <w:kern w:val="2"/>
          <w:sz w:val="32"/>
          <w:szCs w:val="32"/>
          <w:lang w:val="zh-CN" w:eastAsia="zh-CN" w:bidi="ar-SA"/>
        </w:rPr>
        <w:t>个别科室绩效意识不强、预算编制精细化程度不够、信息共享不够顺畅等问题。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仿宋_GB2312" w:cs="Times New Roman"/>
          <w:w w:val="95"/>
          <w:kern w:val="0"/>
          <w:sz w:val="32"/>
          <w:szCs w:val="32"/>
        </w:rPr>
      </w:pPr>
      <w:r>
        <w:rPr>
          <w:rFonts w:hint="default" w:ascii="Times New Roman" w:hAnsi="Times New Roman" w:eastAsia="楷体_GB2312" w:cs="Times New Roman"/>
          <w:b/>
          <w:bCs/>
          <w:color w:val="000000"/>
          <w:kern w:val="0"/>
          <w:sz w:val="32"/>
          <w:szCs w:val="32"/>
          <w:shd w:val="clear" w:color="auto" w:fill="FFFFFF"/>
          <w:lang w:val="en-US" w:eastAsia="zh-CN"/>
        </w:rPr>
        <w:t xml:space="preserve">   </w:t>
      </w:r>
      <w:r>
        <w:rPr>
          <w:rFonts w:hint="default" w:ascii="Times New Roman" w:hAnsi="Times New Roman" w:eastAsia="楷体_GB2312" w:cs="Times New Roman"/>
          <w:b/>
          <w:bCs/>
          <w:color w:val="000000"/>
          <w:kern w:val="0"/>
          <w:sz w:val="32"/>
          <w:szCs w:val="32"/>
          <w:shd w:val="clear" w:color="auto" w:fill="FFFFFF"/>
          <w:lang w:val="zh-CN"/>
        </w:rPr>
        <w:t>（三）改进建议。</w:t>
      </w:r>
      <w:r>
        <w:rPr>
          <w:rFonts w:hint="default" w:ascii="Times New Roman" w:hAnsi="Times New Roman" w:eastAsia="方正仿宋_GBK" w:cs="Times New Roman"/>
          <w:kern w:val="2"/>
          <w:sz w:val="32"/>
          <w:szCs w:val="32"/>
          <w:lang w:val="en-US" w:eastAsia="zh-CN" w:bidi="ar-SA"/>
        </w:rPr>
        <w:t>一是强化绩效约束，将绩效结果与考核挂钩，压实科室责任，提升绩效意识；二是细化预算编制，做实前期论证，严格按项目节点精准编报，提高预算精细化水平。三是打通数据壁垒，健全信息共享机制，推动业务与财务高效协同。</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 xml:space="preserve">  部门预算项目支出绩效自评表（2025年度）见附件。</w:t>
      </w:r>
    </w:p>
    <w:p>
      <w:pPr>
        <w:rPr>
          <w:rFonts w:hint="default" w:ascii="Times New Roman" w:hAnsi="Times New Roman" w:eastAsia="黑体" w:cs="Times New Roman"/>
          <w:kern w:val="0"/>
          <w:sz w:val="32"/>
          <w:szCs w:val="32"/>
          <w:shd w:val="clear" w:color="auto" w:fill="FFFFFF"/>
          <w:lang w:val="zh-CN"/>
        </w:rPr>
      </w:pPr>
      <w:r>
        <w:rPr>
          <w:rFonts w:hint="default" w:ascii="Times New Roman" w:hAnsi="Times New Roman" w:eastAsia="黑体" w:cs="Times New Roman"/>
          <w:kern w:val="0"/>
          <w:sz w:val="32"/>
          <w:szCs w:val="32"/>
          <w:shd w:val="clear" w:color="auto" w:fill="FFFFFF"/>
          <w:lang w:val="zh-CN"/>
        </w:rPr>
        <w:br w:type="page"/>
      </w:r>
    </w:p>
    <w:p>
      <w:pPr>
        <w:pStyle w:val="3"/>
        <w:jc w:val="center"/>
        <w:rPr>
          <w:rFonts w:hint="default" w:ascii="Times New Roman" w:hAnsi="Times New Roman" w:eastAsia="方正小标宋_GBK" w:cs="Times New Roman"/>
          <w:b w:val="0"/>
        </w:rPr>
      </w:pPr>
      <w:bookmarkStart w:id="71" w:name="_Toc17788"/>
      <w:bookmarkStart w:id="72" w:name="_Toc15396618"/>
      <w:r>
        <w:rPr>
          <w:rFonts w:hint="default" w:ascii="Times New Roman" w:hAnsi="Times New Roman" w:eastAsia="方正小标宋_GBK" w:cs="Times New Roman"/>
          <w:b w:val="0"/>
        </w:rPr>
        <w:t>第五部分 附表</w:t>
      </w:r>
      <w:bookmarkEnd w:id="68"/>
      <w:bookmarkEnd w:id="71"/>
      <w:bookmarkEnd w:id="72"/>
      <w:bookmarkStart w:id="73" w:name="_Toc15396619"/>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sz w:val="32"/>
          <w:szCs w:val="32"/>
        </w:rPr>
      </w:pPr>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74" w:name="_Toc10643"/>
      <w:r>
        <w:rPr>
          <w:rFonts w:hint="default" w:ascii="Times New Roman" w:hAnsi="Times New Roman" w:eastAsia="仿宋_GB2312" w:cs="Times New Roman"/>
          <w:sz w:val="32"/>
          <w:szCs w:val="32"/>
        </w:rPr>
        <w:t>一、收入支出决算总表</w:t>
      </w:r>
      <w:bookmarkEnd w:id="73"/>
      <w:bookmarkEnd w:id="74"/>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75" w:name="_Toc22765"/>
      <w:bookmarkStart w:id="76" w:name="_Toc15396620"/>
      <w:r>
        <w:rPr>
          <w:rFonts w:hint="default" w:ascii="Times New Roman" w:hAnsi="Times New Roman" w:eastAsia="仿宋_GB2312" w:cs="Times New Roman"/>
          <w:sz w:val="32"/>
          <w:szCs w:val="32"/>
        </w:rPr>
        <w:t>二、收入决算表</w:t>
      </w:r>
      <w:bookmarkEnd w:id="75"/>
      <w:bookmarkEnd w:id="76"/>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77" w:name="_Toc15396621"/>
      <w:bookmarkStart w:id="78" w:name="_Toc20336"/>
      <w:r>
        <w:rPr>
          <w:rFonts w:hint="default" w:ascii="Times New Roman" w:hAnsi="Times New Roman" w:eastAsia="仿宋_GB2312" w:cs="Times New Roman"/>
          <w:sz w:val="32"/>
          <w:szCs w:val="32"/>
        </w:rPr>
        <w:t>三、支出决算表</w:t>
      </w:r>
      <w:bookmarkEnd w:id="77"/>
      <w:bookmarkEnd w:id="78"/>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79" w:name="_Toc15396622"/>
      <w:bookmarkStart w:id="80" w:name="_Toc22497"/>
      <w:r>
        <w:rPr>
          <w:rFonts w:hint="default" w:ascii="Times New Roman" w:hAnsi="Times New Roman" w:eastAsia="仿宋_GB2312" w:cs="Times New Roman"/>
          <w:sz w:val="32"/>
          <w:szCs w:val="32"/>
        </w:rPr>
        <w:t>四、财政拨款收入支出决算总表</w:t>
      </w:r>
      <w:bookmarkEnd w:id="79"/>
      <w:bookmarkEnd w:id="80"/>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81" w:name="_Toc15396623"/>
      <w:bookmarkStart w:id="82" w:name="_Toc19861"/>
      <w:r>
        <w:rPr>
          <w:rFonts w:hint="default" w:ascii="Times New Roman" w:hAnsi="Times New Roman" w:eastAsia="仿宋_GB2312" w:cs="Times New Roman"/>
          <w:sz w:val="32"/>
          <w:szCs w:val="32"/>
        </w:rPr>
        <w:t>五、财政拨款支出决算明细表</w:t>
      </w:r>
      <w:bookmarkEnd w:id="81"/>
      <w:bookmarkEnd w:id="82"/>
      <w:bookmarkStart w:id="83" w:name="_Toc15396624"/>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84" w:name="_Toc1680"/>
      <w:r>
        <w:rPr>
          <w:rFonts w:hint="default" w:ascii="Times New Roman" w:hAnsi="Times New Roman" w:eastAsia="仿宋_GB2312" w:cs="Times New Roman"/>
          <w:sz w:val="32"/>
          <w:szCs w:val="32"/>
        </w:rPr>
        <w:t>六、一般公共预算财政拨款支出决算表</w:t>
      </w:r>
      <w:bookmarkEnd w:id="83"/>
      <w:bookmarkEnd w:id="84"/>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85" w:name="_Toc15396625"/>
      <w:bookmarkStart w:id="86" w:name="_Toc30665"/>
      <w:r>
        <w:rPr>
          <w:rFonts w:hint="default" w:ascii="Times New Roman" w:hAnsi="Times New Roman" w:eastAsia="仿宋_GB2312" w:cs="Times New Roman"/>
          <w:sz w:val="32"/>
          <w:szCs w:val="32"/>
        </w:rPr>
        <w:t>七、一般公共预算财政拨款支出决算明细表</w:t>
      </w:r>
      <w:bookmarkEnd w:id="85"/>
      <w:bookmarkEnd w:id="86"/>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87" w:name="_Toc20563"/>
      <w:bookmarkStart w:id="88" w:name="_Toc15396626"/>
      <w:r>
        <w:rPr>
          <w:rFonts w:hint="default" w:ascii="Times New Roman" w:hAnsi="Times New Roman" w:eastAsia="仿宋_GB2312" w:cs="Times New Roman"/>
          <w:sz w:val="32"/>
          <w:szCs w:val="32"/>
        </w:rPr>
        <w:t>八、一般公共预算财政拨款基本支出决算表</w:t>
      </w:r>
      <w:bookmarkEnd w:id="87"/>
      <w:bookmarkEnd w:id="88"/>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89" w:name="_Toc2"/>
      <w:bookmarkStart w:id="90" w:name="_Toc15396627"/>
      <w:r>
        <w:rPr>
          <w:rFonts w:hint="default" w:ascii="Times New Roman" w:hAnsi="Times New Roman" w:eastAsia="仿宋_GB2312" w:cs="Times New Roman"/>
          <w:sz w:val="32"/>
          <w:szCs w:val="32"/>
        </w:rPr>
        <w:t>九、一般公共预算财政拨款项目支出决算表</w:t>
      </w:r>
      <w:bookmarkEnd w:id="89"/>
      <w:bookmarkEnd w:id="90"/>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91" w:name="_Toc15396628"/>
      <w:bookmarkStart w:id="92" w:name="_Toc19264"/>
      <w:r>
        <w:rPr>
          <w:rFonts w:hint="default" w:ascii="Times New Roman" w:hAnsi="Times New Roman" w:eastAsia="仿宋_GB2312" w:cs="Times New Roman"/>
          <w:sz w:val="32"/>
          <w:szCs w:val="32"/>
        </w:rPr>
        <w:t>十、</w:t>
      </w:r>
      <w:bookmarkEnd w:id="91"/>
      <w:r>
        <w:rPr>
          <w:rFonts w:hint="default" w:ascii="Times New Roman" w:hAnsi="Times New Roman" w:eastAsia="仿宋_GB2312" w:cs="Times New Roman"/>
          <w:sz w:val="32"/>
          <w:szCs w:val="32"/>
        </w:rPr>
        <w:t>政府性基金预算财政拨款收入支出决算表</w:t>
      </w:r>
      <w:bookmarkEnd w:id="92"/>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93" w:name="_Toc15396629"/>
      <w:bookmarkStart w:id="94" w:name="_Toc2065"/>
      <w:r>
        <w:rPr>
          <w:rFonts w:hint="default" w:ascii="Times New Roman" w:hAnsi="Times New Roman" w:eastAsia="仿宋_GB2312" w:cs="Times New Roman"/>
          <w:sz w:val="32"/>
          <w:szCs w:val="32"/>
        </w:rPr>
        <w:t>十一、</w:t>
      </w:r>
      <w:bookmarkEnd w:id="93"/>
      <w:r>
        <w:rPr>
          <w:rFonts w:hint="default" w:ascii="Times New Roman" w:hAnsi="Times New Roman" w:eastAsia="仿宋_GB2312" w:cs="Times New Roman"/>
          <w:sz w:val="32"/>
          <w:szCs w:val="32"/>
        </w:rPr>
        <w:t>国有资本经营预算财政拨款收入支出决算表</w:t>
      </w:r>
      <w:bookmarkEnd w:id="94"/>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95" w:name="_Toc15396630"/>
      <w:bookmarkStart w:id="96" w:name="_Toc11697"/>
      <w:r>
        <w:rPr>
          <w:rFonts w:hint="default" w:ascii="Times New Roman" w:hAnsi="Times New Roman" w:eastAsia="仿宋_GB2312" w:cs="Times New Roman"/>
          <w:sz w:val="32"/>
          <w:szCs w:val="32"/>
        </w:rPr>
        <w:t>十二、</w:t>
      </w:r>
      <w:bookmarkEnd w:id="95"/>
      <w:r>
        <w:rPr>
          <w:rFonts w:hint="default" w:ascii="Times New Roman" w:hAnsi="Times New Roman" w:eastAsia="仿宋_GB2312" w:cs="Times New Roman"/>
          <w:sz w:val="32"/>
          <w:szCs w:val="32"/>
        </w:rPr>
        <w:t>国有资本经营预算财政拨款支出决算表</w:t>
      </w:r>
      <w:bookmarkEnd w:id="96"/>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97" w:name="_Toc15396631"/>
      <w:bookmarkStart w:id="98" w:name="_Toc16780"/>
      <w:r>
        <w:rPr>
          <w:rFonts w:hint="default" w:ascii="Times New Roman" w:hAnsi="Times New Roman" w:eastAsia="仿宋_GB2312" w:cs="Times New Roman"/>
          <w:sz w:val="32"/>
          <w:szCs w:val="32"/>
        </w:rPr>
        <w:t>十三、</w:t>
      </w:r>
      <w:bookmarkEnd w:id="97"/>
      <w:r>
        <w:rPr>
          <w:rFonts w:hint="default" w:ascii="Times New Roman" w:hAnsi="Times New Roman" w:eastAsia="仿宋_GB2312" w:cs="Times New Roman"/>
          <w:sz w:val="32"/>
          <w:szCs w:val="32"/>
        </w:rPr>
        <w:t>财政拨款“三公”经费支出决算表</w:t>
      </w:r>
      <w:bookmarkEnd w:id="98"/>
    </w:p>
    <w:p>
      <w:pPr>
        <w:rPr>
          <w:rFonts w:hint="default" w:ascii="Times New Roman" w:hAnsi="Times New Roman" w:cs="Times New Roman"/>
        </w:rPr>
      </w:pPr>
    </w:p>
    <w:sectPr>
      <w:footerReference r:id="rId7" w:type="first"/>
      <w:footerReference r:id="rId6" w:type="default"/>
      <w:pgSz w:w="11906" w:h="16838"/>
      <w:pgMar w:top="2098" w:right="1474" w:bottom="1984" w:left="1587" w:header="851" w:footer="992" w:gutter="0"/>
      <w:pgNumType w:fmt="decimal"/>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Arial Unicode MS">
    <w:altName w:val="Nimbus Roman No9 L"/>
    <w:panose1 w:val="020B0604020202020204"/>
    <w:charset w:val="86"/>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- 1 -</w:t>
                          </w:r>
                          <w:r>
                            <w:rPr>
                              <w:rFonts w:hint="eastAsia"/>
                              <w:sz w:val="1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A0Tqs0UAgAAGwQAAA4AAAAAAAAAAQAgAAAANQEAAGRycy9lMm9Eb2MueG1sUEsFBgAAAAAGAAYA&#10;WQEAALs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- 1 -</w:t>
                    </w:r>
                    <w:r>
                      <w:rPr>
                        <w:rFonts w:hint="eastAsia"/>
                        <w:sz w:val="18"/>
                      </w:rPr>
                      <w:fldChar w:fldCharType="end"/>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- 1 -</w:t>
                          </w:r>
                          <w:r>
                            <w:rPr>
                              <w:rFonts w:hint="eastAsia"/>
                              <w:sz w:val="1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IkRNFQIAABsEAAAOAAAAZHJz&#10;L2Uyb0RvYy54bWytU8uO0zAU3SPxD5b3NGlH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9IkRNFQIAABsEAAAOAAAAAAAAAAEAIAAAADU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- 1 -</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- 3 -</w:t>
                          </w:r>
                          <w:r>
                            <w:rPr>
                              <w:rFonts w:hint="eastAsia"/>
                              <w:sz w:val="1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vuix5FQIAABsEAAAOAAAAZHJz&#10;L2Uyb0RvYy54bWytU8uO0zAU3SPxD5b3NGmBUV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vuix5FQIAABsEAAAOAAAAAAAAAAEAIAAAADU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- 3 -</w:t>
                    </w:r>
                    <w:r>
                      <w:rPr>
                        <w:rFonts w:hint="eastAsia"/>
                        <w:sz w:val="18"/>
                      </w:rPr>
                      <w:fldChar w:fldCharType="end"/>
                    </w:r>
                  </w:p>
                </w:txbxContent>
              </v:textbox>
            </v:shape>
          </w:pict>
        </mc:Fallback>
      </mc:AlternateContent>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- 2 -</w:t>
                          </w:r>
                          <w:r>
                            <w:rPr>
                              <w:rFonts w:hint="eastAsia"/>
                              <w:sz w:val="1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fi8L5FQIAABsEAAAOAAAAZHJz&#10;L2Uyb0RvYy54bWytU8uO0zAU3SPxD5b3NGnR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fi8L5FQIAABsEAAAOAAAAAAAAAAEAIAAAADU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- 2 -</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1">
    <w:nsid w:val="68B92424"/>
    <w:multiLevelType w:val="singleLevel"/>
    <w:tmpl w:val="68B92424"/>
    <w:lvl w:ilvl="0" w:tentative="0">
      <w:start w:val="1"/>
      <w:numFmt w:val="chineseCounting"/>
      <w:suff w:val="nothing"/>
      <w:lvlText w:val="%1、"/>
      <w:lvlJc w:val="left"/>
    </w:lvl>
  </w:abstractNum>
  <w:abstractNum w:abstractNumId="2">
    <w:nsid w:val="68B9490A"/>
    <w:multiLevelType w:val="singleLevel"/>
    <w:tmpl w:val="68B9490A"/>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true"/>
  <w:bordersDoNotSurroundFooter w:val="true"/>
  <w:documentProtection w:enforcement="0"/>
  <w:defaultTabStop w:val="420"/>
  <w:drawingGridHorizontalSpacing w:val="170"/>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kMWM3MGQzMjJlMGFjMGVmZWU1OTA3ZDlmMmU5M2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4DEF"/>
    <w:rsid w:val="002D6D05"/>
    <w:rsid w:val="002F1818"/>
    <w:rsid w:val="002F567B"/>
    <w:rsid w:val="0030257D"/>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86616"/>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37763"/>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2A63DB"/>
    <w:rsid w:val="02FEBE30"/>
    <w:rsid w:val="04001144"/>
    <w:rsid w:val="04916F1E"/>
    <w:rsid w:val="061E35DE"/>
    <w:rsid w:val="066E0107"/>
    <w:rsid w:val="067A4E80"/>
    <w:rsid w:val="06F71C03"/>
    <w:rsid w:val="07996F6E"/>
    <w:rsid w:val="07B47733"/>
    <w:rsid w:val="07B63626"/>
    <w:rsid w:val="07DFD8BA"/>
    <w:rsid w:val="08A03285"/>
    <w:rsid w:val="08E00CF2"/>
    <w:rsid w:val="094E6636"/>
    <w:rsid w:val="09867E8F"/>
    <w:rsid w:val="09E90DD1"/>
    <w:rsid w:val="0A2032A3"/>
    <w:rsid w:val="0A32025F"/>
    <w:rsid w:val="0A5419AC"/>
    <w:rsid w:val="0BCD26E3"/>
    <w:rsid w:val="0C664C93"/>
    <w:rsid w:val="0CA8290A"/>
    <w:rsid w:val="0D35B1ED"/>
    <w:rsid w:val="0D9D7AD1"/>
    <w:rsid w:val="0DDF011F"/>
    <w:rsid w:val="0E254B6B"/>
    <w:rsid w:val="0F98263C"/>
    <w:rsid w:val="101860EC"/>
    <w:rsid w:val="101F47CC"/>
    <w:rsid w:val="10C055FF"/>
    <w:rsid w:val="112B3517"/>
    <w:rsid w:val="11694EBD"/>
    <w:rsid w:val="11772AA4"/>
    <w:rsid w:val="118107EC"/>
    <w:rsid w:val="122512A7"/>
    <w:rsid w:val="12E24EE2"/>
    <w:rsid w:val="13D50BC4"/>
    <w:rsid w:val="14B17F78"/>
    <w:rsid w:val="155F48F6"/>
    <w:rsid w:val="165E0673"/>
    <w:rsid w:val="1668724A"/>
    <w:rsid w:val="16B831D5"/>
    <w:rsid w:val="16BB723D"/>
    <w:rsid w:val="16E91C68"/>
    <w:rsid w:val="17371525"/>
    <w:rsid w:val="17E50567"/>
    <w:rsid w:val="184E3CE0"/>
    <w:rsid w:val="186504BB"/>
    <w:rsid w:val="19A445FC"/>
    <w:rsid w:val="1A33556A"/>
    <w:rsid w:val="1B252C84"/>
    <w:rsid w:val="1BE8440E"/>
    <w:rsid w:val="1CE40F3C"/>
    <w:rsid w:val="1D155CEE"/>
    <w:rsid w:val="1D1638FE"/>
    <w:rsid w:val="1E312DEB"/>
    <w:rsid w:val="1E740ACF"/>
    <w:rsid w:val="1E943157"/>
    <w:rsid w:val="1F836225"/>
    <w:rsid w:val="1FE151A3"/>
    <w:rsid w:val="1FF35744"/>
    <w:rsid w:val="1FF6BC77"/>
    <w:rsid w:val="202B1757"/>
    <w:rsid w:val="2186353C"/>
    <w:rsid w:val="23272ECF"/>
    <w:rsid w:val="23860B96"/>
    <w:rsid w:val="240371BF"/>
    <w:rsid w:val="244F3473"/>
    <w:rsid w:val="24C97D99"/>
    <w:rsid w:val="253E0BB4"/>
    <w:rsid w:val="2586070A"/>
    <w:rsid w:val="25A718F0"/>
    <w:rsid w:val="25BB59F6"/>
    <w:rsid w:val="25C45D39"/>
    <w:rsid w:val="260F557C"/>
    <w:rsid w:val="261D2913"/>
    <w:rsid w:val="26536867"/>
    <w:rsid w:val="268568AC"/>
    <w:rsid w:val="26970054"/>
    <w:rsid w:val="2772239E"/>
    <w:rsid w:val="281408E2"/>
    <w:rsid w:val="28413E0C"/>
    <w:rsid w:val="28CF7F5C"/>
    <w:rsid w:val="28F61DFC"/>
    <w:rsid w:val="29FD04D3"/>
    <w:rsid w:val="2A7E7A34"/>
    <w:rsid w:val="2AAF48F9"/>
    <w:rsid w:val="2AF0332B"/>
    <w:rsid w:val="2B097888"/>
    <w:rsid w:val="2B52096E"/>
    <w:rsid w:val="2BFF7BC6"/>
    <w:rsid w:val="2C8A61B5"/>
    <w:rsid w:val="2D110415"/>
    <w:rsid w:val="2D844C90"/>
    <w:rsid w:val="2DF04E50"/>
    <w:rsid w:val="2E1B2AFF"/>
    <w:rsid w:val="2E586DFA"/>
    <w:rsid w:val="2F040D46"/>
    <w:rsid w:val="2F6B035B"/>
    <w:rsid w:val="2FAE5751"/>
    <w:rsid w:val="2FB1A395"/>
    <w:rsid w:val="2FD9A7D8"/>
    <w:rsid w:val="2FDBF714"/>
    <w:rsid w:val="2FFCFB1F"/>
    <w:rsid w:val="30AB6865"/>
    <w:rsid w:val="30EC573B"/>
    <w:rsid w:val="319F7F4E"/>
    <w:rsid w:val="31B16F7A"/>
    <w:rsid w:val="31F61CDC"/>
    <w:rsid w:val="32BD1EF1"/>
    <w:rsid w:val="3304709D"/>
    <w:rsid w:val="337F42B4"/>
    <w:rsid w:val="33A773CB"/>
    <w:rsid w:val="344E39D4"/>
    <w:rsid w:val="345907BC"/>
    <w:rsid w:val="349D6851"/>
    <w:rsid w:val="35E86F27"/>
    <w:rsid w:val="360E6080"/>
    <w:rsid w:val="36AA5135"/>
    <w:rsid w:val="36BE0DA7"/>
    <w:rsid w:val="376B6AA6"/>
    <w:rsid w:val="376D39B2"/>
    <w:rsid w:val="37E16F03"/>
    <w:rsid w:val="37EB1F9E"/>
    <w:rsid w:val="37F53A3B"/>
    <w:rsid w:val="389B6C89"/>
    <w:rsid w:val="38D469F0"/>
    <w:rsid w:val="39627CCD"/>
    <w:rsid w:val="397BAF1F"/>
    <w:rsid w:val="3AB79AF3"/>
    <w:rsid w:val="3AE834C0"/>
    <w:rsid w:val="3B7EF35A"/>
    <w:rsid w:val="3B9FDB6C"/>
    <w:rsid w:val="3BF5BC2F"/>
    <w:rsid w:val="3C057AB8"/>
    <w:rsid w:val="3C1A47BE"/>
    <w:rsid w:val="3C3F09C0"/>
    <w:rsid w:val="3CEBA265"/>
    <w:rsid w:val="3D98207C"/>
    <w:rsid w:val="3DEE7CF3"/>
    <w:rsid w:val="3E740A63"/>
    <w:rsid w:val="3E78745D"/>
    <w:rsid w:val="3EE17838"/>
    <w:rsid w:val="3EFA27F2"/>
    <w:rsid w:val="3F55381A"/>
    <w:rsid w:val="3F7F7599"/>
    <w:rsid w:val="3F904730"/>
    <w:rsid w:val="3FB65584"/>
    <w:rsid w:val="3FBB0422"/>
    <w:rsid w:val="3FBE1B81"/>
    <w:rsid w:val="3FF4CAE0"/>
    <w:rsid w:val="3FF7B227"/>
    <w:rsid w:val="410176B5"/>
    <w:rsid w:val="42B71EBB"/>
    <w:rsid w:val="43B854AB"/>
    <w:rsid w:val="43C145B4"/>
    <w:rsid w:val="43E72760"/>
    <w:rsid w:val="44E268DA"/>
    <w:rsid w:val="450D13D7"/>
    <w:rsid w:val="45506656"/>
    <w:rsid w:val="46FF08BB"/>
    <w:rsid w:val="47887D70"/>
    <w:rsid w:val="47FB210C"/>
    <w:rsid w:val="48170D66"/>
    <w:rsid w:val="486A6C7A"/>
    <w:rsid w:val="497955D6"/>
    <w:rsid w:val="4A0D23DC"/>
    <w:rsid w:val="4A627F82"/>
    <w:rsid w:val="4B0E749A"/>
    <w:rsid w:val="4B2477C4"/>
    <w:rsid w:val="4B4F25DA"/>
    <w:rsid w:val="4BE068DB"/>
    <w:rsid w:val="4C28599F"/>
    <w:rsid w:val="4CF531A3"/>
    <w:rsid w:val="4D577224"/>
    <w:rsid w:val="4D67C548"/>
    <w:rsid w:val="4DBF1CEB"/>
    <w:rsid w:val="4DEF47EF"/>
    <w:rsid w:val="4DF0007C"/>
    <w:rsid w:val="4EAB630A"/>
    <w:rsid w:val="4ECE2238"/>
    <w:rsid w:val="4F833267"/>
    <w:rsid w:val="4FBA1399"/>
    <w:rsid w:val="4FE9BD67"/>
    <w:rsid w:val="4FFB052F"/>
    <w:rsid w:val="511A7EC1"/>
    <w:rsid w:val="513C5272"/>
    <w:rsid w:val="51462CE3"/>
    <w:rsid w:val="514A1A9F"/>
    <w:rsid w:val="5197412F"/>
    <w:rsid w:val="51E07D13"/>
    <w:rsid w:val="529276CB"/>
    <w:rsid w:val="537E6D0A"/>
    <w:rsid w:val="53A57B6E"/>
    <w:rsid w:val="53BF7E22"/>
    <w:rsid w:val="53F74C96"/>
    <w:rsid w:val="543A18D7"/>
    <w:rsid w:val="54433C51"/>
    <w:rsid w:val="54980409"/>
    <w:rsid w:val="54B7628A"/>
    <w:rsid w:val="550E2E70"/>
    <w:rsid w:val="55170BA8"/>
    <w:rsid w:val="55257C52"/>
    <w:rsid w:val="552F1C27"/>
    <w:rsid w:val="553218C9"/>
    <w:rsid w:val="559E5250"/>
    <w:rsid w:val="567E1AA5"/>
    <w:rsid w:val="56E47B74"/>
    <w:rsid w:val="57175D52"/>
    <w:rsid w:val="57BD3DD4"/>
    <w:rsid w:val="58440AE2"/>
    <w:rsid w:val="587135B2"/>
    <w:rsid w:val="59212703"/>
    <w:rsid w:val="59FF8A46"/>
    <w:rsid w:val="5A1E06DE"/>
    <w:rsid w:val="5ABE227D"/>
    <w:rsid w:val="5AF92295"/>
    <w:rsid w:val="5B250254"/>
    <w:rsid w:val="5BDD79E6"/>
    <w:rsid w:val="5BF561CA"/>
    <w:rsid w:val="5BFF5DFC"/>
    <w:rsid w:val="5CD71FC4"/>
    <w:rsid w:val="5CF9113C"/>
    <w:rsid w:val="5D1F11B5"/>
    <w:rsid w:val="5D5A56F6"/>
    <w:rsid w:val="5D695134"/>
    <w:rsid w:val="5DAE1B18"/>
    <w:rsid w:val="5DE7D9E5"/>
    <w:rsid w:val="5E7407FC"/>
    <w:rsid w:val="5E802442"/>
    <w:rsid w:val="5E8F2EB2"/>
    <w:rsid w:val="5EAC35A4"/>
    <w:rsid w:val="5ECEC941"/>
    <w:rsid w:val="5EFDCFE2"/>
    <w:rsid w:val="5F37552B"/>
    <w:rsid w:val="5FBF9FF3"/>
    <w:rsid w:val="5FCD4E2C"/>
    <w:rsid w:val="5FEF394A"/>
    <w:rsid w:val="5FF67715"/>
    <w:rsid w:val="60384097"/>
    <w:rsid w:val="62A82967"/>
    <w:rsid w:val="62BF3928"/>
    <w:rsid w:val="62EF6CFC"/>
    <w:rsid w:val="63002449"/>
    <w:rsid w:val="637105D9"/>
    <w:rsid w:val="63B3701E"/>
    <w:rsid w:val="645A2046"/>
    <w:rsid w:val="647F5392"/>
    <w:rsid w:val="64BC127A"/>
    <w:rsid w:val="65E66580"/>
    <w:rsid w:val="664B1D71"/>
    <w:rsid w:val="664B4E8E"/>
    <w:rsid w:val="66FF1BE9"/>
    <w:rsid w:val="67277B67"/>
    <w:rsid w:val="679F168A"/>
    <w:rsid w:val="67AA3209"/>
    <w:rsid w:val="67CE66B2"/>
    <w:rsid w:val="685F58E3"/>
    <w:rsid w:val="697E0570"/>
    <w:rsid w:val="698D0931"/>
    <w:rsid w:val="6A2E1DD4"/>
    <w:rsid w:val="6A7FE5F3"/>
    <w:rsid w:val="6B053271"/>
    <w:rsid w:val="6B8602C9"/>
    <w:rsid w:val="6BB77190"/>
    <w:rsid w:val="6BDD78B3"/>
    <w:rsid w:val="6C06777E"/>
    <w:rsid w:val="6C4A05C8"/>
    <w:rsid w:val="6C69563C"/>
    <w:rsid w:val="6C8742B8"/>
    <w:rsid w:val="6D30580E"/>
    <w:rsid w:val="6DBF5E93"/>
    <w:rsid w:val="6DFF077E"/>
    <w:rsid w:val="6E714EF0"/>
    <w:rsid w:val="6E7E3605"/>
    <w:rsid w:val="6E7FDCC7"/>
    <w:rsid w:val="6ED6A62E"/>
    <w:rsid w:val="6EE00B15"/>
    <w:rsid w:val="6F1B02F3"/>
    <w:rsid w:val="6F6FB3EB"/>
    <w:rsid w:val="6F745F20"/>
    <w:rsid w:val="6F8731EA"/>
    <w:rsid w:val="6FB53BE5"/>
    <w:rsid w:val="6FCE6052"/>
    <w:rsid w:val="6FD57C00"/>
    <w:rsid w:val="6FEFFFD8"/>
    <w:rsid w:val="6FF5CC65"/>
    <w:rsid w:val="6FFB47EC"/>
    <w:rsid w:val="6FFF034A"/>
    <w:rsid w:val="702B2945"/>
    <w:rsid w:val="70484440"/>
    <w:rsid w:val="712A28F1"/>
    <w:rsid w:val="715C0E4B"/>
    <w:rsid w:val="71643FCF"/>
    <w:rsid w:val="71992E7C"/>
    <w:rsid w:val="72233669"/>
    <w:rsid w:val="72734D90"/>
    <w:rsid w:val="73097EF8"/>
    <w:rsid w:val="73160E6D"/>
    <w:rsid w:val="7332FE48"/>
    <w:rsid w:val="737F95A2"/>
    <w:rsid w:val="73AB61DA"/>
    <w:rsid w:val="73AD73D5"/>
    <w:rsid w:val="73B6EB34"/>
    <w:rsid w:val="73FA497D"/>
    <w:rsid w:val="744731E5"/>
    <w:rsid w:val="74816888"/>
    <w:rsid w:val="74BBD01D"/>
    <w:rsid w:val="74ED5379"/>
    <w:rsid w:val="75327188"/>
    <w:rsid w:val="759848B9"/>
    <w:rsid w:val="75DEEEC2"/>
    <w:rsid w:val="75E32345"/>
    <w:rsid w:val="76D70F88"/>
    <w:rsid w:val="76E3355F"/>
    <w:rsid w:val="76FF5125"/>
    <w:rsid w:val="776F6FFA"/>
    <w:rsid w:val="777C67A5"/>
    <w:rsid w:val="7780760C"/>
    <w:rsid w:val="778769C8"/>
    <w:rsid w:val="77A75DCA"/>
    <w:rsid w:val="77DC22F5"/>
    <w:rsid w:val="783E271A"/>
    <w:rsid w:val="78616DE9"/>
    <w:rsid w:val="78E875D7"/>
    <w:rsid w:val="79086DAD"/>
    <w:rsid w:val="792720FD"/>
    <w:rsid w:val="793D1062"/>
    <w:rsid w:val="79C310B6"/>
    <w:rsid w:val="79D7FD79"/>
    <w:rsid w:val="79EE5BA4"/>
    <w:rsid w:val="7A894339"/>
    <w:rsid w:val="7AD284E8"/>
    <w:rsid w:val="7AED5790"/>
    <w:rsid w:val="7AFF7572"/>
    <w:rsid w:val="7B5A1627"/>
    <w:rsid w:val="7B6C7DFB"/>
    <w:rsid w:val="7BBFBED0"/>
    <w:rsid w:val="7BC3E394"/>
    <w:rsid w:val="7C1F3737"/>
    <w:rsid w:val="7C4D1E27"/>
    <w:rsid w:val="7C751B73"/>
    <w:rsid w:val="7C876415"/>
    <w:rsid w:val="7CBFC87B"/>
    <w:rsid w:val="7CFE0F48"/>
    <w:rsid w:val="7D272ABC"/>
    <w:rsid w:val="7D7AE340"/>
    <w:rsid w:val="7D7EC23E"/>
    <w:rsid w:val="7E7F0045"/>
    <w:rsid w:val="7E8ADEBF"/>
    <w:rsid w:val="7EDFEFA9"/>
    <w:rsid w:val="7EEF11D3"/>
    <w:rsid w:val="7EF639D9"/>
    <w:rsid w:val="7EFE4840"/>
    <w:rsid w:val="7F0971A6"/>
    <w:rsid w:val="7F1D62E7"/>
    <w:rsid w:val="7F24024A"/>
    <w:rsid w:val="7F3F679B"/>
    <w:rsid w:val="7F4E1BC7"/>
    <w:rsid w:val="7F4FC4EF"/>
    <w:rsid w:val="7F5D3FE1"/>
    <w:rsid w:val="7F5E4D54"/>
    <w:rsid w:val="7F6E0135"/>
    <w:rsid w:val="7F79F205"/>
    <w:rsid w:val="7FA30C79"/>
    <w:rsid w:val="7FA79C44"/>
    <w:rsid w:val="7FAF8ABF"/>
    <w:rsid w:val="7FB7269E"/>
    <w:rsid w:val="7FC96657"/>
    <w:rsid w:val="7FDA9588"/>
    <w:rsid w:val="7FDF220F"/>
    <w:rsid w:val="7FDFC913"/>
    <w:rsid w:val="7FEDC5F7"/>
    <w:rsid w:val="7FEDD9DE"/>
    <w:rsid w:val="7FF5890D"/>
    <w:rsid w:val="7FF7B0AE"/>
    <w:rsid w:val="7FF93490"/>
    <w:rsid w:val="7FFD3020"/>
    <w:rsid w:val="7FFDF49E"/>
    <w:rsid w:val="7FFEDE35"/>
    <w:rsid w:val="7FFEEC37"/>
    <w:rsid w:val="8BEB158E"/>
    <w:rsid w:val="8F7E433B"/>
    <w:rsid w:val="97358D8A"/>
    <w:rsid w:val="99FF2014"/>
    <w:rsid w:val="9F7B9338"/>
    <w:rsid w:val="9F863127"/>
    <w:rsid w:val="9FDB0E2F"/>
    <w:rsid w:val="A6DD0D7F"/>
    <w:rsid w:val="AB990DA6"/>
    <w:rsid w:val="ACFF4FBB"/>
    <w:rsid w:val="ADC6F725"/>
    <w:rsid w:val="B2FDA15D"/>
    <w:rsid w:val="B7CF06AB"/>
    <w:rsid w:val="B7CFA926"/>
    <w:rsid w:val="B7F8786B"/>
    <w:rsid w:val="BABB6AA1"/>
    <w:rsid w:val="BB2F4199"/>
    <w:rsid w:val="BCFFB442"/>
    <w:rsid w:val="BD079C78"/>
    <w:rsid w:val="BD733540"/>
    <w:rsid w:val="BD8FF88B"/>
    <w:rsid w:val="BDE963F5"/>
    <w:rsid w:val="BDEB9677"/>
    <w:rsid w:val="BEDA3AD1"/>
    <w:rsid w:val="BF3735D5"/>
    <w:rsid w:val="BF7F09AC"/>
    <w:rsid w:val="BFD475C3"/>
    <w:rsid w:val="BFDE5EA6"/>
    <w:rsid w:val="BFFD88A4"/>
    <w:rsid w:val="CF6FC6F3"/>
    <w:rsid w:val="CFD3D3D7"/>
    <w:rsid w:val="CFDF1009"/>
    <w:rsid w:val="D7D7B16A"/>
    <w:rsid w:val="D8D6DB89"/>
    <w:rsid w:val="D9FFCEC9"/>
    <w:rsid w:val="DB6F4CAB"/>
    <w:rsid w:val="DB777682"/>
    <w:rsid w:val="DB9E8B36"/>
    <w:rsid w:val="DD1FB521"/>
    <w:rsid w:val="DEFBFEAE"/>
    <w:rsid w:val="DF1F3B80"/>
    <w:rsid w:val="DF6F9789"/>
    <w:rsid w:val="DFD27474"/>
    <w:rsid w:val="DFE9BE81"/>
    <w:rsid w:val="DFFD4457"/>
    <w:rsid w:val="DFFFA9E8"/>
    <w:rsid w:val="E5F4E9DC"/>
    <w:rsid w:val="E70FE695"/>
    <w:rsid w:val="E77FE71F"/>
    <w:rsid w:val="EB2E368B"/>
    <w:rsid w:val="ECFED1BC"/>
    <w:rsid w:val="ED1D69BB"/>
    <w:rsid w:val="ED5F8CE4"/>
    <w:rsid w:val="ED7FD312"/>
    <w:rsid w:val="EF2E1AC6"/>
    <w:rsid w:val="EF53993F"/>
    <w:rsid w:val="EF6FD633"/>
    <w:rsid w:val="EFBFB2F4"/>
    <w:rsid w:val="EFBFFA21"/>
    <w:rsid w:val="EFE34E78"/>
    <w:rsid w:val="EFFFDD30"/>
    <w:rsid w:val="F2BEBCB8"/>
    <w:rsid w:val="F36FB518"/>
    <w:rsid w:val="F3DE1A04"/>
    <w:rsid w:val="F3F722E5"/>
    <w:rsid w:val="F4FBCD07"/>
    <w:rsid w:val="F6AFEC21"/>
    <w:rsid w:val="F6DB1271"/>
    <w:rsid w:val="F76E25F7"/>
    <w:rsid w:val="F773D69B"/>
    <w:rsid w:val="F7F24B10"/>
    <w:rsid w:val="F7F65774"/>
    <w:rsid w:val="FA5F1E70"/>
    <w:rsid w:val="FA5FDB97"/>
    <w:rsid w:val="FB7F486A"/>
    <w:rsid w:val="FBFF5B2E"/>
    <w:rsid w:val="FD7FFE2B"/>
    <w:rsid w:val="FDD3916B"/>
    <w:rsid w:val="FDEE196B"/>
    <w:rsid w:val="FDF728DC"/>
    <w:rsid w:val="FDFE6575"/>
    <w:rsid w:val="FEDFDDC2"/>
    <w:rsid w:val="FEED32F6"/>
    <w:rsid w:val="FEF781DD"/>
    <w:rsid w:val="FF3F7E3F"/>
    <w:rsid w:val="FF7E7E0F"/>
    <w:rsid w:val="FFB7B203"/>
    <w:rsid w:val="FFBA12D7"/>
    <w:rsid w:val="FFCBD314"/>
    <w:rsid w:val="FFDFF91C"/>
    <w:rsid w:val="FFDFFAEE"/>
    <w:rsid w:val="FFEF6777"/>
    <w:rsid w:val="FFF9B57B"/>
    <w:rsid w:val="FFFD61D9"/>
    <w:rsid w:val="FFFD8F59"/>
    <w:rsid w:val="FFFE95E2"/>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32"/>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正文-公1"/>
    <w:basedOn w:val="21"/>
    <w:next w:val="1"/>
    <w:qFormat/>
    <w:uiPriority w:val="0"/>
    <w:pPr>
      <w:ind w:firstLine="200" w:firstLineChars="200"/>
    </w:pPr>
  </w:style>
  <w:style w:type="paragraph" w:customStyle="1" w:styleId="2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0"/>
    <w:qFormat/>
    <w:uiPriority w:val="0"/>
    <w:pPr>
      <w:widowControl w:val="0"/>
      <w:jc w:val="both"/>
    </w:pPr>
    <w:rPr>
      <w:rFonts w:ascii="Times New Roman" w:hAnsi="Times New Roman" w:eastAsia="宋体" w:cs="Times New Roman"/>
      <w:kern w:val="2"/>
      <w:sz w:val="21"/>
      <w:szCs w:val="22"/>
      <w:lang w:val="en-US" w:eastAsia="zh-CN"/>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7"/>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7"/>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9">
    <w:name w:val="列出段落1"/>
    <w:basedOn w:val="1"/>
    <w:qFormat/>
    <w:uiPriority w:val="34"/>
    <w:pPr>
      <w:ind w:firstLine="420" w:firstLineChars="200"/>
    </w:pPr>
  </w:style>
  <w:style w:type="character" w:customStyle="1" w:styleId="30">
    <w:name w:val="标题 1 Char"/>
    <w:basedOn w:val="17"/>
    <w:link w:val="3"/>
    <w:qFormat/>
    <w:uiPriority w:val="9"/>
    <w:rPr>
      <w:rFonts w:ascii="Times New Roman" w:hAnsi="Times New Roman"/>
      <w:b/>
      <w:bCs/>
      <w:kern w:val="44"/>
      <w:sz w:val="44"/>
      <w:szCs w:val="44"/>
    </w:rPr>
  </w:style>
  <w:style w:type="character" w:customStyle="1" w:styleId="31">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7"/>
    <w:link w:val="10"/>
    <w:semiHidden/>
    <w:qFormat/>
    <w:uiPriority w:val="99"/>
    <w:rPr>
      <w:rFonts w:ascii="Times New Roman" w:hAnsi="Times New Roman"/>
      <w:kern w:val="2"/>
      <w:sz w:val="18"/>
      <w:szCs w:val="18"/>
    </w:rPr>
  </w:style>
  <w:style w:type="character" w:customStyle="1" w:styleId="34">
    <w:name w:val="标题 3 Char"/>
    <w:basedOn w:val="17"/>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styleId="3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26609;&#29366;&#2227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Lenovo\Desktop\&#26609;&#29366;&#2227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827443442259352"/>
          <c:y val="0.171324422843256"/>
          <c:w val="0.874375277243827"/>
          <c:h val="0.7281652490887"/>
        </c:manualLayout>
      </c:layout>
      <c:barChart>
        <c:barDir val="col"/>
        <c:grouping val="clustered"/>
        <c:varyColors val="false"/>
        <c:ser>
          <c:idx val="0"/>
          <c:order val="0"/>
          <c:tx>
            <c:strRef>
              <c:f>Sheet1!$B$1</c:f>
              <c:strCache>
                <c:ptCount val="1"/>
                <c:pt idx="0">
                  <c:v>2024</c:v>
                </c:pt>
              </c:strCache>
            </c:strRef>
          </c:tx>
          <c:spPr>
            <a:gradFill>
              <a:gsLst>
                <a:gs pos="100000">
                  <a:schemeClr val="accent1">
                    <a:lumMod val="75000"/>
                    <a:alpha val="50000"/>
                  </a:schemeClr>
                </a:gs>
                <a:gs pos="0">
                  <a:schemeClr val="accent1">
                    <a:lumMod val="75000"/>
                  </a:schemeClr>
                </a:gs>
              </a:gsLst>
              <a:lin ang="5400000" scaled="tru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2024</c:v>
                </c:pt>
                <c:pt idx="1">
                  <c:v>2025</c:v>
                </c:pt>
              </c:numCache>
            </c:numRef>
          </c:cat>
          <c:val>
            <c:numRef>
              <c:f>Sheet1!$B$2:$B$5</c:f>
              <c:numCache>
                <c:formatCode>General</c:formatCode>
                <c:ptCount val="4"/>
                <c:pt idx="0">
                  <c:v>1654.47</c:v>
                </c:pt>
              </c:numCache>
            </c:numRef>
          </c:val>
        </c:ser>
        <c:ser>
          <c:idx val="1"/>
          <c:order val="1"/>
          <c:tx>
            <c:strRef>
              <c:f>Sheet1!$C$1</c:f>
              <c:strCache>
                <c:ptCount val="1"/>
                <c:pt idx="0">
                  <c:v>2025</c:v>
                </c:pt>
              </c:strCache>
            </c:strRef>
          </c:tx>
          <c:spPr>
            <a:gradFill>
              <a:gsLst>
                <a:gs pos="100000">
                  <a:schemeClr val="accent1">
                    <a:alpha val="50000"/>
                  </a:schemeClr>
                </a:gs>
                <a:gs pos="0">
                  <a:schemeClr val="accent1"/>
                </a:gs>
              </a:gsLst>
              <a:lin ang="5400000" scaled="tru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2024</c:v>
                </c:pt>
                <c:pt idx="1">
                  <c:v>2025</c:v>
                </c:pt>
              </c:numCache>
            </c:numRef>
          </c:cat>
          <c:val>
            <c:numRef>
              <c:f>Sheet1!$C$2:$C$5</c:f>
              <c:numCache>
                <c:formatCode>General</c:formatCode>
                <c:ptCount val="4"/>
                <c:pt idx="1">
                  <c:v>1785.41</c:v>
                </c:pt>
              </c:numCache>
            </c:numRef>
          </c:val>
        </c:ser>
        <c:ser>
          <c:idx val="2"/>
          <c:order val="2"/>
          <c:tx>
            <c:strRef>
              <c:f>Sheet1!$D$1</c:f>
              <c:strCache>
                <c:ptCount val="1"/>
                <c:pt idx="0">
                  <c:v/>
                </c:pt>
              </c:strCache>
            </c:strRef>
          </c:tx>
          <c:spPr>
            <a:gradFill>
              <a:gsLst>
                <a:gs pos="100000">
                  <a:schemeClr val="accent1">
                    <a:alpha val="50000"/>
                  </a:schemeClr>
                </a:gs>
                <a:gs pos="0">
                  <a:schemeClr val="accent1">
                    <a:alpha val="80000"/>
                  </a:schemeClr>
                </a:gs>
              </a:gsLst>
              <a:lin ang="5400000" scaled="true"/>
            </a:gradFill>
            <a:ln>
              <a:noFill/>
            </a:ln>
            <a:effectLst/>
          </c:spPr>
          <c:invertIfNegative val="false"/>
          <c:dLbls>
            <c:delete val="true"/>
          </c:dLbls>
          <c:cat>
            <c:numRef>
              <c:f>Sheet1!$A$2:$A$5</c:f>
              <c:numCache>
                <c:formatCode>General</c:formatCode>
                <c:ptCount val="4"/>
                <c:pt idx="0">
                  <c:v>2024</c:v>
                </c:pt>
                <c:pt idx="1">
                  <c:v>2025</c:v>
                </c:pt>
              </c:numCache>
            </c:numRef>
          </c:cat>
          <c:val>
            <c:numRef>
              <c:f>Sheet1!$D$2:$D$5</c:f>
              <c:numCache>
                <c:formatCode>General</c:formatCode>
                <c:ptCount val="4"/>
              </c:numCache>
            </c:numRef>
          </c:val>
        </c:ser>
        <c:dLbls>
          <c:showLegendKey val="false"/>
          <c:showVal val="false"/>
          <c:showCatName val="false"/>
          <c:showSerName val="false"/>
          <c:showPercent val="false"/>
          <c:showBubbleSize val="false"/>
        </c:dLbls>
        <c:gapWidth val="500"/>
        <c:overlap val="-100"/>
        <c:axId val="104749704"/>
        <c:axId val="749907026"/>
      </c:barChart>
      <c:catAx>
        <c:axId val="104749704"/>
        <c:scaling>
          <c:orientation val="minMax"/>
        </c:scaling>
        <c:delete val="false"/>
        <c:axPos val="b"/>
        <c:majorGridlines>
          <c:spPr>
            <a:ln w="6350" cap="flat" cmpd="sng" algn="ctr">
              <a:solidFill>
                <a:schemeClr val="tx1">
                  <a:lumMod val="50000"/>
                  <a:lumOff val="50000"/>
                  <a:alpha val="25000"/>
                </a:schemeClr>
              </a:solidFill>
              <a:round/>
            </a:ln>
            <a:effectLst/>
          </c:spPr>
        </c:majorGridlines>
        <c:numFmt formatCode="General" sourceLinked="true"/>
        <c:majorTickMark val="none"/>
        <c:minorTickMark val="none"/>
        <c:tickLblPos val="nextTo"/>
        <c:spPr>
          <a:noFill/>
          <a:ln w="9525" cap="flat" cmpd="sng" algn="ctr">
            <a:solidFill>
              <a:schemeClr val="tx1">
                <a:lumMod val="50000"/>
                <a:lumOff val="50000"/>
                <a:alpha val="30000"/>
              </a:schemeClr>
            </a:solidFill>
            <a:round/>
          </a:ln>
          <a:effectLst/>
        </c:spPr>
        <c:txPr>
          <a:bodyPr rot="-60000000" spcFirstLastPara="0" vertOverflow="ellipsis" vert="horz" wrap="square" anchor="ctr" anchorCtr="true" forceAA="false"/>
          <a:lstStyle/>
          <a:p>
            <a:pPr>
              <a:defRPr lang="zh-CN" sz="900" b="0" i="0" u="none" strike="noStrike" kern="1200" baseline="0">
                <a:solidFill>
                  <a:schemeClr val="tx1">
                    <a:lumMod val="65000"/>
                    <a:lumOff val="35000"/>
                  </a:schemeClr>
                </a:solidFill>
                <a:latin typeface="+mn-lt"/>
                <a:ea typeface="+mn-ea"/>
                <a:cs typeface="+mn-cs"/>
              </a:defRPr>
            </a:pPr>
          </a:p>
        </c:txPr>
        <c:crossAx val="749907026"/>
        <c:crosses val="autoZero"/>
        <c:auto val="true"/>
        <c:lblAlgn val="ctr"/>
        <c:lblOffset val="100"/>
        <c:noMultiLvlLbl val="false"/>
      </c:catAx>
      <c:valAx>
        <c:axId val="749907026"/>
        <c:scaling>
          <c:orientation val="minMax"/>
        </c:scaling>
        <c:delete val="false"/>
        <c:axPos val="l"/>
        <c:numFmt formatCode="General" sourceLinked="true"/>
        <c:majorTickMark val="none"/>
        <c:minorTickMark val="none"/>
        <c:tickLblPos val="nextTo"/>
        <c:spPr>
          <a:noFill/>
          <a:ln>
            <a:noFill/>
          </a:ln>
          <a:effectLst/>
        </c:spPr>
        <c:txPr>
          <a:bodyPr rot="-60000000" spcFirstLastPara="0" vertOverflow="ellipsis" vert="horz" wrap="square" anchor="ctr" anchorCtr="true" forceAA="false"/>
          <a:lstStyle/>
          <a:p>
            <a:pPr>
              <a:defRPr lang="zh-CN" sz="900" b="0" i="0" u="none" strike="noStrike" kern="1200" baseline="0">
                <a:solidFill>
                  <a:schemeClr val="tx1">
                    <a:lumMod val="65000"/>
                    <a:lumOff val="35000"/>
                  </a:schemeClr>
                </a:solidFill>
                <a:latin typeface="+mn-lt"/>
                <a:ea typeface="+mn-ea"/>
                <a:cs typeface="+mn-cs"/>
              </a:defRPr>
            </a:pPr>
          </a:p>
        </c:txPr>
        <c:crossAx val="104749704"/>
        <c:crosses val="autoZero"/>
        <c:crossBetween val="between"/>
      </c:valAx>
      <c:spPr>
        <a:noFill/>
        <a:ln>
          <a:noFill/>
        </a:ln>
        <a:effectLst/>
      </c:spPr>
    </c:plotArea>
    <c:plotVisOnly val="true"/>
    <c:dispBlanksAs val="gap"/>
    <c:showDLblsOverMax val="false"/>
  </c:chart>
  <c:spPr>
    <a:no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1"/>
          <c:order val="0"/>
          <c:spPr/>
          <c:explosion val="0"/>
          <c:dPt>
            <c:idx val="0"/>
            <c:bubble3D val="false"/>
            <c:spPr>
              <a:gradFill>
                <a:gsLst>
                  <a:gs pos="0">
                    <a:schemeClr val="accent1">
                      <a:lumMod val="40000"/>
                      <a:lumOff val="60000"/>
                    </a:schemeClr>
                  </a:gs>
                  <a:gs pos="90000">
                    <a:schemeClr val="accent1"/>
                  </a:gs>
                </a:gsLst>
                <a:lin ang="5400000" scaled="false"/>
              </a:gradFill>
              <a:ln>
                <a:gradFill>
                  <a:gsLst>
                    <a:gs pos="0">
                      <a:schemeClr val="accent1"/>
                    </a:gs>
                    <a:gs pos="100000">
                      <a:schemeClr val="accent1">
                        <a:lumMod val="75000"/>
                      </a:schemeClr>
                    </a:gs>
                  </a:gsLst>
                  <a:lin ang="5400000" scaled="true"/>
                </a:gradFill>
              </a:ln>
              <a:effectLst>
                <a:outerShdw blurRad="76200" dist="25400" dir="2700000" algn="tl" rotWithShape="0">
                  <a:schemeClr val="accent1">
                    <a:lumMod val="50000"/>
                    <a:alpha val="30000"/>
                  </a:schemeClr>
                </a:outerShdw>
              </a:effectLst>
            </c:spPr>
          </c:dPt>
          <c:dPt>
            <c:idx val="1"/>
            <c:bubble3D val="false"/>
            <c:spPr>
              <a:gradFill>
                <a:gsLst>
                  <a:gs pos="0">
                    <a:schemeClr val="accent2">
                      <a:lumMod val="40000"/>
                      <a:lumOff val="60000"/>
                    </a:schemeClr>
                  </a:gs>
                  <a:gs pos="90000">
                    <a:schemeClr val="accent2"/>
                  </a:gs>
                </a:gsLst>
                <a:lin ang="5400000" scaled="false"/>
              </a:gradFill>
              <a:ln>
                <a:gradFill>
                  <a:gsLst>
                    <a:gs pos="0">
                      <a:schemeClr val="accent2"/>
                    </a:gs>
                    <a:gs pos="100000">
                      <a:schemeClr val="accent2">
                        <a:lumMod val="75000"/>
                      </a:schemeClr>
                    </a:gs>
                  </a:gsLst>
                  <a:lin ang="5400000" scaled="true"/>
                </a:gradFill>
              </a:ln>
              <a:effectLst>
                <a:outerShdw blurRad="76200" dist="25400" dir="2700000" algn="tl" rotWithShape="0">
                  <a:schemeClr val="accent2">
                    <a:lumMod val="50000"/>
                    <a:alpha val="30000"/>
                  </a:schemeClr>
                </a:outerShdw>
              </a:effectLst>
            </c:spPr>
          </c:dPt>
          <c:dPt>
            <c:idx val="2"/>
            <c:bubble3D val="false"/>
            <c:spPr>
              <a:gradFill>
                <a:gsLst>
                  <a:gs pos="0">
                    <a:schemeClr val="accent3">
                      <a:lumMod val="40000"/>
                      <a:lumOff val="60000"/>
                    </a:schemeClr>
                  </a:gs>
                  <a:gs pos="90000">
                    <a:schemeClr val="accent3"/>
                  </a:gs>
                </a:gsLst>
                <a:lin ang="5400000" scaled="false"/>
              </a:gradFill>
              <a:ln>
                <a:gradFill>
                  <a:gsLst>
                    <a:gs pos="0">
                      <a:schemeClr val="accent3"/>
                    </a:gs>
                    <a:gs pos="100000">
                      <a:schemeClr val="accent3">
                        <a:lumMod val="75000"/>
                      </a:schemeClr>
                    </a:gs>
                  </a:gsLst>
                  <a:lin ang="5400000" scaled="true"/>
                </a:gradFill>
              </a:ln>
              <a:effectLst>
                <a:outerShdw blurRad="76200" dist="25400" dir="2700000" algn="tl" rotWithShape="0">
                  <a:schemeClr val="accent3">
                    <a:lumMod val="50000"/>
                    <a:alpha val="30000"/>
                  </a:schemeClr>
                </a:outerShdw>
              </a:effectLst>
            </c:spPr>
          </c:dPt>
          <c:dPt>
            <c:idx val="3"/>
            <c:bubble3D val="false"/>
            <c:spPr>
              <a:gradFill>
                <a:gsLst>
                  <a:gs pos="0">
                    <a:schemeClr val="accent4">
                      <a:lumMod val="40000"/>
                      <a:lumOff val="60000"/>
                    </a:schemeClr>
                  </a:gs>
                  <a:gs pos="90000">
                    <a:schemeClr val="accent4"/>
                  </a:gs>
                </a:gsLst>
                <a:lin ang="5400000" scaled="false"/>
              </a:gradFill>
              <a:ln>
                <a:gradFill>
                  <a:gsLst>
                    <a:gs pos="0">
                      <a:schemeClr val="accent4"/>
                    </a:gs>
                    <a:gs pos="100000">
                      <a:schemeClr val="accent4">
                        <a:lumMod val="75000"/>
                      </a:schemeClr>
                    </a:gs>
                  </a:gsLst>
                  <a:lin ang="5400000" scaled="true"/>
                </a:gradFill>
              </a:ln>
              <a:effectLst>
                <a:outerShdw blurRad="76200" dist="25400" dir="2700000" algn="tl" rotWithShape="0">
                  <a:schemeClr val="accent4">
                    <a:lumMod val="50000"/>
                    <a:alpha val="30000"/>
                  </a:schemeClr>
                </a:outerShdw>
              </a:effectLst>
            </c:spPr>
          </c:dPt>
          <c:dLbls>
            <c:dLbl>
              <c:idx val="0"/>
              <c:layout>
                <c:manualLayout>
                  <c:x val="0.3"/>
                  <c:y val="-0.0402777777777778"/>
                </c:manualLayout>
              </c:layout>
              <c:tx>
                <c:rich>
                  <a:bodyPr rot="0" spcFirstLastPara="0" vertOverflow="ellipsis" vert="horz" wrap="square" lIns="38100" tIns="19050" rIns="38100" bIns="19050" anchor="ctr" anchorCtr="true"/>
                  <a:lstStyle/>
                  <a:p>
                    <a:pPr defTabSz="914400">
                      <a:defRPr lang="zh-CN" sz="1000" b="0" i="0" u="none" strike="noStrike" kern="1200" baseline="0">
                        <a:solidFill>
                          <a:schemeClr val="tx1">
                            <a:lumMod val="75000"/>
                            <a:lumOff val="25000"/>
                          </a:schemeClr>
                        </a:solidFill>
                        <a:latin typeface="+mn-lt"/>
                        <a:ea typeface="+mn-ea"/>
                        <a:cs typeface="+mn-cs"/>
                      </a:defRPr>
                    </a:pPr>
                    <a:r>
                      <a:t>一般公共预算财政拨款收入100%</a:t>
                    </a:r>
                  </a:p>
                </c:rich>
              </c:tx>
              <c:dLblPos val="bestFit"/>
              <c:showLegendKey val="false"/>
              <c:showVal val="true"/>
              <c:showCatName val="true"/>
              <c:showSerName val="false"/>
              <c:showPercent val="false"/>
              <c:showBubbleSize val="false"/>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true"/>
                  <a:lstStyle/>
                  <a:p>
                    <a:pPr defTabSz="914400">
                      <a:defRPr lang="zh-CN" sz="1000" b="0" i="0" u="none" strike="noStrike" kern="1200" baseline="0">
                        <a:solidFill>
                          <a:schemeClr val="tx1">
                            <a:lumMod val="75000"/>
                            <a:lumOff val="25000"/>
                          </a:schemeClr>
                        </a:solidFill>
                        <a:latin typeface="+mn-lt"/>
                        <a:ea typeface="+mn-ea"/>
                        <a:cs typeface="+mn-cs"/>
                      </a:defRPr>
                    </a:pPr>
                    <a:r>
                      <a:t>其他收入0</a:t>
                    </a:r>
                  </a:p>
                </c:rich>
              </c:tx>
              <c:dLblPos val="outEnd"/>
              <c:showLegendKey val="false"/>
              <c:showVal val="true"/>
              <c:showCatName val="true"/>
              <c:showSerName val="false"/>
              <c:showPercent val="false"/>
              <c:showBubbleSize val="false"/>
              <c:extLst>
                <c:ext xmlns:c15="http://schemas.microsoft.com/office/drawing/2012/chart" uri="{CE6537A1-D6FC-4f65-9D91-7224C49458BB}"/>
              </c:extLst>
            </c:dLbl>
            <c:dLbl>
              <c:idx val="2"/>
              <c:delete val="true"/>
            </c:dLbl>
            <c:dLbl>
              <c:idx val="3"/>
              <c:delete val="true"/>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tru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'[柱状图.xlsx]图2 '!$B$2:$B$5</c:f>
              <c:strCache>
                <c:ptCount val="4"/>
                <c:pt idx="0">
                  <c:v>一般公共预算财政拨款收入</c:v>
                </c:pt>
                <c:pt idx="1">
                  <c:v>政府性基金预算财政拨款收入</c:v>
                </c:pt>
                <c:pt idx="2">
                  <c:v>国有资本经营预算财政拨款收入</c:v>
                </c:pt>
                <c:pt idx="3">
                  <c:v>其他收入</c:v>
                </c:pt>
              </c:strCache>
            </c:strRef>
          </c:cat>
          <c:val>
            <c:numRef>
              <c:f>'[柱状图.xlsx]图2 '!$D$2:$D$5</c:f>
              <c:numCache>
                <c:formatCode>0%</c:formatCode>
                <c:ptCount val="4"/>
                <c:pt idx="0">
                  <c:v>1</c:v>
                </c:pt>
                <c:pt idx="1" c:formatCode="General">
                  <c:v>0</c:v>
                </c:pt>
                <c:pt idx="2" c:formatCode="General">
                  <c:v>0</c:v>
                </c:pt>
                <c:pt idx="3" c:formatCode="General">
                  <c:v>0</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plotVisOnly val="true"/>
    <c:dispBlanksAs val="gap"/>
    <c:showDLblsOverMax val="false"/>
  </c:chart>
  <c:spPr>
    <a:no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Lbls>
            <c:dLbl>
              <c:idx val="0"/>
              <c:layout>
                <c:manualLayout>
                  <c:x val="-0.00158273381294964"/>
                  <c:y val="0"/>
                </c:manualLayout>
              </c:layout>
              <c:tx>
                <c:rich>
                  <a:bodyPr rot="0" spcFirstLastPara="0" vertOverflow="ellipsis" vert="horz" wrap="square" lIns="38100" tIns="19050" rIns="38100" bIns="19050" anchor="ctr" anchorCtr="true"/>
                  <a:lstStyle/>
                  <a:p>
                    <a:pPr defTabSz="914400">
                      <a:defRPr lang="zh-CN" sz="1000" b="1" i="0" u="none" strike="noStrike" kern="1200" spc="0" baseline="0">
                        <a:solidFill>
                          <a:schemeClr val="accent1"/>
                        </a:solidFill>
                        <a:latin typeface="+mn-lt"/>
                        <a:ea typeface="+mn-ea"/>
                        <a:cs typeface="+mn-cs"/>
                      </a:defRPr>
                    </a:pPr>
                    <a:r>
                      <a:t>基本支出 92.42%</a:t>
                    </a:r>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1"/>
                      </a:solidFill>
                      <a:latin typeface="+mn-lt"/>
                      <a:ea typeface="+mn-ea"/>
                      <a:cs typeface="+mn-cs"/>
                    </a:defRPr>
                  </a:pPr>
                </a:p>
              </c:txPr>
              <c:dLblPos val="bestFit"/>
              <c:showLegendKey val="false"/>
              <c:showVal val="true"/>
              <c:showCatName val="true"/>
              <c:showSerName val="false"/>
              <c:showPercent val="false"/>
              <c:showBubbleSize val="false"/>
              <c:extLst>
                <c:ext xmlns:c15="http://schemas.microsoft.com/office/drawing/2012/chart" uri="{CE6537A1-D6FC-4f65-9D91-7224C49458BB}">
                  <c15:layout>
                    <c:manualLayout>
                      <c:w val="0.274342105263158"/>
                      <c:h val="0.126163873370577"/>
                    </c:manualLayout>
                  </c15:layout>
                </c:ext>
              </c:extLst>
            </c:dLbl>
            <c:dLbl>
              <c:idx val="1"/>
              <c:layout>
                <c:manualLayout>
                  <c:x val="-0.11136690647482"/>
                  <c:y val="0.00831817000259943"/>
                </c:manualLayout>
              </c:layout>
              <c:tx>
                <c:rich>
                  <a:bodyPr rot="0" spcFirstLastPara="0" vertOverflow="ellipsis" vert="horz" wrap="square" lIns="38100" tIns="19050" rIns="38100" bIns="19050" anchor="ctr" anchorCtr="true"/>
                  <a:lstStyle/>
                  <a:p>
                    <a:pPr defTabSz="914400">
                      <a:defRPr lang="zh-CN" sz="1000" b="1" i="0" u="none" strike="noStrike" kern="1200" spc="0" baseline="0">
                        <a:solidFill>
                          <a:schemeClr val="accent2"/>
                        </a:solidFill>
                        <a:latin typeface="+mn-lt"/>
                        <a:ea typeface="+mn-ea"/>
                        <a:cs typeface="+mn-cs"/>
                      </a:defRPr>
                    </a:pPr>
                    <a:r>
                      <a:t>项目支出 7.58%</a:t>
                    </a:r>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2"/>
                      </a:solidFill>
                      <a:latin typeface="+mn-lt"/>
                      <a:ea typeface="+mn-ea"/>
                      <a:cs typeface="+mn-cs"/>
                    </a:defRPr>
                  </a:pPr>
                </a:p>
              </c:txPr>
              <c:dLblPos val="bestFit"/>
              <c:showLegendKey val="false"/>
              <c:showVal val="true"/>
              <c:showCatName val="tru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1"/>
                    </a:solidFill>
                    <a:latin typeface="+mn-lt"/>
                    <a:ea typeface="+mn-ea"/>
                    <a:cs typeface="+mn-cs"/>
                  </a:defRPr>
                </a:pPr>
              </a:p>
            </c:txPr>
            <c:dLblPos val="outEnd"/>
            <c:showLegendKey val="false"/>
            <c:showVal val="true"/>
            <c:showCatName val="tru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[柱状图.xlsx]图3!$A$4:$A$5</c:f>
              <c:strCache>
                <c:ptCount val="2"/>
                <c:pt idx="0">
                  <c:v>基本支出</c:v>
                </c:pt>
                <c:pt idx="1">
                  <c:v>项目支出</c:v>
                </c:pt>
              </c:strCache>
            </c:strRef>
          </c:cat>
          <c:val>
            <c:numRef>
              <c:f>[柱状图.xlsx]图3!$B$4:$B$5</c:f>
              <c:numCache>
                <c:formatCode>0.00%</c:formatCode>
                <c:ptCount val="2"/>
                <c:pt idx="0">
                  <c:v>0.9242</c:v>
                </c:pt>
                <c:pt idx="1">
                  <c:v>0.0758</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plotVisOnly val="true"/>
    <c:dispBlanksAs val="gap"/>
    <c:showDLblsOverMax val="false"/>
  </c:chart>
  <c:spPr>
    <a:no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827443442259352"/>
          <c:y val="0.171324422843256"/>
          <c:w val="0.874375277243827"/>
          <c:h val="0.7281652490887"/>
        </c:manualLayout>
      </c:layout>
      <c:barChart>
        <c:barDir val="col"/>
        <c:grouping val="clustered"/>
        <c:varyColors val="false"/>
        <c:ser>
          <c:idx val="0"/>
          <c:order val="0"/>
          <c:tx>
            <c:strRef>
              <c:f>Sheet1!$B$1</c:f>
              <c:strCache>
                <c:ptCount val="1"/>
                <c:pt idx="0">
                  <c:v>2024</c:v>
                </c:pt>
              </c:strCache>
            </c:strRef>
          </c:tx>
          <c:spPr>
            <a:gradFill>
              <a:gsLst>
                <a:gs pos="100000">
                  <a:schemeClr val="accent1">
                    <a:lumMod val="75000"/>
                    <a:alpha val="50000"/>
                  </a:schemeClr>
                </a:gs>
                <a:gs pos="0">
                  <a:schemeClr val="accent1">
                    <a:lumMod val="75000"/>
                  </a:schemeClr>
                </a:gs>
              </a:gsLst>
              <a:lin ang="5400000" scaled="tru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2024</c:v>
                </c:pt>
                <c:pt idx="1">
                  <c:v>2025</c:v>
                </c:pt>
              </c:numCache>
            </c:numRef>
          </c:cat>
          <c:val>
            <c:numRef>
              <c:f>Sheet1!$B$2:$B$5</c:f>
              <c:numCache>
                <c:formatCode>General</c:formatCode>
                <c:ptCount val="4"/>
                <c:pt idx="0">
                  <c:v>1654.47</c:v>
                </c:pt>
              </c:numCache>
            </c:numRef>
          </c:val>
        </c:ser>
        <c:ser>
          <c:idx val="1"/>
          <c:order val="1"/>
          <c:tx>
            <c:strRef>
              <c:f>Sheet1!$C$1</c:f>
              <c:strCache>
                <c:ptCount val="1"/>
                <c:pt idx="0">
                  <c:v>2025</c:v>
                </c:pt>
              </c:strCache>
            </c:strRef>
          </c:tx>
          <c:spPr>
            <a:gradFill>
              <a:gsLst>
                <a:gs pos="100000">
                  <a:schemeClr val="accent1">
                    <a:alpha val="50000"/>
                  </a:schemeClr>
                </a:gs>
                <a:gs pos="0">
                  <a:schemeClr val="accent1"/>
                </a:gs>
              </a:gsLst>
              <a:lin ang="5400000" scaled="tru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2024</c:v>
                </c:pt>
                <c:pt idx="1">
                  <c:v>2025</c:v>
                </c:pt>
              </c:numCache>
            </c:numRef>
          </c:cat>
          <c:val>
            <c:numRef>
              <c:f>Sheet1!$C$2:$C$5</c:f>
              <c:numCache>
                <c:formatCode>General</c:formatCode>
                <c:ptCount val="4"/>
                <c:pt idx="1">
                  <c:v>1785.41</c:v>
                </c:pt>
              </c:numCache>
            </c:numRef>
          </c:val>
        </c:ser>
        <c:ser>
          <c:idx val="2"/>
          <c:order val="2"/>
          <c:tx>
            <c:strRef>
              <c:f>Sheet1!$D$1</c:f>
              <c:strCache>
                <c:ptCount val="1"/>
                <c:pt idx="0">
                  <c:v/>
                </c:pt>
              </c:strCache>
            </c:strRef>
          </c:tx>
          <c:spPr>
            <a:gradFill>
              <a:gsLst>
                <a:gs pos="100000">
                  <a:schemeClr val="accent1">
                    <a:alpha val="50000"/>
                  </a:schemeClr>
                </a:gs>
                <a:gs pos="0">
                  <a:schemeClr val="accent1">
                    <a:alpha val="80000"/>
                  </a:schemeClr>
                </a:gs>
              </a:gsLst>
              <a:lin ang="5400000" scaled="true"/>
            </a:gradFill>
            <a:ln>
              <a:noFill/>
            </a:ln>
            <a:effectLst/>
          </c:spPr>
          <c:invertIfNegative val="false"/>
          <c:dLbls>
            <c:delete val="true"/>
          </c:dLbls>
          <c:cat>
            <c:numRef>
              <c:f>Sheet1!$A$2:$A$5</c:f>
              <c:numCache>
                <c:formatCode>General</c:formatCode>
                <c:ptCount val="4"/>
                <c:pt idx="0">
                  <c:v>2024</c:v>
                </c:pt>
                <c:pt idx="1">
                  <c:v>2025</c:v>
                </c:pt>
              </c:numCache>
            </c:numRef>
          </c:cat>
          <c:val>
            <c:numRef>
              <c:f>Sheet1!$D$2:$D$5</c:f>
              <c:numCache>
                <c:formatCode>General</c:formatCode>
                <c:ptCount val="4"/>
              </c:numCache>
            </c:numRef>
          </c:val>
        </c:ser>
        <c:dLbls>
          <c:showLegendKey val="false"/>
          <c:showVal val="false"/>
          <c:showCatName val="false"/>
          <c:showSerName val="false"/>
          <c:showPercent val="false"/>
          <c:showBubbleSize val="false"/>
        </c:dLbls>
        <c:gapWidth val="500"/>
        <c:overlap val="-100"/>
        <c:axId val="104749704"/>
        <c:axId val="749907026"/>
      </c:barChart>
      <c:catAx>
        <c:axId val="104749704"/>
        <c:scaling>
          <c:orientation val="minMax"/>
        </c:scaling>
        <c:delete val="false"/>
        <c:axPos val="b"/>
        <c:majorGridlines>
          <c:spPr>
            <a:ln w="6350" cap="flat" cmpd="sng" algn="ctr">
              <a:solidFill>
                <a:schemeClr val="tx1">
                  <a:lumMod val="50000"/>
                  <a:lumOff val="50000"/>
                  <a:alpha val="25000"/>
                </a:schemeClr>
              </a:solidFill>
              <a:round/>
            </a:ln>
            <a:effectLst/>
          </c:spPr>
        </c:majorGridlines>
        <c:numFmt formatCode="General" sourceLinked="true"/>
        <c:majorTickMark val="none"/>
        <c:minorTickMark val="none"/>
        <c:tickLblPos val="nextTo"/>
        <c:spPr>
          <a:noFill/>
          <a:ln w="9525" cap="flat" cmpd="sng" algn="ctr">
            <a:solidFill>
              <a:schemeClr val="tx1">
                <a:lumMod val="50000"/>
                <a:lumOff val="50000"/>
                <a:alpha val="30000"/>
              </a:schemeClr>
            </a:solidFill>
            <a:round/>
          </a:ln>
          <a:effectLst/>
        </c:spPr>
        <c:txPr>
          <a:bodyPr rot="-60000000" spcFirstLastPara="0" vertOverflow="ellipsis" vert="horz" wrap="square" anchor="ctr" anchorCtr="true" forceAA="false"/>
          <a:lstStyle/>
          <a:p>
            <a:pPr>
              <a:defRPr lang="zh-CN" sz="900" b="0" i="0" u="none" strike="noStrike" kern="1200" baseline="0">
                <a:solidFill>
                  <a:schemeClr val="tx1">
                    <a:lumMod val="65000"/>
                    <a:lumOff val="35000"/>
                  </a:schemeClr>
                </a:solidFill>
                <a:latin typeface="+mn-lt"/>
                <a:ea typeface="+mn-ea"/>
                <a:cs typeface="+mn-cs"/>
              </a:defRPr>
            </a:pPr>
          </a:p>
        </c:txPr>
        <c:crossAx val="749907026"/>
        <c:crosses val="autoZero"/>
        <c:auto val="true"/>
        <c:lblAlgn val="ctr"/>
        <c:lblOffset val="100"/>
        <c:noMultiLvlLbl val="false"/>
      </c:catAx>
      <c:valAx>
        <c:axId val="749907026"/>
        <c:scaling>
          <c:orientation val="minMax"/>
        </c:scaling>
        <c:delete val="false"/>
        <c:axPos val="l"/>
        <c:numFmt formatCode="General" sourceLinked="true"/>
        <c:majorTickMark val="none"/>
        <c:minorTickMark val="none"/>
        <c:tickLblPos val="nextTo"/>
        <c:spPr>
          <a:noFill/>
          <a:ln>
            <a:noFill/>
          </a:ln>
          <a:effectLst/>
        </c:spPr>
        <c:txPr>
          <a:bodyPr rot="-60000000" spcFirstLastPara="0" vertOverflow="ellipsis" vert="horz" wrap="square" anchor="ctr" anchorCtr="true" forceAA="false"/>
          <a:lstStyle/>
          <a:p>
            <a:pPr>
              <a:defRPr lang="zh-CN" sz="900" b="0" i="0" u="none" strike="noStrike" kern="1200" baseline="0">
                <a:solidFill>
                  <a:schemeClr val="tx1">
                    <a:lumMod val="65000"/>
                    <a:lumOff val="35000"/>
                  </a:schemeClr>
                </a:solidFill>
                <a:latin typeface="+mn-lt"/>
                <a:ea typeface="+mn-ea"/>
                <a:cs typeface="+mn-cs"/>
              </a:defRPr>
            </a:pPr>
          </a:p>
        </c:txPr>
        <c:crossAx val="104749704"/>
        <c:crosses val="autoZero"/>
        <c:crossBetween val="between"/>
      </c:valAx>
      <c:spPr>
        <a:noFill/>
        <a:ln>
          <a:noFill/>
        </a:ln>
        <a:effectLst/>
      </c:spPr>
    </c:plotArea>
    <c:plotVisOnly val="true"/>
    <c:dispBlanksAs val="gap"/>
    <c:showDLblsOverMax val="false"/>
  </c:chart>
  <c:spPr>
    <a:no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827443442259352"/>
          <c:y val="0.171324422843256"/>
          <c:w val="0.874375277243827"/>
          <c:h val="0.7281652490887"/>
        </c:manualLayout>
      </c:layout>
      <c:barChart>
        <c:barDir val="col"/>
        <c:grouping val="clustered"/>
        <c:varyColors val="false"/>
        <c:ser>
          <c:idx val="0"/>
          <c:order val="0"/>
          <c:tx>
            <c:strRef>
              <c:f>Sheet1!$B$1</c:f>
              <c:strCache>
                <c:ptCount val="1"/>
                <c:pt idx="0">
                  <c:v>2024</c:v>
                </c:pt>
              </c:strCache>
            </c:strRef>
          </c:tx>
          <c:spPr>
            <a:gradFill>
              <a:gsLst>
                <a:gs pos="100000">
                  <a:schemeClr val="accent1">
                    <a:lumMod val="75000"/>
                    <a:alpha val="50000"/>
                  </a:schemeClr>
                </a:gs>
                <a:gs pos="0">
                  <a:schemeClr val="accent1">
                    <a:lumMod val="75000"/>
                  </a:schemeClr>
                </a:gs>
              </a:gsLst>
              <a:lin ang="5400000" scaled="tru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2024</c:v>
                </c:pt>
                <c:pt idx="1">
                  <c:v>2025</c:v>
                </c:pt>
              </c:numCache>
            </c:numRef>
          </c:cat>
          <c:val>
            <c:numRef>
              <c:f>Sheet1!$B$2:$B$5</c:f>
              <c:numCache>
                <c:formatCode>General</c:formatCode>
                <c:ptCount val="4"/>
                <c:pt idx="0">
                  <c:v>1654.47</c:v>
                </c:pt>
              </c:numCache>
            </c:numRef>
          </c:val>
        </c:ser>
        <c:ser>
          <c:idx val="1"/>
          <c:order val="1"/>
          <c:tx>
            <c:strRef>
              <c:f>Sheet1!$C$1</c:f>
              <c:strCache>
                <c:ptCount val="1"/>
                <c:pt idx="0">
                  <c:v>2025</c:v>
                </c:pt>
              </c:strCache>
            </c:strRef>
          </c:tx>
          <c:spPr>
            <a:gradFill>
              <a:gsLst>
                <a:gs pos="100000">
                  <a:schemeClr val="accent1">
                    <a:alpha val="50000"/>
                  </a:schemeClr>
                </a:gs>
                <a:gs pos="0">
                  <a:schemeClr val="accent1"/>
                </a:gs>
              </a:gsLst>
              <a:lin ang="5400000" scaled="tru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2024</c:v>
                </c:pt>
                <c:pt idx="1">
                  <c:v>2025</c:v>
                </c:pt>
              </c:numCache>
            </c:numRef>
          </c:cat>
          <c:val>
            <c:numRef>
              <c:f>Sheet1!$C$2:$C$5</c:f>
              <c:numCache>
                <c:formatCode>General</c:formatCode>
                <c:ptCount val="4"/>
                <c:pt idx="1">
                  <c:v>1785.41</c:v>
                </c:pt>
              </c:numCache>
            </c:numRef>
          </c:val>
        </c:ser>
        <c:ser>
          <c:idx val="2"/>
          <c:order val="2"/>
          <c:tx>
            <c:strRef>
              <c:f>Sheet1!$D$1</c:f>
              <c:strCache>
                <c:ptCount val="1"/>
                <c:pt idx="0">
                  <c:v/>
                </c:pt>
              </c:strCache>
            </c:strRef>
          </c:tx>
          <c:spPr>
            <a:gradFill>
              <a:gsLst>
                <a:gs pos="100000">
                  <a:schemeClr val="accent1">
                    <a:alpha val="50000"/>
                  </a:schemeClr>
                </a:gs>
                <a:gs pos="0">
                  <a:schemeClr val="accent1">
                    <a:alpha val="80000"/>
                  </a:schemeClr>
                </a:gs>
              </a:gsLst>
              <a:lin ang="5400000" scaled="true"/>
            </a:gradFill>
            <a:ln>
              <a:noFill/>
            </a:ln>
            <a:effectLst/>
          </c:spPr>
          <c:invertIfNegative val="false"/>
          <c:dLbls>
            <c:delete val="true"/>
          </c:dLbls>
          <c:cat>
            <c:numRef>
              <c:f>Sheet1!$A$2:$A$5</c:f>
              <c:numCache>
                <c:formatCode>General</c:formatCode>
                <c:ptCount val="4"/>
                <c:pt idx="0">
                  <c:v>2024</c:v>
                </c:pt>
                <c:pt idx="1">
                  <c:v>2025</c:v>
                </c:pt>
              </c:numCache>
            </c:numRef>
          </c:cat>
          <c:val>
            <c:numRef>
              <c:f>Sheet1!$D$2:$D$5</c:f>
              <c:numCache>
                <c:formatCode>General</c:formatCode>
                <c:ptCount val="4"/>
              </c:numCache>
            </c:numRef>
          </c:val>
        </c:ser>
        <c:dLbls>
          <c:showLegendKey val="false"/>
          <c:showVal val="false"/>
          <c:showCatName val="false"/>
          <c:showSerName val="false"/>
          <c:showPercent val="false"/>
          <c:showBubbleSize val="false"/>
        </c:dLbls>
        <c:gapWidth val="500"/>
        <c:overlap val="-100"/>
        <c:axId val="104749704"/>
        <c:axId val="749907026"/>
      </c:barChart>
      <c:catAx>
        <c:axId val="104749704"/>
        <c:scaling>
          <c:orientation val="minMax"/>
        </c:scaling>
        <c:delete val="false"/>
        <c:axPos val="b"/>
        <c:majorGridlines>
          <c:spPr>
            <a:ln w="6350" cap="flat" cmpd="sng" algn="ctr">
              <a:solidFill>
                <a:schemeClr val="tx1">
                  <a:lumMod val="50000"/>
                  <a:lumOff val="50000"/>
                  <a:alpha val="25000"/>
                </a:schemeClr>
              </a:solidFill>
              <a:round/>
            </a:ln>
            <a:effectLst/>
          </c:spPr>
        </c:majorGridlines>
        <c:numFmt formatCode="General" sourceLinked="true"/>
        <c:majorTickMark val="none"/>
        <c:minorTickMark val="none"/>
        <c:tickLblPos val="nextTo"/>
        <c:spPr>
          <a:noFill/>
          <a:ln w="9525" cap="flat" cmpd="sng" algn="ctr">
            <a:solidFill>
              <a:schemeClr val="tx1">
                <a:lumMod val="50000"/>
                <a:lumOff val="50000"/>
                <a:alpha val="30000"/>
              </a:schemeClr>
            </a:solidFill>
            <a:round/>
          </a:ln>
          <a:effectLst/>
        </c:spPr>
        <c:txPr>
          <a:bodyPr rot="-60000000" spcFirstLastPara="0" vertOverflow="ellipsis" vert="horz" wrap="square" anchor="ctr" anchorCtr="true" forceAA="false"/>
          <a:lstStyle/>
          <a:p>
            <a:pPr>
              <a:defRPr lang="zh-CN" sz="900" b="0" i="0" u="none" strike="noStrike" kern="1200" baseline="0">
                <a:solidFill>
                  <a:schemeClr val="tx1">
                    <a:lumMod val="65000"/>
                    <a:lumOff val="35000"/>
                  </a:schemeClr>
                </a:solidFill>
                <a:latin typeface="+mn-lt"/>
                <a:ea typeface="+mn-ea"/>
                <a:cs typeface="+mn-cs"/>
              </a:defRPr>
            </a:pPr>
          </a:p>
        </c:txPr>
        <c:crossAx val="749907026"/>
        <c:crosses val="autoZero"/>
        <c:auto val="true"/>
        <c:lblAlgn val="ctr"/>
        <c:lblOffset val="100"/>
        <c:noMultiLvlLbl val="false"/>
      </c:catAx>
      <c:valAx>
        <c:axId val="749907026"/>
        <c:scaling>
          <c:orientation val="minMax"/>
        </c:scaling>
        <c:delete val="false"/>
        <c:axPos val="l"/>
        <c:numFmt formatCode="General" sourceLinked="true"/>
        <c:majorTickMark val="none"/>
        <c:minorTickMark val="none"/>
        <c:tickLblPos val="nextTo"/>
        <c:spPr>
          <a:noFill/>
          <a:ln>
            <a:noFill/>
          </a:ln>
          <a:effectLst/>
        </c:spPr>
        <c:txPr>
          <a:bodyPr rot="-60000000" spcFirstLastPara="0" vertOverflow="ellipsis" vert="horz" wrap="square" anchor="ctr" anchorCtr="true" forceAA="false"/>
          <a:lstStyle/>
          <a:p>
            <a:pPr>
              <a:defRPr lang="zh-CN" sz="900" b="0" i="0" u="none" strike="noStrike" kern="1200" baseline="0">
                <a:solidFill>
                  <a:schemeClr val="tx1">
                    <a:lumMod val="65000"/>
                    <a:lumOff val="35000"/>
                  </a:schemeClr>
                </a:solidFill>
                <a:latin typeface="+mn-lt"/>
                <a:ea typeface="+mn-ea"/>
                <a:cs typeface="+mn-cs"/>
              </a:defRPr>
            </a:pPr>
          </a:p>
        </c:txPr>
        <c:crossAx val="104749704"/>
        <c:crosses val="autoZero"/>
        <c:crossBetween val="between"/>
      </c:valAx>
      <c:spPr>
        <a:noFill/>
        <a:ln>
          <a:noFill/>
        </a:ln>
        <a:effectLst/>
      </c:spPr>
    </c:plotArea>
    <c:plotVisOnly val="true"/>
    <c:dispBlanksAs val="gap"/>
    <c:showDLblsOverMax val="false"/>
  </c:chart>
  <c:spPr>
    <a:no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一般公共预算财政拨款支出决算结构
</c:v>
                </c:pt>
              </c:strCache>
            </c:strRef>
          </c:tx>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Pt>
            <c:idx val="2"/>
            <c:bubble3D val="false"/>
            <c:spPr>
              <a:solidFill>
                <a:schemeClr val="accent3"/>
              </a:solidFill>
              <a:ln>
                <a:solidFill>
                  <a:schemeClr val="bg1"/>
                </a:solidFill>
              </a:ln>
              <a:effectLst/>
            </c:spPr>
          </c:dPt>
          <c:dPt>
            <c:idx val="3"/>
            <c:bubble3D val="false"/>
            <c:spPr>
              <a:solidFill>
                <a:schemeClr val="accent4"/>
              </a:solidFill>
              <a:ln>
                <a:solidFill>
                  <a:schemeClr val="bg1"/>
                </a:solidFill>
              </a:ln>
              <a:effectLst/>
            </c:spPr>
          </c:dPt>
          <c:dPt>
            <c:idx val="4"/>
            <c:bubble3D val="false"/>
            <c:spPr>
              <a:solidFill>
                <a:schemeClr val="accent5"/>
              </a:solidFill>
              <a:ln>
                <a:solidFill>
                  <a:schemeClr val="bg1"/>
                </a:solidFill>
              </a:ln>
              <a:effectLst/>
            </c:spPr>
          </c:dPt>
          <c:dLbls>
            <c:dLbl>
              <c:idx val="1"/>
              <c:layout>
                <c:manualLayout>
                  <c:x val="0.0842341571046072"/>
                  <c:y val="0.0727677951744542"/>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dLblPos val="bestFit"/>
              <c:showLegendKey val="false"/>
              <c:showVal val="true"/>
              <c:showCatName val="false"/>
              <c:showSerName val="false"/>
              <c:showPercent val="false"/>
              <c:showBubbleSize val="false"/>
              <c:extLst>
                <c:ext xmlns:c15="http://schemas.microsoft.com/office/drawing/2012/chart" uri="{CE6537A1-D6FC-4f65-9D91-7224C49458BB}">
                  <c15:layout>
                    <c:manualLayout>
                      <c:w val="0.114762019811549"/>
                      <c:h val="0.0554611134721632"/>
                    </c:manualLayout>
                  </c15:layout>
                </c:ext>
              </c:extLst>
            </c:dLbl>
            <c:dLbl>
              <c:idx val="4"/>
              <c:layout>
                <c:manualLayout>
                  <c:x val="0.0455365335922548"/>
                  <c:y val="-0.0461164565617199"/>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社会保障和就业支出</c:v>
                </c:pt>
                <c:pt idx="2">
                  <c:v>卫生健康支出</c:v>
                </c:pt>
                <c:pt idx="3">
                  <c:v>援助其他地区支出</c:v>
                </c:pt>
                <c:pt idx="4">
                  <c:v>住房保障支出</c:v>
                </c:pt>
              </c:strCache>
            </c:strRef>
          </c:cat>
          <c:val>
            <c:numRef>
              <c:f>Sheet1!$B$2:$B$6</c:f>
              <c:numCache>
                <c:formatCode>0.00%</c:formatCode>
                <c:ptCount val="5"/>
                <c:pt idx="0">
                  <c:v>0.7597</c:v>
                </c:pt>
                <c:pt idx="1">
                  <c:v>0.1147</c:v>
                </c:pt>
                <c:pt idx="2">
                  <c:v>0.0523</c:v>
                </c:pt>
                <c:pt idx="3">
                  <c:v>0.0092</c:v>
                </c:pt>
                <c:pt idx="4">
                  <c:v>0.0641</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t"/>
      <c:layout>
        <c:manualLayout>
          <c:xMode val="edge"/>
          <c:yMode val="edge"/>
          <c:x val="0.68005970891902"/>
          <c:y val="0.226697892271663"/>
          <c:w val="0.290956586640129"/>
          <c:h val="0.60327868852459"/>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no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财政拨款“三公”经费支出结构</c:v>
                </c:pt>
              </c:strCache>
            </c:strRef>
          </c:tx>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Pt>
            <c:idx val="2"/>
            <c:bubble3D val="false"/>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formatCode="0.00%">
                  <c:v>0.8555</c:v>
                </c:pt>
                <c:pt idx="2" c:formatCode="0.00%">
                  <c:v>0.1445</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t"/>
      <c:layout>
        <c:manualLayout>
          <c:xMode val="edge"/>
          <c:yMode val="edge"/>
          <c:x val="0.704276395264557"/>
          <c:y val="0.145771355716107"/>
          <c:w val="0.292099540951921"/>
          <c:h val="0.617297067573311"/>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no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false"/>
      </a:gradFill>
      <a:ln>
        <a:gradFill>
          <a:gsLst>
            <a:gs pos="0">
              <a:schemeClr val="phClr"/>
            </a:gs>
            <a:gs pos="100000">
              <a:schemeClr val="phClr">
                <a:lumMod val="75000"/>
              </a:schemeClr>
            </a:gs>
          </a:gsLst>
          <a:lin ang="5400000" scaled="true"/>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8728</Words>
  <Characters>9417</Characters>
  <Lines>78</Lines>
  <Paragraphs>22</Paragraphs>
  <TotalTime>4</TotalTime>
  <ScaleCrop>false</ScaleCrop>
  <LinksUpToDate>false</LinksUpToDate>
  <CharactersWithSpaces>9584</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2020-08-11T01:49:00Z</dcterms:created>
  <dc:creator>曹颖</dc:creator>
  <cp:lastModifiedBy>user</cp:lastModifiedBy>
  <cp:lastPrinted>2026-08-30T00:02:00Z</cp:lastPrinted>
  <dcterms:modified xsi:type="dcterms:W3CDTF">2026-09-10T10:32:49Z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04787F2533EB45DC91BCDE4AB213247F</vt:lpwstr>
  </property>
  <property fmtid="{D5CDD505-2E9C-101B-9397-08002B2CF9AE}" pid="4" name="KSOTemplateDocerSaveRecord">
    <vt:lpwstr>eyJoZGlkIjoiODczOTdmNGIzZTQyYzQ1ZmEyYjFkZTk1ZThmMWU1YWQiLCJ1c2VySWQiOiIxNjcxNTE3NTQ2In0=</vt:lpwstr>
  </property>
</Properties>
</file>