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rPr>
          <w:rFonts w:hint="default" w:ascii="Times New Roman" w:hAnsi="Times New Roman" w:eastAsia="Arial Unicode MS" w:cs="Times New Roman"/>
          <w:kern w:val="2"/>
          <w:sz w:val="72"/>
          <w:szCs w:val="72"/>
        </w:rPr>
      </w:pPr>
      <w:bookmarkStart w:id="0" w:name="_Toc15377193"/>
      <w:bookmarkStart w:id="1" w:name="_Toc15396597"/>
      <w:bookmarkStart w:id="2" w:name="_Toc15306267"/>
      <w:bookmarkStart w:id="3" w:name="_Toc15396475"/>
      <w:bookmarkStart w:id="4" w:name="_Toc15377425"/>
      <w:bookmarkStart w:id="5" w:name="_Toc15378441"/>
    </w:p>
    <w:p>
      <w:pPr>
        <w:pStyle w:val="6"/>
        <w:spacing w:before="93"/>
        <w:rPr>
          <w:rFonts w:hint="default" w:ascii="Times New Roman" w:hAnsi="Times New Roman" w:eastAsia="Arial Unicode MS" w:cs="Times New Roman"/>
          <w:kern w:val="2"/>
          <w:sz w:val="72"/>
          <w:szCs w:val="72"/>
        </w:rPr>
      </w:pPr>
    </w:p>
    <w:p>
      <w:pPr>
        <w:pStyle w:val="6"/>
        <w:spacing w:before="93"/>
        <w:rPr>
          <w:rFonts w:hint="default" w:ascii="Times New Roman" w:hAnsi="Times New Roman" w:eastAsia="Arial Unicode MS" w:cs="Times New Roman"/>
          <w:kern w:val="2"/>
          <w:sz w:val="72"/>
          <w:szCs w:val="72"/>
        </w:rPr>
      </w:pPr>
    </w:p>
    <w:p>
      <w:pPr>
        <w:pStyle w:val="6"/>
        <w:spacing w:before="93"/>
        <w:jc w:val="center"/>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202</w:t>
      </w:r>
      <w:r>
        <w:rPr>
          <w:rFonts w:hint="default" w:ascii="Times New Roman" w:hAnsi="Times New Roman" w:eastAsia="方正小标宋_GBK" w:cs="Times New Roman"/>
          <w:b/>
          <w:bCs/>
          <w:kern w:val="2"/>
          <w:sz w:val="44"/>
          <w:szCs w:val="44"/>
          <w:lang w:val="en-US" w:eastAsia="zh-CN"/>
        </w:rPr>
        <w:t>5</w:t>
      </w:r>
      <w:r>
        <w:rPr>
          <w:rFonts w:hint="default" w:ascii="Times New Roman" w:hAnsi="Times New Roman" w:eastAsia="方正小标宋_GBK" w:cs="Times New Roman"/>
          <w:b/>
          <w:bCs/>
          <w:kern w:val="2"/>
          <w:sz w:val="44"/>
          <w:szCs w:val="44"/>
        </w:rPr>
        <w:t>年度四川省</w:t>
      </w:r>
    </w:p>
    <w:p>
      <w:pPr>
        <w:jc w:val="center"/>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中共攀枝花市委组织部</w:t>
      </w:r>
      <w:r>
        <w:rPr>
          <w:rFonts w:hint="eastAsia" w:eastAsia="方正小标宋_GBK" w:cs="Times New Roman"/>
          <w:b/>
          <w:bCs/>
          <w:kern w:val="2"/>
          <w:sz w:val="44"/>
          <w:szCs w:val="44"/>
          <w:lang w:val="en-US" w:eastAsia="zh-CN"/>
        </w:rPr>
        <w:t>单位</w:t>
      </w:r>
      <w:r>
        <w:rPr>
          <w:rFonts w:hint="default" w:ascii="Times New Roman" w:hAnsi="Times New Roman" w:eastAsia="方正小标宋_GBK" w:cs="Times New Roman"/>
          <w:b/>
          <w:bCs/>
          <w:kern w:val="2"/>
          <w:sz w:val="44"/>
          <w:szCs w:val="44"/>
        </w:rPr>
        <w:t>决算</w:t>
      </w:r>
    </w:p>
    <w:p>
      <w:pPr>
        <w:jc w:val="center"/>
        <w:rPr>
          <w:rFonts w:hint="default" w:ascii="Times New Roman" w:hAnsi="Times New Roman" w:cs="Times New Roman"/>
          <w:b/>
          <w:bCs/>
          <w:sz w:val="44"/>
          <w:szCs w:val="44"/>
        </w:rPr>
      </w:pPr>
      <w:r>
        <w:rPr>
          <w:rFonts w:hint="default" w:ascii="Times New Roman" w:hAnsi="Times New Roman" w:eastAsia="方正小标宋_GBK" w:cs="Times New Roman"/>
          <w:b/>
          <w:bCs/>
          <w:color w:val="auto"/>
          <w:kern w:val="2"/>
          <w:sz w:val="44"/>
          <w:szCs w:val="44"/>
          <w:highlight w:val="none"/>
          <w:lang w:val="en-US" w:eastAsia="zh-CN" w:bidi="ar-SA"/>
        </w:rPr>
        <w:t>公开编制说明</w:t>
      </w:r>
    </w:p>
    <w:p>
      <w:pPr>
        <w:pStyle w:val="6"/>
        <w:spacing w:before="93"/>
        <w:jc w:val="center"/>
        <w:rPr>
          <w:rFonts w:hint="default" w:ascii="Times New Roman" w:hAnsi="Times New Roman" w:eastAsia="方正小标宋_GBK" w:cs="Times New Roman"/>
          <w:kern w:val="2"/>
          <w:sz w:val="44"/>
          <w:szCs w:val="44"/>
        </w:rPr>
      </w:pPr>
    </w:p>
    <w:p>
      <w:pPr>
        <w:spacing w:line="600" w:lineRule="exact"/>
        <w:jc w:val="center"/>
        <w:outlineLvl w:val="0"/>
        <w:rPr>
          <w:rFonts w:hint="default" w:ascii="Times New Roman" w:hAnsi="Times New Roman" w:eastAsia="Arial Unicode MS" w:cs="Times New Roman"/>
          <w:sz w:val="72"/>
          <w:szCs w:val="72"/>
        </w:rPr>
      </w:pPr>
    </w:p>
    <w:p>
      <w:pPr>
        <w:pStyle w:val="2"/>
        <w:rPr>
          <w:rFonts w:hint="default" w:ascii="Times New Roman" w:hAnsi="Times New Roman" w:cs="Times New Roman"/>
        </w:rPr>
        <w:sectPr>
          <w:footerReference r:id="rId5" w:type="first"/>
          <w:headerReference r:id="rId3" w:type="default"/>
          <w:footerReference r:id="rId4" w:type="default"/>
          <w:pgSz w:w="11906" w:h="16838"/>
          <w:pgMar w:top="2098" w:right="1474" w:bottom="1984" w:left="1587" w:header="907" w:footer="1644" w:gutter="0"/>
          <w:pgNumType w:fmt="decimal" w:start="1"/>
          <w:cols w:space="0" w:num="1"/>
          <w:titlePg/>
          <w:rtlGutter w:val="0"/>
          <w:docGrid w:type="linesAndChars" w:linePitch="579" w:charSpace="4135"/>
        </w:sectPr>
      </w:pPr>
    </w:p>
    <w:p>
      <w:pPr>
        <w:rPr>
          <w:rFonts w:hint="default" w:ascii="Times New Roman" w:hAnsi="Times New Roman" w:cs="Times New Roman"/>
        </w:rPr>
      </w:pPr>
    </w:p>
    <w:bookmarkEnd w:id="0"/>
    <w:bookmarkEnd w:id="1"/>
    <w:bookmarkEnd w:id="2"/>
    <w:bookmarkEnd w:id="3"/>
    <w:bookmarkEnd w:id="4"/>
    <w:bookmarkEnd w:id="5"/>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年9月</w:t>
      </w:r>
      <w:r>
        <w:rPr>
          <w:rFonts w:hint="default" w:ascii="Times New Roman" w:hAnsi="Times New Roman" w:eastAsia="仿宋_GB2312" w:cs="Times New Roman"/>
          <w:sz w:val="32"/>
          <w:szCs w:val="32"/>
          <w:lang w:val="en" w:eastAsia="zh-CN"/>
        </w:rPr>
        <w:t>10</w:t>
      </w:r>
      <w:bookmarkStart w:id="99" w:name="_GoBack"/>
      <w:bookmarkEnd w:id="99"/>
      <w:r>
        <w:rPr>
          <w:rFonts w:hint="default" w:ascii="Times New Roman" w:hAnsi="Times New Roman" w:eastAsia="仿宋_GB2312" w:cs="Times New Roman"/>
          <w:sz w:val="32"/>
          <w:szCs w:val="32"/>
        </w:rPr>
        <w:t>日</w:t>
      </w:r>
    </w:p>
    <w:p>
      <w:pPr>
        <w:rPr>
          <w:rFonts w:hint="default" w:ascii="Times New Roman" w:hAnsi="Times New Roman" w:cs="Times New Roman"/>
        </w:rPr>
      </w:pPr>
    </w:p>
    <w:sdt>
      <w:sdtPr>
        <w:rPr>
          <w:rFonts w:hint="default" w:ascii="Times New Roman" w:hAnsi="Times New Roman" w:eastAsia="宋体" w:cs="Times New Roman"/>
          <w:kern w:val="2"/>
          <w:sz w:val="21"/>
          <w:szCs w:val="24"/>
          <w:lang w:val="en-US" w:eastAsia="zh-CN" w:bidi="ar-SA"/>
        </w:rPr>
        <w:id w:val="147476368"/>
        <w15:color w:val="DBDBDB"/>
        <w:docPartObj>
          <w:docPartGallery w:val="Table of Contents"/>
          <w:docPartUnique/>
        </w:docPartObj>
      </w:sdtPr>
      <w:sdtEndPr>
        <w:rPr>
          <w:rFonts w:hint="default" w:ascii="Times New Roman" w:hAnsi="Times New Roman" w:eastAsia="黑体" w:cs="Times New Roman"/>
          <w:kern w:val="2"/>
          <w:sz w:val="28"/>
          <w:szCs w:val="32"/>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rPr>
          </w:pP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TOC \o "1-2" \h \u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_Toc5446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bCs w:val="0"/>
              <w:sz w:val="32"/>
              <w:szCs w:val="32"/>
              <w:lang w:val="en-US" w:eastAsia="zh-CN"/>
            </w:rPr>
            <w:t>单位</w:t>
          </w:r>
          <w:r>
            <w:rPr>
              <w:rFonts w:hint="default" w:ascii="Times New Roman" w:hAnsi="Times New Roman" w:eastAsia="黑体" w:cs="Times New Roman"/>
              <w:bCs w:val="0"/>
              <w:sz w:val="32"/>
              <w:szCs w:val="32"/>
            </w:rPr>
            <w:t>概况</w:t>
          </w:r>
          <w:r>
            <w:rPr>
              <w:rFonts w:hint="default" w:ascii="Times New Roman" w:hAnsi="Times New Roman" w:eastAsia="黑体" w:cs="Times New Roman"/>
              <w:sz w:val="32"/>
              <w:szCs w:val="32"/>
            </w:rPr>
            <w:tab/>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_Toc9174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w:t>
          </w:r>
          <w:r>
            <w:rPr>
              <w:rFonts w:hint="eastAsia" w:cs="Times New Roman"/>
              <w:sz w:val="32"/>
              <w:szCs w:val="32"/>
              <w:lang w:val="en-US" w:eastAsia="zh-CN"/>
            </w:rPr>
            <w:t>单位</w:t>
          </w:r>
          <w:r>
            <w:rPr>
              <w:rFonts w:hint="default" w:ascii="Times New Roman" w:hAnsi="Times New Roman" w:eastAsia="方正仿宋_GBK" w:cs="Times New Roman"/>
              <w:sz w:val="32"/>
              <w:szCs w:val="32"/>
            </w:rPr>
            <w:t>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_Toc9174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_Toc10300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二、机</w:t>
          </w:r>
          <w:r>
            <w:rPr>
              <w:rFonts w:hint="default" w:ascii="Times New Roman" w:hAnsi="Times New Roman" w:eastAsia="方正仿宋_GBK" w:cs="Times New Roman"/>
              <w:bCs w:val="0"/>
              <w:sz w:val="32"/>
              <w:szCs w:val="32"/>
            </w:rPr>
            <w:t>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_Toc10300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_Toc13885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第二部分  202</w:t>
          </w:r>
          <w:r>
            <w:rPr>
              <w:rFonts w:hint="default"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年度部门决算情况说明</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_Toc13885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8</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_Toc30797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_Toc30797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_Toc29902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_Toc29902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_Toc25192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三、支出决算情况说明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_Toc25192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_Toc11956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_Toc11956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_Toc3892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_Toc3892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_Toc20347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_Toc20347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_Toc4999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_Toc4999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_Toc31278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_Toc31278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_Toc10631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九、国有资本经营预算支出决算情况说明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_Toc10631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_Toc16000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_Toc16000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_Toc28598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第三部分  名词解释</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_Toc28598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18</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_Toc16414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第四部分  附件</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_Toc16414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3"/>
            <w:tabs>
              <w:tab w:val="right" w:leader="dot" w:pos="8306"/>
              <w:tab w:val="clear" w:pos="829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_Toc17788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xml:space="preserve">第五部分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附表</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_Toc17788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_Toc10643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_Toc10643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_Toc22765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_Toc22765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_Toc20336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_Toc20336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_Toc22497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_Toc22497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_Toc19861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_Toc19861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_Toc1680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_Toc1680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_Toc30665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_Toc30665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_Toc20563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八、一般公共预算财政拨款基本支出决算表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_Toc20563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_Toc19264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_Toc19264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_Toc2065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十一、国有资本经营预算财政拨款收入支出决算表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_Toc2065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_Toc11697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十二、国有资本经营预算财政拨款支出决算表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_Toc11697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_Toc16780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十三、财政拨款“三公”经费支出决算表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_Toc16780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end"/>
          </w:r>
        </w:p>
        <w:p>
          <w:pPr>
            <w:pStyle w:val="13"/>
            <w:adjustRightInd w:val="0"/>
            <w:snapToGrid w:val="0"/>
            <w:spacing w:before="0" w:line="560" w:lineRule="exact"/>
            <w:jc w:val="left"/>
            <w:rPr>
              <w:rFonts w:hint="default" w:ascii="Times New Roman" w:hAnsi="Times New Roman" w:eastAsia="黑体" w:cs="Times New Roman"/>
              <w:sz w:val="32"/>
              <w:szCs w:val="32"/>
            </w:rPr>
          </w:pPr>
        </w:p>
        <w:p>
          <w:pPr>
            <w:pStyle w:val="13"/>
            <w:adjustRightInd w:val="0"/>
            <w:snapToGrid w:val="0"/>
            <w:spacing w:before="0" w:line="560" w:lineRule="exact"/>
            <w:jc w:val="left"/>
            <w:rPr>
              <w:rFonts w:hint="default" w:ascii="Times New Roman" w:hAnsi="Times New Roman" w:eastAsia="黑体" w:cs="Times New Roman"/>
              <w:sz w:val="32"/>
              <w:szCs w:val="32"/>
            </w:rPr>
          </w:pPr>
        </w:p>
        <w:p>
          <w:pPr>
            <w:pStyle w:val="13"/>
            <w:adjustRightInd w:val="0"/>
            <w:snapToGrid w:val="0"/>
            <w:spacing w:before="0" w:line="560" w:lineRule="exact"/>
            <w:jc w:val="left"/>
            <w:rPr>
              <w:rFonts w:hint="default" w:ascii="Times New Roman" w:hAnsi="Times New Roman" w:cs="Times New Roman"/>
            </w:rPr>
          </w:pPr>
          <w:bookmarkStart w:id="6" w:name="_Toc15396599"/>
          <w:bookmarkStart w:id="7" w:name="_Toc5446"/>
          <w:bookmarkStart w:id="8" w:name="_Toc15377196"/>
        </w:p>
      </w:sdtContent>
    </w:sdt>
    <w:p>
      <w:pPr>
        <w:pStyle w:val="3"/>
        <w:jc w:val="center"/>
        <w:rPr>
          <w:rFonts w:hint="default" w:ascii="Times New Roman" w:hAnsi="Times New Roman" w:eastAsia="方正小标宋_GBK" w:cs="Times New Roman"/>
          <w:b w:val="0"/>
        </w:rPr>
      </w:pPr>
      <w:r>
        <w:rPr>
          <w:rFonts w:hint="default" w:ascii="Times New Roman" w:hAnsi="Times New Roman" w:eastAsia="方正小标宋_GBK" w:cs="Times New Roman"/>
          <w:b w:val="0"/>
        </w:rPr>
        <w:t xml:space="preserve">第一部分  </w:t>
      </w:r>
      <w:r>
        <w:rPr>
          <w:rFonts w:hint="eastAsia" w:eastAsia="方正小标宋_GBK" w:cs="Times New Roman"/>
          <w:b w:val="0"/>
          <w:lang w:val="en-US" w:eastAsia="zh-CN"/>
        </w:rPr>
        <w:t>单位</w:t>
      </w:r>
      <w:r>
        <w:rPr>
          <w:rFonts w:hint="default" w:ascii="Times New Roman" w:hAnsi="Times New Roman" w:eastAsia="方正小标宋_GBK" w:cs="Times New Roman"/>
          <w:b w:val="0"/>
        </w:rPr>
        <w:t>概况</w:t>
      </w:r>
      <w:bookmarkEnd w:id="6"/>
      <w:bookmarkEnd w:id="7"/>
      <w:bookmarkEnd w:id="8"/>
    </w:p>
    <w:p>
      <w:pPr>
        <w:pStyle w:val="4"/>
        <w:pageBreakBefore w:val="0"/>
        <w:widowControl w:val="0"/>
        <w:numPr>
          <w:ilvl w:val="0"/>
          <w:numId w:val="1"/>
        </w:numPr>
        <w:kinsoku/>
        <w:wordWrap/>
        <w:overflowPunct/>
        <w:topLinePunct w:val="0"/>
        <w:autoSpaceDE/>
        <w:autoSpaceDN/>
        <w:bidi w:val="0"/>
        <w:adjustRightInd/>
        <w:snapToGrid/>
        <w:spacing w:before="0" w:after="0" w:line="240" w:lineRule="auto"/>
        <w:ind w:left="0"/>
        <w:textAlignment w:val="auto"/>
        <w:rPr>
          <w:rFonts w:hint="default" w:ascii="Times New Roman" w:hAnsi="Times New Roman" w:eastAsia="仿宋" w:cs="Times New Roman"/>
          <w:sz w:val="32"/>
          <w:szCs w:val="32"/>
        </w:rPr>
      </w:pPr>
      <w:bookmarkStart w:id="9" w:name="_Toc9174"/>
      <w:r>
        <w:rPr>
          <w:rFonts w:hint="eastAsia" w:ascii="Times New Roman" w:hAnsi="Times New Roman" w:eastAsia="黑体" w:cs="Times New Roman"/>
          <w:b w:val="0"/>
          <w:lang w:val="en-US" w:eastAsia="zh-CN"/>
        </w:rPr>
        <w:t>单位</w:t>
      </w:r>
      <w:r>
        <w:rPr>
          <w:rFonts w:hint="default" w:ascii="Times New Roman" w:hAnsi="Times New Roman" w:eastAsia="黑体" w:cs="Times New Roman"/>
          <w:b w:val="0"/>
        </w:rPr>
        <w:t>职责</w:t>
      </w:r>
      <w:bookmarkEnd w:id="9"/>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sz w:val="32"/>
          <w:szCs w:val="32"/>
        </w:rPr>
        <w:t>1.市委组织部职能职责</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（1）负责有关组织工作、干部工作、人才工作的理论研究及重要政策的综合研究；承担中组部、省委组织部下达的重点调研课题，指导全市组织系统调研工作。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（2）负责全市组织工作宣传的牵头抓总、综合协调工作，指导全市组织部门信息工作；指导全市组织系统信息化建设工作，承担市委组织部网站的建设、管理、维护工作；负责党内刊物的征订和发行工作。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3）指导、检查全市各级党组织贯彻执行党的组织制度和党内生活制度；指导全市基层党组织设置、调整等工作；负责全市党员队伍建设，指导全市党费收缴、管理、使用等事项，负责全市党内统计、党员组织关系接转。</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　  （4）负责研究和指导全市农村、国有企业、街道社区、机关、学校、科研院所等党的基层组织建设；负责基层党组织干部培训的组织、指导工作；指导基层党组织党员活动阵地建设；指</w:t>
      </w:r>
      <w:r>
        <w:rPr>
          <w:rFonts w:hint="default" w:ascii="Times New Roman" w:hAnsi="Times New Roman" w:eastAsia="方正仿宋_GBK" w:cs="Times New Roman"/>
          <w:spacing w:val="-6"/>
          <w:sz w:val="32"/>
          <w:szCs w:val="32"/>
        </w:rPr>
        <w:t>导全市大学生村干部工作，承担大学生村干部管理办公室日常工作。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（5）负责干部综合管理和公务员管理工作；负责市委管理干部工资、退休费比例的审批工作；具体负责综合管理市级党群机关公务员考录、考核、交流、培训、申诉、控告、非领导职务设置等工作。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6）负责对市级部门（单位）和县（区）领导班子和领导干部的考察考核和日常管理工作，提出领导班子调整配备和领导干部职务任免、交流、待遇及离退休的建议意见；负责审核办理市委和市委委托组织部管理的干部职务任免、退休、享受待遇等工作。</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7）负责综合、协调、指导全市年轻干部培养选拔和后备干部综合管理工作；负责挂职干部的接收、选派和日常管理服务工作；负责选调生的相关招录、培训、培养和日常管理工作；负责全市干部教育培训工作的整体规划、宏观指导和协调服务。</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8）负责对全市组织部门干部监督工作的综合协调和宏观指导，研究完善干部监督工作机制；负责受理“12380”信访、电话、网络举报，按干部管理权限直接或联合有关部门查办、督办，提出处理意见；办理市管干部因私事出国（境）的审批、因公出国（境）的政审。</w:t>
      </w:r>
    </w:p>
    <w:p>
      <w:pPr>
        <w:pageBreakBefore w:val="0"/>
        <w:widowControl w:val="0"/>
        <w:kinsoku/>
        <w:wordWrap/>
        <w:overflowPunct/>
        <w:topLinePunct w:val="0"/>
        <w:autoSpaceDE/>
        <w:autoSpaceDN/>
        <w:bidi w:val="0"/>
        <w:adjustRightInd/>
        <w:snapToGrid/>
        <w:spacing w:line="240" w:lineRule="auto"/>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负责全市人才工作的牵头抓总、宏观指导、组织协调、督促检查的基础性工作；负责市级领导干部联系高层次人才和市委直接掌握联系高层次人才工作的协调服务；负责牵头或指导实施全市重大人才工程项目和专业技术人才援助工作；负责人才工作专项经费预算落实。</w:t>
      </w:r>
    </w:p>
    <w:p>
      <w:pPr>
        <w:pageBreakBefore w:val="0"/>
        <w:widowControl w:val="0"/>
        <w:kinsoku/>
        <w:wordWrap/>
        <w:overflowPunct/>
        <w:topLinePunct w:val="0"/>
        <w:autoSpaceDE/>
        <w:autoSpaceDN/>
        <w:bidi w:val="0"/>
        <w:adjustRightInd/>
        <w:snapToGrid/>
        <w:spacing w:line="240" w:lineRule="auto"/>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（10）负责</w:t>
      </w:r>
      <w:r>
        <w:rPr>
          <w:rFonts w:hint="eastAsia" w:cs="Times New Roman"/>
          <w:sz w:val="32"/>
          <w:szCs w:val="32"/>
          <w:lang w:val="en-US" w:eastAsia="zh-CN"/>
        </w:rPr>
        <w:t>市内对口帮扶藏区彝区以及其他民族地区工作</w:t>
      </w:r>
      <w:r>
        <w:rPr>
          <w:rFonts w:hint="default" w:ascii="Times New Roman" w:hAnsi="Times New Roman" w:eastAsia="方正仿宋_GBK" w:cs="Times New Roman"/>
          <w:sz w:val="32"/>
          <w:szCs w:val="32"/>
        </w:rPr>
        <w:t>。</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2.市委组织部党员教育中心职能职责</w:t>
      </w:r>
    </w:p>
    <w:p>
      <w:pPr>
        <w:pageBreakBefore w:val="0"/>
        <w:widowControl w:val="0"/>
        <w:kinsoku/>
        <w:wordWrap/>
        <w:overflowPunct/>
        <w:topLinePunct w:val="0"/>
        <w:autoSpaceDE/>
        <w:autoSpaceDN/>
        <w:bidi w:val="0"/>
        <w:adjustRightInd/>
        <w:snapToGrid/>
        <w:spacing w:line="240" w:lineRule="auto"/>
        <w:ind w:left="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负责全市党员干部现代远程教育学习培训的组织、管理与指导工作；负责建设和管理市远程教育辅助教学网站（攀枝花党员教育网）、市宽带型站点教学资源发布平台和市基层党建工作手机信息系统平台，办好《攀枝花党建》栏目；负责党员干部现代远程教育经费管理、分配、使用和监督。</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rPr>
      </w:pPr>
      <w:r>
        <w:rPr>
          <w:rFonts w:hint="eastAsia" w:ascii="Times New Roman" w:hAnsi="Times New Roman" w:eastAsia="方正楷体_GBK" w:cs="Times New Roman"/>
          <w:b/>
          <w:sz w:val="32"/>
          <w:szCs w:val="32"/>
          <w:lang w:val="en-US" w:eastAsia="zh-CN"/>
        </w:rPr>
        <w:t>3</w:t>
      </w:r>
      <w:r>
        <w:rPr>
          <w:rFonts w:hint="default" w:ascii="Times New Roman" w:hAnsi="Times New Roman" w:eastAsia="方正楷体_GBK" w:cs="Times New Roman"/>
          <w:b/>
          <w:sz w:val="32"/>
          <w:szCs w:val="32"/>
        </w:rPr>
        <w:t>.攀枝花市干部人事档案服务中心职能职责</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负责干部人事档案的收集、审核、整理、转接、信息化和保</w:t>
      </w:r>
      <w:r>
        <w:rPr>
          <w:rFonts w:hint="default" w:ascii="Times New Roman" w:hAnsi="Times New Roman" w:eastAsia="方正仿宋_GBK" w:cs="Times New Roman"/>
          <w:spacing w:val="-6"/>
          <w:sz w:val="32"/>
          <w:szCs w:val="32"/>
        </w:rPr>
        <w:t>管利用等事务性工作；承担全市干部人事档案管理人员的业务培训。</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0" w:firstLine="642" w:firstLineChars="200"/>
        <w:textAlignment w:val="auto"/>
        <w:rPr>
          <w:rFonts w:hint="default" w:ascii="Times New Roman" w:hAnsi="Times New Roman" w:eastAsia="方正楷体_GBK" w:cs="Times New Roman"/>
          <w:b/>
          <w:sz w:val="32"/>
          <w:szCs w:val="32"/>
          <w:lang w:eastAsia="zh-CN"/>
        </w:rPr>
      </w:pPr>
      <w:r>
        <w:rPr>
          <w:rFonts w:hint="eastAsia" w:ascii="Times New Roman" w:hAnsi="Times New Roman" w:eastAsia="方正楷体_GBK" w:cs="Times New Roman"/>
          <w:b/>
          <w:sz w:val="32"/>
          <w:szCs w:val="32"/>
          <w:lang w:val="en-US" w:eastAsia="zh-CN"/>
        </w:rPr>
        <w:t>4</w:t>
      </w:r>
      <w:r>
        <w:rPr>
          <w:rFonts w:hint="default" w:ascii="Times New Roman" w:hAnsi="Times New Roman" w:eastAsia="方正楷体_GBK" w:cs="Times New Roman"/>
          <w:b/>
          <w:sz w:val="32"/>
          <w:szCs w:val="32"/>
          <w:lang w:val="en-US" w:eastAsia="zh-CN"/>
        </w:rPr>
        <w:t>.</w:t>
      </w:r>
      <w:r>
        <w:rPr>
          <w:rFonts w:hint="default" w:ascii="Times New Roman" w:hAnsi="Times New Roman" w:eastAsia="方正楷体_GBK" w:cs="Times New Roman"/>
          <w:b/>
          <w:sz w:val="32"/>
          <w:szCs w:val="32"/>
          <w:lang w:eastAsia="zh-CN"/>
        </w:rPr>
        <w:t>攀枝花</w:t>
      </w:r>
      <w:r>
        <w:rPr>
          <w:rFonts w:hint="default" w:ascii="Times New Roman" w:hAnsi="Times New Roman" w:eastAsia="方正楷体_GBK" w:cs="Times New Roman"/>
          <w:b/>
          <w:sz w:val="32"/>
          <w:szCs w:val="32"/>
          <w:lang w:val="en-US" w:eastAsia="zh-CN"/>
        </w:rPr>
        <w:t>市</w:t>
      </w:r>
      <w:r>
        <w:rPr>
          <w:rFonts w:hint="default" w:ascii="Times New Roman" w:hAnsi="Times New Roman" w:eastAsia="方正楷体_GBK" w:cs="Times New Roman"/>
          <w:b/>
          <w:sz w:val="32"/>
          <w:szCs w:val="32"/>
          <w:lang w:eastAsia="zh-CN"/>
        </w:rPr>
        <w:t>人才发展促进中心</w:t>
      </w:r>
      <w:r>
        <w:rPr>
          <w:rFonts w:hint="default" w:ascii="Times New Roman" w:hAnsi="Times New Roman" w:eastAsia="方正楷体_GBK" w:cs="Times New Roman"/>
          <w:b/>
          <w:sz w:val="32"/>
          <w:szCs w:val="32"/>
        </w:rPr>
        <w:t>职能职责</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负责统筹高层次人才全周期服务、人才政策项目落地评估、招才引智与市校合作等资源对接、人才信息库建设管理，并落实市委人才工作领导小组各项部署。</w:t>
      </w:r>
    </w:p>
    <w:p>
      <w:pPr>
        <w:pStyle w:val="4"/>
        <w:pageBreakBefore w:val="0"/>
        <w:widowControl w:val="0"/>
        <w:kinsoku/>
        <w:wordWrap/>
        <w:overflowPunct/>
        <w:topLinePunct w:val="0"/>
        <w:autoSpaceDE/>
        <w:autoSpaceDN/>
        <w:bidi w:val="0"/>
        <w:adjustRightInd/>
        <w:snapToGrid/>
        <w:spacing w:before="0" w:after="0" w:line="240" w:lineRule="auto"/>
        <w:ind w:left="0"/>
        <w:textAlignment w:val="auto"/>
        <w:rPr>
          <w:rStyle w:val="31"/>
          <w:rFonts w:hint="default" w:ascii="Times New Roman" w:hAnsi="Times New Roman" w:cs="Times New Roman"/>
          <w:b w:val="0"/>
          <w:bCs w:val="0"/>
        </w:rPr>
      </w:pPr>
      <w:bookmarkStart w:id="10" w:name="_Toc10300"/>
      <w:bookmarkStart w:id="11" w:name="_Toc15396601"/>
      <w:bookmarkStart w:id="12" w:name="_Toc15377200"/>
      <w:r>
        <w:rPr>
          <w:rFonts w:hint="default" w:ascii="Times New Roman" w:hAnsi="Times New Roman" w:eastAsia="黑体" w:cs="Times New Roman"/>
          <w:b w:val="0"/>
        </w:rPr>
        <w:t>二、机</w:t>
      </w:r>
      <w:r>
        <w:rPr>
          <w:rStyle w:val="31"/>
          <w:rFonts w:hint="default" w:ascii="Times New Roman" w:hAnsi="Times New Roman" w:eastAsia="黑体" w:cs="Times New Roman"/>
          <w:b w:val="0"/>
          <w:bCs w:val="0"/>
        </w:rPr>
        <w:t>构设置</w:t>
      </w:r>
      <w:bookmarkEnd w:id="10"/>
      <w:bookmarkEnd w:id="11"/>
      <w:bookmarkEnd w:id="12"/>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中共攀枝花市委组织部下属二级预算单位</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个，其中行政单位0个，参照公务员法管理的事业单位1个，其他事业单位</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纳入中共攀枝花市委组织部202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年度部门决算编制范围的二级预算单位包括：</w:t>
      </w:r>
    </w:p>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bookmarkStart w:id="13" w:name="_Toc15306276"/>
      <w:bookmarkStart w:id="14" w:name="_Toc15377202"/>
      <w:bookmarkStart w:id="15" w:name="_Toc15377433"/>
      <w:bookmarkStart w:id="16" w:name="_Toc15378449"/>
      <w:r>
        <w:rPr>
          <w:rFonts w:hint="default" w:ascii="Times New Roman" w:hAnsi="Times New Roman" w:eastAsia="方正仿宋_GBK" w:cs="Times New Roman"/>
          <w:kern w:val="2"/>
          <w:sz w:val="32"/>
          <w:szCs w:val="32"/>
          <w:lang w:val="en-US" w:eastAsia="zh-CN" w:bidi="ar-SA"/>
        </w:rPr>
        <w:t>中共攀枝花市委组织部党员教育中心</w:t>
      </w:r>
    </w:p>
    <w:bookmarkEnd w:id="13"/>
    <w:bookmarkEnd w:id="14"/>
    <w:bookmarkEnd w:id="15"/>
    <w:bookmarkEnd w:id="16"/>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bookmarkStart w:id="17" w:name="_Toc15378450"/>
      <w:bookmarkStart w:id="18" w:name="_Toc15377434"/>
      <w:bookmarkStart w:id="19" w:name="_Toc15306277"/>
      <w:bookmarkStart w:id="20" w:name="_Toc15377203"/>
      <w:r>
        <w:rPr>
          <w:rFonts w:hint="default" w:ascii="Times New Roman" w:hAnsi="Times New Roman" w:eastAsia="方正仿宋_GBK" w:cs="Times New Roman"/>
          <w:kern w:val="2"/>
          <w:sz w:val="32"/>
          <w:szCs w:val="32"/>
          <w:lang w:val="en-US" w:eastAsia="zh-CN" w:bidi="ar-SA"/>
        </w:rPr>
        <w:t>攀枝花市干部人事档案服务中心</w:t>
      </w:r>
    </w:p>
    <w:bookmarkEnd w:id="17"/>
    <w:bookmarkEnd w:id="18"/>
    <w:bookmarkEnd w:id="19"/>
    <w:bookmarkEnd w:id="20"/>
    <w:p>
      <w:pPr>
        <w:pStyle w:val="6"/>
        <w:keepNext w:val="0"/>
        <w:keepLines w:val="0"/>
        <w:pageBreakBefore w:val="0"/>
        <w:widowControl w:val="0"/>
        <w:numPr>
          <w:ilvl w:val="0"/>
          <w:numId w:val="2"/>
        </w:numPr>
        <w:kinsoku/>
        <w:wordWrap/>
        <w:overflowPunct/>
        <w:topLinePunct w:val="0"/>
        <w:autoSpaceDE/>
        <w:autoSpaceDN/>
        <w:bidi w:val="0"/>
        <w:adjustRightInd/>
        <w:snapToGrid/>
        <w:spacing w:beforeLines="0" w:line="240" w:lineRule="auto"/>
        <w:ind w:left="0" w:firstLine="640" w:firstLineChars="200"/>
        <w:textAlignment w:val="auto"/>
        <w:outlineLvl w:val="9"/>
        <w:rPr>
          <w:rFonts w:hint="default" w:ascii="Times New Roman" w:hAnsi="Times New Roman" w:eastAsia="仿宋" w:cs="Times New Roman"/>
          <w:bCs/>
          <w:sz w:val="32"/>
          <w:szCs w:val="32"/>
        </w:rPr>
      </w:pPr>
      <w:r>
        <w:rPr>
          <w:rFonts w:hint="default" w:ascii="Times New Roman" w:hAnsi="Times New Roman" w:eastAsia="方正仿宋_GBK" w:cs="Times New Roman"/>
          <w:kern w:val="2"/>
          <w:sz w:val="32"/>
          <w:szCs w:val="32"/>
          <w:lang w:val="en-US" w:eastAsia="zh-CN" w:bidi="ar-SA"/>
        </w:rPr>
        <w:t>攀枝花市人才发展促进中心</w:t>
      </w:r>
      <w:r>
        <w:rPr>
          <w:rFonts w:hint="default" w:ascii="Times New Roman" w:hAnsi="Times New Roman" w:eastAsia="仿宋" w:cs="Times New Roman"/>
          <w:bCs/>
          <w:sz w:val="32"/>
          <w:szCs w:val="32"/>
        </w:rPr>
        <w:br w:type="page"/>
      </w:r>
    </w:p>
    <w:p>
      <w:pPr>
        <w:pStyle w:val="3"/>
        <w:jc w:val="center"/>
        <w:rPr>
          <w:rFonts w:hint="default" w:ascii="Times New Roman" w:hAnsi="Times New Roman" w:eastAsia="方正小标宋_GBK" w:cs="Times New Roman"/>
          <w:b w:val="0"/>
        </w:rPr>
      </w:pPr>
      <w:bookmarkStart w:id="21" w:name="_Toc15396602"/>
      <w:bookmarkStart w:id="22" w:name="_Toc13885"/>
      <w:bookmarkStart w:id="23" w:name="_Toc15377204"/>
      <w:r>
        <w:rPr>
          <w:rFonts w:hint="default" w:ascii="Times New Roman" w:hAnsi="Times New Roman" w:eastAsia="方正小标宋_GBK" w:cs="Times New Roman"/>
          <w:b w:val="0"/>
        </w:rPr>
        <w:t>第二部分  202</w:t>
      </w:r>
      <w:r>
        <w:rPr>
          <w:rFonts w:hint="default" w:ascii="Times New Roman" w:hAnsi="Times New Roman" w:eastAsia="方正小标宋_GBK" w:cs="Times New Roman"/>
          <w:b w:val="0"/>
          <w:lang w:val="en-US" w:eastAsia="zh-CN"/>
        </w:rPr>
        <w:t>5</w:t>
      </w:r>
      <w:r>
        <w:rPr>
          <w:rFonts w:hint="default" w:ascii="Times New Roman" w:hAnsi="Times New Roman" w:eastAsia="方正小标宋_GBK" w:cs="Times New Roman"/>
          <w:b w:val="0"/>
        </w:rPr>
        <w:t>年度部门决算情况说明</w:t>
      </w:r>
      <w:bookmarkEnd w:id="21"/>
      <w:bookmarkEnd w:id="22"/>
      <w:bookmarkEnd w:id="23"/>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Style w:val="31"/>
          <w:rFonts w:hint="default" w:ascii="Times New Roman" w:hAnsi="Times New Roman" w:eastAsia="方正黑体_GBK" w:cs="Times New Roman"/>
          <w:b w:val="0"/>
        </w:rPr>
      </w:pPr>
      <w:bookmarkStart w:id="24" w:name="_Toc30797"/>
      <w:bookmarkStart w:id="25" w:name="_Toc15377205"/>
      <w:bookmarkStart w:id="26" w:name="_Toc15396603"/>
      <w:r>
        <w:rPr>
          <w:rFonts w:hint="default" w:ascii="Times New Roman" w:hAnsi="Times New Roman" w:eastAsia="方正黑体_GBK" w:cs="Times New Roman"/>
          <w:sz w:val="32"/>
          <w:szCs w:val="32"/>
        </w:rPr>
        <w:t>一、收</w:t>
      </w:r>
      <w:r>
        <w:rPr>
          <w:rStyle w:val="31"/>
          <w:rFonts w:hint="default" w:ascii="Times New Roman" w:hAnsi="Times New Roman" w:eastAsia="方正黑体_GBK" w:cs="Times New Roman"/>
          <w:b w:val="0"/>
        </w:rPr>
        <w:t>入支出决算总体情况说明</w:t>
      </w:r>
      <w:bookmarkEnd w:id="24"/>
      <w:bookmarkEnd w:id="25"/>
      <w:bookmarkEnd w:id="26"/>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2025年度收入、支出总计均为1785.41万元。与2024年度相比，收入、支出总计各增加130.94万元，上升7.91%。主要变动原因是人员经费和项目经费较2024年增加。</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bookmarkStart w:id="27" w:name="_Toc15377206"/>
      <w:bookmarkStart w:id="28" w:name="_Toc15396604"/>
      <w:r>
        <w:rPr>
          <w:rFonts w:hint="default" w:ascii="Times New Roman" w:hAnsi="Times New Roman" w:eastAsia="方正仿宋_GBK" w:cs="Times New Roman"/>
          <w:color w:val="auto"/>
          <w:kern w:val="2"/>
          <w:sz w:val="32"/>
          <w:szCs w:val="32"/>
          <w:highlight w:val="none"/>
          <w:lang w:val="en-US" w:eastAsia="zh-CN" w:bidi="ar-SA"/>
        </w:rPr>
        <w:t>（图1：收入、支出决算总计变动情况图）（柱状图）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36830"/>
            <wp:docPr id="7" name="图表 7"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29" w:name="_Toc29902"/>
      <w:r>
        <w:rPr>
          <w:rFonts w:hint="default" w:ascii="Times New Roman" w:hAnsi="Times New Roman" w:eastAsia="方正黑体_GBK" w:cs="Times New Roman"/>
          <w:sz w:val="32"/>
          <w:szCs w:val="32"/>
        </w:rPr>
        <w:t>二、收入决算情况说明</w:t>
      </w:r>
      <w:bookmarkEnd w:id="27"/>
      <w:bookmarkEnd w:id="28"/>
      <w:bookmarkEnd w:id="29"/>
    </w:p>
    <w:p>
      <w:pPr>
        <w:pStyle w:val="29"/>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本年收入合计1785.41万元，其中：一般公共预算财政拨款收入1785.41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（图2：收入决算结构图）（饼状图）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ascii="Times New Roman" w:hAnsi="Times New Roman" w:eastAsia="仿宋" w:cs="Times New Roman"/>
          <w:b/>
          <w:sz w:val="32"/>
          <w:szCs w:val="32"/>
          <w:lang w:eastAsia="zh-CN"/>
        </w:rPr>
        <w:drawing>
          <wp:inline distT="0" distB="0" distL="114300" distR="114300">
            <wp:extent cx="4434205" cy="2499995"/>
            <wp:effectExtent l="4445" t="4445" r="19050" b="10160"/>
            <wp:docPr id="1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30" w:name="_Toc15396605"/>
      <w:bookmarkStart w:id="31" w:name="_Toc25192"/>
      <w:bookmarkStart w:id="32" w:name="_Toc15377207"/>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三、支出决算情况说明</w:t>
      </w:r>
      <w:bookmarkEnd w:id="30"/>
      <w:bookmarkEnd w:id="31"/>
      <w:bookmarkEnd w:id="32"/>
    </w:p>
    <w:p>
      <w:pPr>
        <w:pStyle w:val="29"/>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2025年度本年支出合计1785.41万元，其中：基本支出1650.02万元，占92.42%；项目支出135.4</w:t>
      </w:r>
      <w:r>
        <w:rPr>
          <w:rFonts w:hint="eastAsia" w:cs="Times New Roman"/>
          <w:kern w:val="2"/>
          <w:sz w:val="32"/>
          <w:szCs w:val="32"/>
          <w:lang w:val="en-US" w:eastAsia="zh-CN" w:bidi="ar-SA"/>
        </w:rPr>
        <w:t>0</w:t>
      </w:r>
      <w:r>
        <w:rPr>
          <w:rFonts w:hint="default" w:ascii="Times New Roman" w:hAnsi="Times New Roman" w:eastAsia="方正仿宋_GBK" w:cs="Times New Roman"/>
          <w:kern w:val="2"/>
          <w:sz w:val="32"/>
          <w:szCs w:val="32"/>
          <w:lang w:val="en-US" w:eastAsia="zh-CN" w:bidi="ar-SA"/>
        </w:rPr>
        <w:t>万元，占7.58%；上缴上级支出0万元，占0%；经营支出0万元，占0%；对附属单位补助支出0万元，占0%。</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（图3：支出决算结构图）（饼状图）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仿宋" w:cs="Times New Roman"/>
          <w:b/>
          <w:sz w:val="32"/>
          <w:szCs w:val="32"/>
          <w:lang w:eastAsia="zh-CN"/>
        </w:rPr>
        <w:drawing>
          <wp:inline distT="0" distB="0" distL="114300" distR="114300">
            <wp:extent cx="4413250" cy="2442845"/>
            <wp:effectExtent l="4445" t="4445" r="20955" b="1016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3" w:name="_Toc15377208"/>
      <w:bookmarkStart w:id="34" w:name="_Toc15396606"/>
      <w:bookmarkStart w:id="35" w:name="_Toc11956"/>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四、财政拨款收入支出决算总体情况说明</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2025年度财政拨款收入、支出总计均为1785.41万元。与2024年度相比，财政拨款收入总计、支出总计各增加130.94万元，上升7.91%。主要变动原因是人员经费和项目经费较2024年增加。</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bookmarkStart w:id="36" w:name="_Toc15377209"/>
      <w:bookmarkStart w:id="37" w:name="_Toc15396607"/>
      <w:r>
        <w:rPr>
          <w:rFonts w:hint="default" w:ascii="Times New Roman" w:hAnsi="Times New Roman" w:eastAsia="方正仿宋_GBK" w:cs="Times New Roman"/>
          <w:color w:val="auto"/>
          <w:kern w:val="2"/>
          <w:sz w:val="32"/>
          <w:szCs w:val="32"/>
          <w:highlight w:val="none"/>
          <w:lang w:val="en-US" w:eastAsia="zh-CN" w:bidi="ar-SA"/>
        </w:rPr>
        <w:t>（图4：财政拨款收、支决算总计变动情况）（柱状图）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36830"/>
            <wp:docPr id="1" name="图表 1"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38" w:name="_Toc3892"/>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五、一般公共预算财政拨款支出决算情况说明</w:t>
      </w:r>
      <w:bookmarkEnd w:id="36"/>
      <w:bookmarkEnd w:id="37"/>
      <w:bookmarkEnd w:id="38"/>
    </w:p>
    <w:p>
      <w:pPr>
        <w:spacing w:line="600" w:lineRule="exact"/>
        <w:ind w:firstLine="642" w:firstLineChars="200"/>
        <w:outlineLvl w:val="9"/>
        <w:rPr>
          <w:rFonts w:hint="default" w:ascii="Times New Roman" w:hAnsi="Times New Roman" w:eastAsia="楷体_GB2312" w:cs="Times New Roman"/>
          <w:b/>
          <w:sz w:val="32"/>
          <w:szCs w:val="32"/>
        </w:rPr>
      </w:pPr>
      <w:bookmarkStart w:id="39" w:name="_Toc15377210"/>
      <w:r>
        <w:rPr>
          <w:rFonts w:hint="default" w:ascii="Times New Roman" w:hAnsi="Times New Roman" w:eastAsia="楷体_GB2312" w:cs="Times New Roman"/>
          <w:b/>
          <w:sz w:val="32"/>
          <w:szCs w:val="32"/>
        </w:rPr>
        <w:t>（一）一般公共预算财政拨款支出决算总体情况</w:t>
      </w:r>
      <w:bookmarkEnd w:id="39"/>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2025年度一般公共预算财政拨款支出1785.41万元，占本年支出合计的100%。与2024年度相比，一般公共预算财政拨款支出增加130.94万元，上升7.91%。主要变动原因是人员经费和项目经费较2024年增加。</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sz w:val="32"/>
          <w:szCs w:val="32"/>
          <w:lang w:eastAsia="zh-CN"/>
        </w:rPr>
      </w:pPr>
      <w:r>
        <w:rPr>
          <w:rFonts w:hint="default" w:ascii="Times New Roman" w:hAnsi="Times New Roman" w:eastAsia="仿宋" w:cs="Times New Roman"/>
          <w:b/>
          <w:sz w:val="32"/>
          <w:szCs w:val="32"/>
          <w:lang w:eastAsia="zh-CN"/>
        </w:rPr>
        <w:drawing>
          <wp:inline distT="0" distB="0" distL="114300" distR="114300">
            <wp:extent cx="4294505" cy="2613025"/>
            <wp:effectExtent l="4445" t="4445" r="6350" b="49530"/>
            <wp:docPr id="3" name="图表 3"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40" w:name="_Toc15377211"/>
      <w:r>
        <w:rPr>
          <w:rFonts w:hint="default" w:ascii="Times New Roman" w:hAnsi="Times New Roman" w:eastAsia="楷体_GB2312" w:cs="Times New Roman"/>
          <w:b/>
          <w:sz w:val="32"/>
          <w:szCs w:val="32"/>
        </w:rPr>
        <w:t>（二）一般公共预算财政拨款支出决算结构情况</w:t>
      </w:r>
      <w:bookmarkEnd w:id="40"/>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一般公共预算财政拨款支出1785.41万元，主要用于以下方面：一般公共服务支出1356.40万元，占75.97%；教育支出0万元，占0%；科学技术支出0万元，占0%；文化旅游体育与传媒支出0万元，占0%；社会保障和就业支出204.76万元，占11.47%；卫生健康支出93.38万元，占5.23%；援助其他地区支出16.50万元，占比0.92%；住房保障支出114.37万元，占6.41%。</w:t>
      </w:r>
    </w:p>
    <w:p>
      <w:pPr>
        <w:spacing w:line="600" w:lineRule="exact"/>
        <w:ind w:firstLine="640"/>
        <w:rPr>
          <w:rFonts w:hint="default" w:ascii="Times New Roman" w:hAnsi="Times New Roman" w:cs="Times New Roman"/>
        </w:rPr>
      </w:pPr>
      <w:r>
        <w:rPr>
          <w:rFonts w:hint="default" w:ascii="Times New Roman" w:hAnsi="Times New Roman" w:eastAsia="方正仿宋_GBK" w:cs="Times New Roman"/>
          <w:color w:val="auto"/>
          <w:kern w:val="2"/>
          <w:sz w:val="32"/>
          <w:szCs w:val="32"/>
          <w:highlight w:val="none"/>
          <w:lang w:val="en-US" w:eastAsia="zh-CN" w:bidi="ar-SA"/>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sz w:val="32"/>
          <w:szCs w:val="32"/>
          <w:lang w:eastAsia="zh-CN"/>
        </w:rPr>
      </w:pPr>
      <w:r>
        <w:rPr>
          <w:rFonts w:hint="default" w:ascii="Times New Roman" w:hAnsi="Times New Roman" w:eastAsia="仿宋" w:cs="Times New Roman"/>
          <w:b/>
          <w:sz w:val="32"/>
          <w:szCs w:val="32"/>
          <w:lang w:eastAsia="zh-CN"/>
        </w:rPr>
        <w:drawing>
          <wp:inline distT="0" distB="0" distL="114300" distR="114300">
            <wp:extent cx="5104765" cy="2711450"/>
            <wp:effectExtent l="4445" t="4445" r="8890" b="146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9"/>
        <w:rPr>
          <w:rFonts w:hint="default" w:ascii="Times New Roman" w:hAnsi="Times New Roman" w:eastAsia="楷体_GB2312" w:cs="Times New Roman"/>
          <w:b/>
          <w:sz w:val="32"/>
          <w:szCs w:val="32"/>
        </w:rPr>
      </w:pPr>
      <w:bookmarkStart w:id="41" w:name="_Toc15377212"/>
      <w:r>
        <w:rPr>
          <w:rFonts w:hint="default" w:ascii="Times New Roman" w:hAnsi="Times New Roman" w:eastAsia="楷体_GB2312" w:cs="Times New Roman"/>
          <w:b/>
          <w:sz w:val="32"/>
          <w:szCs w:val="32"/>
        </w:rPr>
        <w:t>（三）一般公共预算财政拨款支出决算具体情况</w:t>
      </w:r>
      <w:bookmarkEnd w:id="41"/>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bookmarkStart w:id="42" w:name="_Toc15378460"/>
      <w:bookmarkStart w:id="43" w:name="_Toc15377444"/>
      <w:bookmarkStart w:id="44" w:name="_Toc15377213"/>
      <w:r>
        <w:rPr>
          <w:rFonts w:hint="default" w:ascii="Times New Roman" w:hAnsi="Times New Roman" w:eastAsia="方正仿宋_GBK" w:cs="Times New Roman"/>
          <w:kern w:val="2"/>
          <w:sz w:val="32"/>
          <w:szCs w:val="32"/>
          <w:lang w:val="en-US" w:eastAsia="zh-CN" w:bidi="ar-SA"/>
        </w:rPr>
        <w:t>2025年度一般公共预算财政拨款支出决算数为1785.41</w:t>
      </w:r>
      <w:r>
        <w:rPr>
          <w:rFonts w:hint="default" w:cs="Times New Roman"/>
          <w:kern w:val="2"/>
          <w:sz w:val="32"/>
          <w:szCs w:val="32"/>
          <w:lang w:eastAsia="zh-CN" w:bidi="ar-SA"/>
        </w:rPr>
        <w:t>万元</w:t>
      </w:r>
      <w:r>
        <w:rPr>
          <w:rFonts w:hint="default" w:ascii="Times New Roman" w:hAnsi="Times New Roman" w:eastAsia="方正仿宋_GBK" w:cs="Times New Roman"/>
          <w:kern w:val="2"/>
          <w:sz w:val="32"/>
          <w:szCs w:val="32"/>
          <w:lang w:val="en-US" w:eastAsia="zh-CN" w:bidi="ar-SA"/>
        </w:rPr>
        <w:t>，完成预算100%。其中：</w:t>
      </w:r>
      <w:bookmarkEnd w:id="42"/>
      <w:bookmarkEnd w:id="43"/>
      <w:bookmarkEnd w:id="44"/>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仿宋_GB2312" w:cs="Times New Roman"/>
          <w:sz w:val="32"/>
          <w:szCs w:val="32"/>
        </w:rPr>
        <w:t>一</w:t>
      </w:r>
      <w:r>
        <w:rPr>
          <w:rFonts w:hint="default" w:ascii="Times New Roman" w:hAnsi="Times New Roman" w:eastAsia="方正仿宋_GBK" w:cs="Times New Roman"/>
          <w:kern w:val="2"/>
          <w:sz w:val="32"/>
          <w:szCs w:val="32"/>
          <w:lang w:val="en-US" w:eastAsia="zh-CN" w:bidi="ar-SA"/>
        </w:rPr>
        <w:t>般公共服务组织事务支出：支出决算为1356.40万元，完成预算100%。</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lang w:val="en-US" w:eastAsia="zh-CN" w:bidi="ar-SA"/>
        </w:rPr>
        <w:t>社会保障和就业支出：支出决算为204.76万元，完成预算100%。</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lang w:val="en-US" w:eastAsia="zh-CN" w:bidi="ar-SA"/>
        </w:rPr>
        <w:t>卫生健康支出：支出决算为93.38万元，完成预算100%。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4.</w:t>
      </w:r>
      <w:r>
        <w:rPr>
          <w:rFonts w:hint="default" w:ascii="Times New Roman" w:hAnsi="Times New Roman" w:eastAsia="方正仿宋_GBK" w:cs="Times New Roman"/>
          <w:kern w:val="2"/>
          <w:sz w:val="32"/>
          <w:szCs w:val="32"/>
          <w:lang w:val="en-US" w:eastAsia="zh-CN" w:bidi="ar-SA"/>
        </w:rPr>
        <w:t>援助其他地区支出:支出决算为16.50万元，完成预算100%。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sz w:val="32"/>
          <w:szCs w:val="32"/>
        </w:rPr>
        <w:t>4.</w:t>
      </w:r>
      <w:r>
        <w:rPr>
          <w:rFonts w:hint="default" w:ascii="Times New Roman" w:hAnsi="Times New Roman" w:eastAsia="方正仿宋_GBK" w:cs="Times New Roman"/>
          <w:kern w:val="2"/>
          <w:sz w:val="32"/>
          <w:szCs w:val="32"/>
          <w:lang w:val="en-US" w:eastAsia="zh-CN" w:bidi="ar-SA"/>
        </w:rPr>
        <w:t>住房保障支出:支出决算为114.37万元，完成预算100%。</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45" w:name="_Toc20347"/>
      <w:bookmarkStart w:id="46" w:name="_Toc15377214"/>
      <w:bookmarkStart w:id="47" w:name="_Toc15396608"/>
      <w:r>
        <w:rPr>
          <w:rFonts w:hint="default" w:ascii="Times New Roman" w:hAnsi="Times New Roman" w:eastAsia="方正黑体_GBK" w:cs="Times New Roman"/>
          <w:sz w:val="32"/>
          <w:szCs w:val="32"/>
        </w:rPr>
        <w:t>六、一般公共预算财政拨款基本支出决算情况说明</w:t>
      </w:r>
      <w:bookmarkEnd w:id="45"/>
      <w:bookmarkEnd w:id="46"/>
      <w:bookmarkEnd w:id="47"/>
      <w:r>
        <w:rPr>
          <w:rFonts w:hint="default" w:ascii="Times New Roman" w:hAnsi="Times New Roman" w:eastAsia="方正黑体_GBK" w:cs="Times New Roman"/>
          <w:sz w:val="32"/>
          <w:szCs w:val="32"/>
        </w:rPr>
        <w:tab/>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2025年度一般公共预算财政拨款基本支出1650.02万元，其中：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人员经费1462.9</w:t>
      </w:r>
      <w:r>
        <w:rPr>
          <w:rFonts w:hint="eastAsia"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万元，主要包括：基本工资、津贴补贴、奖金、伙食补助费、绩效工资、机关事业单位基本养老保险缴费、职业年金缴费、其他社会保障缴费、其他工资福利支出、退休费、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240" w:lineRule="auto"/>
        <w:ind w:firstLine="616" w:firstLineChars="20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公用经费187.06万元，主要包括：办公费、印刷费、水费、电费、邮电费、物业管理费、差旅费、维修（护）费、租赁费、会议费、公务接待费、劳务费、工会经费、福利费、公务用车运行维护费、其他交通费、其他商品和服务支出、办公设备购置等。</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48" w:name="_Toc15396609"/>
      <w:bookmarkStart w:id="49" w:name="_Toc15377215"/>
      <w:bookmarkStart w:id="50" w:name="_Toc4999"/>
      <w:r>
        <w:rPr>
          <w:rFonts w:hint="default" w:ascii="Times New Roman" w:hAnsi="Times New Roman" w:eastAsia="方正黑体_GBK" w:cs="Times New Roman"/>
          <w:sz w:val="32"/>
          <w:szCs w:val="32"/>
        </w:rPr>
        <w:t>七、财政拨款</w:t>
      </w:r>
      <w:r>
        <w:rPr>
          <w:rFonts w:hint="eastAsia" w:eastAsia="方正黑体_GBK" w:cs="Times New Roman"/>
          <w:sz w:val="32"/>
          <w:szCs w:val="32"/>
          <w:lang w:eastAsia="zh-CN"/>
        </w:rPr>
        <w:t>“三公”</w:t>
      </w:r>
      <w:r>
        <w:rPr>
          <w:rFonts w:hint="default" w:ascii="Times New Roman" w:hAnsi="Times New Roman" w:eastAsia="方正黑体_GBK" w:cs="Times New Roman"/>
          <w:sz w:val="32"/>
          <w:szCs w:val="32"/>
        </w:rPr>
        <w:t>经费支出决算情况说明</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51" w:name="_Toc15377216"/>
      <w:r>
        <w:rPr>
          <w:rFonts w:hint="default" w:ascii="Times New Roman" w:hAnsi="Times New Roman" w:eastAsia="楷体_GB2312" w:cs="Times New Roman"/>
          <w:b/>
          <w:sz w:val="32"/>
          <w:szCs w:val="32"/>
        </w:rPr>
        <w:t>（一）“三公”经费财政拨款支出决算总体情况说明</w:t>
      </w:r>
      <w:bookmarkEnd w:id="51"/>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2025年度“三公”经费财政拨款支出决算为4.43万元，完成预算100%，较上年度减少0.81万元，下降15.45%。决算数与预算数持平的主要原因是加强2025年“三公”经费支出管理</w:t>
      </w:r>
      <w:r>
        <w:rPr>
          <w:rFonts w:hint="default" w:cs="Times New Roman"/>
          <w:kern w:val="2"/>
          <w:sz w:val="32"/>
          <w:szCs w:val="32"/>
          <w:lang w:eastAsia="zh-CN" w:bidi="ar-SA"/>
        </w:rPr>
        <w:t>，</w:t>
      </w:r>
      <w:r>
        <w:rPr>
          <w:rFonts w:hint="default" w:ascii="Times New Roman" w:hAnsi="Times New Roman" w:eastAsia="方正仿宋_GBK" w:cs="Times New Roman"/>
          <w:kern w:val="2"/>
          <w:sz w:val="32"/>
          <w:szCs w:val="32"/>
          <w:lang w:val="en-US" w:eastAsia="zh-CN" w:bidi="ar-SA"/>
        </w:rPr>
        <w:t>严格控制在预算内。</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sz w:val="32"/>
          <w:szCs w:val="32"/>
        </w:rPr>
      </w:pPr>
      <w:bookmarkStart w:id="52" w:name="_Toc15377217"/>
      <w:r>
        <w:rPr>
          <w:rFonts w:hint="default" w:ascii="Times New Roman" w:hAnsi="Times New Roman" w:eastAsia="楷体_GB2312" w:cs="Times New Roman"/>
          <w:b/>
          <w:sz w:val="32"/>
          <w:szCs w:val="32"/>
        </w:rPr>
        <w:t>（二）“三公”经费财政拨款支出决算具体情况说明</w:t>
      </w:r>
      <w:bookmarkEnd w:id="52"/>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2025年度“三公”经费财政拨款支出决算中，因公出国（境）费支出决算0万元，占0%；公务用车购置及运行维护费支出决算3.79万元，占85.55%；公务接待费支出决算0.64万元，占14.45%。具体情况如下：</w:t>
      </w:r>
    </w:p>
    <w:p>
      <w:pPr>
        <w:spacing w:line="600" w:lineRule="exact"/>
        <w:jc w:val="center"/>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（图7：财政拨款“三公”经费支出结构）（饼状图）</w:t>
      </w:r>
    </w:p>
    <w:p>
      <w:pPr>
        <w:keepNext w:val="0"/>
        <w:keepLines w:val="0"/>
        <w:pageBreakBefore w:val="0"/>
        <w:widowControl w:val="0"/>
        <w:tabs>
          <w:tab w:val="center" w:pos="4482"/>
          <w:tab w:val="left" w:pos="5643"/>
        </w:tabs>
        <w:kinsoku/>
        <w:wordWrap/>
        <w:overflowPunct/>
        <w:topLinePunct w:val="0"/>
        <w:autoSpaceDE/>
        <w:autoSpaceDN/>
        <w:bidi w:val="0"/>
        <w:adjustRightInd/>
        <w:snapToGrid/>
        <w:ind w:firstLine="0" w:firstLineChars="0"/>
        <w:jc w:val="left"/>
        <w:textAlignment w:val="auto"/>
        <w:rPr>
          <w:rFonts w:hint="default" w:ascii="Times New Roman" w:hAnsi="Times New Roman" w:eastAsia="仿宋_GB2312" w:cs="Times New Roman"/>
          <w:b/>
          <w:bCs/>
          <w:sz w:val="32"/>
          <w:szCs w:val="32"/>
        </w:rPr>
      </w:pPr>
      <w:r>
        <w:rPr>
          <w:rFonts w:hint="eastAsia" w:eastAsia="仿宋" w:cs="Times New Roman"/>
          <w:b/>
          <w:sz w:val="32"/>
          <w:szCs w:val="32"/>
          <w:lang w:eastAsia="zh-CN"/>
        </w:rPr>
        <w:tab/>
      </w:r>
      <w:r>
        <w:rPr>
          <w:rFonts w:hint="default" w:ascii="Times New Roman" w:hAnsi="Times New Roman" w:eastAsia="仿宋" w:cs="Times New Roman"/>
          <w:b/>
          <w:sz w:val="32"/>
          <w:szCs w:val="32"/>
          <w:lang w:eastAsia="zh-CN"/>
        </w:rPr>
        <w:drawing>
          <wp:inline distT="0" distB="0" distL="114300" distR="114300">
            <wp:extent cx="5256530" cy="2988310"/>
            <wp:effectExtent l="5080" t="4445" r="8890" b="1714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hint="eastAsia" w:eastAsia="仿宋" w:cs="Times New Roman"/>
          <w:b/>
          <w:sz w:val="32"/>
          <w:szCs w:val="32"/>
          <w:lang w:eastAsia="zh-CN"/>
        </w:rPr>
        <w:tab/>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1.因公出国（境）经费支出0万元，完成预算0%。</w:t>
      </w:r>
      <w:r>
        <w:rPr>
          <w:rFonts w:hint="default" w:ascii="Times New Roman" w:hAnsi="Times New Roman" w:eastAsia="方正仿宋_GBK" w:cs="Times New Roman"/>
          <w:kern w:val="2"/>
          <w:sz w:val="32"/>
          <w:szCs w:val="32"/>
          <w:lang w:val="en-US" w:eastAsia="zh-CN" w:bidi="ar-SA"/>
        </w:rPr>
        <w:t>全年安排因公出国（境）团组0次，出国（境）0人。</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3.79</w:t>
      </w:r>
      <w:r>
        <w:rPr>
          <w:rFonts w:hint="default" w:ascii="Times New Roman" w:hAnsi="Times New Roman" w:eastAsia="仿宋_GB2312" w:cs="Times New Roman"/>
          <w:b/>
          <w:bCs/>
          <w:sz w:val="32"/>
          <w:szCs w:val="32"/>
        </w:rPr>
        <w:t>万元，完成预算100%。</w:t>
      </w:r>
      <w:r>
        <w:rPr>
          <w:rFonts w:hint="default" w:ascii="Times New Roman" w:hAnsi="Times New Roman" w:eastAsia="方正仿宋_GBK" w:cs="Times New Roman"/>
          <w:kern w:val="2"/>
          <w:sz w:val="32"/>
          <w:szCs w:val="32"/>
          <w:lang w:val="en-US" w:eastAsia="zh-CN" w:bidi="ar-SA"/>
        </w:rPr>
        <w:t>公务用车购置及运行维护费支出决算比2024年度减少0.07万元，下降1.81%。主要原因是加强公务用车购置及运行维护费支出管理,严格控制在预算内。其中：公务用车购置支出0万元。全年按规定更新购置公务用车0辆，其中：轿车0辆、金额0万元，越野车0辆、金额0万元，载客汽车0辆、金额0万元。截至2025年12月31日，单位共有公务用车2辆，其中：轿车1辆、越野车1辆、载客汽车0辆。</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公务用车运行维护费支出3.79万元。主要用于市委组织部机关、党员教育中心、市干部人事档案服务中心、市人才发展促进中心日常公务外出考察、调研、专项检查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仿宋_GB2312" w:cs="Times New Roman"/>
          <w:b/>
          <w:bCs/>
          <w:color w:val="auto"/>
          <w:sz w:val="32"/>
          <w:szCs w:val="32"/>
        </w:rPr>
        <w:t>3.公务接待费支出</w:t>
      </w:r>
      <w:r>
        <w:rPr>
          <w:rFonts w:hint="default" w:ascii="Times New Roman" w:hAnsi="Times New Roman" w:eastAsia="仿宋_GB2312" w:cs="Times New Roman"/>
          <w:b/>
          <w:bCs/>
          <w:color w:val="auto"/>
          <w:sz w:val="32"/>
          <w:szCs w:val="32"/>
          <w:lang w:val="en-US" w:eastAsia="zh-CN"/>
        </w:rPr>
        <w:t>0.64</w:t>
      </w:r>
      <w:r>
        <w:rPr>
          <w:rFonts w:hint="default" w:ascii="Times New Roman" w:hAnsi="Times New Roman" w:eastAsia="仿宋_GB2312" w:cs="Times New Roman"/>
          <w:b/>
          <w:bCs/>
          <w:color w:val="auto"/>
          <w:sz w:val="32"/>
          <w:szCs w:val="32"/>
        </w:rPr>
        <w:t>万元，完成预算100%。</w:t>
      </w:r>
      <w:r>
        <w:rPr>
          <w:rFonts w:hint="default" w:ascii="Times New Roman" w:hAnsi="Times New Roman" w:eastAsia="方正仿宋_GBK" w:cs="Times New Roman"/>
          <w:kern w:val="2"/>
          <w:sz w:val="32"/>
          <w:szCs w:val="32"/>
          <w:lang w:val="en-US" w:eastAsia="zh-CN" w:bidi="ar-SA"/>
        </w:rPr>
        <w:t>公务接待费支出决算比2024年度下降0.74万元，下降53.62%。主要原因是2025年公务活动、接待批次较2024年减少。其中：</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国内公务接待支出0.64万元，主要用于上级部门来攀调研工作、省内对口部门来攀对接工作，执行公务、开展业务活动开支的用餐费。国内公务接待6批次，37人次（不包括陪同人员），共计支出0.64万元，具体内容包括：省级对口部门来攀指导业务工作0.22万元,省级对口部门来攀考察及对接工作0.42万元。外事接待支出0万元。外事接待0批次，0人次（不包括陪同人员），共计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3" w:name="_Toc15396610"/>
      <w:bookmarkStart w:id="54" w:name="_Toc15377218"/>
      <w:bookmarkStart w:id="55" w:name="_Toc31278"/>
      <w:r>
        <w:rPr>
          <w:rFonts w:hint="default" w:ascii="Times New Roman" w:hAnsi="Times New Roman" w:eastAsia="方正黑体_GBK" w:cs="Times New Roman"/>
          <w:sz w:val="32"/>
          <w:szCs w:val="32"/>
        </w:rPr>
        <w:t>八、政府性基金预算支出决算情况说明</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2025年度政府性基金预算财政拨款支出0万元。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6" w:name="_Toc10631"/>
      <w:bookmarkStart w:id="57" w:name="_Toc15377219"/>
      <w:bookmarkStart w:id="58" w:name="_Toc15396611"/>
      <w:r>
        <w:rPr>
          <w:rFonts w:hint="default" w:ascii="Times New Roman" w:hAnsi="Times New Roman" w:eastAsia="方正黑体_GBK" w:cs="Times New Roman"/>
          <w:sz w:val="32"/>
          <w:szCs w:val="32"/>
        </w:rPr>
        <w:t>九、国有资本经营预算支出决算情况说明</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2025年度国有资本经营预算财政拨款支出0万元。</w:t>
      </w:r>
    </w:p>
    <w:p>
      <w:pPr>
        <w:pStyle w:val="29"/>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1"/>
        <w:rPr>
          <w:rFonts w:hint="default" w:ascii="Times New Roman" w:hAnsi="Times New Roman" w:eastAsia="方正黑体_GBK" w:cs="Times New Roman"/>
          <w:sz w:val="32"/>
          <w:szCs w:val="32"/>
        </w:rPr>
      </w:pPr>
      <w:bookmarkStart w:id="59" w:name="_Toc15377221"/>
      <w:bookmarkStart w:id="60" w:name="_Toc15396612"/>
      <w:bookmarkStart w:id="61" w:name="_Toc16000"/>
      <w:r>
        <w:rPr>
          <w:rFonts w:hint="default" w:ascii="Times New Roman" w:hAnsi="Times New Roman" w:eastAsia="方正黑体_GBK" w:cs="Times New Roman"/>
          <w:sz w:val="32"/>
          <w:szCs w:val="32"/>
        </w:rPr>
        <w:t>十、其他重要事项的情况说明</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2" w:name="_Toc15377222"/>
      <w:r>
        <w:rPr>
          <w:rFonts w:hint="default" w:ascii="Times New Roman" w:hAnsi="Times New Roman" w:eastAsia="楷体_GB2312" w:cs="Times New Roman"/>
          <w:b/>
          <w:color w:val="auto"/>
          <w:sz w:val="32"/>
          <w:szCs w:val="32"/>
        </w:rPr>
        <w:t>（一）机关运行经费支出情况</w:t>
      </w:r>
      <w:bookmarkEnd w:id="62"/>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2025年度，中共攀枝花市委组织部机关运行经费支出187.06万元，比2024年度增加11.17万元，增长6.35%。主要原因是人员支出增加。</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3" w:name="_Toc15377223"/>
      <w:r>
        <w:rPr>
          <w:rFonts w:hint="default" w:ascii="Times New Roman" w:hAnsi="Times New Roman" w:eastAsia="楷体_GB2312" w:cs="Times New Roman"/>
          <w:b/>
          <w:color w:val="auto"/>
          <w:sz w:val="32"/>
          <w:szCs w:val="32"/>
        </w:rPr>
        <w:t>（二）政府采购支出情况</w:t>
      </w:r>
      <w:bookmarkEnd w:id="63"/>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度，中共攀枝花市委组织部政府采购支出总额6.82万元，其中：政府采购货物支出3.70万元、政府采购工程支出0万元、政府采购服务支出3.12万元。主要用于公务车运行的燃油费、办公纸张费用。授予中小企业合同金额4.50万元，占政府采购支出总额的65.98%，其中：授予小微企业合同金额4.13万元，占政府采购支出总额的60.56%。</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bookmarkStart w:id="64" w:name="_Toc15377224"/>
      <w:r>
        <w:rPr>
          <w:rFonts w:hint="default" w:ascii="Times New Roman" w:hAnsi="Times New Roman" w:eastAsia="楷体_GB2312" w:cs="Times New Roman"/>
          <w:b/>
          <w:color w:val="auto"/>
          <w:sz w:val="32"/>
          <w:szCs w:val="32"/>
        </w:rPr>
        <w:t>（三）国有资产占有使用情况</w:t>
      </w:r>
      <w:bookmarkEnd w:id="64"/>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截至2025年12月31日，中共攀枝花市委组织部共有车辆2辆，其中：主要负责人用车0辆、机要通信用车0辆、应急保障用车0辆、其他用车2辆，其他用车主要是用于市委组织部机关、党员教育中心、市干部人事档案服务中心、市人才发展促进中心日常公务外出考察、调研、专项检查等工作用车。单价100万元（含）以上设备（不含车辆）0台（套）。</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outlineLvl w:val="9"/>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根据预算绩效管理要求，市委组织部在2025年度预算编制阶段，组织对0个项目开展了预算事前绩效评估，对</w:t>
      </w:r>
      <w:r>
        <w:rPr>
          <w:rFonts w:hint="eastAsia" w:cs="Times New Roman"/>
          <w:kern w:val="2"/>
          <w:sz w:val="32"/>
          <w:szCs w:val="32"/>
          <w:lang w:val="en-US" w:eastAsia="zh-CN" w:bidi="ar-SA"/>
        </w:rPr>
        <w:t>12</w:t>
      </w:r>
      <w:r>
        <w:rPr>
          <w:rFonts w:hint="default" w:ascii="Times New Roman" w:hAnsi="Times New Roman" w:eastAsia="方正仿宋_GBK" w:cs="Times New Roman"/>
          <w:kern w:val="2"/>
          <w:sz w:val="32"/>
          <w:szCs w:val="32"/>
          <w:lang w:val="en-US" w:eastAsia="zh-CN" w:bidi="ar-SA"/>
        </w:rPr>
        <w:t>个项目</w:t>
      </w:r>
      <w:r>
        <w:rPr>
          <w:rFonts w:hint="default" w:ascii="Times New Roman" w:hAnsi="Times New Roman" w:eastAsia="方正仿宋_GBK" w:cs="Times New Roman"/>
          <w:spacing w:val="-6"/>
          <w:kern w:val="2"/>
          <w:sz w:val="32"/>
          <w:szCs w:val="32"/>
          <w:lang w:val="en-US" w:eastAsia="zh-CN" w:bidi="ar-SA"/>
        </w:rPr>
        <w:t>编制了绩效目标，预算执行过程中，选取</w:t>
      </w:r>
      <w:r>
        <w:rPr>
          <w:rFonts w:hint="eastAsia" w:cs="Times New Roman"/>
          <w:spacing w:val="-6"/>
          <w:kern w:val="2"/>
          <w:sz w:val="32"/>
          <w:szCs w:val="32"/>
          <w:lang w:val="en-US" w:eastAsia="zh-CN" w:bidi="ar-SA"/>
        </w:rPr>
        <w:t>12</w:t>
      </w:r>
      <w:r>
        <w:rPr>
          <w:rFonts w:hint="default" w:ascii="Times New Roman" w:hAnsi="Times New Roman" w:eastAsia="方正仿宋_GBK" w:cs="Times New Roman"/>
          <w:spacing w:val="-6"/>
          <w:kern w:val="2"/>
          <w:sz w:val="32"/>
          <w:szCs w:val="32"/>
          <w:lang w:val="en-US" w:eastAsia="zh-CN" w:bidi="ar-SA"/>
        </w:rPr>
        <w:t>个项目开展绩效监控。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组织对2025年度一般公共预算全面开展绩效自评，形成市委组织部部门整体（含部门预算项目）绩效自评报告、0个专项预算项目绩效自评报告，其中，市委组织部部门整体（含部门预算项目）绩效自评得分为86.55分，较好</w:t>
      </w:r>
      <w:r>
        <w:rPr>
          <w:rFonts w:hint="default" w:ascii="Times New Roman" w:hAnsi="Times New Roman" w:eastAsia="方正仿宋_GBK" w:cs="Times New Roman"/>
          <w:kern w:val="2"/>
          <w:sz w:val="32"/>
          <w:szCs w:val="32"/>
          <w:lang w:val="zh-CN" w:eastAsia="zh-CN" w:bidi="ar-SA"/>
        </w:rPr>
        <w:t>保障了机关正常运转、履行职能职责较好，财务管理健全规范，没有发生违法违规的现象</w:t>
      </w:r>
      <w:r>
        <w:rPr>
          <w:rFonts w:hint="default" w:ascii="Times New Roman" w:hAnsi="Times New Roman" w:eastAsia="方正仿宋_GBK" w:cs="Times New Roman"/>
          <w:kern w:val="2"/>
          <w:sz w:val="32"/>
          <w:szCs w:val="32"/>
          <w:lang w:val="en-US" w:eastAsia="zh-CN" w:bidi="ar-SA"/>
        </w:rPr>
        <w:t>，绩效自评报告详见附件。</w:t>
      </w:r>
    </w:p>
    <w:p>
      <w:pPr>
        <w:pStyle w:val="20"/>
        <w:rPr>
          <w:rFonts w:hint="default" w:ascii="Times New Roman" w:hAnsi="Times New Roman" w:eastAsia="仿宋_GB2312" w:cs="Times New Roman"/>
          <w:color w:val="auto"/>
          <w:sz w:val="32"/>
          <w:szCs w:val="32"/>
        </w:rPr>
      </w:pPr>
    </w:p>
    <w:p>
      <w:pPr>
        <w:rPr>
          <w:rFonts w:hint="default" w:ascii="Times New Roman" w:hAnsi="Times New Roman" w:cs="Times New Roman"/>
        </w:rPr>
      </w:pPr>
    </w:p>
    <w:p>
      <w:pPr>
        <w:spacing w:line="600" w:lineRule="exact"/>
        <w:ind w:firstLine="640"/>
        <w:rPr>
          <w:rFonts w:hint="default" w:ascii="Times New Roman" w:hAnsi="Times New Roman" w:eastAsia="仿宋_GB2312" w:cs="Times New Roman"/>
          <w:color w:val="auto"/>
          <w:sz w:val="32"/>
          <w:szCs w:val="32"/>
        </w:rPr>
      </w:pPr>
    </w:p>
    <w:p>
      <w:pPr>
        <w:spacing w:line="600" w:lineRule="exact"/>
        <w:jc w:val="center"/>
        <w:outlineLvl w:val="0"/>
        <w:rPr>
          <w:rFonts w:hint="default" w:ascii="Times New Roman" w:hAnsi="Times New Roman" w:eastAsia="黑体" w:cs="Times New Roman"/>
          <w:sz w:val="44"/>
          <w:szCs w:val="44"/>
        </w:rPr>
      </w:pPr>
      <w:bookmarkStart w:id="65" w:name="_Toc28598"/>
      <w:bookmarkStart w:id="66" w:name="_Toc15396613"/>
      <w:bookmarkStart w:id="67" w:name="_Toc15377225"/>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pStyle w:val="2"/>
        <w:rPr>
          <w:rFonts w:hint="default" w:ascii="Times New Roman" w:hAnsi="Times New Roman" w:eastAsia="黑体" w:cs="Times New Roman"/>
          <w:sz w:val="44"/>
          <w:szCs w:val="44"/>
        </w:rPr>
      </w:pPr>
    </w:p>
    <w:p>
      <w:pPr>
        <w:rPr>
          <w:rFonts w:hint="default"/>
        </w:rPr>
      </w:pPr>
    </w:p>
    <w:p>
      <w:pPr>
        <w:spacing w:line="600" w:lineRule="exact"/>
        <w:jc w:val="both"/>
        <w:outlineLvl w:val="0"/>
        <w:rPr>
          <w:rFonts w:hint="default" w:ascii="Times New Roman" w:hAnsi="Times New Roman" w:eastAsia="黑体" w:cs="Times New Roman"/>
          <w:sz w:val="44"/>
          <w:szCs w:val="44"/>
        </w:rPr>
      </w:pPr>
    </w:p>
    <w:p>
      <w:pPr>
        <w:pStyle w:val="2"/>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65"/>
      <w:bookmarkEnd w:id="66"/>
      <w:bookmarkEnd w:id="67"/>
    </w:p>
    <w:p>
      <w:pPr>
        <w:spacing w:line="600" w:lineRule="exact"/>
        <w:jc w:val="left"/>
        <w:rPr>
          <w:rFonts w:hint="default" w:ascii="Times New Roman" w:hAnsi="Times New Roman" w:cs="Times New Roman"/>
          <w:b/>
          <w:sz w:val="44"/>
          <w:szCs w:val="44"/>
        </w:rPr>
      </w:pPr>
    </w:p>
    <w:p>
      <w:pPr>
        <w:keepNext w:val="0"/>
        <w:keepLines w:val="0"/>
        <w:pageBreakBefore w:val="0"/>
        <w:widowControl w:val="0"/>
        <w:kinsoku/>
        <w:wordWrap/>
        <w:overflowPunct/>
        <w:topLinePunct w:val="0"/>
        <w:bidi w:val="0"/>
        <w:adjustRightInd/>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pacing w:val="-6"/>
          <w:sz w:val="32"/>
          <w:szCs w:val="32"/>
        </w:rPr>
        <w:t>财政拨款收入：指单位从同级财政部门取得的财政预算资金。</w:t>
      </w:r>
    </w:p>
    <w:p>
      <w:pPr>
        <w:keepNext w:val="0"/>
        <w:keepLines w:val="0"/>
        <w:pageBreakBefore w:val="0"/>
        <w:widowControl w:val="0"/>
        <w:kinsoku/>
        <w:wordWrap/>
        <w:overflowPunct/>
        <w:topLinePunct w:val="0"/>
        <w:bidi w:val="0"/>
        <w:adjustRightInd/>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2.其他收入：指单位取得的除事业收入、经营收入以外的各项收入。主要是利息收入。</w:t>
      </w:r>
    </w:p>
    <w:p>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Style w:val="18"/>
          <w:rFonts w:hint="default" w:ascii="Times New Roman" w:hAnsi="Times New Roman" w:eastAsia="方正仿宋_GBK" w:cs="Times New Roman"/>
          <w:b w:val="0"/>
          <w:sz w:val="32"/>
          <w:szCs w:val="32"/>
        </w:rPr>
        <w:t>一般公共服务组织事务支出</w:t>
      </w:r>
      <w:r>
        <w:rPr>
          <w:rFonts w:hint="default" w:ascii="Times New Roman" w:hAnsi="Times New Roman" w:eastAsia="方正仿宋_GBK" w:cs="Times New Roman"/>
          <w:sz w:val="32"/>
          <w:szCs w:val="32"/>
        </w:rPr>
        <w:t>：指反映中国共产党组织部门的支出。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4.</w:t>
      </w:r>
      <w:r>
        <w:rPr>
          <w:rFonts w:hint="default" w:ascii="Times New Roman" w:hAnsi="Times New Roman" w:eastAsia="方正仿宋_GBK" w:cs="Times New Roman"/>
          <w:sz w:val="32"/>
          <w:szCs w:val="32"/>
        </w:rPr>
        <w:t>社会保障和就业支出：指反映政府在社会保障和就业方面的支出。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5.</w:t>
      </w:r>
      <w:r>
        <w:rPr>
          <w:rFonts w:hint="default" w:ascii="Times New Roman" w:hAnsi="Times New Roman" w:eastAsia="方正仿宋_GBK" w:cs="Times New Roman"/>
          <w:sz w:val="32"/>
          <w:szCs w:val="32"/>
        </w:rPr>
        <w:t>住房保障支出：指反映行政事业单位按人力资源和社会保障部、财政部规定的基本工资和津贴补贴以及规定比例为职工缴纳的住房公积金。</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6.</w:t>
      </w:r>
      <w:r>
        <w:rPr>
          <w:rFonts w:hint="default" w:ascii="Times New Roman" w:hAnsi="Times New Roman" w:eastAsia="方正仿宋_GBK" w:cs="Times New Roman"/>
          <w:sz w:val="32"/>
          <w:szCs w:val="32"/>
        </w:rPr>
        <w:t>卫生健康支出：指反映政府卫生健康方面的支出。</w:t>
      </w:r>
    </w:p>
    <w:p>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7.基本支出：指为保障机构正常运转、完成日常工作任务而发生的人员支出和公用支出。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r>
        <w:rPr>
          <w:rFonts w:hint="default" w:ascii="Times New Roman" w:hAnsi="Times New Roman" w:eastAsia="方正仿宋_GBK" w:cs="Times New Roman"/>
          <w:sz w:val="32"/>
          <w:szCs w:val="32"/>
        </w:rPr>
        <w:t>项目支出：指在基本支出之外为完成特定行政任务和事业发展目标所发生的支出。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9.</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三公</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jc w:val="center"/>
        <w:rPr>
          <w:rFonts w:hint="default" w:ascii="Times New Roman" w:hAnsi="Times New Roman" w:eastAsia="方正小标宋_GBK" w:cs="Times New Roman"/>
          <w:b w:val="0"/>
        </w:rPr>
      </w:pPr>
      <w:bookmarkStart w:id="68" w:name="_Toc15377226"/>
      <w:r>
        <w:rPr>
          <w:rFonts w:hint="default" w:ascii="Times New Roman" w:hAnsi="Times New Roman" w:eastAsia="仿宋_GB2312" w:cs="Times New Roman"/>
          <w:sz w:val="32"/>
          <w:szCs w:val="32"/>
        </w:rPr>
        <w:br w:type="page"/>
      </w:r>
      <w:bookmarkStart w:id="69" w:name="_Toc17788"/>
      <w:bookmarkStart w:id="70" w:name="_Toc15396618"/>
    </w:p>
    <w:p>
      <w:pPr>
        <w:numPr>
          <w:ilvl w:val="0"/>
          <w:numId w:val="4"/>
        </w:numPr>
        <w:spacing w:line="600" w:lineRule="exact"/>
        <w:jc w:val="center"/>
        <w:outlineLvl w:val="0"/>
        <w:rPr>
          <w:rFonts w:hint="default" w:ascii="Times New Roman" w:hAnsi="Times New Roman" w:eastAsia="方正小标宋_GBK" w:cs="Times New Roman"/>
          <w:b w:val="0"/>
          <w:bCs/>
          <w:kern w:val="44"/>
          <w:sz w:val="44"/>
          <w:szCs w:val="44"/>
          <w:lang w:val="en-US" w:eastAsia="zh-CN" w:bidi="ar-SA"/>
        </w:rPr>
      </w:pPr>
      <w:bookmarkStart w:id="71" w:name="_Toc15396614"/>
      <w:bookmarkStart w:id="72" w:name="_Toc16414"/>
      <w:r>
        <w:rPr>
          <w:rFonts w:hint="default" w:ascii="Times New Roman" w:hAnsi="Times New Roman" w:eastAsia="方正小标宋_GBK" w:cs="Times New Roman"/>
          <w:b w:val="0"/>
          <w:bCs/>
          <w:kern w:val="44"/>
          <w:sz w:val="44"/>
          <w:szCs w:val="44"/>
          <w:lang w:val="en-US" w:eastAsia="zh-CN" w:bidi="ar-SA"/>
        </w:rPr>
        <w:t xml:space="preserve"> 附件</w:t>
      </w:r>
      <w:bookmarkEnd w:id="71"/>
      <w:bookmarkEnd w:id="72"/>
    </w:p>
    <w:p>
      <w:pPr>
        <w:pStyle w:val="2"/>
        <w:numPr>
          <w:ilvl w:val="0"/>
          <w:numId w:val="0"/>
        </w:numPr>
        <w:rPr>
          <w:rFonts w:hint="default"/>
          <w:lang w:val="en-US" w:eastAsia="zh-CN"/>
        </w:rPr>
      </w:pPr>
    </w:p>
    <w:p>
      <w:pPr>
        <w:widowControl/>
        <w:ind w:firstLine="640" w:firstLineChars="2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部门预算项目支出绩效自评表（202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年度）</w:t>
      </w:r>
      <w:r>
        <w:rPr>
          <w:rFonts w:hint="default" w:ascii="Times New Roman" w:hAnsi="Times New Roman" w:eastAsia="方正仿宋_GBK" w:cs="Times New Roman"/>
          <w:sz w:val="32"/>
          <w:szCs w:val="32"/>
          <w:lang w:val="en-US" w:eastAsia="zh-CN"/>
        </w:rPr>
        <w:t>见附件</w:t>
      </w:r>
    </w:p>
    <w:p>
      <w:pPr>
        <w:widowControl/>
        <w:spacing w:line="578" w:lineRule="exact"/>
        <w:contextualSpacing/>
        <w:jc w:val="center"/>
        <w:rPr>
          <w:rFonts w:hint="default" w:ascii="Times New Roman" w:hAnsi="Times New Roman" w:eastAsia="方正小标宋_GBK" w:cs="Times New Roman"/>
          <w:bCs/>
          <w:sz w:val="44"/>
          <w:szCs w:val="44"/>
          <w:shd w:val="clear" w:color="auto" w:fill="FFFFFF"/>
        </w:rPr>
      </w:pPr>
    </w:p>
    <w:p>
      <w:pPr>
        <w:pStyle w:val="2"/>
        <w:rPr>
          <w:rFonts w:hint="default" w:ascii="Times New Roman" w:hAnsi="Times New Roman" w:eastAsia="方正小标宋_GBK" w:cs="Times New Roman"/>
          <w:bCs/>
          <w:sz w:val="44"/>
          <w:szCs w:val="44"/>
          <w:shd w:val="clear" w:color="auto" w:fill="FFFFFF"/>
        </w:rPr>
      </w:pPr>
    </w:p>
    <w:p>
      <w:pPr>
        <w:rPr>
          <w:rFonts w:hint="default" w:ascii="Times New Roman" w:hAnsi="Times New Roman" w:eastAsia="方正小标宋_GBK" w:cs="Times New Roman"/>
          <w:bCs/>
          <w:sz w:val="44"/>
          <w:szCs w:val="44"/>
          <w:shd w:val="clear" w:color="auto" w:fill="FFFFFF"/>
        </w:rPr>
      </w:pPr>
    </w:p>
    <w:p>
      <w:pPr>
        <w:pStyle w:val="2"/>
        <w:rPr>
          <w:rFonts w:hint="default" w:ascii="Times New Roman" w:hAnsi="Times New Roman" w:eastAsia="方正小标宋_GBK" w:cs="Times New Roman"/>
          <w:bCs/>
          <w:sz w:val="44"/>
          <w:szCs w:val="44"/>
          <w:shd w:val="clear" w:color="auto" w:fill="FFFFFF"/>
        </w:rPr>
      </w:pPr>
    </w:p>
    <w:p>
      <w:pPr>
        <w:rPr>
          <w:rFonts w:hint="default" w:ascii="Times New Roman" w:hAnsi="Times New Roman" w:eastAsia="方正小标宋_GBK" w:cs="Times New Roman"/>
          <w:bCs/>
          <w:sz w:val="44"/>
          <w:szCs w:val="44"/>
          <w:shd w:val="clear" w:color="auto" w:fill="FFFFFF"/>
        </w:rPr>
      </w:pPr>
    </w:p>
    <w:p>
      <w:pPr>
        <w:pStyle w:val="2"/>
        <w:rPr>
          <w:rFonts w:hint="default" w:ascii="Times New Roman" w:hAnsi="Times New Roman" w:eastAsia="方正小标宋_GBK" w:cs="Times New Roman"/>
          <w:bCs/>
          <w:sz w:val="44"/>
          <w:szCs w:val="44"/>
          <w:shd w:val="clear" w:color="auto" w:fill="FFFFFF"/>
        </w:rPr>
      </w:pPr>
    </w:p>
    <w:p>
      <w:pPr>
        <w:rPr>
          <w:rFonts w:hint="default" w:ascii="Times New Roman" w:hAnsi="Times New Roman" w:eastAsia="方正小标宋_GBK" w:cs="Times New Roman"/>
          <w:bCs/>
          <w:sz w:val="44"/>
          <w:szCs w:val="44"/>
          <w:shd w:val="clear" w:color="auto" w:fill="FFFFFF"/>
        </w:rPr>
      </w:pPr>
    </w:p>
    <w:p>
      <w:pPr>
        <w:pStyle w:val="2"/>
        <w:rPr>
          <w:rFonts w:hint="default" w:ascii="Times New Roman" w:hAnsi="Times New Roman" w:eastAsia="方正小标宋_GBK" w:cs="Times New Roman"/>
          <w:bCs/>
          <w:sz w:val="44"/>
          <w:szCs w:val="44"/>
          <w:shd w:val="clear" w:color="auto" w:fill="FFFFFF"/>
        </w:rPr>
      </w:pPr>
    </w:p>
    <w:p>
      <w:pPr>
        <w:rPr>
          <w:rFonts w:hint="default" w:ascii="Times New Roman" w:hAnsi="Times New Roman" w:eastAsia="方正小标宋_GBK" w:cs="Times New Roman"/>
          <w:bCs/>
          <w:sz w:val="44"/>
          <w:szCs w:val="44"/>
          <w:shd w:val="clear" w:color="auto" w:fill="FFFFFF"/>
        </w:rPr>
      </w:pPr>
    </w:p>
    <w:p>
      <w:pPr>
        <w:pStyle w:val="2"/>
        <w:rPr>
          <w:rFonts w:hint="default" w:ascii="Times New Roman" w:hAnsi="Times New Roman" w:eastAsia="方正小标宋_GBK" w:cs="Times New Roman"/>
          <w:bCs/>
          <w:sz w:val="44"/>
          <w:szCs w:val="44"/>
          <w:shd w:val="clear" w:color="auto" w:fill="FFFFFF"/>
        </w:rPr>
      </w:pPr>
    </w:p>
    <w:p>
      <w:pPr>
        <w:rPr>
          <w:rFonts w:hint="default"/>
        </w:rPr>
      </w:pPr>
    </w:p>
    <w:p>
      <w:pPr>
        <w:pStyle w:val="3"/>
        <w:jc w:val="center"/>
        <w:rPr>
          <w:rFonts w:hint="default" w:ascii="Times New Roman" w:hAnsi="Times New Roman" w:eastAsia="方正小标宋_GBK" w:cs="Times New Roman"/>
          <w:b w:val="0"/>
        </w:rPr>
      </w:pPr>
      <w:r>
        <w:rPr>
          <w:rFonts w:hint="default" w:ascii="Times New Roman" w:hAnsi="Times New Roman" w:eastAsia="方正小标宋_GBK" w:cs="Times New Roman"/>
          <w:b w:val="0"/>
        </w:rPr>
        <w:t>第五部分 附表</w:t>
      </w:r>
      <w:bookmarkEnd w:id="68"/>
      <w:bookmarkEnd w:id="69"/>
      <w:bookmarkEnd w:id="70"/>
      <w:bookmarkStart w:id="73" w:name="_Toc15396619"/>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4" w:name="_Toc10643"/>
      <w:r>
        <w:rPr>
          <w:rFonts w:hint="default" w:ascii="Times New Roman" w:hAnsi="Times New Roman" w:eastAsia="仿宋_GB2312" w:cs="Times New Roman"/>
          <w:sz w:val="32"/>
          <w:szCs w:val="32"/>
        </w:rPr>
        <w:t>一、收入支出决算总表</w:t>
      </w:r>
      <w:bookmarkEnd w:id="73"/>
      <w:bookmarkEnd w:id="7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5" w:name="_Toc22765"/>
      <w:bookmarkStart w:id="76" w:name="_Toc15396620"/>
      <w:r>
        <w:rPr>
          <w:rFonts w:hint="default" w:ascii="Times New Roman" w:hAnsi="Times New Roman" w:eastAsia="仿宋_GB2312" w:cs="Times New Roman"/>
          <w:sz w:val="32"/>
          <w:szCs w:val="32"/>
        </w:rPr>
        <w:t>二、收入决算表</w:t>
      </w:r>
      <w:bookmarkEnd w:id="75"/>
      <w:bookmarkEnd w:id="7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7" w:name="_Toc15396621"/>
      <w:bookmarkStart w:id="78" w:name="_Toc20336"/>
      <w:r>
        <w:rPr>
          <w:rFonts w:hint="default" w:ascii="Times New Roman" w:hAnsi="Times New Roman" w:eastAsia="仿宋_GB2312" w:cs="Times New Roman"/>
          <w:sz w:val="32"/>
          <w:szCs w:val="32"/>
        </w:rPr>
        <w:t>三、支出决算表</w:t>
      </w:r>
      <w:bookmarkEnd w:id="77"/>
      <w:bookmarkEnd w:id="78"/>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79" w:name="_Toc15396622"/>
      <w:bookmarkStart w:id="80" w:name="_Toc22497"/>
      <w:r>
        <w:rPr>
          <w:rFonts w:hint="default" w:ascii="Times New Roman" w:hAnsi="Times New Roman" w:eastAsia="仿宋_GB2312" w:cs="Times New Roman"/>
          <w:sz w:val="32"/>
          <w:szCs w:val="32"/>
        </w:rPr>
        <w:t>四、财政拨款收入支出决算总表</w:t>
      </w:r>
      <w:bookmarkEnd w:id="79"/>
      <w:bookmarkEnd w:id="80"/>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1" w:name="_Toc15396623"/>
      <w:bookmarkStart w:id="82" w:name="_Toc19861"/>
      <w:r>
        <w:rPr>
          <w:rFonts w:hint="default" w:ascii="Times New Roman" w:hAnsi="Times New Roman" w:eastAsia="仿宋_GB2312" w:cs="Times New Roman"/>
          <w:sz w:val="32"/>
          <w:szCs w:val="32"/>
        </w:rPr>
        <w:t>五、财政拨款支出决算明细表</w:t>
      </w:r>
      <w:bookmarkEnd w:id="81"/>
      <w:bookmarkEnd w:id="82"/>
      <w:bookmarkStart w:id="83" w:name="_Toc1539662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4" w:name="_Toc1680"/>
      <w:r>
        <w:rPr>
          <w:rFonts w:hint="default" w:ascii="Times New Roman" w:hAnsi="Times New Roman" w:eastAsia="仿宋_GB2312" w:cs="Times New Roman"/>
          <w:sz w:val="32"/>
          <w:szCs w:val="32"/>
        </w:rPr>
        <w:t>六、一般公共预算财政拨款支出决算表</w:t>
      </w:r>
      <w:bookmarkEnd w:id="83"/>
      <w:bookmarkEnd w:id="8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5" w:name="_Toc15396625"/>
      <w:bookmarkStart w:id="86" w:name="_Toc30665"/>
      <w:r>
        <w:rPr>
          <w:rFonts w:hint="default" w:ascii="Times New Roman" w:hAnsi="Times New Roman" w:eastAsia="仿宋_GB2312" w:cs="Times New Roman"/>
          <w:sz w:val="32"/>
          <w:szCs w:val="32"/>
        </w:rPr>
        <w:t>七、一般公共预算财政拨款支出决算明细表</w:t>
      </w:r>
      <w:bookmarkEnd w:id="85"/>
      <w:bookmarkEnd w:id="8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7" w:name="_Toc15396626"/>
      <w:bookmarkStart w:id="88" w:name="_Toc20563"/>
      <w:r>
        <w:rPr>
          <w:rFonts w:hint="default" w:ascii="Times New Roman" w:hAnsi="Times New Roman" w:eastAsia="仿宋_GB2312" w:cs="Times New Roman"/>
          <w:sz w:val="32"/>
          <w:szCs w:val="32"/>
        </w:rPr>
        <w:t>八、一般公共预算财政拨款基本支出决算表</w:t>
      </w:r>
      <w:bookmarkEnd w:id="87"/>
      <w:bookmarkEnd w:id="88"/>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89" w:name="_Toc15396627"/>
      <w:bookmarkStart w:id="90" w:name="_Toc2"/>
      <w:r>
        <w:rPr>
          <w:rFonts w:hint="default" w:ascii="Times New Roman" w:hAnsi="Times New Roman" w:eastAsia="仿宋_GB2312" w:cs="Times New Roman"/>
          <w:sz w:val="32"/>
          <w:szCs w:val="32"/>
        </w:rPr>
        <w:t>九、一般公共预算财政拨款项目支出决算表</w:t>
      </w:r>
      <w:bookmarkEnd w:id="89"/>
      <w:bookmarkEnd w:id="90"/>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1" w:name="_Toc15396628"/>
      <w:bookmarkStart w:id="92" w:name="_Toc19264"/>
      <w:r>
        <w:rPr>
          <w:rFonts w:hint="default" w:ascii="Times New Roman" w:hAnsi="Times New Roman" w:eastAsia="仿宋_GB2312" w:cs="Times New Roman"/>
          <w:sz w:val="32"/>
          <w:szCs w:val="32"/>
        </w:rPr>
        <w:t>十、</w:t>
      </w:r>
      <w:bookmarkEnd w:id="91"/>
      <w:r>
        <w:rPr>
          <w:rFonts w:hint="default" w:ascii="Times New Roman" w:hAnsi="Times New Roman" w:eastAsia="仿宋_GB2312" w:cs="Times New Roman"/>
          <w:sz w:val="32"/>
          <w:szCs w:val="32"/>
        </w:rPr>
        <w:t>政府性基金预算财政拨款收入支出决算表</w:t>
      </w:r>
      <w:bookmarkEnd w:id="92"/>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3" w:name="_Toc15396629"/>
      <w:bookmarkStart w:id="94" w:name="_Toc2065"/>
      <w:r>
        <w:rPr>
          <w:rFonts w:hint="default" w:ascii="Times New Roman" w:hAnsi="Times New Roman" w:eastAsia="仿宋_GB2312" w:cs="Times New Roman"/>
          <w:sz w:val="32"/>
          <w:szCs w:val="32"/>
        </w:rPr>
        <w:t>十一、</w:t>
      </w:r>
      <w:bookmarkEnd w:id="93"/>
      <w:r>
        <w:rPr>
          <w:rFonts w:hint="default" w:ascii="Times New Roman" w:hAnsi="Times New Roman" w:eastAsia="仿宋_GB2312" w:cs="Times New Roman"/>
          <w:sz w:val="32"/>
          <w:szCs w:val="32"/>
        </w:rPr>
        <w:t>国有资本经营预算财政拨款收入支出决算表</w:t>
      </w:r>
      <w:bookmarkEnd w:id="94"/>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5" w:name="_Toc15396630"/>
      <w:bookmarkStart w:id="96" w:name="_Toc11697"/>
      <w:r>
        <w:rPr>
          <w:rFonts w:hint="default" w:ascii="Times New Roman" w:hAnsi="Times New Roman" w:eastAsia="仿宋_GB2312" w:cs="Times New Roman"/>
          <w:sz w:val="32"/>
          <w:szCs w:val="32"/>
        </w:rPr>
        <w:t>十二、</w:t>
      </w:r>
      <w:bookmarkEnd w:id="95"/>
      <w:r>
        <w:rPr>
          <w:rFonts w:hint="default" w:ascii="Times New Roman" w:hAnsi="Times New Roman" w:eastAsia="仿宋_GB2312" w:cs="Times New Roman"/>
          <w:sz w:val="32"/>
          <w:szCs w:val="32"/>
        </w:rPr>
        <w:t>国有资本经营预算财政拨款支出决算表</w:t>
      </w:r>
      <w:bookmarkEnd w:id="96"/>
    </w:p>
    <w:p>
      <w:pPr>
        <w:pStyle w:val="15"/>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Times New Roman" w:hAnsi="Times New Roman" w:eastAsia="仿宋_GB2312" w:cs="Times New Roman"/>
          <w:sz w:val="32"/>
          <w:szCs w:val="32"/>
        </w:rPr>
      </w:pPr>
      <w:bookmarkStart w:id="97" w:name="_Toc15396631"/>
      <w:bookmarkStart w:id="98" w:name="_Toc16780"/>
      <w:r>
        <w:rPr>
          <w:rFonts w:hint="default" w:ascii="Times New Roman" w:hAnsi="Times New Roman" w:eastAsia="仿宋_GB2312" w:cs="Times New Roman"/>
          <w:sz w:val="32"/>
          <w:szCs w:val="32"/>
        </w:rPr>
        <w:t>十三、</w:t>
      </w:r>
      <w:bookmarkEnd w:id="97"/>
      <w:r>
        <w:rPr>
          <w:rFonts w:hint="default" w:ascii="Times New Roman" w:hAnsi="Times New Roman" w:eastAsia="仿宋_GB2312" w:cs="Times New Roman"/>
          <w:sz w:val="32"/>
          <w:szCs w:val="32"/>
        </w:rPr>
        <w:t>财政拨款“三公”经费支出决算表</w:t>
      </w:r>
      <w:bookmarkEnd w:id="98"/>
    </w:p>
    <w:p>
      <w:pPr>
        <w:rPr>
          <w:rFonts w:hint="default" w:ascii="Times New Roman" w:hAnsi="Times New Roman" w:cs="Times New Roman"/>
        </w:rPr>
      </w:pPr>
    </w:p>
    <w:sectPr>
      <w:footerReference r:id="rId7" w:type="first"/>
      <w:footerReference r:id="rId6" w:type="default"/>
      <w:pgSz w:w="11906" w:h="16838"/>
      <w:pgMar w:top="2098" w:right="1474" w:bottom="1984" w:left="1587"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Arial Unicode MS">
    <w:altName w:val="Nimbus Roman No9 L"/>
    <w:panose1 w:val="020B0604020202020204"/>
    <w:charset w:val="86"/>
    <w:family w:val="auto"/>
    <w:pitch w:val="default"/>
    <w:sig w:usb0="00000000" w:usb1="00000000" w:usb2="0000003F" w:usb3="00000000" w:csb0="603F01FF" w:csb1="FFFF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IkRNFQ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dX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9IkRN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- 3 -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uix5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KEsM0dnT69vX0/fH04wuB&#10;DQC1LswQt3aIjN0b21U0+r0YXAH2NHonvU5fDEUQArSPF4RFFwmHcTydTKclXBy+QUGJ4ul350N8&#10;K6wmSaioxwozsuxwF+I5dAhJ1YxdNUrlNSpD2opevXxd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vuix5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- 3 -</w:t>
                    </w:r>
                    <w:r>
                      <w:rPr>
                        <w:rFonts w:hint="eastAsia"/>
                        <w:sz w:val="18"/>
                      </w:rP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i8L5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qiR5jg3m6TYbbp+uI2tj5jN&#10;2zM9guOrBsXXLMQH5sEHNAyOx3s8UlkUsb1Eyc76z3+zp3isCV5KWvCrogYHQIl6Z7C+RMVB8IOw&#10;GQSz17cWhB3jdhzPIn7wUQ2i9FZ/AvGXqYZkKiAxMxzVsJpBvI3QeicOiIvl8qKDfI7FtXl0vF9m&#10;wjK45T4CzwxzwugMTA8dGJgX1V9Loviveo56vunF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fi8L5FQIAABsEAAAOAAAAAAAAAAEAIAAAADU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D38070"/>
    <w:multiLevelType w:val="singleLevel"/>
    <w:tmpl w:val="18D38070"/>
    <w:lvl w:ilvl="0" w:tentative="0">
      <w:start w:val="4"/>
      <w:numFmt w:val="chineseCounting"/>
      <w:suff w:val="space"/>
      <w:lvlText w:val="第%1部分"/>
      <w:lvlJc w:val="left"/>
      <w:rPr>
        <w:rFonts w:hint="eastAsia"/>
      </w:r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2">
    <w:nsid w:val="68B92424"/>
    <w:multiLevelType w:val="singleLevel"/>
    <w:tmpl w:val="68B92424"/>
    <w:lvl w:ilvl="0" w:tentative="0">
      <w:start w:val="1"/>
      <w:numFmt w:val="chineseCounting"/>
      <w:suff w:val="nothing"/>
      <w:lvlText w:val="%1、"/>
      <w:lvlJc w:val="left"/>
    </w:lvl>
  </w:abstractNum>
  <w:abstractNum w:abstractNumId="3">
    <w:nsid w:val="68B9490A"/>
    <w:multiLevelType w:val="singleLevel"/>
    <w:tmpl w:val="68B9490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HorizontalSpacing w:val="170"/>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MWM3MGQzMjJlMGFjMGVmZWU1OTA3ZDlmMmU5M2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4DEF"/>
    <w:rsid w:val="002D6D05"/>
    <w:rsid w:val="002F1818"/>
    <w:rsid w:val="002F567B"/>
    <w:rsid w:val="0030257D"/>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86616"/>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37763"/>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2A63DB"/>
    <w:rsid w:val="02FEBE30"/>
    <w:rsid w:val="04001144"/>
    <w:rsid w:val="04916F1E"/>
    <w:rsid w:val="061E35DE"/>
    <w:rsid w:val="066E0107"/>
    <w:rsid w:val="067A4E80"/>
    <w:rsid w:val="06F71C03"/>
    <w:rsid w:val="07996F6E"/>
    <w:rsid w:val="07B47733"/>
    <w:rsid w:val="07B63626"/>
    <w:rsid w:val="07DFD8BA"/>
    <w:rsid w:val="08A03285"/>
    <w:rsid w:val="08E00CF2"/>
    <w:rsid w:val="094E6636"/>
    <w:rsid w:val="09867E8F"/>
    <w:rsid w:val="09E90DD1"/>
    <w:rsid w:val="0A2032A3"/>
    <w:rsid w:val="0A32025F"/>
    <w:rsid w:val="0A5419AC"/>
    <w:rsid w:val="0BCD26E3"/>
    <w:rsid w:val="0C664C93"/>
    <w:rsid w:val="0CA8290A"/>
    <w:rsid w:val="0D35B1ED"/>
    <w:rsid w:val="0D9D7AD1"/>
    <w:rsid w:val="0DDF011F"/>
    <w:rsid w:val="0E254B6B"/>
    <w:rsid w:val="0F98263C"/>
    <w:rsid w:val="101860EC"/>
    <w:rsid w:val="101F47CC"/>
    <w:rsid w:val="10C055FF"/>
    <w:rsid w:val="112B3517"/>
    <w:rsid w:val="11694EBD"/>
    <w:rsid w:val="11772AA4"/>
    <w:rsid w:val="118107EC"/>
    <w:rsid w:val="122512A7"/>
    <w:rsid w:val="12E24EE2"/>
    <w:rsid w:val="13D50BC4"/>
    <w:rsid w:val="14B17F78"/>
    <w:rsid w:val="155F48F6"/>
    <w:rsid w:val="165E0673"/>
    <w:rsid w:val="1668724A"/>
    <w:rsid w:val="16B831D5"/>
    <w:rsid w:val="16BB723D"/>
    <w:rsid w:val="16E91C68"/>
    <w:rsid w:val="17371525"/>
    <w:rsid w:val="17E50567"/>
    <w:rsid w:val="184E3CE0"/>
    <w:rsid w:val="186504BB"/>
    <w:rsid w:val="19A445FC"/>
    <w:rsid w:val="1A33556A"/>
    <w:rsid w:val="1B252C84"/>
    <w:rsid w:val="1BE8440E"/>
    <w:rsid w:val="1CE40F3C"/>
    <w:rsid w:val="1D155CEE"/>
    <w:rsid w:val="1D1638FE"/>
    <w:rsid w:val="1E312DEB"/>
    <w:rsid w:val="1E740ACF"/>
    <w:rsid w:val="1E943157"/>
    <w:rsid w:val="1F836225"/>
    <w:rsid w:val="1FE151A3"/>
    <w:rsid w:val="1FF35744"/>
    <w:rsid w:val="1FF6BC77"/>
    <w:rsid w:val="202B1757"/>
    <w:rsid w:val="21187B87"/>
    <w:rsid w:val="2186353C"/>
    <w:rsid w:val="23272ECF"/>
    <w:rsid w:val="23860B96"/>
    <w:rsid w:val="240371BF"/>
    <w:rsid w:val="244F3473"/>
    <w:rsid w:val="24C97D99"/>
    <w:rsid w:val="253E0BB4"/>
    <w:rsid w:val="2586070A"/>
    <w:rsid w:val="25A718F0"/>
    <w:rsid w:val="25BB59F6"/>
    <w:rsid w:val="25C45D39"/>
    <w:rsid w:val="260F557C"/>
    <w:rsid w:val="261D2913"/>
    <w:rsid w:val="26536867"/>
    <w:rsid w:val="268568AC"/>
    <w:rsid w:val="26970054"/>
    <w:rsid w:val="2772239E"/>
    <w:rsid w:val="281408E2"/>
    <w:rsid w:val="28413E0C"/>
    <w:rsid w:val="28CF7F5C"/>
    <w:rsid w:val="28F61DFC"/>
    <w:rsid w:val="29FD04D3"/>
    <w:rsid w:val="2A7E7A34"/>
    <w:rsid w:val="2AAF48F9"/>
    <w:rsid w:val="2AF0332B"/>
    <w:rsid w:val="2B097888"/>
    <w:rsid w:val="2B52096E"/>
    <w:rsid w:val="2BFF7BC6"/>
    <w:rsid w:val="2C8A61B5"/>
    <w:rsid w:val="2D110415"/>
    <w:rsid w:val="2D844C90"/>
    <w:rsid w:val="2DF04E50"/>
    <w:rsid w:val="2E1B2AFF"/>
    <w:rsid w:val="2E586DFA"/>
    <w:rsid w:val="2F040D46"/>
    <w:rsid w:val="2F1E0C30"/>
    <w:rsid w:val="2F6B035B"/>
    <w:rsid w:val="2FAE5751"/>
    <w:rsid w:val="2FB1A395"/>
    <w:rsid w:val="2FD9A7D8"/>
    <w:rsid w:val="2FDBF714"/>
    <w:rsid w:val="2FFCFB1F"/>
    <w:rsid w:val="30AB6865"/>
    <w:rsid w:val="319F7F4E"/>
    <w:rsid w:val="31B16F7A"/>
    <w:rsid w:val="31F61CDC"/>
    <w:rsid w:val="32BD1EF1"/>
    <w:rsid w:val="3304709D"/>
    <w:rsid w:val="337F42B4"/>
    <w:rsid w:val="33A773CB"/>
    <w:rsid w:val="344E39D4"/>
    <w:rsid w:val="345907BC"/>
    <w:rsid w:val="349D6851"/>
    <w:rsid w:val="35E86F27"/>
    <w:rsid w:val="360E6080"/>
    <w:rsid w:val="36AA5135"/>
    <w:rsid w:val="36BE0DA7"/>
    <w:rsid w:val="376B6AA6"/>
    <w:rsid w:val="376D39B2"/>
    <w:rsid w:val="37E16F03"/>
    <w:rsid w:val="37EB1F9E"/>
    <w:rsid w:val="37F53A3B"/>
    <w:rsid w:val="389B6C89"/>
    <w:rsid w:val="38D469F0"/>
    <w:rsid w:val="39627CCD"/>
    <w:rsid w:val="397BAF1F"/>
    <w:rsid w:val="3AB79AF3"/>
    <w:rsid w:val="3AE834C0"/>
    <w:rsid w:val="3B7EF35A"/>
    <w:rsid w:val="3B9FDB6C"/>
    <w:rsid w:val="3BF5BC2F"/>
    <w:rsid w:val="3C057AB8"/>
    <w:rsid w:val="3C1A47BE"/>
    <w:rsid w:val="3C3F09C0"/>
    <w:rsid w:val="3CEBA265"/>
    <w:rsid w:val="3D98207C"/>
    <w:rsid w:val="3DEE7CF3"/>
    <w:rsid w:val="3E740A63"/>
    <w:rsid w:val="3E78745D"/>
    <w:rsid w:val="3EE17838"/>
    <w:rsid w:val="3EFA27F2"/>
    <w:rsid w:val="3F55381A"/>
    <w:rsid w:val="3F7F7599"/>
    <w:rsid w:val="3FB65584"/>
    <w:rsid w:val="3FBB0422"/>
    <w:rsid w:val="3FBE1B81"/>
    <w:rsid w:val="3FF4CAE0"/>
    <w:rsid w:val="3FF7B227"/>
    <w:rsid w:val="410176B5"/>
    <w:rsid w:val="42B71EBB"/>
    <w:rsid w:val="43B854AB"/>
    <w:rsid w:val="43C145B4"/>
    <w:rsid w:val="43E72760"/>
    <w:rsid w:val="44E268DA"/>
    <w:rsid w:val="450D13D7"/>
    <w:rsid w:val="45506656"/>
    <w:rsid w:val="46FF08BB"/>
    <w:rsid w:val="47887D70"/>
    <w:rsid w:val="47FB210C"/>
    <w:rsid w:val="486A6C7A"/>
    <w:rsid w:val="497955D6"/>
    <w:rsid w:val="4A0D23DC"/>
    <w:rsid w:val="4A627F82"/>
    <w:rsid w:val="4B0E749A"/>
    <w:rsid w:val="4B2477C4"/>
    <w:rsid w:val="4B4F25DA"/>
    <w:rsid w:val="4BE068DB"/>
    <w:rsid w:val="4C28599F"/>
    <w:rsid w:val="4CF531A3"/>
    <w:rsid w:val="4D577224"/>
    <w:rsid w:val="4D67C548"/>
    <w:rsid w:val="4DBF1CEB"/>
    <w:rsid w:val="4DEF47EF"/>
    <w:rsid w:val="4DF0007C"/>
    <w:rsid w:val="4EAB630A"/>
    <w:rsid w:val="4ECE2238"/>
    <w:rsid w:val="4F833267"/>
    <w:rsid w:val="4FBA1399"/>
    <w:rsid w:val="4FE9BD67"/>
    <w:rsid w:val="4FFB052F"/>
    <w:rsid w:val="511A7EC1"/>
    <w:rsid w:val="513C5272"/>
    <w:rsid w:val="51462CE3"/>
    <w:rsid w:val="514A1A9F"/>
    <w:rsid w:val="5197412F"/>
    <w:rsid w:val="51E07D13"/>
    <w:rsid w:val="529276CB"/>
    <w:rsid w:val="537E6D0A"/>
    <w:rsid w:val="53A57B6E"/>
    <w:rsid w:val="53AF511D"/>
    <w:rsid w:val="53BF7E22"/>
    <w:rsid w:val="53F74C96"/>
    <w:rsid w:val="543A18D7"/>
    <w:rsid w:val="54433C51"/>
    <w:rsid w:val="54980409"/>
    <w:rsid w:val="54B7628A"/>
    <w:rsid w:val="550E2E70"/>
    <w:rsid w:val="55170BA8"/>
    <w:rsid w:val="55257C52"/>
    <w:rsid w:val="552F1C27"/>
    <w:rsid w:val="553218C9"/>
    <w:rsid w:val="559E5250"/>
    <w:rsid w:val="567E1AA5"/>
    <w:rsid w:val="56E47B74"/>
    <w:rsid w:val="57175D52"/>
    <w:rsid w:val="57BD3DD4"/>
    <w:rsid w:val="58440AE2"/>
    <w:rsid w:val="587135B2"/>
    <w:rsid w:val="59212703"/>
    <w:rsid w:val="59FF8A46"/>
    <w:rsid w:val="5A1E06DE"/>
    <w:rsid w:val="5ABE227D"/>
    <w:rsid w:val="5AF92295"/>
    <w:rsid w:val="5B250254"/>
    <w:rsid w:val="5BDD79E6"/>
    <w:rsid w:val="5BF561CA"/>
    <w:rsid w:val="5BFF5DFC"/>
    <w:rsid w:val="5C1143B8"/>
    <w:rsid w:val="5CD71FC4"/>
    <w:rsid w:val="5CF9113C"/>
    <w:rsid w:val="5D1F11B5"/>
    <w:rsid w:val="5D5A56F6"/>
    <w:rsid w:val="5D695134"/>
    <w:rsid w:val="5DAE1B18"/>
    <w:rsid w:val="5DE7D9E5"/>
    <w:rsid w:val="5E7407FC"/>
    <w:rsid w:val="5E802442"/>
    <w:rsid w:val="5E8F2EB2"/>
    <w:rsid w:val="5EAC35A4"/>
    <w:rsid w:val="5ECEC941"/>
    <w:rsid w:val="5EFDCFE2"/>
    <w:rsid w:val="5F37552B"/>
    <w:rsid w:val="5FBF9FF3"/>
    <w:rsid w:val="5FCD4E2C"/>
    <w:rsid w:val="5FEF394A"/>
    <w:rsid w:val="5FF67715"/>
    <w:rsid w:val="60384097"/>
    <w:rsid w:val="62A82967"/>
    <w:rsid w:val="62BF3928"/>
    <w:rsid w:val="62EF6CFC"/>
    <w:rsid w:val="63002449"/>
    <w:rsid w:val="637105D9"/>
    <w:rsid w:val="63B3701E"/>
    <w:rsid w:val="645A2046"/>
    <w:rsid w:val="647F5392"/>
    <w:rsid w:val="64BC127A"/>
    <w:rsid w:val="65E66580"/>
    <w:rsid w:val="664B1D71"/>
    <w:rsid w:val="664B4E8E"/>
    <w:rsid w:val="66FF1BE9"/>
    <w:rsid w:val="67277B67"/>
    <w:rsid w:val="679F168A"/>
    <w:rsid w:val="67AA3209"/>
    <w:rsid w:val="67CE66B2"/>
    <w:rsid w:val="685F58E3"/>
    <w:rsid w:val="697E0570"/>
    <w:rsid w:val="698D0931"/>
    <w:rsid w:val="6A2E1DD4"/>
    <w:rsid w:val="6A7FE5F3"/>
    <w:rsid w:val="6B053271"/>
    <w:rsid w:val="6B8602C9"/>
    <w:rsid w:val="6BB77190"/>
    <w:rsid w:val="6BDD78B3"/>
    <w:rsid w:val="6C06777E"/>
    <w:rsid w:val="6C4A05C8"/>
    <w:rsid w:val="6C69563C"/>
    <w:rsid w:val="6C8742B8"/>
    <w:rsid w:val="6D30580E"/>
    <w:rsid w:val="6DBF5E93"/>
    <w:rsid w:val="6DFF077E"/>
    <w:rsid w:val="6E714EF0"/>
    <w:rsid w:val="6E7E3605"/>
    <w:rsid w:val="6E7FDCC7"/>
    <w:rsid w:val="6ED6A62E"/>
    <w:rsid w:val="6EE00B15"/>
    <w:rsid w:val="6F1B02F3"/>
    <w:rsid w:val="6F6FB3EB"/>
    <w:rsid w:val="6F745F20"/>
    <w:rsid w:val="6F8731EA"/>
    <w:rsid w:val="6FB53BE5"/>
    <w:rsid w:val="6FCE6052"/>
    <w:rsid w:val="6FD57C00"/>
    <w:rsid w:val="6FEFFFD8"/>
    <w:rsid w:val="6FF5CC65"/>
    <w:rsid w:val="6FFB47EC"/>
    <w:rsid w:val="6FFF034A"/>
    <w:rsid w:val="702B2945"/>
    <w:rsid w:val="70484440"/>
    <w:rsid w:val="712A28F1"/>
    <w:rsid w:val="715C0E4B"/>
    <w:rsid w:val="71643FCF"/>
    <w:rsid w:val="717FFD02"/>
    <w:rsid w:val="71992E7C"/>
    <w:rsid w:val="72233669"/>
    <w:rsid w:val="72734D90"/>
    <w:rsid w:val="73097EF8"/>
    <w:rsid w:val="73160E6D"/>
    <w:rsid w:val="7332FE48"/>
    <w:rsid w:val="737F95A2"/>
    <w:rsid w:val="73AB61DA"/>
    <w:rsid w:val="73AD73D5"/>
    <w:rsid w:val="73B6EB34"/>
    <w:rsid w:val="73FA497D"/>
    <w:rsid w:val="744731E5"/>
    <w:rsid w:val="74816888"/>
    <w:rsid w:val="74BBD01D"/>
    <w:rsid w:val="74ED5379"/>
    <w:rsid w:val="75327188"/>
    <w:rsid w:val="759848B9"/>
    <w:rsid w:val="75DEEEC2"/>
    <w:rsid w:val="75E32345"/>
    <w:rsid w:val="76D70F88"/>
    <w:rsid w:val="76E3355F"/>
    <w:rsid w:val="76FF5125"/>
    <w:rsid w:val="776F6FFA"/>
    <w:rsid w:val="777C67A5"/>
    <w:rsid w:val="7780760C"/>
    <w:rsid w:val="778769C8"/>
    <w:rsid w:val="77A75DCA"/>
    <w:rsid w:val="77DC22F5"/>
    <w:rsid w:val="783E271A"/>
    <w:rsid w:val="78616DE9"/>
    <w:rsid w:val="78E875D7"/>
    <w:rsid w:val="79086DAD"/>
    <w:rsid w:val="792720FD"/>
    <w:rsid w:val="793D1062"/>
    <w:rsid w:val="79C310B6"/>
    <w:rsid w:val="79D7FD79"/>
    <w:rsid w:val="79EE5BA4"/>
    <w:rsid w:val="7A894339"/>
    <w:rsid w:val="7AD284E8"/>
    <w:rsid w:val="7AED5790"/>
    <w:rsid w:val="7AFF7572"/>
    <w:rsid w:val="7B5A1627"/>
    <w:rsid w:val="7B6C7DFB"/>
    <w:rsid w:val="7BBFBED0"/>
    <w:rsid w:val="7BC3E394"/>
    <w:rsid w:val="7C1F3737"/>
    <w:rsid w:val="7C4D1E27"/>
    <w:rsid w:val="7C751B73"/>
    <w:rsid w:val="7C876415"/>
    <w:rsid w:val="7CBFC87B"/>
    <w:rsid w:val="7CFE0F48"/>
    <w:rsid w:val="7D272ABC"/>
    <w:rsid w:val="7D7EC23E"/>
    <w:rsid w:val="7E7F0045"/>
    <w:rsid w:val="7E8ADEBF"/>
    <w:rsid w:val="7EDFEFA9"/>
    <w:rsid w:val="7EEF11D3"/>
    <w:rsid w:val="7EF639D9"/>
    <w:rsid w:val="7EFE4840"/>
    <w:rsid w:val="7F0971A6"/>
    <w:rsid w:val="7F1D62E7"/>
    <w:rsid w:val="7F24024A"/>
    <w:rsid w:val="7F3F679B"/>
    <w:rsid w:val="7F4E1BC7"/>
    <w:rsid w:val="7F4FC4EF"/>
    <w:rsid w:val="7F5D3FE1"/>
    <w:rsid w:val="7F5E4D54"/>
    <w:rsid w:val="7F6E0135"/>
    <w:rsid w:val="7F79F205"/>
    <w:rsid w:val="7FA30C79"/>
    <w:rsid w:val="7FA79C44"/>
    <w:rsid w:val="7FAF8ABF"/>
    <w:rsid w:val="7FB7269E"/>
    <w:rsid w:val="7FC96657"/>
    <w:rsid w:val="7FDA9588"/>
    <w:rsid w:val="7FDF220F"/>
    <w:rsid w:val="7FDFC913"/>
    <w:rsid w:val="7FEDC5F7"/>
    <w:rsid w:val="7FEDD9DE"/>
    <w:rsid w:val="7FF5890D"/>
    <w:rsid w:val="7FF7B0AE"/>
    <w:rsid w:val="7FF93490"/>
    <w:rsid w:val="7FFD3020"/>
    <w:rsid w:val="7FFDF49E"/>
    <w:rsid w:val="7FFEDE35"/>
    <w:rsid w:val="7FFEEC37"/>
    <w:rsid w:val="8BEB158E"/>
    <w:rsid w:val="8F7E433B"/>
    <w:rsid w:val="97358D8A"/>
    <w:rsid w:val="99FF2014"/>
    <w:rsid w:val="9F7B9338"/>
    <w:rsid w:val="9F863127"/>
    <w:rsid w:val="9FDB0E2F"/>
    <w:rsid w:val="A6DD0D7F"/>
    <w:rsid w:val="AB990DA6"/>
    <w:rsid w:val="ACFF4FBB"/>
    <w:rsid w:val="ADC6F725"/>
    <w:rsid w:val="B2FDA15D"/>
    <w:rsid w:val="B7CF06AB"/>
    <w:rsid w:val="B7CFA926"/>
    <w:rsid w:val="B7F8786B"/>
    <w:rsid w:val="BABB6AA1"/>
    <w:rsid w:val="BB2F4199"/>
    <w:rsid w:val="BCFFB442"/>
    <w:rsid w:val="BD079C78"/>
    <w:rsid w:val="BD733540"/>
    <w:rsid w:val="BD8FF88B"/>
    <w:rsid w:val="BDE963F5"/>
    <w:rsid w:val="BDEB9677"/>
    <w:rsid w:val="BEDA3AD1"/>
    <w:rsid w:val="BF3735D5"/>
    <w:rsid w:val="BF7F09AC"/>
    <w:rsid w:val="BFD475C3"/>
    <w:rsid w:val="BFDE5EA6"/>
    <w:rsid w:val="BFFD88A4"/>
    <w:rsid w:val="CF6FC6F3"/>
    <w:rsid w:val="CFD3D3D7"/>
    <w:rsid w:val="CFDF1009"/>
    <w:rsid w:val="D7D7B16A"/>
    <w:rsid w:val="D8D6DB89"/>
    <w:rsid w:val="D9FFCEC9"/>
    <w:rsid w:val="DB6F4CAB"/>
    <w:rsid w:val="DB777682"/>
    <w:rsid w:val="DB9E8B36"/>
    <w:rsid w:val="DD1FB521"/>
    <w:rsid w:val="DEFBFEAE"/>
    <w:rsid w:val="DF1F3B80"/>
    <w:rsid w:val="DF6F9789"/>
    <w:rsid w:val="DFD27474"/>
    <w:rsid w:val="DFE9BE81"/>
    <w:rsid w:val="DFFD4457"/>
    <w:rsid w:val="DFFFA9E8"/>
    <w:rsid w:val="E5F4E9DC"/>
    <w:rsid w:val="E70FE695"/>
    <w:rsid w:val="E77FE71F"/>
    <w:rsid w:val="EB2E368B"/>
    <w:rsid w:val="ECFED1BC"/>
    <w:rsid w:val="ED1D69BB"/>
    <w:rsid w:val="ED5F8CE4"/>
    <w:rsid w:val="ED7FD312"/>
    <w:rsid w:val="EF2E1AC6"/>
    <w:rsid w:val="EF53993F"/>
    <w:rsid w:val="EF6FD633"/>
    <w:rsid w:val="EFBFB2F4"/>
    <w:rsid w:val="EFBFFA21"/>
    <w:rsid w:val="EFE34E78"/>
    <w:rsid w:val="EFFFDD30"/>
    <w:rsid w:val="F2BEBCB8"/>
    <w:rsid w:val="F36FB518"/>
    <w:rsid w:val="F3DE1A04"/>
    <w:rsid w:val="F3F722E5"/>
    <w:rsid w:val="F4FBCD07"/>
    <w:rsid w:val="F6AFEC21"/>
    <w:rsid w:val="F6DB1271"/>
    <w:rsid w:val="F76E25F7"/>
    <w:rsid w:val="F773D69B"/>
    <w:rsid w:val="F7F24B10"/>
    <w:rsid w:val="F7F65774"/>
    <w:rsid w:val="FA5F1E70"/>
    <w:rsid w:val="FA5FDB97"/>
    <w:rsid w:val="FB7F486A"/>
    <w:rsid w:val="FBFF5B2E"/>
    <w:rsid w:val="FD7FFE2B"/>
    <w:rsid w:val="FDD3916B"/>
    <w:rsid w:val="FDEE196B"/>
    <w:rsid w:val="FDF728DC"/>
    <w:rsid w:val="FDFE6575"/>
    <w:rsid w:val="FEDFDDC2"/>
    <w:rsid w:val="FEED32F6"/>
    <w:rsid w:val="FEF781DD"/>
    <w:rsid w:val="FF3F7E3F"/>
    <w:rsid w:val="FF7E7E0F"/>
    <w:rsid w:val="FFB7B203"/>
    <w:rsid w:val="FFBA12D7"/>
    <w:rsid w:val="FFCBD314"/>
    <w:rsid w:val="FFDFF91C"/>
    <w:rsid w:val="FFDFFAEE"/>
    <w:rsid w:val="FFEF6777"/>
    <w:rsid w:val="FFF9B57B"/>
    <w:rsid w:val="FFFD61D9"/>
    <w:rsid w:val="FFFD8F59"/>
    <w:rsid w:val="FFFE95E2"/>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正文-公1"/>
    <w:basedOn w:val="21"/>
    <w:next w:val="1"/>
    <w:qFormat/>
    <w:uiPriority w:val="0"/>
    <w:pPr>
      <w:ind w:firstLine="200" w:firstLine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0"/>
    <w:qFormat/>
    <w:uiPriority w:val="0"/>
    <w:pPr>
      <w:widowControl w:val="0"/>
      <w:jc w:val="both"/>
    </w:pPr>
    <w:rPr>
      <w:rFonts w:ascii="Times New Roman" w:hAnsi="Times New Roman" w:eastAsia="宋体" w:cs="Times New Roman"/>
      <w:kern w:val="2"/>
      <w:sz w:val="21"/>
      <w:szCs w:val="22"/>
      <w:lang w:val="en-US" w:eastAsia="zh-CN"/>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列出段落1"/>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0"/>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6609;&#29366;&#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6609;&#29366;&#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1"/>
          <c:order val="0"/>
          <c:spPr/>
          <c:explosion val="0"/>
          <c:dPt>
            <c:idx val="0"/>
            <c:bubble3D val="false"/>
            <c:spPr>
              <a:gradFill>
                <a:gsLst>
                  <a:gs pos="0">
                    <a:schemeClr val="accent1">
                      <a:lumMod val="40000"/>
                      <a:lumOff val="60000"/>
                    </a:schemeClr>
                  </a:gs>
                  <a:gs pos="90000">
                    <a:schemeClr val="accent1"/>
                  </a:gs>
                </a:gsLst>
                <a:lin ang="5400000" scaled="false"/>
              </a:gradFill>
              <a:ln>
                <a:gradFill>
                  <a:gsLst>
                    <a:gs pos="0">
                      <a:schemeClr val="accent1"/>
                    </a:gs>
                    <a:gs pos="100000">
                      <a:schemeClr val="accent1">
                        <a:lumMod val="75000"/>
                      </a:schemeClr>
                    </a:gs>
                  </a:gsLst>
                  <a:lin ang="5400000" scaled="true"/>
                </a:gradFill>
              </a:ln>
              <a:effectLst>
                <a:outerShdw blurRad="76200" dist="25400" dir="2700000" algn="tl" rotWithShape="0">
                  <a:schemeClr val="accent1">
                    <a:lumMod val="50000"/>
                    <a:alpha val="30000"/>
                  </a:schemeClr>
                </a:outerShdw>
              </a:effectLst>
            </c:spPr>
          </c:dPt>
          <c:dPt>
            <c:idx val="1"/>
            <c:bubble3D val="false"/>
            <c:spPr>
              <a:gradFill>
                <a:gsLst>
                  <a:gs pos="0">
                    <a:schemeClr val="accent2">
                      <a:lumMod val="40000"/>
                      <a:lumOff val="60000"/>
                    </a:schemeClr>
                  </a:gs>
                  <a:gs pos="90000">
                    <a:schemeClr val="accent2"/>
                  </a:gs>
                </a:gsLst>
                <a:lin ang="5400000" scaled="false"/>
              </a:gradFill>
              <a:ln>
                <a:gradFill>
                  <a:gsLst>
                    <a:gs pos="0">
                      <a:schemeClr val="accent2"/>
                    </a:gs>
                    <a:gs pos="100000">
                      <a:schemeClr val="accent2">
                        <a:lumMod val="75000"/>
                      </a:schemeClr>
                    </a:gs>
                  </a:gsLst>
                  <a:lin ang="5400000" scaled="true"/>
                </a:gradFill>
              </a:ln>
              <a:effectLst>
                <a:outerShdw blurRad="76200" dist="25400" dir="2700000" algn="tl" rotWithShape="0">
                  <a:schemeClr val="accent2">
                    <a:lumMod val="50000"/>
                    <a:alpha val="30000"/>
                  </a:schemeClr>
                </a:outerShdw>
              </a:effectLst>
            </c:spPr>
          </c:dPt>
          <c:dPt>
            <c:idx val="2"/>
            <c:bubble3D val="false"/>
            <c:spPr>
              <a:gradFill>
                <a:gsLst>
                  <a:gs pos="0">
                    <a:schemeClr val="accent3">
                      <a:lumMod val="40000"/>
                      <a:lumOff val="60000"/>
                    </a:schemeClr>
                  </a:gs>
                  <a:gs pos="90000">
                    <a:schemeClr val="accent3"/>
                  </a:gs>
                </a:gsLst>
                <a:lin ang="5400000" scaled="false"/>
              </a:gradFill>
              <a:ln>
                <a:gradFill>
                  <a:gsLst>
                    <a:gs pos="0">
                      <a:schemeClr val="accent3"/>
                    </a:gs>
                    <a:gs pos="100000">
                      <a:schemeClr val="accent3">
                        <a:lumMod val="75000"/>
                      </a:schemeClr>
                    </a:gs>
                  </a:gsLst>
                  <a:lin ang="5400000" scaled="true"/>
                </a:gradFill>
              </a:ln>
              <a:effectLst>
                <a:outerShdw blurRad="76200" dist="25400" dir="2700000" algn="tl" rotWithShape="0">
                  <a:schemeClr val="accent3">
                    <a:lumMod val="50000"/>
                    <a:alpha val="30000"/>
                  </a:schemeClr>
                </a:outerShdw>
              </a:effectLst>
            </c:spPr>
          </c:dPt>
          <c:dPt>
            <c:idx val="3"/>
            <c:bubble3D val="false"/>
            <c:spPr>
              <a:gradFill>
                <a:gsLst>
                  <a:gs pos="0">
                    <a:schemeClr val="accent4">
                      <a:lumMod val="40000"/>
                      <a:lumOff val="60000"/>
                    </a:schemeClr>
                  </a:gs>
                  <a:gs pos="90000">
                    <a:schemeClr val="accent4"/>
                  </a:gs>
                </a:gsLst>
                <a:lin ang="5400000" scaled="false"/>
              </a:gradFill>
              <a:ln>
                <a:gradFill>
                  <a:gsLst>
                    <a:gs pos="0">
                      <a:schemeClr val="accent4"/>
                    </a:gs>
                    <a:gs pos="100000">
                      <a:schemeClr val="accent4">
                        <a:lumMod val="75000"/>
                      </a:schemeClr>
                    </a:gs>
                  </a:gsLst>
                  <a:lin ang="5400000" scaled="true"/>
                </a:gradFill>
              </a:ln>
              <a:effectLst>
                <a:outerShdw blurRad="76200" dist="25400" dir="2700000" algn="tl" rotWithShape="0">
                  <a:schemeClr val="accent4">
                    <a:lumMod val="50000"/>
                    <a:alpha val="30000"/>
                  </a:schemeClr>
                </a:outerShdw>
              </a:effectLst>
            </c:spPr>
          </c:dPt>
          <c:dLbls>
            <c:dLbl>
              <c:idx val="0"/>
              <c:layout>
                <c:manualLayout>
                  <c:x val="0.3"/>
                  <c:y val="-0.0402777777777778"/>
                </c:manualLayout>
              </c:layout>
              <c:tx>
                <c:rich>
                  <a:bodyPr rot="0" spcFirstLastPara="0" vertOverflow="ellipsis" vert="horz" wrap="square" lIns="38100" tIns="19050" rIns="38100" bIns="19050" anchor="ctr" anchorCtr="true"/>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一般公共预算财政拨款收入100%</a:t>
                    </a:r>
                  </a:p>
                </c:rich>
              </c:tx>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1000" b="0" i="0" u="none" strike="noStrike" kern="1200" baseline="0">
                        <a:solidFill>
                          <a:schemeClr val="tx1">
                            <a:lumMod val="75000"/>
                            <a:lumOff val="25000"/>
                          </a:schemeClr>
                        </a:solidFill>
                        <a:latin typeface="+mn-lt"/>
                        <a:ea typeface="+mn-ea"/>
                        <a:cs typeface="+mn-cs"/>
                      </a:defRPr>
                    </a:pPr>
                    <a:r>
                      <a:t>其他收入0</a:t>
                    </a:r>
                  </a:p>
                </c:rich>
              </c:tx>
              <c:dLblPos val="outEnd"/>
              <c:showLegendKey val="false"/>
              <c:showVal val="true"/>
              <c:showCatName val="true"/>
              <c:showSerName val="false"/>
              <c:showPercent val="false"/>
              <c:showBubbleSize val="false"/>
              <c:extLst>
                <c:ext xmlns:c15="http://schemas.microsoft.com/office/drawing/2012/chart" uri="{CE6537A1-D6FC-4f65-9D91-7224C49458BB}"/>
              </c:extLst>
            </c:dLbl>
            <c:dLbl>
              <c:idx val="2"/>
              <c:delete val="true"/>
            </c:dLbl>
            <c:dLbl>
              <c:idx val="3"/>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'[柱状图.xlsx]图2 '!$B$2:$B$5</c:f>
              <c:strCache>
                <c:ptCount val="4"/>
                <c:pt idx="0">
                  <c:v>一般公共预算财政拨款收入</c:v>
                </c:pt>
                <c:pt idx="1">
                  <c:v>政府性基金预算财政拨款收入</c:v>
                </c:pt>
                <c:pt idx="2">
                  <c:v>国有资本经营预算财政拨款收入</c:v>
                </c:pt>
                <c:pt idx="3">
                  <c:v>其他收入</c:v>
                </c:pt>
              </c:strCache>
            </c:strRef>
          </c:cat>
          <c:val>
            <c:numRef>
              <c:f>'[柱状图.xlsx]图2 '!$D$2:$D$5</c:f>
              <c:numCache>
                <c:formatCode>0%</c:formatCode>
                <c:ptCount val="4"/>
                <c:pt idx="0">
                  <c:v>1</c:v>
                </c:pt>
                <c:pt idx="1" c:formatCode="General">
                  <c:v>0</c:v>
                </c:pt>
                <c:pt idx="2" c:formatCode="General">
                  <c:v>0</c:v>
                </c:pt>
                <c:pt idx="3" c:formatCode="General">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Lbls>
            <c:dLbl>
              <c:idx val="0"/>
              <c:layout>
                <c:manualLayout>
                  <c:x val="-0.00158273381294964"/>
                  <c:y val="0"/>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1"/>
                        </a:solidFill>
                        <a:latin typeface="+mn-lt"/>
                        <a:ea typeface="+mn-ea"/>
                        <a:cs typeface="+mn-cs"/>
                      </a:defRPr>
                    </a:pPr>
                    <a:r>
                      <a:t>基本支出 92.42%</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manualLayout>
                      <c:w val="0.274342105263158"/>
                      <c:h val="0.126163873370577"/>
                    </c:manualLayout>
                  </c15:layout>
                </c:ext>
              </c:extLst>
            </c:dLbl>
            <c:dLbl>
              <c:idx val="1"/>
              <c:layout>
                <c:manualLayout>
                  <c:x val="-0.11136690647482"/>
                  <c:y val="0.00831817000259943"/>
                </c:manualLayout>
              </c:layout>
              <c:tx>
                <c:rich>
                  <a:bodyPr rot="0" spcFirstLastPara="0" vertOverflow="ellipsis" vert="horz" wrap="square" lIns="38100" tIns="19050" rIns="38100" bIns="19050" anchor="ctr" anchorCtr="true"/>
                  <a:lstStyle/>
                  <a:p>
                    <a:pPr defTabSz="914400">
                      <a:defRPr lang="zh-CN" sz="1000" b="1" i="0" u="none" strike="noStrike" kern="1200" spc="0" baseline="0">
                        <a:solidFill>
                          <a:schemeClr val="accent2"/>
                        </a:solidFill>
                        <a:latin typeface="+mn-lt"/>
                        <a:ea typeface="+mn-ea"/>
                        <a:cs typeface="+mn-cs"/>
                      </a:defRPr>
                    </a:pPr>
                    <a:r>
                      <a:t>项目支出 7.58%</a:t>
                    </a: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2"/>
                      </a:solidFill>
                      <a:latin typeface="+mn-lt"/>
                      <a:ea typeface="+mn-ea"/>
                      <a:cs typeface="+mn-cs"/>
                    </a:defRPr>
                  </a:pPr>
                </a:p>
              </c:txPr>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[柱状图.xlsx]图3!$A$4:$A$5</c:f>
              <c:strCache>
                <c:ptCount val="2"/>
                <c:pt idx="0">
                  <c:v>基本支出</c:v>
                </c:pt>
                <c:pt idx="1">
                  <c:v>项目支出</c:v>
                </c:pt>
              </c:strCache>
            </c:strRef>
          </c:cat>
          <c:val>
            <c:numRef>
              <c:f>[柱状图.xlsx]图3!$B$4:$B$5</c:f>
              <c:numCache>
                <c:formatCode>0.00%</c:formatCode>
                <c:ptCount val="2"/>
                <c:pt idx="0">
                  <c:v>0.9242</c:v>
                </c:pt>
                <c:pt idx="1">
                  <c:v>0.0758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827443442259352"/>
          <c:y val="0.171324422843256"/>
          <c:w val="0.874375277243827"/>
          <c:h val="0.7281652490887"/>
        </c:manualLayout>
      </c:layout>
      <c:barChart>
        <c:barDir val="col"/>
        <c:grouping val="clustered"/>
        <c:varyColors val="false"/>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1654.47</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tru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1785.41</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true"/>
            </a:gradFill>
            <a:ln>
              <a:noFill/>
            </a:ln>
            <a:effectLst/>
          </c:spPr>
          <c:invertIfNegative val="false"/>
          <c:dLbls>
            <c:delete val="true"/>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false"/>
          <c:showVal val="false"/>
          <c:showCatName val="false"/>
          <c:showSerName val="false"/>
          <c:showPercent val="false"/>
          <c:showBubbleSize val="false"/>
        </c:dLbls>
        <c:gapWidth val="500"/>
        <c:overlap val="-100"/>
        <c:axId val="104749704"/>
        <c:axId val="749907026"/>
      </c:barChart>
      <c:catAx>
        <c:axId val="104749704"/>
        <c:scaling>
          <c:orientation val="minMax"/>
        </c:scaling>
        <c:delete val="false"/>
        <c:axPos val="b"/>
        <c:majorGridlines>
          <c:spPr>
            <a:ln w="6350" cap="flat" cmpd="sng" algn="ctr">
              <a:solidFill>
                <a:schemeClr val="tx1">
                  <a:lumMod val="50000"/>
                  <a:lumOff val="50000"/>
                  <a:alpha val="25000"/>
                </a:schemeClr>
              </a:solidFill>
              <a:round/>
            </a:ln>
            <a:effectLst/>
          </c:spPr>
        </c:majorGridlines>
        <c:numFmt formatCode="General" sourceLinked="true"/>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true"/>
        <c:lblAlgn val="ctr"/>
        <c:lblOffset val="100"/>
        <c:noMultiLvlLbl val="false"/>
      </c:catAx>
      <c:valAx>
        <c:axId val="749907026"/>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forceAA="false"/>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plotVisOnly val="true"/>
    <c:dispBlanksAs val="gap"/>
    <c:showDLblsOverMax val="false"/>
  </c:chart>
  <c:spPr>
    <a:no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一般公共预算财政拨款支出决算结构
</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Pt>
            <c:idx val="4"/>
            <c:bubble3D val="false"/>
            <c:spPr>
              <a:solidFill>
                <a:schemeClr val="accent5"/>
              </a:solidFill>
              <a:ln>
                <a:solidFill>
                  <a:schemeClr val="bg1"/>
                </a:solidFill>
              </a:ln>
              <a:effectLst/>
            </c:spPr>
          </c:dPt>
          <c:dLbls>
            <c:dLbl>
              <c:idx val="1"/>
              <c:layout>
                <c:manualLayout>
                  <c:x val="0.0842341571046072"/>
                  <c:y val="0.072767795174454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dLblPos val="bestFit"/>
              <c:showLegendKey val="false"/>
              <c:showVal val="true"/>
              <c:showCatName val="false"/>
              <c:showSerName val="false"/>
              <c:showPercent val="false"/>
              <c:showBubbleSize val="false"/>
              <c:extLst>
                <c:ext xmlns:c15="http://schemas.microsoft.com/office/drawing/2012/chart" uri="{CE6537A1-D6FC-4f65-9D91-7224C49458BB}">
                  <c15:layout>
                    <c:manualLayout>
                      <c:w val="0.114762019811549"/>
                      <c:h val="0.0554611134721632"/>
                    </c:manualLayout>
                  </c15:layout>
                </c:ext>
              </c:extLst>
            </c:dLbl>
            <c:dLbl>
              <c:idx val="4"/>
              <c:layout>
                <c:manualLayout>
                  <c:x val="0.0455365335922548"/>
                  <c:y val="-0.0461164565617199"/>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援助其他地区支出</c:v>
                </c:pt>
                <c:pt idx="4">
                  <c:v>住房保障支出</c:v>
                </c:pt>
              </c:strCache>
            </c:strRef>
          </c:cat>
          <c:val>
            <c:numRef>
              <c:f>Sheet1!$B$2:$B$6</c:f>
              <c:numCache>
                <c:formatCode>0.00%</c:formatCode>
                <c:ptCount val="5"/>
                <c:pt idx="0">
                  <c:v>0.7597</c:v>
                </c:pt>
                <c:pt idx="1">
                  <c:v>0.1147</c:v>
                </c:pt>
                <c:pt idx="2">
                  <c:v>0.0523</c:v>
                </c:pt>
                <c:pt idx="3">
                  <c:v>0.0092</c:v>
                </c:pt>
                <c:pt idx="4">
                  <c:v>0.0641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68005970891902"/>
          <c:y val="0.226697892271663"/>
          <c:w val="0.290956586640129"/>
          <c:h val="0.60327868852459"/>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财政拨款“三公”经费支出结构</c:v>
                </c:pt>
              </c:strCache>
            </c:strRef>
          </c:tx>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formatCode="0.00%">
                  <c:v>0.8555</c:v>
                </c:pt>
                <c:pt idx="2" c:formatCode="0.00%">
                  <c:v>0.1445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704276395264557"/>
          <c:y val="0.145771355716107"/>
          <c:w val="0.292099540951921"/>
          <c:h val="0.61729706757331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no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false"/>
      </a:gradFill>
      <a:ln>
        <a:gradFill>
          <a:gsLst>
            <a:gs pos="0">
              <a:schemeClr val="phClr"/>
            </a:gs>
            <a:gs pos="100000">
              <a:schemeClr val="phClr">
                <a:lumMod val="75000"/>
              </a:schemeClr>
            </a:gs>
          </a:gsLst>
          <a:lin ang="5400000" scaled="true"/>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8728</Words>
  <Characters>9417</Characters>
  <Lines>78</Lines>
  <Paragraphs>22</Paragraphs>
  <TotalTime>1</TotalTime>
  <ScaleCrop>false</ScaleCrop>
  <LinksUpToDate>false</LinksUpToDate>
  <CharactersWithSpaces>9584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user</cp:lastModifiedBy>
  <cp:lastPrinted>2026-08-30T00:02:00Z</cp:lastPrinted>
  <dcterms:modified xsi:type="dcterms:W3CDTF">2026-09-10T10:33:02Z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y fmtid="{D5CDD505-2E9C-101B-9397-08002B2CF9AE}" pid="4" name="KSOTemplateDocerSaveRecord">
    <vt:lpwstr>eyJoZGlkIjoiODczOTdmNGIzZTQyYzQ1ZmEyYjFkZTk1ZThmMWU1YWQiLCJ1c2VySWQiOiIxNjcxNTE3NTQ2In0=</vt:lpwstr>
  </property>
</Properties>
</file>