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51622F">
      <w:pPr>
        <w:pStyle w:val="5"/>
        <w:spacing w:before="93"/>
        <w:rPr>
          <w:rFonts w:hint="eastAsia" w:ascii="Times New Roman" w:eastAsia="方正小标宋简体"/>
          <w:kern w:val="2"/>
          <w:sz w:val="72"/>
          <w:szCs w:val="72"/>
        </w:rPr>
      </w:pPr>
      <w:bookmarkStart w:id="0" w:name="_Toc15396597"/>
      <w:bookmarkStart w:id="1" w:name="_Toc15377425"/>
      <w:bookmarkStart w:id="2" w:name="_Toc15396475"/>
      <w:bookmarkStart w:id="3" w:name="_Toc15377193"/>
      <w:bookmarkStart w:id="4" w:name="_Toc15378441"/>
      <w:bookmarkStart w:id="5" w:name="_Toc15306267"/>
    </w:p>
    <w:p w14:paraId="76482A8B">
      <w:pPr>
        <w:pStyle w:val="5"/>
        <w:spacing w:before="93"/>
        <w:rPr>
          <w:rFonts w:ascii="Times New Roman" w:eastAsia="方正小标宋简体"/>
          <w:kern w:val="2"/>
          <w:sz w:val="72"/>
          <w:szCs w:val="72"/>
        </w:rPr>
      </w:pPr>
    </w:p>
    <w:p w14:paraId="721FA1F0">
      <w:pPr>
        <w:pStyle w:val="5"/>
        <w:spacing w:before="93"/>
        <w:rPr>
          <w:rFonts w:hint="eastAsia" w:ascii="Times New Roman" w:eastAsia="方正小标宋简体"/>
          <w:kern w:val="2"/>
          <w:sz w:val="72"/>
          <w:szCs w:val="72"/>
        </w:rPr>
      </w:pPr>
    </w:p>
    <w:p w14:paraId="5FB63EC8">
      <w:pPr>
        <w:pStyle w:val="5"/>
        <w:spacing w:before="93"/>
        <w:jc w:val="center"/>
        <w:rPr>
          <w:rFonts w:ascii="Times New Roman" w:eastAsia="方正小标宋简体"/>
          <w:kern w:val="2"/>
          <w:sz w:val="44"/>
          <w:szCs w:val="44"/>
        </w:rPr>
      </w:pPr>
      <w:r>
        <w:rPr>
          <w:rFonts w:hint="eastAsia" w:ascii="Times New Roman" w:eastAsia="方正小标宋简体"/>
          <w:kern w:val="2"/>
          <w:sz w:val="44"/>
          <w:szCs w:val="44"/>
        </w:rPr>
        <w:t>202</w:t>
      </w:r>
      <w:r>
        <w:rPr>
          <w:rFonts w:hint="eastAsia" w:ascii="Times New Roman" w:eastAsia="方正小标宋简体"/>
          <w:kern w:val="2"/>
          <w:sz w:val="44"/>
          <w:szCs w:val="44"/>
          <w:lang w:val="en-US" w:eastAsia="zh-CN"/>
        </w:rPr>
        <w:t>5</w:t>
      </w:r>
      <w:r>
        <w:rPr>
          <w:rFonts w:hint="eastAsia" w:ascii="Times New Roman" w:eastAsia="方正小标宋简体"/>
          <w:kern w:val="2"/>
          <w:sz w:val="44"/>
          <w:szCs w:val="44"/>
        </w:rPr>
        <w:t>年度市级部门决算</w:t>
      </w:r>
    </w:p>
    <w:p w14:paraId="6D6BE07D">
      <w:pPr>
        <w:pStyle w:val="5"/>
        <w:spacing w:before="93"/>
        <w:jc w:val="center"/>
        <w:rPr>
          <w:rFonts w:ascii="Times New Roman" w:eastAsia="方正小标宋简体"/>
          <w:kern w:val="2"/>
          <w:sz w:val="44"/>
          <w:szCs w:val="44"/>
        </w:rPr>
      </w:pPr>
      <w:r>
        <w:rPr>
          <w:rFonts w:hint="eastAsia" w:ascii="Times New Roman" w:eastAsia="方正小标宋简体"/>
          <w:kern w:val="2"/>
          <w:sz w:val="44"/>
          <w:szCs w:val="44"/>
        </w:rPr>
        <w:t>公开编制说明</w:t>
      </w:r>
    </w:p>
    <w:p w14:paraId="0D469E8F">
      <w:pPr>
        <w:spacing w:line="600" w:lineRule="exact"/>
        <w:jc w:val="center"/>
        <w:outlineLvl w:val="0"/>
        <w:rPr>
          <w:rFonts w:eastAsia="方正小标宋简体"/>
          <w:sz w:val="72"/>
          <w:szCs w:val="72"/>
        </w:rPr>
      </w:pPr>
    </w:p>
    <w:p w14:paraId="364F4A88">
      <w:pPr>
        <w:pStyle w:val="20"/>
        <w:rPr>
          <w:rFonts w:ascii="Times New Roman" w:hAnsi="Times New Roman"/>
        </w:rPr>
        <w:sectPr>
          <w:headerReference r:id="rId4" w:type="first"/>
          <w:footerReference r:id="rId6" w:type="first"/>
          <w:headerReference r:id="rId3" w:type="default"/>
          <w:footerReference r:id="rId5" w:type="default"/>
          <w:pgSz w:w="11906" w:h="16838"/>
          <w:pgMar w:top="1440" w:right="1800" w:bottom="1440" w:left="1800" w:header="851" w:footer="992" w:gutter="0"/>
          <w:pgNumType w:fmt="decimal"/>
          <w:cols w:space="425" w:num="1"/>
          <w:titlePg/>
          <w:docGrid w:type="lines" w:linePitch="312" w:charSpace="0"/>
        </w:sectPr>
      </w:pPr>
    </w:p>
    <w:bookmarkEnd w:id="0"/>
    <w:bookmarkEnd w:id="1"/>
    <w:bookmarkEnd w:id="2"/>
    <w:bookmarkEnd w:id="3"/>
    <w:bookmarkEnd w:id="4"/>
    <w:p w14:paraId="27F5720E">
      <w:pPr>
        <w:pStyle w:val="5"/>
        <w:spacing w:before="93"/>
        <w:jc w:val="center"/>
        <w:rPr>
          <w:rFonts w:hint="eastAsia" w:ascii="Times New Roman" w:eastAsia="方正小标宋简体"/>
          <w:kern w:val="2"/>
          <w:sz w:val="44"/>
          <w:szCs w:val="44"/>
        </w:rPr>
      </w:pPr>
      <w:bookmarkStart w:id="6" w:name="_Toc15377194"/>
      <w:bookmarkStart w:id="7" w:name="_Toc15396476"/>
      <w:bookmarkStart w:id="8" w:name="_Toc15396598"/>
      <w:bookmarkStart w:id="9" w:name="_Toc15378442"/>
      <w:bookmarkStart w:id="10" w:name="_Toc15377426"/>
    </w:p>
    <w:p w14:paraId="70334811">
      <w:pPr>
        <w:pStyle w:val="5"/>
        <w:spacing w:before="93"/>
        <w:jc w:val="center"/>
        <w:rPr>
          <w:rFonts w:hint="eastAsia" w:ascii="Times New Roman" w:eastAsia="方正小标宋简体"/>
          <w:kern w:val="2"/>
          <w:sz w:val="44"/>
          <w:szCs w:val="44"/>
        </w:rPr>
      </w:pPr>
    </w:p>
    <w:p w14:paraId="6C0D194B">
      <w:pPr>
        <w:pStyle w:val="5"/>
        <w:spacing w:before="93"/>
        <w:jc w:val="center"/>
        <w:rPr>
          <w:rFonts w:hint="eastAsia" w:ascii="Times New Roman" w:eastAsia="方正小标宋简体"/>
          <w:kern w:val="2"/>
          <w:sz w:val="44"/>
          <w:szCs w:val="44"/>
        </w:rPr>
      </w:pPr>
    </w:p>
    <w:p w14:paraId="78E07481">
      <w:pPr>
        <w:pStyle w:val="5"/>
        <w:spacing w:before="93"/>
        <w:jc w:val="center"/>
        <w:rPr>
          <w:rFonts w:hint="eastAsia" w:ascii="Times New Roman" w:eastAsia="方正小标宋简体"/>
          <w:kern w:val="2"/>
          <w:sz w:val="44"/>
          <w:szCs w:val="44"/>
        </w:rPr>
      </w:pPr>
    </w:p>
    <w:p w14:paraId="1FFC61BE">
      <w:pPr>
        <w:pStyle w:val="5"/>
        <w:spacing w:before="93"/>
        <w:jc w:val="center"/>
        <w:rPr>
          <w:rFonts w:hint="eastAsia" w:ascii="Times New Roman" w:eastAsia="方正小标宋简体"/>
          <w:kern w:val="2"/>
          <w:sz w:val="44"/>
          <w:szCs w:val="44"/>
        </w:rPr>
      </w:pPr>
      <w:r>
        <w:rPr>
          <w:rFonts w:hint="eastAsia" w:ascii="Times New Roman" w:eastAsia="方正小标宋简体"/>
          <w:kern w:val="2"/>
          <w:sz w:val="44"/>
          <w:szCs w:val="44"/>
        </w:rPr>
        <w:t>202</w:t>
      </w:r>
      <w:r>
        <w:rPr>
          <w:rFonts w:hint="eastAsia" w:ascii="Times New Roman" w:eastAsia="方正小标宋简体"/>
          <w:kern w:val="2"/>
          <w:sz w:val="44"/>
          <w:szCs w:val="44"/>
          <w:lang w:val="en-US" w:eastAsia="zh-CN"/>
        </w:rPr>
        <w:t>5</w:t>
      </w:r>
      <w:r>
        <w:rPr>
          <w:rFonts w:hint="eastAsia" w:ascii="Times New Roman" w:eastAsia="方正小标宋简体"/>
          <w:kern w:val="2"/>
          <w:sz w:val="44"/>
          <w:szCs w:val="44"/>
        </w:rPr>
        <w:t>年度攀枝花市</w:t>
      </w:r>
      <w:bookmarkEnd w:id="5"/>
      <w:bookmarkStart w:id="11" w:name="_Toc15306268"/>
      <w:r>
        <w:rPr>
          <w:rFonts w:hint="eastAsia" w:ascii="Times New Roman" w:eastAsia="方正小标宋简体"/>
          <w:kern w:val="2"/>
          <w:sz w:val="44"/>
          <w:szCs w:val="44"/>
          <w:lang w:eastAsia="zh-CN"/>
        </w:rPr>
        <w:t>少年宫</w:t>
      </w:r>
      <w:r>
        <w:rPr>
          <w:rFonts w:hint="eastAsia" w:ascii="Times New Roman" w:eastAsia="方正小标宋简体"/>
          <w:kern w:val="2"/>
          <w:sz w:val="44"/>
          <w:szCs w:val="44"/>
        </w:rPr>
        <w:t>部门决算</w:t>
      </w:r>
      <w:bookmarkEnd w:id="6"/>
      <w:bookmarkEnd w:id="7"/>
      <w:bookmarkEnd w:id="8"/>
      <w:bookmarkEnd w:id="9"/>
      <w:bookmarkEnd w:id="10"/>
      <w:bookmarkEnd w:id="11"/>
    </w:p>
    <w:p w14:paraId="785C20D1">
      <w:pPr>
        <w:pStyle w:val="5"/>
        <w:spacing w:before="93"/>
        <w:jc w:val="center"/>
        <w:rPr>
          <w:rFonts w:hint="eastAsia" w:ascii="Times New Roman" w:eastAsia="方正小标宋简体"/>
          <w:kern w:val="2"/>
          <w:sz w:val="44"/>
          <w:szCs w:val="44"/>
        </w:rPr>
      </w:pPr>
    </w:p>
    <w:p w14:paraId="46E30521">
      <w:pPr>
        <w:pStyle w:val="5"/>
        <w:spacing w:before="93"/>
        <w:jc w:val="center"/>
        <w:rPr>
          <w:rFonts w:hint="eastAsia" w:ascii="Times New Roman" w:eastAsia="方正小标宋简体"/>
          <w:kern w:val="2"/>
          <w:sz w:val="44"/>
          <w:szCs w:val="44"/>
        </w:rPr>
      </w:pPr>
    </w:p>
    <w:p w14:paraId="5C036304">
      <w:pPr>
        <w:pStyle w:val="5"/>
        <w:spacing w:before="93"/>
        <w:jc w:val="center"/>
        <w:rPr>
          <w:rFonts w:hint="eastAsia" w:ascii="Times New Roman" w:eastAsia="方正小标宋简体"/>
          <w:kern w:val="2"/>
          <w:sz w:val="44"/>
          <w:szCs w:val="44"/>
        </w:rPr>
      </w:pPr>
    </w:p>
    <w:p w14:paraId="09ACC4D4">
      <w:pPr>
        <w:pStyle w:val="5"/>
        <w:spacing w:before="93"/>
        <w:jc w:val="center"/>
        <w:rPr>
          <w:rFonts w:hint="eastAsia" w:ascii="Times New Roman" w:eastAsia="方正小标宋简体"/>
          <w:kern w:val="2"/>
          <w:sz w:val="44"/>
          <w:szCs w:val="44"/>
        </w:rPr>
      </w:pPr>
    </w:p>
    <w:p w14:paraId="51BEA8BD">
      <w:pPr>
        <w:pStyle w:val="5"/>
        <w:spacing w:before="93"/>
        <w:jc w:val="center"/>
        <w:rPr>
          <w:rFonts w:hint="eastAsia" w:ascii="Times New Roman" w:eastAsia="方正小标宋简体"/>
          <w:kern w:val="2"/>
          <w:sz w:val="44"/>
          <w:szCs w:val="44"/>
        </w:rPr>
      </w:pPr>
    </w:p>
    <w:p w14:paraId="5576A3CA">
      <w:pPr>
        <w:pStyle w:val="5"/>
        <w:spacing w:before="93"/>
        <w:jc w:val="center"/>
        <w:rPr>
          <w:rFonts w:hint="eastAsia" w:ascii="Times New Roman" w:eastAsia="方正小标宋简体"/>
          <w:kern w:val="2"/>
          <w:sz w:val="44"/>
          <w:szCs w:val="44"/>
        </w:rPr>
      </w:pPr>
    </w:p>
    <w:p w14:paraId="7E342193">
      <w:pPr>
        <w:pStyle w:val="5"/>
        <w:spacing w:before="93"/>
        <w:jc w:val="center"/>
        <w:rPr>
          <w:rFonts w:hint="eastAsia" w:ascii="Times New Roman" w:eastAsia="方正小标宋简体"/>
          <w:kern w:val="2"/>
          <w:sz w:val="44"/>
          <w:szCs w:val="44"/>
        </w:rPr>
      </w:pPr>
    </w:p>
    <w:p w14:paraId="43376459">
      <w:pPr>
        <w:pStyle w:val="5"/>
        <w:spacing w:before="93"/>
        <w:jc w:val="center"/>
        <w:rPr>
          <w:rFonts w:hint="eastAsia" w:ascii="Times New Roman" w:eastAsia="方正小标宋简体"/>
          <w:kern w:val="2"/>
          <w:sz w:val="44"/>
          <w:szCs w:val="44"/>
        </w:rPr>
      </w:pPr>
    </w:p>
    <w:p w14:paraId="404A055C">
      <w:pPr>
        <w:pStyle w:val="5"/>
        <w:spacing w:before="93"/>
        <w:jc w:val="center"/>
        <w:rPr>
          <w:rFonts w:hint="eastAsia" w:ascii="Times New Roman" w:eastAsia="方正小标宋简体"/>
          <w:kern w:val="2"/>
          <w:sz w:val="44"/>
          <w:szCs w:val="44"/>
        </w:rPr>
      </w:pPr>
    </w:p>
    <w:p w14:paraId="2CA8E221">
      <w:pPr>
        <w:pStyle w:val="5"/>
        <w:spacing w:before="93"/>
        <w:jc w:val="center"/>
        <w:rPr>
          <w:rFonts w:hint="eastAsia" w:ascii="Times New Roman" w:eastAsia="方正小标宋简体"/>
          <w:kern w:val="2"/>
          <w:sz w:val="44"/>
          <w:szCs w:val="44"/>
        </w:rPr>
      </w:pPr>
    </w:p>
    <w:p w14:paraId="5BF48B29">
      <w:pPr>
        <w:pStyle w:val="5"/>
        <w:spacing w:before="93"/>
        <w:jc w:val="center"/>
        <w:rPr>
          <w:rFonts w:hint="eastAsia" w:ascii="Times New Roman" w:eastAsia="方正小标宋简体"/>
          <w:kern w:val="2"/>
          <w:sz w:val="44"/>
          <w:szCs w:val="44"/>
        </w:rPr>
      </w:pPr>
    </w:p>
    <w:p w14:paraId="62AD26B5">
      <w:pPr>
        <w:pStyle w:val="5"/>
        <w:spacing w:before="93"/>
        <w:jc w:val="center"/>
        <w:rPr>
          <w:rFonts w:hint="eastAsia" w:ascii="Times New Roman" w:eastAsia="方正小标宋简体"/>
          <w:kern w:val="2"/>
          <w:sz w:val="44"/>
          <w:szCs w:val="44"/>
        </w:rPr>
      </w:pPr>
    </w:p>
    <w:p w14:paraId="40664BF6">
      <w:pPr>
        <w:pStyle w:val="5"/>
        <w:spacing w:before="93"/>
        <w:jc w:val="center"/>
        <w:rPr>
          <w:rFonts w:hint="eastAsia" w:ascii="Times New Roman" w:eastAsia="方正小标宋简体"/>
          <w:kern w:val="2"/>
          <w:sz w:val="44"/>
          <w:szCs w:val="44"/>
        </w:rPr>
      </w:pPr>
    </w:p>
    <w:p w14:paraId="4EC587F0">
      <w:pPr>
        <w:pStyle w:val="5"/>
        <w:spacing w:before="93"/>
        <w:jc w:val="center"/>
        <w:rPr>
          <w:rFonts w:hint="eastAsia" w:ascii="Times New Roman" w:eastAsia="方正小标宋简体"/>
          <w:kern w:val="2"/>
          <w:sz w:val="44"/>
          <w:szCs w:val="44"/>
        </w:rPr>
      </w:pPr>
    </w:p>
    <w:p w14:paraId="1001B388">
      <w:pPr>
        <w:widowControl/>
        <w:jc w:val="center"/>
        <w:rPr>
          <w:rFonts w:eastAsia="黑体"/>
          <w:sz w:val="48"/>
          <w:szCs w:val="48"/>
        </w:rPr>
      </w:pPr>
      <w:r>
        <w:rPr>
          <w:rFonts w:hint="eastAsia" w:eastAsia="黑体"/>
          <w:sz w:val="48"/>
          <w:szCs w:val="48"/>
        </w:rPr>
        <w:t>目录</w:t>
      </w:r>
    </w:p>
    <w:p w14:paraId="37AC27B9">
      <w:pPr>
        <w:widowControl/>
        <w:jc w:val="center"/>
        <w:rPr>
          <w:rFonts w:eastAsia="黑体" w:cstheme="minorBidi"/>
          <w:sz w:val="28"/>
          <w:szCs w:val="28"/>
        </w:rPr>
      </w:pPr>
    </w:p>
    <w:p w14:paraId="15BAE4AA">
      <w:pPr>
        <w:pStyle w:val="13"/>
        <w:rPr>
          <w:rFonts w:ascii="Times New Roman" w:hAnsi="Times New Roman" w:eastAsia="仿宋_GB2312" w:cs="仿宋_GB2312"/>
          <w:sz w:val="32"/>
          <w:szCs w:val="32"/>
        </w:rPr>
      </w:pPr>
      <w:r>
        <w:rPr>
          <w:rFonts w:hint="eastAsia" w:ascii="Times New Roman" w:hAnsi="Times New Roman" w:eastAsia="仿宋_GB2312" w:cs="仿宋_GB2312"/>
          <w:sz w:val="32"/>
          <w:szCs w:val="32"/>
        </w:rPr>
        <w:t>公开时间：2026年</w:t>
      </w:r>
      <w:r>
        <w:rPr>
          <w:rFonts w:hint="eastAsia" w:ascii="Times New Roman" w:hAnsi="Times New Roman" w:eastAsia="仿宋_GB2312" w:cs="仿宋_GB2312"/>
          <w:sz w:val="32"/>
          <w:szCs w:val="32"/>
          <w:lang w:val="en-US" w:eastAsia="zh-CN"/>
        </w:rPr>
        <w:t>9</w:t>
      </w:r>
      <w:r>
        <w:rPr>
          <w:rFonts w:hint="eastAsia" w:ascii="Times New Roman" w:hAnsi="Times New Roman" w:eastAsia="仿宋_GB2312" w:cs="仿宋_GB2312"/>
          <w:sz w:val="32"/>
          <w:szCs w:val="32"/>
        </w:rPr>
        <w:t>月</w:t>
      </w:r>
      <w:r>
        <w:rPr>
          <w:rFonts w:hint="eastAsia" w:ascii="Times New Roman" w:hAnsi="Times New Roman" w:eastAsia="仿宋_GB2312" w:cs="仿宋_GB2312"/>
          <w:sz w:val="32"/>
          <w:szCs w:val="32"/>
          <w:lang w:val="en-US" w:eastAsia="zh-CN"/>
        </w:rPr>
        <w:t>10</w:t>
      </w:r>
      <w:r>
        <w:rPr>
          <w:rFonts w:hint="eastAsia" w:ascii="Times New Roman" w:hAnsi="Times New Roman" w:eastAsia="仿宋_GB2312" w:cs="仿宋_GB2312"/>
          <w:sz w:val="32"/>
          <w:szCs w:val="32"/>
        </w:rPr>
        <w:t>日</w:t>
      </w:r>
    </w:p>
    <w:p w14:paraId="65EEE56F"/>
    <w:p w14:paraId="07BD68DE">
      <w:pPr>
        <w:pStyle w:val="13"/>
        <w:adjustRightInd w:val="0"/>
        <w:snapToGrid w:val="0"/>
        <w:spacing w:before="0" w:line="440" w:lineRule="exact"/>
        <w:jc w:val="left"/>
        <w:rPr>
          <w:rFonts w:hint="eastAsia" w:ascii="Times New Roman" w:hAnsi="Times New Roman" w:eastAsia="仿宋" w:cs="黑体"/>
          <w:sz w:val="32"/>
          <w:szCs w:val="32"/>
          <w:lang w:val="en-US" w:eastAsia="zh-CN"/>
        </w:rPr>
      </w:pPr>
      <w:bookmarkStart w:id="12" w:name="_Toc15396599"/>
      <w:bookmarkStart w:id="13" w:name="_Toc15377196"/>
      <w:r>
        <w:rPr>
          <w:rFonts w:hint="eastAsia" w:ascii="Times New Roman" w:hAnsi="Times New Roman" w:eastAsia="黑体" w:cs="黑体"/>
          <w:sz w:val="32"/>
          <w:szCs w:val="32"/>
        </w:rPr>
        <w:t>第一部分 部门概况</w:t>
      </w:r>
      <w:r>
        <w:rPr>
          <w:rFonts w:cs="Times New Roman"/>
          <w:sz w:val="24"/>
          <w:szCs w:val="24"/>
        </w:rPr>
        <w:tab/>
      </w:r>
      <w:r>
        <w:rPr>
          <w:rFonts w:hint="eastAsia" w:cs="Times New Roman"/>
          <w:sz w:val="24"/>
          <w:szCs w:val="24"/>
          <w:lang w:val="en-US" w:eastAsia="zh-CN"/>
        </w:rPr>
        <w:t>5</w:t>
      </w:r>
    </w:p>
    <w:p w14:paraId="053F97B9">
      <w:pPr>
        <w:pStyle w:val="13"/>
        <w:adjustRightInd w:val="0"/>
        <w:snapToGrid w:val="0"/>
        <w:spacing w:before="0" w:line="440" w:lineRule="exact"/>
        <w:ind w:firstLine="640" w:firstLineChars="200"/>
        <w:jc w:val="left"/>
        <w:rPr>
          <w:rFonts w:hint="eastAsia" w:cs="Times New Roman"/>
          <w:sz w:val="24"/>
          <w:szCs w:val="24"/>
          <w:lang w:val="en-US" w:eastAsia="zh-CN"/>
        </w:rPr>
      </w:pPr>
      <w:r>
        <w:rPr>
          <w:rFonts w:hint="eastAsia" w:eastAsia="仿宋_GB2312" w:cs="仿宋_GB2312"/>
          <w:sz w:val="32"/>
          <w:szCs w:val="32"/>
        </w:rPr>
        <w:t>一、部门职责</w:t>
      </w:r>
      <w:r>
        <w:rPr>
          <w:rFonts w:cs="Times New Roman"/>
          <w:sz w:val="24"/>
          <w:szCs w:val="24"/>
        </w:rPr>
        <w:tab/>
      </w:r>
      <w:r>
        <w:rPr>
          <w:rFonts w:hint="eastAsia" w:cs="Times New Roman"/>
          <w:sz w:val="24"/>
          <w:szCs w:val="24"/>
          <w:lang w:val="en-US" w:eastAsia="zh-CN"/>
        </w:rPr>
        <w:t>5</w:t>
      </w:r>
    </w:p>
    <w:p w14:paraId="2A232E51">
      <w:pPr>
        <w:pStyle w:val="13"/>
        <w:adjustRightInd w:val="0"/>
        <w:snapToGrid w:val="0"/>
        <w:spacing w:before="0" w:line="440" w:lineRule="exact"/>
        <w:ind w:firstLine="640" w:firstLineChars="200"/>
        <w:jc w:val="left"/>
        <w:rPr>
          <w:rFonts w:hint="default" w:eastAsia="仿宋" w:cs="仿宋_GB2312"/>
          <w:sz w:val="32"/>
          <w:szCs w:val="32"/>
          <w:lang w:val="en-US" w:eastAsia="zh-CN"/>
        </w:rPr>
      </w:pPr>
      <w:r>
        <w:rPr>
          <w:rFonts w:hint="eastAsia" w:eastAsia="仿宋_GB2312" w:cs="仿宋_GB2312"/>
          <w:sz w:val="32"/>
          <w:szCs w:val="32"/>
        </w:rPr>
        <w:t>二、机构设置</w:t>
      </w:r>
      <w:r>
        <w:rPr>
          <w:rFonts w:cs="Times New Roman"/>
          <w:sz w:val="24"/>
          <w:szCs w:val="24"/>
        </w:rPr>
        <w:tab/>
      </w:r>
      <w:r>
        <w:rPr>
          <w:rFonts w:hint="eastAsia" w:cs="Times New Roman"/>
          <w:sz w:val="24"/>
          <w:szCs w:val="24"/>
          <w:lang w:val="en-US" w:eastAsia="zh-CN"/>
        </w:rPr>
        <w:t>5</w:t>
      </w:r>
    </w:p>
    <w:p w14:paraId="080A8334">
      <w:pPr>
        <w:numPr>
          <w:ilvl w:val="0"/>
          <w:numId w:val="0"/>
        </w:numPr>
        <w:rPr>
          <w:rFonts w:hint="eastAsia" w:eastAsia="宋体"/>
          <w:lang w:val="en-US" w:eastAsia="zh-CN"/>
        </w:rPr>
      </w:pPr>
      <w:r>
        <w:rPr>
          <w:rFonts w:hint="eastAsia"/>
          <w:lang w:val="en-US" w:eastAsia="zh-CN"/>
        </w:rPr>
        <w:t xml:space="preserve"> </w:t>
      </w:r>
    </w:p>
    <w:p w14:paraId="1F9AEA7C">
      <w:pPr>
        <w:pStyle w:val="13"/>
        <w:adjustRightInd w:val="0"/>
        <w:snapToGrid w:val="0"/>
        <w:spacing w:before="0" w:line="440" w:lineRule="exact"/>
        <w:jc w:val="left"/>
        <w:rPr>
          <w:rFonts w:hint="eastAsia" w:ascii="Times New Roman" w:hAnsi="Times New Roman" w:eastAsia="仿宋" w:cs="黑体"/>
          <w:sz w:val="32"/>
          <w:szCs w:val="32"/>
          <w:lang w:val="en-US" w:eastAsia="zh-CN"/>
        </w:rPr>
      </w:pPr>
      <w:r>
        <w:rPr>
          <w:rFonts w:hint="eastAsia" w:ascii="Times New Roman" w:hAnsi="Times New Roman" w:eastAsia="黑体" w:cs="黑体"/>
          <w:sz w:val="32"/>
          <w:szCs w:val="32"/>
        </w:rPr>
        <w:t>第二部分 202</w:t>
      </w:r>
      <w:r>
        <w:rPr>
          <w:rFonts w:hint="eastAsia" w:ascii="Times New Roman" w:hAnsi="Times New Roman" w:eastAsia="黑体" w:cs="黑体"/>
          <w:sz w:val="32"/>
          <w:szCs w:val="32"/>
          <w:lang w:val="en-US" w:eastAsia="zh-CN"/>
        </w:rPr>
        <w:t>5</w:t>
      </w:r>
      <w:r>
        <w:rPr>
          <w:rFonts w:hint="eastAsia" w:ascii="Times New Roman" w:hAnsi="Times New Roman" w:eastAsia="黑体" w:cs="黑体"/>
          <w:sz w:val="32"/>
          <w:szCs w:val="32"/>
        </w:rPr>
        <w:t>年度部门决算情况说明</w:t>
      </w:r>
      <w:r>
        <w:rPr>
          <w:rFonts w:cs="Times New Roman"/>
          <w:sz w:val="24"/>
          <w:szCs w:val="24"/>
        </w:rPr>
        <w:tab/>
      </w:r>
      <w:r>
        <w:rPr>
          <w:rFonts w:hint="eastAsia" w:cs="Times New Roman"/>
          <w:sz w:val="24"/>
          <w:szCs w:val="24"/>
          <w:lang w:val="en-US" w:eastAsia="zh-CN"/>
        </w:rPr>
        <w:t>6</w:t>
      </w:r>
    </w:p>
    <w:p w14:paraId="6E162F33">
      <w:pPr>
        <w:pStyle w:val="13"/>
        <w:adjustRightInd w:val="0"/>
        <w:snapToGrid w:val="0"/>
        <w:spacing w:before="0" w:line="440" w:lineRule="exact"/>
        <w:ind w:firstLine="640" w:firstLineChars="200"/>
        <w:jc w:val="left"/>
        <w:rPr>
          <w:rFonts w:hint="eastAsia" w:eastAsia="仿宋" w:cs="仿宋_GB2312"/>
          <w:sz w:val="32"/>
          <w:szCs w:val="32"/>
          <w:lang w:val="en-US" w:eastAsia="zh-CN"/>
        </w:rPr>
      </w:pPr>
      <w:r>
        <w:rPr>
          <w:rFonts w:hint="eastAsia" w:eastAsia="仿宋_GB2312" w:cs="仿宋_GB2312"/>
          <w:sz w:val="32"/>
          <w:szCs w:val="32"/>
        </w:rPr>
        <w:t>一、收入支出决算总体情况说明</w:t>
      </w:r>
      <w:r>
        <w:rPr>
          <w:rFonts w:cs="Times New Roman"/>
          <w:sz w:val="24"/>
          <w:szCs w:val="24"/>
        </w:rPr>
        <w:tab/>
      </w:r>
      <w:r>
        <w:rPr>
          <w:rFonts w:hint="eastAsia" w:cs="Times New Roman"/>
          <w:sz w:val="24"/>
          <w:szCs w:val="24"/>
          <w:lang w:val="en-US" w:eastAsia="zh-CN"/>
        </w:rPr>
        <w:t>6</w:t>
      </w:r>
    </w:p>
    <w:p w14:paraId="54F4BD67">
      <w:pPr>
        <w:pStyle w:val="13"/>
        <w:adjustRightInd w:val="0"/>
        <w:snapToGrid w:val="0"/>
        <w:spacing w:before="0" w:line="440" w:lineRule="exact"/>
        <w:ind w:firstLine="640" w:firstLineChars="200"/>
        <w:jc w:val="left"/>
        <w:rPr>
          <w:rFonts w:hint="eastAsia" w:eastAsia="仿宋" w:cs="仿宋_GB2312"/>
          <w:sz w:val="32"/>
          <w:szCs w:val="32"/>
          <w:lang w:val="en-US" w:eastAsia="zh-CN"/>
        </w:rPr>
      </w:pPr>
      <w:r>
        <w:rPr>
          <w:rFonts w:hint="eastAsia" w:eastAsia="仿宋_GB2312" w:cs="仿宋_GB2312"/>
          <w:sz w:val="32"/>
          <w:szCs w:val="32"/>
        </w:rPr>
        <w:t>二、收入决算情况说明</w:t>
      </w:r>
      <w:r>
        <w:rPr>
          <w:rFonts w:cs="Times New Roman"/>
          <w:sz w:val="24"/>
          <w:szCs w:val="24"/>
        </w:rPr>
        <w:tab/>
      </w:r>
      <w:r>
        <w:rPr>
          <w:rFonts w:hint="eastAsia" w:cs="Times New Roman"/>
          <w:sz w:val="24"/>
          <w:szCs w:val="24"/>
          <w:lang w:val="en-US" w:eastAsia="zh-CN"/>
        </w:rPr>
        <w:t>6</w:t>
      </w:r>
    </w:p>
    <w:p w14:paraId="49C505E9">
      <w:pPr>
        <w:pStyle w:val="13"/>
        <w:adjustRightInd w:val="0"/>
        <w:snapToGrid w:val="0"/>
        <w:spacing w:before="0" w:line="440" w:lineRule="exact"/>
        <w:ind w:firstLine="640" w:firstLineChars="200"/>
        <w:jc w:val="left"/>
        <w:rPr>
          <w:rFonts w:hint="eastAsia" w:eastAsia="仿宋" w:cs="仿宋_GB2312"/>
          <w:sz w:val="32"/>
          <w:szCs w:val="32"/>
          <w:lang w:val="en-US" w:eastAsia="zh-CN"/>
        </w:rPr>
      </w:pPr>
      <w:r>
        <w:rPr>
          <w:rFonts w:hint="eastAsia" w:eastAsia="仿宋_GB2312" w:cs="仿宋_GB2312"/>
          <w:sz w:val="32"/>
          <w:szCs w:val="32"/>
        </w:rPr>
        <w:t>三、支出决算情况说明</w:t>
      </w:r>
      <w:r>
        <w:rPr>
          <w:rFonts w:cs="Times New Roman"/>
          <w:sz w:val="24"/>
          <w:szCs w:val="24"/>
        </w:rPr>
        <w:tab/>
      </w:r>
      <w:r>
        <w:rPr>
          <w:rFonts w:hint="eastAsia" w:cs="Times New Roman"/>
          <w:sz w:val="24"/>
          <w:szCs w:val="24"/>
          <w:lang w:val="en-US" w:eastAsia="zh-CN"/>
        </w:rPr>
        <w:t>7</w:t>
      </w:r>
    </w:p>
    <w:p w14:paraId="0A6B88CB">
      <w:pPr>
        <w:pStyle w:val="13"/>
        <w:adjustRightInd w:val="0"/>
        <w:snapToGrid w:val="0"/>
        <w:spacing w:before="0" w:line="440" w:lineRule="exact"/>
        <w:ind w:firstLine="640" w:firstLineChars="200"/>
        <w:jc w:val="left"/>
        <w:rPr>
          <w:rFonts w:hint="eastAsia" w:ascii="Times New Roman" w:hAnsi="Times New Roman" w:eastAsia="仿宋" w:cs="黑体"/>
          <w:sz w:val="32"/>
          <w:szCs w:val="32"/>
          <w:lang w:val="en-US" w:eastAsia="zh-CN"/>
        </w:rPr>
      </w:pPr>
      <w:r>
        <w:rPr>
          <w:rFonts w:hint="eastAsia" w:eastAsia="仿宋_GB2312" w:cs="仿宋_GB2312"/>
          <w:sz w:val="32"/>
          <w:szCs w:val="32"/>
        </w:rPr>
        <w:t>四、财政拨款收入支出决算总体情况说明</w:t>
      </w:r>
      <w:r>
        <w:rPr>
          <w:rFonts w:cs="Times New Roman"/>
          <w:sz w:val="24"/>
          <w:szCs w:val="24"/>
        </w:rPr>
        <w:tab/>
      </w:r>
      <w:r>
        <w:rPr>
          <w:rFonts w:hint="eastAsia" w:cs="Times New Roman"/>
          <w:sz w:val="24"/>
          <w:szCs w:val="24"/>
          <w:lang w:val="en-US" w:eastAsia="zh-CN"/>
        </w:rPr>
        <w:t>7</w:t>
      </w:r>
    </w:p>
    <w:p w14:paraId="65746D78">
      <w:pPr>
        <w:pStyle w:val="13"/>
        <w:adjustRightInd w:val="0"/>
        <w:snapToGrid w:val="0"/>
        <w:spacing w:before="0" w:line="440" w:lineRule="exact"/>
        <w:ind w:firstLine="640" w:firstLineChars="200"/>
        <w:jc w:val="left"/>
        <w:rPr>
          <w:rFonts w:hint="eastAsia" w:eastAsia="仿宋" w:cs="仿宋_GB2312"/>
          <w:sz w:val="32"/>
          <w:szCs w:val="32"/>
          <w:lang w:val="en-US" w:eastAsia="zh-CN"/>
        </w:rPr>
      </w:pPr>
      <w:r>
        <w:rPr>
          <w:rFonts w:hint="eastAsia" w:eastAsia="仿宋_GB2312" w:cs="仿宋_GB2312"/>
          <w:sz w:val="32"/>
          <w:szCs w:val="32"/>
        </w:rPr>
        <w:t>五、一般公共预算财政拨款支出决算情况说明</w:t>
      </w:r>
      <w:r>
        <w:rPr>
          <w:rFonts w:cs="Times New Roman"/>
          <w:sz w:val="24"/>
          <w:szCs w:val="24"/>
        </w:rPr>
        <w:tab/>
      </w:r>
      <w:r>
        <w:rPr>
          <w:rFonts w:hint="eastAsia" w:cs="Times New Roman"/>
          <w:sz w:val="24"/>
          <w:szCs w:val="24"/>
          <w:lang w:val="en-US" w:eastAsia="zh-CN"/>
        </w:rPr>
        <w:t>8</w:t>
      </w:r>
    </w:p>
    <w:p w14:paraId="78FAD506">
      <w:pPr>
        <w:pStyle w:val="13"/>
        <w:adjustRightInd w:val="0"/>
        <w:snapToGrid w:val="0"/>
        <w:spacing w:before="0" w:line="440" w:lineRule="exact"/>
        <w:ind w:firstLine="640" w:firstLineChars="200"/>
        <w:jc w:val="left"/>
        <w:rPr>
          <w:rFonts w:hint="default" w:eastAsia="仿宋" w:cs="仿宋_GB2312"/>
          <w:sz w:val="32"/>
          <w:szCs w:val="32"/>
          <w:lang w:val="en-US" w:eastAsia="zh-CN"/>
        </w:rPr>
      </w:pPr>
      <w:r>
        <w:rPr>
          <w:rFonts w:hint="eastAsia" w:eastAsia="仿宋_GB2312" w:cs="仿宋_GB2312"/>
          <w:sz w:val="32"/>
          <w:szCs w:val="32"/>
        </w:rPr>
        <w:t>六、一般公共预算财政拨款基本支出决算情况说明</w:t>
      </w:r>
      <w:r>
        <w:rPr>
          <w:rFonts w:cs="Times New Roman"/>
          <w:sz w:val="24"/>
          <w:szCs w:val="24"/>
        </w:rPr>
        <w:tab/>
      </w:r>
      <w:r>
        <w:rPr>
          <w:rFonts w:hint="eastAsia" w:cs="Times New Roman"/>
          <w:sz w:val="24"/>
          <w:szCs w:val="24"/>
          <w:lang w:val="en-US" w:eastAsia="zh-CN"/>
        </w:rPr>
        <w:t>10</w:t>
      </w:r>
    </w:p>
    <w:p w14:paraId="4D55C2A4">
      <w:pPr>
        <w:pStyle w:val="13"/>
        <w:adjustRightInd w:val="0"/>
        <w:snapToGrid w:val="0"/>
        <w:spacing w:before="0" w:line="440" w:lineRule="exact"/>
        <w:ind w:firstLine="640" w:firstLineChars="200"/>
        <w:jc w:val="left"/>
        <w:rPr>
          <w:rFonts w:hint="default" w:eastAsia="仿宋_GB2312" w:cs="仿宋_GB2312"/>
          <w:sz w:val="32"/>
          <w:szCs w:val="32"/>
          <w:lang w:val="en-US"/>
        </w:rPr>
      </w:pPr>
      <w:r>
        <w:rPr>
          <w:rFonts w:hint="eastAsia" w:eastAsia="仿宋_GB2312" w:cs="仿宋_GB2312"/>
          <w:sz w:val="32"/>
          <w:szCs w:val="32"/>
        </w:rPr>
        <w:t>七、财政拨款“三公”经费支出决算情况说明</w:t>
      </w:r>
      <w:r>
        <w:rPr>
          <w:rFonts w:cs="Times New Roman"/>
          <w:sz w:val="24"/>
          <w:szCs w:val="24"/>
        </w:rPr>
        <w:tab/>
      </w:r>
      <w:r>
        <w:rPr>
          <w:rFonts w:hint="eastAsia" w:cs="Times New Roman"/>
          <w:sz w:val="24"/>
          <w:szCs w:val="24"/>
          <w:lang w:val="en-US" w:eastAsia="zh-CN"/>
        </w:rPr>
        <w:t>11</w:t>
      </w:r>
    </w:p>
    <w:p w14:paraId="57E77ACC">
      <w:pPr>
        <w:pStyle w:val="13"/>
        <w:adjustRightInd w:val="0"/>
        <w:snapToGrid w:val="0"/>
        <w:spacing w:before="0" w:line="440" w:lineRule="exact"/>
        <w:ind w:firstLine="640" w:firstLineChars="200"/>
        <w:jc w:val="left"/>
        <w:rPr>
          <w:rFonts w:hint="default" w:eastAsia="仿宋_GB2312" w:cs="仿宋_GB2312"/>
          <w:sz w:val="32"/>
          <w:szCs w:val="32"/>
          <w:lang w:val="en-US"/>
        </w:rPr>
      </w:pPr>
      <w:r>
        <w:rPr>
          <w:rFonts w:hint="eastAsia" w:eastAsia="仿宋_GB2312" w:cs="仿宋_GB2312"/>
          <w:sz w:val="32"/>
          <w:szCs w:val="32"/>
        </w:rPr>
        <w:t>八、政府性基金预算支出决算情况说明</w:t>
      </w:r>
      <w:r>
        <w:rPr>
          <w:rFonts w:cs="Times New Roman"/>
          <w:sz w:val="24"/>
          <w:szCs w:val="24"/>
        </w:rPr>
        <w:tab/>
      </w:r>
      <w:r>
        <w:rPr>
          <w:rFonts w:hint="eastAsia" w:cs="Times New Roman"/>
          <w:sz w:val="24"/>
          <w:szCs w:val="24"/>
          <w:lang w:val="en-US" w:eastAsia="zh-CN"/>
        </w:rPr>
        <w:t>12</w:t>
      </w:r>
    </w:p>
    <w:p w14:paraId="1452BA8E">
      <w:pPr>
        <w:pStyle w:val="13"/>
        <w:adjustRightInd w:val="0"/>
        <w:snapToGrid w:val="0"/>
        <w:spacing w:before="0" w:line="440" w:lineRule="exact"/>
        <w:ind w:firstLine="640" w:firstLineChars="200"/>
        <w:jc w:val="left"/>
        <w:rPr>
          <w:rFonts w:eastAsia="仿宋_GB2312" w:cs="仿宋_GB2312"/>
          <w:sz w:val="32"/>
          <w:szCs w:val="32"/>
        </w:rPr>
      </w:pPr>
      <w:r>
        <w:rPr>
          <w:rFonts w:hint="eastAsia" w:eastAsia="仿宋_GB2312" w:cs="仿宋_GB2312"/>
          <w:sz w:val="32"/>
          <w:szCs w:val="32"/>
        </w:rPr>
        <w:t>九、国有资本经营预算支出决算情况说明</w:t>
      </w:r>
      <w:r>
        <w:rPr>
          <w:rFonts w:cs="Times New Roman"/>
          <w:sz w:val="24"/>
          <w:szCs w:val="24"/>
        </w:rPr>
        <w:tab/>
      </w:r>
      <w:r>
        <w:rPr>
          <w:rFonts w:hint="eastAsia" w:cs="Times New Roman"/>
          <w:sz w:val="24"/>
          <w:szCs w:val="24"/>
          <w:lang w:val="en-US" w:eastAsia="zh-CN"/>
        </w:rPr>
        <w:t>12</w:t>
      </w:r>
    </w:p>
    <w:p w14:paraId="373176F3">
      <w:pPr>
        <w:pStyle w:val="13"/>
        <w:adjustRightInd w:val="0"/>
        <w:snapToGrid w:val="0"/>
        <w:spacing w:before="0" w:line="440" w:lineRule="exact"/>
        <w:ind w:firstLine="640" w:firstLineChars="200"/>
        <w:jc w:val="left"/>
        <w:rPr>
          <w:rFonts w:hint="default" w:eastAsia="仿宋_GB2312" w:cs="仿宋_GB2312"/>
          <w:sz w:val="32"/>
          <w:szCs w:val="32"/>
          <w:lang w:val="en-US"/>
        </w:rPr>
      </w:pPr>
      <w:r>
        <w:rPr>
          <w:rFonts w:hint="eastAsia" w:eastAsia="仿宋_GB2312" w:cs="仿宋_GB2312"/>
          <w:sz w:val="32"/>
          <w:szCs w:val="32"/>
        </w:rPr>
        <w:t>十、其他重要事项的情况说明</w:t>
      </w:r>
      <w:r>
        <w:rPr>
          <w:rFonts w:cs="Times New Roman"/>
          <w:sz w:val="24"/>
          <w:szCs w:val="24"/>
        </w:rPr>
        <w:tab/>
      </w:r>
      <w:r>
        <w:rPr>
          <w:rFonts w:hint="eastAsia" w:cs="Times New Roman"/>
          <w:sz w:val="24"/>
          <w:szCs w:val="24"/>
          <w:lang w:val="en-US" w:eastAsia="zh-CN"/>
        </w:rPr>
        <w:t>12</w:t>
      </w:r>
    </w:p>
    <w:p w14:paraId="0E05EC1B">
      <w:pPr>
        <w:pStyle w:val="13"/>
        <w:adjustRightInd w:val="0"/>
        <w:snapToGrid w:val="0"/>
        <w:spacing w:before="0" w:line="440" w:lineRule="exact"/>
        <w:jc w:val="left"/>
        <w:rPr>
          <w:rFonts w:hint="default" w:ascii="Times New Roman" w:hAnsi="Times New Roman" w:eastAsia="黑体" w:cs="黑体"/>
          <w:sz w:val="32"/>
          <w:szCs w:val="32"/>
          <w:lang w:val="en-US"/>
        </w:rPr>
      </w:pPr>
      <w:r>
        <w:rPr>
          <w:rFonts w:hint="eastAsia" w:ascii="Times New Roman" w:hAnsi="Times New Roman" w:eastAsia="黑体" w:cs="黑体"/>
          <w:sz w:val="32"/>
          <w:szCs w:val="32"/>
        </w:rPr>
        <w:t>第三部分 名词解释</w:t>
      </w:r>
      <w:r>
        <w:rPr>
          <w:rFonts w:cs="Times New Roman"/>
          <w:sz w:val="24"/>
          <w:szCs w:val="24"/>
        </w:rPr>
        <w:tab/>
      </w:r>
      <w:r>
        <w:rPr>
          <w:rFonts w:hint="eastAsia" w:cs="Times New Roman"/>
          <w:sz w:val="24"/>
          <w:szCs w:val="24"/>
          <w:lang w:val="en-US" w:eastAsia="zh-CN"/>
        </w:rPr>
        <w:t>14</w:t>
      </w:r>
    </w:p>
    <w:p w14:paraId="24AD209F">
      <w:pPr>
        <w:pStyle w:val="13"/>
        <w:adjustRightInd w:val="0"/>
        <w:snapToGrid w:val="0"/>
        <w:spacing w:before="0" w:line="440" w:lineRule="exact"/>
        <w:jc w:val="left"/>
        <w:rPr>
          <w:rFonts w:hint="default" w:ascii="Times New Roman" w:hAnsi="Times New Roman" w:eastAsia="黑体" w:cs="黑体"/>
          <w:sz w:val="32"/>
          <w:szCs w:val="32"/>
          <w:lang w:val="en-US"/>
        </w:rPr>
      </w:pPr>
      <w:r>
        <w:rPr>
          <w:rFonts w:hint="eastAsia" w:ascii="Times New Roman" w:hAnsi="Times New Roman" w:eastAsia="黑体" w:cs="黑体"/>
          <w:sz w:val="32"/>
          <w:szCs w:val="32"/>
        </w:rPr>
        <w:t>第四部分 附件</w:t>
      </w:r>
      <w:r>
        <w:rPr>
          <w:rFonts w:cs="Times New Roman"/>
          <w:sz w:val="24"/>
          <w:szCs w:val="24"/>
        </w:rPr>
        <w:tab/>
      </w:r>
      <w:r>
        <w:rPr>
          <w:rFonts w:hint="eastAsia" w:cs="Times New Roman"/>
          <w:sz w:val="24"/>
          <w:szCs w:val="24"/>
          <w:lang w:val="en-US" w:eastAsia="zh-CN"/>
        </w:rPr>
        <w:t>16</w:t>
      </w:r>
    </w:p>
    <w:p w14:paraId="2E1B6A81">
      <w:pPr>
        <w:pStyle w:val="13"/>
        <w:adjustRightInd w:val="0"/>
        <w:snapToGrid w:val="0"/>
        <w:spacing w:before="0" w:line="440" w:lineRule="exact"/>
        <w:jc w:val="left"/>
        <w:rPr>
          <w:rFonts w:hint="default" w:ascii="Times New Roman" w:hAnsi="Times New Roman" w:eastAsia="仿宋" w:cs="黑体"/>
          <w:sz w:val="32"/>
          <w:szCs w:val="32"/>
          <w:lang w:val="en-US" w:eastAsia="zh-CN"/>
        </w:rPr>
      </w:pPr>
      <w:r>
        <w:rPr>
          <w:rFonts w:hint="eastAsia" w:ascii="Times New Roman" w:hAnsi="Times New Roman" w:eastAsia="黑体" w:cs="黑体"/>
          <w:sz w:val="32"/>
          <w:szCs w:val="32"/>
        </w:rPr>
        <w:t>第五部分 附表</w:t>
      </w:r>
      <w:r>
        <w:rPr>
          <w:rFonts w:cs="Times New Roman"/>
          <w:sz w:val="24"/>
          <w:szCs w:val="24"/>
        </w:rPr>
        <w:tab/>
      </w:r>
      <w:r>
        <w:rPr>
          <w:rFonts w:hint="eastAsia" w:cs="Times New Roman"/>
          <w:sz w:val="24"/>
          <w:szCs w:val="24"/>
          <w:lang w:val="en-US" w:eastAsia="zh-CN"/>
        </w:rPr>
        <w:t>23</w:t>
      </w:r>
    </w:p>
    <w:p w14:paraId="74B6E622">
      <w:pPr>
        <w:pStyle w:val="13"/>
        <w:adjustRightInd w:val="0"/>
        <w:snapToGrid w:val="0"/>
        <w:spacing w:before="0" w:line="440" w:lineRule="exact"/>
        <w:ind w:firstLine="640" w:firstLineChars="200"/>
        <w:jc w:val="left"/>
        <w:rPr>
          <w:rFonts w:hint="default" w:eastAsia="仿宋" w:cs="仿宋_GB2312"/>
          <w:sz w:val="32"/>
          <w:szCs w:val="32"/>
          <w:lang w:val="en-US" w:eastAsia="zh-CN"/>
        </w:rPr>
      </w:pPr>
      <w:r>
        <w:rPr>
          <w:rFonts w:hint="eastAsia" w:eastAsia="仿宋_GB2312" w:cs="仿宋_GB2312"/>
          <w:sz w:val="32"/>
          <w:szCs w:val="32"/>
        </w:rPr>
        <w:t>一、收入支出决算总表</w:t>
      </w:r>
      <w:r>
        <w:rPr>
          <w:rFonts w:cs="Times New Roman"/>
          <w:sz w:val="24"/>
          <w:szCs w:val="24"/>
        </w:rPr>
        <w:tab/>
      </w:r>
      <w:r>
        <w:rPr>
          <w:rFonts w:hint="eastAsia" w:cs="Times New Roman"/>
          <w:sz w:val="24"/>
          <w:szCs w:val="24"/>
          <w:lang w:val="en-US" w:eastAsia="zh-CN"/>
        </w:rPr>
        <w:t>23</w:t>
      </w:r>
    </w:p>
    <w:p w14:paraId="34900CE4">
      <w:pPr>
        <w:pStyle w:val="13"/>
        <w:adjustRightInd w:val="0"/>
        <w:snapToGrid w:val="0"/>
        <w:spacing w:before="0" w:line="440" w:lineRule="exact"/>
        <w:ind w:firstLine="640" w:firstLineChars="200"/>
        <w:jc w:val="left"/>
        <w:rPr>
          <w:rFonts w:hint="default" w:eastAsia="仿宋" w:cs="仿宋_GB2312"/>
          <w:sz w:val="32"/>
          <w:szCs w:val="32"/>
          <w:lang w:val="en-US" w:eastAsia="zh-CN"/>
        </w:rPr>
      </w:pPr>
      <w:r>
        <w:rPr>
          <w:rFonts w:hint="eastAsia" w:eastAsia="仿宋_GB2312" w:cs="仿宋_GB2312"/>
          <w:sz w:val="32"/>
          <w:szCs w:val="32"/>
        </w:rPr>
        <w:t>二、收入决算表</w:t>
      </w:r>
      <w:r>
        <w:rPr>
          <w:rFonts w:cs="Times New Roman"/>
          <w:sz w:val="24"/>
          <w:szCs w:val="24"/>
        </w:rPr>
        <w:tab/>
      </w:r>
      <w:r>
        <w:rPr>
          <w:rFonts w:hint="eastAsia" w:cs="Times New Roman"/>
          <w:sz w:val="24"/>
          <w:szCs w:val="24"/>
          <w:lang w:val="en-US" w:eastAsia="zh-CN"/>
        </w:rPr>
        <w:t>23</w:t>
      </w:r>
    </w:p>
    <w:p w14:paraId="51C8004A">
      <w:pPr>
        <w:pStyle w:val="13"/>
        <w:adjustRightInd w:val="0"/>
        <w:snapToGrid w:val="0"/>
        <w:spacing w:before="0" w:line="440" w:lineRule="exact"/>
        <w:ind w:firstLine="640" w:firstLineChars="200"/>
        <w:jc w:val="left"/>
        <w:rPr>
          <w:rFonts w:hint="default" w:eastAsia="仿宋" w:cs="仿宋_GB2312"/>
          <w:sz w:val="32"/>
          <w:szCs w:val="32"/>
          <w:lang w:val="en-US" w:eastAsia="zh-CN"/>
        </w:rPr>
      </w:pPr>
      <w:r>
        <w:rPr>
          <w:rFonts w:hint="eastAsia" w:eastAsia="仿宋_GB2312" w:cs="仿宋_GB2312"/>
          <w:sz w:val="32"/>
          <w:szCs w:val="32"/>
        </w:rPr>
        <w:t>三、支出决算表</w:t>
      </w:r>
      <w:r>
        <w:rPr>
          <w:rFonts w:cs="Times New Roman"/>
          <w:sz w:val="24"/>
          <w:szCs w:val="24"/>
        </w:rPr>
        <w:tab/>
      </w:r>
      <w:r>
        <w:rPr>
          <w:rFonts w:hint="eastAsia" w:cs="Times New Roman"/>
          <w:sz w:val="24"/>
          <w:szCs w:val="24"/>
          <w:lang w:val="en-US" w:eastAsia="zh-CN"/>
        </w:rPr>
        <w:t>23</w:t>
      </w:r>
    </w:p>
    <w:p w14:paraId="3C994571">
      <w:pPr>
        <w:pStyle w:val="13"/>
        <w:adjustRightInd w:val="0"/>
        <w:snapToGrid w:val="0"/>
        <w:spacing w:before="0" w:line="440" w:lineRule="exact"/>
        <w:ind w:firstLine="640" w:firstLineChars="200"/>
        <w:jc w:val="left"/>
        <w:rPr>
          <w:rFonts w:hint="default" w:eastAsia="仿宋" w:cs="仿宋_GB2312"/>
          <w:sz w:val="32"/>
          <w:szCs w:val="32"/>
          <w:lang w:val="en-US" w:eastAsia="zh-CN"/>
        </w:rPr>
      </w:pPr>
      <w:r>
        <w:rPr>
          <w:rFonts w:hint="eastAsia" w:eastAsia="仿宋_GB2312" w:cs="仿宋_GB2312"/>
          <w:sz w:val="32"/>
          <w:szCs w:val="32"/>
        </w:rPr>
        <w:t>四、财政拨款收入支出决算总表</w:t>
      </w:r>
      <w:r>
        <w:rPr>
          <w:rFonts w:cs="Times New Roman"/>
          <w:sz w:val="24"/>
          <w:szCs w:val="24"/>
        </w:rPr>
        <w:tab/>
      </w:r>
      <w:r>
        <w:rPr>
          <w:rFonts w:hint="eastAsia" w:cs="Times New Roman"/>
          <w:sz w:val="24"/>
          <w:szCs w:val="24"/>
          <w:lang w:val="en-US" w:eastAsia="zh-CN"/>
        </w:rPr>
        <w:t>23</w:t>
      </w:r>
    </w:p>
    <w:p w14:paraId="79603AEC">
      <w:pPr>
        <w:pStyle w:val="13"/>
        <w:adjustRightInd w:val="0"/>
        <w:snapToGrid w:val="0"/>
        <w:spacing w:before="0" w:line="440" w:lineRule="exact"/>
        <w:ind w:firstLine="640" w:firstLineChars="200"/>
        <w:jc w:val="left"/>
        <w:rPr>
          <w:rFonts w:hint="default" w:eastAsia="仿宋" w:cs="仿宋_GB2312"/>
          <w:sz w:val="32"/>
          <w:szCs w:val="32"/>
          <w:lang w:val="en-US" w:eastAsia="zh-CN"/>
        </w:rPr>
      </w:pPr>
      <w:r>
        <w:rPr>
          <w:rFonts w:hint="eastAsia" w:eastAsia="仿宋_GB2312" w:cs="仿宋_GB2312"/>
          <w:sz w:val="32"/>
          <w:szCs w:val="32"/>
        </w:rPr>
        <w:t>五、财政拨款支出决算明细表</w:t>
      </w:r>
      <w:r>
        <w:rPr>
          <w:rFonts w:cs="Times New Roman"/>
          <w:sz w:val="24"/>
          <w:szCs w:val="24"/>
        </w:rPr>
        <w:tab/>
      </w:r>
      <w:r>
        <w:rPr>
          <w:rFonts w:hint="eastAsia" w:cs="Times New Roman"/>
          <w:sz w:val="24"/>
          <w:szCs w:val="24"/>
          <w:lang w:val="en-US" w:eastAsia="zh-CN"/>
        </w:rPr>
        <w:t>23</w:t>
      </w:r>
    </w:p>
    <w:p w14:paraId="4D51A68C">
      <w:pPr>
        <w:pStyle w:val="13"/>
        <w:adjustRightInd w:val="0"/>
        <w:snapToGrid w:val="0"/>
        <w:spacing w:before="0" w:line="440" w:lineRule="exact"/>
        <w:ind w:firstLine="640" w:firstLineChars="200"/>
        <w:jc w:val="left"/>
        <w:rPr>
          <w:rFonts w:hint="default" w:eastAsia="仿宋" w:cs="仿宋_GB2312"/>
          <w:sz w:val="32"/>
          <w:szCs w:val="32"/>
          <w:lang w:val="en-US" w:eastAsia="zh-CN"/>
        </w:rPr>
      </w:pPr>
      <w:r>
        <w:rPr>
          <w:rFonts w:hint="eastAsia" w:eastAsia="仿宋_GB2312" w:cs="仿宋_GB2312"/>
          <w:sz w:val="32"/>
          <w:szCs w:val="32"/>
        </w:rPr>
        <w:t>六、一般公共预算财政拨款支出决算表</w:t>
      </w:r>
      <w:r>
        <w:rPr>
          <w:rFonts w:cs="Times New Roman"/>
          <w:sz w:val="24"/>
          <w:szCs w:val="24"/>
        </w:rPr>
        <w:tab/>
      </w:r>
      <w:r>
        <w:rPr>
          <w:rFonts w:hint="eastAsia" w:cs="Times New Roman"/>
          <w:sz w:val="24"/>
          <w:szCs w:val="24"/>
          <w:lang w:val="en-US" w:eastAsia="zh-CN"/>
        </w:rPr>
        <w:t>23</w:t>
      </w:r>
    </w:p>
    <w:p w14:paraId="21AD481F">
      <w:pPr>
        <w:pStyle w:val="13"/>
        <w:adjustRightInd w:val="0"/>
        <w:snapToGrid w:val="0"/>
        <w:spacing w:before="0" w:line="440" w:lineRule="exact"/>
        <w:ind w:firstLine="640" w:firstLineChars="200"/>
        <w:jc w:val="left"/>
        <w:rPr>
          <w:rFonts w:hint="default" w:eastAsia="仿宋" w:cs="仿宋_GB2312"/>
          <w:sz w:val="32"/>
          <w:szCs w:val="32"/>
          <w:lang w:val="en-US" w:eastAsia="zh-CN"/>
        </w:rPr>
      </w:pPr>
      <w:r>
        <w:rPr>
          <w:rFonts w:hint="eastAsia" w:eastAsia="仿宋_GB2312" w:cs="仿宋_GB2312"/>
          <w:sz w:val="32"/>
          <w:szCs w:val="32"/>
        </w:rPr>
        <w:t>七、一般公共预算财政拨款支出决算明细表</w:t>
      </w:r>
      <w:r>
        <w:rPr>
          <w:rFonts w:cs="Times New Roman"/>
          <w:sz w:val="24"/>
          <w:szCs w:val="24"/>
        </w:rPr>
        <w:tab/>
      </w:r>
      <w:r>
        <w:rPr>
          <w:rFonts w:hint="eastAsia" w:cs="Times New Roman"/>
          <w:sz w:val="24"/>
          <w:szCs w:val="24"/>
          <w:lang w:val="en-US" w:eastAsia="zh-CN"/>
        </w:rPr>
        <w:t>23</w:t>
      </w:r>
    </w:p>
    <w:p w14:paraId="3554DB21">
      <w:pPr>
        <w:pStyle w:val="13"/>
        <w:adjustRightInd w:val="0"/>
        <w:snapToGrid w:val="0"/>
        <w:spacing w:before="0" w:line="440" w:lineRule="exact"/>
        <w:ind w:firstLine="640" w:firstLineChars="200"/>
        <w:jc w:val="left"/>
        <w:rPr>
          <w:rFonts w:hint="default" w:eastAsia="仿宋" w:cs="仿宋_GB2312"/>
          <w:sz w:val="32"/>
          <w:szCs w:val="32"/>
          <w:lang w:val="en-US" w:eastAsia="zh-CN"/>
        </w:rPr>
      </w:pPr>
      <w:r>
        <w:rPr>
          <w:rFonts w:hint="eastAsia" w:eastAsia="仿宋_GB2312" w:cs="仿宋_GB2312"/>
          <w:sz w:val="32"/>
          <w:szCs w:val="32"/>
        </w:rPr>
        <w:t>八、一般公共预算财政拨款基本支出决算明细表</w:t>
      </w:r>
      <w:r>
        <w:rPr>
          <w:rFonts w:cs="Times New Roman"/>
          <w:sz w:val="24"/>
          <w:szCs w:val="24"/>
        </w:rPr>
        <w:tab/>
      </w:r>
      <w:r>
        <w:rPr>
          <w:rFonts w:hint="eastAsia" w:cs="Times New Roman"/>
          <w:sz w:val="24"/>
          <w:szCs w:val="24"/>
          <w:lang w:val="en-US" w:eastAsia="zh-CN"/>
        </w:rPr>
        <w:t>23</w:t>
      </w:r>
    </w:p>
    <w:p w14:paraId="2C12A523">
      <w:pPr>
        <w:pStyle w:val="13"/>
        <w:adjustRightInd w:val="0"/>
        <w:snapToGrid w:val="0"/>
        <w:spacing w:before="0" w:line="440" w:lineRule="exact"/>
        <w:ind w:firstLine="640" w:firstLineChars="200"/>
        <w:jc w:val="left"/>
        <w:rPr>
          <w:rFonts w:hint="default" w:eastAsia="仿宋" w:cs="仿宋_GB2312"/>
          <w:sz w:val="32"/>
          <w:szCs w:val="32"/>
          <w:lang w:val="en-US" w:eastAsia="zh-CN"/>
        </w:rPr>
      </w:pPr>
      <w:r>
        <w:rPr>
          <w:rFonts w:hint="eastAsia" w:eastAsia="仿宋_GB2312" w:cs="仿宋_GB2312"/>
          <w:sz w:val="32"/>
          <w:szCs w:val="32"/>
        </w:rPr>
        <w:t>九、一般公共预算财政拨款项目支出决算表</w:t>
      </w:r>
      <w:r>
        <w:rPr>
          <w:rFonts w:cs="Times New Roman"/>
          <w:sz w:val="24"/>
          <w:szCs w:val="24"/>
        </w:rPr>
        <w:tab/>
      </w:r>
      <w:r>
        <w:rPr>
          <w:rFonts w:hint="eastAsia" w:cs="Times New Roman"/>
          <w:sz w:val="24"/>
          <w:szCs w:val="24"/>
          <w:lang w:val="en-US" w:eastAsia="zh-CN"/>
        </w:rPr>
        <w:t>23</w:t>
      </w:r>
    </w:p>
    <w:p w14:paraId="3CE726F5">
      <w:pPr>
        <w:pStyle w:val="13"/>
        <w:adjustRightInd w:val="0"/>
        <w:snapToGrid w:val="0"/>
        <w:spacing w:before="0" w:line="440" w:lineRule="exact"/>
        <w:ind w:firstLine="640" w:firstLineChars="200"/>
        <w:jc w:val="left"/>
        <w:rPr>
          <w:rFonts w:hint="default" w:eastAsia="仿宋" w:cs="仿宋_GB2312"/>
          <w:sz w:val="32"/>
          <w:szCs w:val="32"/>
          <w:lang w:val="en-US" w:eastAsia="zh-CN"/>
        </w:rPr>
      </w:pPr>
      <w:r>
        <w:rPr>
          <w:rFonts w:hint="eastAsia" w:eastAsia="仿宋_GB2312" w:cs="仿宋_GB2312"/>
          <w:sz w:val="32"/>
          <w:szCs w:val="32"/>
        </w:rPr>
        <w:t>十、政府性基金预算财政拨款收入支出决算表</w:t>
      </w:r>
      <w:r>
        <w:rPr>
          <w:rFonts w:cs="Times New Roman"/>
          <w:sz w:val="24"/>
          <w:szCs w:val="24"/>
        </w:rPr>
        <w:tab/>
      </w:r>
      <w:r>
        <w:rPr>
          <w:rFonts w:hint="eastAsia" w:cs="Times New Roman"/>
          <w:sz w:val="24"/>
          <w:szCs w:val="24"/>
          <w:lang w:val="en-US" w:eastAsia="zh-CN"/>
        </w:rPr>
        <w:t>23</w:t>
      </w:r>
    </w:p>
    <w:p w14:paraId="259ACE6D">
      <w:pPr>
        <w:pStyle w:val="13"/>
        <w:adjustRightInd w:val="0"/>
        <w:snapToGrid w:val="0"/>
        <w:spacing w:before="0" w:line="440" w:lineRule="exact"/>
        <w:ind w:firstLine="640" w:firstLineChars="200"/>
        <w:jc w:val="left"/>
        <w:rPr>
          <w:rFonts w:hint="default" w:eastAsia="仿宋" w:cs="仿宋_GB2312"/>
          <w:sz w:val="32"/>
          <w:szCs w:val="32"/>
          <w:lang w:val="en-US" w:eastAsia="zh-CN"/>
        </w:rPr>
      </w:pPr>
      <w:r>
        <w:rPr>
          <w:rFonts w:hint="eastAsia" w:eastAsia="仿宋_GB2312" w:cs="仿宋_GB2312"/>
          <w:sz w:val="32"/>
          <w:szCs w:val="32"/>
        </w:rPr>
        <w:t>十一、国有资本经营预算财政拨款收入支出决算表</w:t>
      </w:r>
      <w:r>
        <w:rPr>
          <w:rFonts w:cs="Times New Roman"/>
          <w:sz w:val="24"/>
          <w:szCs w:val="24"/>
        </w:rPr>
        <w:tab/>
      </w:r>
      <w:r>
        <w:rPr>
          <w:rFonts w:hint="eastAsia" w:cs="Times New Roman"/>
          <w:sz w:val="24"/>
          <w:szCs w:val="24"/>
          <w:lang w:val="en-US" w:eastAsia="zh-CN"/>
        </w:rPr>
        <w:t>23</w:t>
      </w:r>
    </w:p>
    <w:p w14:paraId="47FB8430">
      <w:pPr>
        <w:pStyle w:val="13"/>
        <w:adjustRightInd w:val="0"/>
        <w:snapToGrid w:val="0"/>
        <w:spacing w:before="0" w:line="440" w:lineRule="exact"/>
        <w:ind w:firstLine="640" w:firstLineChars="200"/>
        <w:jc w:val="left"/>
        <w:rPr>
          <w:rFonts w:hint="default" w:eastAsia="仿宋" w:cs="仿宋_GB2312"/>
          <w:sz w:val="32"/>
          <w:szCs w:val="32"/>
          <w:lang w:val="en-US" w:eastAsia="zh-CN"/>
        </w:rPr>
      </w:pPr>
      <w:r>
        <w:rPr>
          <w:rFonts w:hint="eastAsia" w:eastAsia="仿宋_GB2312" w:cs="仿宋_GB2312"/>
          <w:sz w:val="32"/>
          <w:szCs w:val="32"/>
        </w:rPr>
        <w:t>十二、国有资本经营预算财政拨款支出决算表</w:t>
      </w:r>
      <w:r>
        <w:rPr>
          <w:rFonts w:cs="Times New Roman"/>
          <w:sz w:val="24"/>
          <w:szCs w:val="24"/>
        </w:rPr>
        <w:tab/>
      </w:r>
      <w:r>
        <w:rPr>
          <w:rFonts w:hint="eastAsia" w:cs="Times New Roman"/>
          <w:sz w:val="24"/>
          <w:szCs w:val="24"/>
          <w:lang w:val="en-US" w:eastAsia="zh-CN"/>
        </w:rPr>
        <w:t>23</w:t>
      </w:r>
    </w:p>
    <w:p w14:paraId="33C95A86">
      <w:pPr>
        <w:pStyle w:val="13"/>
        <w:adjustRightInd w:val="0"/>
        <w:snapToGrid w:val="0"/>
        <w:spacing w:before="0" w:line="440" w:lineRule="exact"/>
        <w:ind w:firstLine="640" w:firstLineChars="200"/>
        <w:jc w:val="left"/>
        <w:rPr>
          <w:rFonts w:hint="default" w:ascii="Times New Roman" w:hAnsi="Times New Roman" w:eastAsia="仿宋" w:cs="黑体"/>
          <w:sz w:val="32"/>
          <w:szCs w:val="32"/>
          <w:lang w:val="en-US" w:eastAsia="zh-CN"/>
        </w:rPr>
      </w:pPr>
      <w:r>
        <w:rPr>
          <w:rFonts w:hint="eastAsia" w:eastAsia="仿宋_GB2312" w:cs="仿宋_GB2312"/>
          <w:sz w:val="32"/>
          <w:szCs w:val="32"/>
        </w:rPr>
        <w:t>十三、财政拨款“三公”经费支出决算表</w:t>
      </w:r>
      <w:r>
        <w:rPr>
          <w:rFonts w:cs="Times New Roman"/>
          <w:sz w:val="24"/>
          <w:szCs w:val="24"/>
        </w:rPr>
        <w:tab/>
      </w:r>
      <w:r>
        <w:rPr>
          <w:rFonts w:hint="eastAsia" w:cs="Times New Roman"/>
          <w:sz w:val="24"/>
          <w:szCs w:val="24"/>
          <w:lang w:val="en-US" w:eastAsia="zh-CN"/>
        </w:rPr>
        <w:t>23</w:t>
      </w:r>
    </w:p>
    <w:p w14:paraId="328070DE">
      <w:pPr>
        <w:widowControl/>
        <w:spacing w:line="560" w:lineRule="exact"/>
        <w:jc w:val="left"/>
        <w:rPr>
          <w:rFonts w:eastAsia="仿宋_GB2312" w:cs="仿宋_GB2312"/>
          <w:bCs/>
          <w:kern w:val="44"/>
          <w:sz w:val="32"/>
          <w:szCs w:val="32"/>
        </w:rPr>
      </w:pPr>
      <w:r>
        <w:rPr>
          <w:rFonts w:hint="eastAsia" w:eastAsia="仿宋_GB2312" w:cs="仿宋_GB2312"/>
          <w:b/>
          <w:sz w:val="32"/>
          <w:szCs w:val="32"/>
        </w:rPr>
        <w:br w:type="page"/>
      </w:r>
    </w:p>
    <w:p w14:paraId="57B337D8">
      <w:pPr>
        <w:pStyle w:val="2"/>
        <w:jc w:val="center"/>
        <w:rPr>
          <w:rStyle w:val="29"/>
          <w:rFonts w:eastAsia="方正小标宋简体" w:cs="方正小标宋简体"/>
          <w:b/>
          <w:bCs w:val="0"/>
        </w:rPr>
      </w:pPr>
      <w:r>
        <w:rPr>
          <w:rFonts w:hint="eastAsia" w:eastAsia="方正小标宋简体" w:cs="方正小标宋简体"/>
          <w:b w:val="0"/>
        </w:rPr>
        <w:t xml:space="preserve">第一部分  </w:t>
      </w:r>
      <w:r>
        <w:rPr>
          <w:rStyle w:val="29"/>
          <w:rFonts w:hint="eastAsia" w:eastAsia="方正小标宋简体" w:cs="方正小标宋简体"/>
          <w:b w:val="0"/>
          <w:bCs w:val="0"/>
        </w:rPr>
        <w:t>部门概况</w:t>
      </w:r>
      <w:bookmarkEnd w:id="12"/>
      <w:bookmarkEnd w:id="13"/>
    </w:p>
    <w:p w14:paraId="1285380E">
      <w:pPr>
        <w:pStyle w:val="3"/>
        <w:numPr>
          <w:ilvl w:val="0"/>
          <w:numId w:val="1"/>
        </w:numPr>
      </w:pPr>
      <w:r>
        <w:rPr>
          <w:rFonts w:hint="eastAsia" w:ascii="Times New Roman" w:hAnsi="Times New Roman" w:eastAsia="黑体"/>
          <w:b w:val="0"/>
        </w:rPr>
        <w:t>部门职责</w:t>
      </w:r>
    </w:p>
    <w:p w14:paraId="013B654C">
      <w:pPr>
        <w:pStyle w:val="3"/>
        <w:numPr>
          <w:ilvl w:val="0"/>
          <w:numId w:val="0"/>
        </w:numPr>
        <w:ind w:firstLine="640" w:firstLineChars="200"/>
      </w:pPr>
      <w:r>
        <w:rPr>
          <w:rFonts w:hint="eastAsia" w:ascii="Times New Roman" w:hAnsi="Times New Roman" w:eastAsia="仿宋_GB2312" w:cs="Times New Roman"/>
          <w:b w:val="0"/>
          <w:bCs w:val="0"/>
          <w:kern w:val="2"/>
          <w:sz w:val="32"/>
          <w:szCs w:val="32"/>
          <w:lang w:val="en-US" w:eastAsia="zh-CN" w:bidi="ar-SA"/>
        </w:rPr>
        <w:t>攀枝花市少年宫是全额拨款事业单位，秉承“公益办宫，服务青少年”的宗旨，牢牢把握青少年社会教育这一工作主线，推动校外教育阵地建设大发展，夯实培训和活动两个根本，突出公益性、服务性和体验性三大特点，立足本宫，通过丰富多彩的主题教育兴趣培养等途径，常年开展各类艺术培训活动。</w:t>
      </w:r>
    </w:p>
    <w:p w14:paraId="6FE2737B">
      <w:pPr>
        <w:pStyle w:val="3"/>
        <w:rPr>
          <w:rStyle w:val="30"/>
          <w:rFonts w:ascii="Times New Roman" w:hAnsi="Times New Roman"/>
          <w:b w:val="0"/>
          <w:bCs w:val="0"/>
        </w:rPr>
      </w:pPr>
      <w:bookmarkStart w:id="14" w:name="_Toc15377200"/>
      <w:bookmarkStart w:id="15" w:name="_Toc15396601"/>
      <w:r>
        <w:rPr>
          <w:rFonts w:hint="eastAsia" w:ascii="Times New Roman" w:hAnsi="Times New Roman" w:eastAsia="黑体"/>
          <w:b w:val="0"/>
        </w:rPr>
        <w:t>二、机</w:t>
      </w:r>
      <w:r>
        <w:rPr>
          <w:rStyle w:val="30"/>
          <w:rFonts w:hint="eastAsia" w:ascii="Times New Roman" w:hAnsi="Times New Roman" w:eastAsia="黑体"/>
          <w:b w:val="0"/>
          <w:bCs w:val="0"/>
        </w:rPr>
        <w:t>构设置</w:t>
      </w:r>
      <w:bookmarkEnd w:id="14"/>
      <w:bookmarkEnd w:id="15"/>
    </w:p>
    <w:p w14:paraId="4347D7C2">
      <w:pPr>
        <w:ind w:firstLine="640" w:firstLineChars="200"/>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攀枝花市少年宫是一级预算单位，无下属二级预算单位。</w:t>
      </w:r>
    </w:p>
    <w:p w14:paraId="1EB50ECA">
      <w:pPr>
        <w:ind w:firstLine="800" w:firstLineChars="250"/>
        <w:rPr>
          <w:rFonts w:eastAsia="仿宋_GB2312" w:cs="仿宋_GB2312"/>
          <w:sz w:val="32"/>
          <w:szCs w:val="32"/>
        </w:rPr>
      </w:pPr>
    </w:p>
    <w:p w14:paraId="401E290D">
      <w:pPr>
        <w:widowControl/>
        <w:jc w:val="left"/>
        <w:rPr>
          <w:rFonts w:eastAsia="仿宋"/>
          <w:kern w:val="0"/>
          <w:sz w:val="32"/>
          <w:szCs w:val="32"/>
        </w:rPr>
      </w:pPr>
      <w:r>
        <w:rPr>
          <w:rFonts w:eastAsia="仿宋"/>
          <w:sz w:val="32"/>
          <w:szCs w:val="32"/>
        </w:rPr>
        <w:br w:type="page"/>
      </w:r>
    </w:p>
    <w:p w14:paraId="40417690">
      <w:pPr>
        <w:pStyle w:val="2"/>
        <w:jc w:val="center"/>
        <w:rPr>
          <w:rFonts w:eastAsia="方正小标宋简体" w:cs="方正小标宋简体"/>
          <w:b w:val="0"/>
        </w:rPr>
      </w:pPr>
      <w:bookmarkStart w:id="16" w:name="_Toc15377204"/>
      <w:bookmarkStart w:id="17" w:name="_Toc15396602"/>
      <w:r>
        <w:rPr>
          <w:rFonts w:hint="eastAsia" w:eastAsia="方正小标宋简体" w:cs="方正小标宋简体"/>
          <w:b w:val="0"/>
        </w:rPr>
        <w:t>第二部分  2025年度部门决算情况说明</w:t>
      </w:r>
      <w:bookmarkEnd w:id="16"/>
      <w:bookmarkEnd w:id="17"/>
    </w:p>
    <w:p w14:paraId="3393461C"/>
    <w:p w14:paraId="56884F86">
      <w:pPr>
        <w:pStyle w:val="28"/>
        <w:spacing w:line="600" w:lineRule="exact"/>
        <w:ind w:firstLine="640"/>
        <w:outlineLvl w:val="1"/>
        <w:rPr>
          <w:rStyle w:val="30"/>
          <w:rFonts w:ascii="Times New Roman" w:hAnsi="Times New Roman" w:eastAsia="黑体"/>
          <w:b w:val="0"/>
        </w:rPr>
      </w:pPr>
      <w:bookmarkStart w:id="18" w:name="_Toc15377205"/>
      <w:bookmarkStart w:id="19" w:name="_Toc15396603"/>
      <w:r>
        <w:rPr>
          <w:rFonts w:hint="eastAsia" w:eastAsia="黑体"/>
          <w:sz w:val="32"/>
          <w:szCs w:val="32"/>
        </w:rPr>
        <w:t>一、收</w:t>
      </w:r>
      <w:r>
        <w:rPr>
          <w:rStyle w:val="30"/>
          <w:rFonts w:hint="eastAsia" w:ascii="Times New Roman" w:hAnsi="Times New Roman" w:eastAsia="黑体"/>
          <w:b w:val="0"/>
        </w:rPr>
        <w:t>入支出决算总体情况说明</w:t>
      </w:r>
      <w:bookmarkEnd w:id="18"/>
      <w:bookmarkEnd w:id="19"/>
    </w:p>
    <w:p w14:paraId="0DEBCE5E">
      <w:pPr>
        <w:pStyle w:val="28"/>
        <w:spacing w:line="600" w:lineRule="exact"/>
        <w:ind w:firstLine="640"/>
        <w:outlineLvl w:val="1"/>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2025年度收入、支出总计均为647.86万元。与上年度相比，收入、支出总计各减少61.07万元，下降8.6%。主要变动原因是按照全市预算安排，202</w:t>
      </w:r>
      <w:r>
        <w:rPr>
          <w:rFonts w:hint="eastAsia" w:eastAsia="仿宋_GB2312" w:cs="Times New Roman"/>
          <w:b w:val="0"/>
          <w:bCs w:val="0"/>
          <w:kern w:val="2"/>
          <w:sz w:val="32"/>
          <w:szCs w:val="32"/>
          <w:lang w:val="en-US" w:eastAsia="zh-CN" w:bidi="ar-SA"/>
        </w:rPr>
        <w:t>5</w:t>
      </w:r>
      <w:r>
        <w:rPr>
          <w:rFonts w:hint="eastAsia" w:ascii="Times New Roman" w:hAnsi="Times New Roman" w:eastAsia="仿宋_GB2312" w:cs="Times New Roman"/>
          <w:b w:val="0"/>
          <w:bCs w:val="0"/>
          <w:kern w:val="2"/>
          <w:sz w:val="32"/>
          <w:szCs w:val="32"/>
          <w:lang w:val="en-US" w:eastAsia="zh-CN" w:bidi="ar-SA"/>
        </w:rPr>
        <w:t>年缩减了用于保障日常培训活动开展的项目经费。</w:t>
      </w:r>
    </w:p>
    <w:p w14:paraId="265AB1AA">
      <w:pPr>
        <w:ind w:firstLine="420" w:firstLineChars="200"/>
        <w:rPr>
          <w:rFonts w:eastAsia="仿宋_GB2312" w:cs="仿宋_GB2312"/>
          <w:sz w:val="32"/>
          <w:szCs w:val="32"/>
        </w:rPr>
      </w:pPr>
      <w:r>
        <w:rPr>
          <w:rFonts w:hint="eastAsia" w:eastAsia="宋体"/>
          <w:lang w:eastAsia="zh-CN"/>
        </w:rPr>
        <w:object>
          <v:shape id="_x0000_i1025" o:spt="75" type="#_x0000_t75" style="height:174pt;width:375.5pt;" o:ole="t" filled="f" o:preferrelative="t" stroked="f" coordsize="21600,21600">
            <v:path/>
            <v:fill on="f" focussize="0,0"/>
            <v:stroke on="f"/>
            <v:imagedata r:id="rId11" o:title=""/>
            <o:lock v:ext="edit" aspectratio="t"/>
            <w10:wrap type="none"/>
            <w10:anchorlock/>
          </v:shape>
          <o:OLEObject Type="Embed" ProgID="Excel.Chart.8" ShapeID="_x0000_i1025" DrawAspect="Content" ObjectID="_1468075725" r:id="rId10">
            <o:LockedField>false</o:LockedField>
          </o:OLEObject>
        </w:object>
      </w:r>
    </w:p>
    <w:p w14:paraId="2AEC1EA3">
      <w:pPr>
        <w:pStyle w:val="28"/>
        <w:spacing w:line="600" w:lineRule="exact"/>
        <w:ind w:firstLine="640"/>
        <w:outlineLvl w:val="1"/>
        <w:rPr>
          <w:rFonts w:eastAsia="黑体"/>
          <w:sz w:val="32"/>
          <w:szCs w:val="32"/>
        </w:rPr>
      </w:pPr>
      <w:bookmarkStart w:id="20" w:name="_Toc15396604"/>
      <w:bookmarkStart w:id="21" w:name="_Toc15377206"/>
      <w:r>
        <w:rPr>
          <w:rFonts w:hint="eastAsia" w:eastAsia="黑体"/>
          <w:sz w:val="32"/>
          <w:szCs w:val="32"/>
        </w:rPr>
        <w:t>二、收入决算情况说明</w:t>
      </w:r>
      <w:bookmarkEnd w:id="20"/>
      <w:bookmarkEnd w:id="21"/>
    </w:p>
    <w:p w14:paraId="75116237">
      <w:pPr>
        <w:pStyle w:val="28"/>
        <w:spacing w:line="600" w:lineRule="exact"/>
        <w:ind w:firstLine="640"/>
        <w:outlineLvl w:val="1"/>
        <w:rPr>
          <w:rFonts w:hint="eastAsia" w:eastAsia="仿宋_GB2312" w:cs="仿宋_GB2312"/>
          <w:sz w:val="32"/>
          <w:szCs w:val="32"/>
        </w:rPr>
      </w:pPr>
      <w:r>
        <w:rPr>
          <w:rFonts w:hint="eastAsia" w:eastAsia="仿宋_GB2312" w:cs="仿宋_GB2312"/>
          <w:sz w:val="32"/>
          <w:szCs w:val="32"/>
        </w:rPr>
        <w:t>2025年度本年收入合计</w:t>
      </w:r>
      <w:r>
        <w:rPr>
          <w:rFonts w:hint="eastAsia" w:eastAsia="仿宋_GB2312" w:cs="仿宋_GB2312"/>
          <w:sz w:val="32"/>
          <w:szCs w:val="32"/>
          <w:lang w:val="en-US" w:eastAsia="zh-CN"/>
        </w:rPr>
        <w:t>647.86</w:t>
      </w:r>
      <w:r>
        <w:rPr>
          <w:rFonts w:hint="eastAsia" w:eastAsia="仿宋_GB2312" w:cs="仿宋_GB2312"/>
          <w:sz w:val="32"/>
          <w:szCs w:val="32"/>
        </w:rPr>
        <w:t>万元，其中：一般公共预算财政拨款收入</w:t>
      </w:r>
      <w:r>
        <w:rPr>
          <w:rFonts w:hint="eastAsia" w:eastAsia="仿宋_GB2312" w:cs="仿宋_GB2312"/>
          <w:sz w:val="32"/>
          <w:szCs w:val="32"/>
          <w:lang w:val="en-US" w:eastAsia="zh-CN"/>
        </w:rPr>
        <w:t>647.86</w:t>
      </w:r>
      <w:r>
        <w:rPr>
          <w:rFonts w:hint="eastAsia" w:eastAsia="仿宋_GB2312" w:cs="仿宋_GB2312"/>
          <w:sz w:val="32"/>
          <w:szCs w:val="32"/>
        </w:rPr>
        <w:t>万元，占</w:t>
      </w:r>
      <w:r>
        <w:rPr>
          <w:rFonts w:hint="eastAsia" w:eastAsia="仿宋_GB2312" w:cs="仿宋_GB2312"/>
          <w:sz w:val="32"/>
          <w:szCs w:val="32"/>
          <w:lang w:val="en-US" w:eastAsia="zh-CN"/>
        </w:rPr>
        <w:t>100</w:t>
      </w:r>
      <w:r>
        <w:rPr>
          <w:rFonts w:hint="eastAsia" w:eastAsia="仿宋_GB2312" w:cs="仿宋_GB2312"/>
          <w:sz w:val="32"/>
          <w:szCs w:val="32"/>
        </w:rPr>
        <w:t>%；政府性基金预算财政拨款收入</w:t>
      </w:r>
      <w:r>
        <w:rPr>
          <w:rFonts w:hint="eastAsia" w:eastAsia="仿宋_GB2312" w:cs="仿宋_GB2312"/>
          <w:sz w:val="32"/>
          <w:szCs w:val="32"/>
          <w:lang w:val="en-US" w:eastAsia="zh-CN"/>
        </w:rPr>
        <w:t>0</w:t>
      </w:r>
      <w:r>
        <w:rPr>
          <w:rFonts w:hint="eastAsia" w:eastAsia="仿宋_GB2312" w:cs="仿宋_GB2312"/>
          <w:sz w:val="32"/>
          <w:szCs w:val="32"/>
        </w:rPr>
        <w:t>万元；国有资本经营预算财政拨款收入</w:t>
      </w:r>
      <w:r>
        <w:rPr>
          <w:rFonts w:hint="eastAsia" w:eastAsia="仿宋_GB2312" w:cs="仿宋_GB2312"/>
          <w:sz w:val="32"/>
          <w:szCs w:val="32"/>
          <w:lang w:val="en-US" w:eastAsia="zh-CN"/>
        </w:rPr>
        <w:t>0</w:t>
      </w:r>
      <w:r>
        <w:rPr>
          <w:rFonts w:hint="eastAsia" w:eastAsia="仿宋_GB2312" w:cs="仿宋_GB2312"/>
          <w:sz w:val="32"/>
          <w:szCs w:val="32"/>
        </w:rPr>
        <w:t>万元；上级补助收入</w:t>
      </w:r>
      <w:r>
        <w:rPr>
          <w:rFonts w:hint="eastAsia" w:eastAsia="仿宋_GB2312" w:cs="仿宋_GB2312"/>
          <w:sz w:val="32"/>
          <w:szCs w:val="32"/>
          <w:lang w:val="en-US" w:eastAsia="zh-CN"/>
        </w:rPr>
        <w:t>0</w:t>
      </w:r>
      <w:r>
        <w:rPr>
          <w:rFonts w:hint="eastAsia" w:eastAsia="仿宋_GB2312" w:cs="仿宋_GB2312"/>
          <w:sz w:val="32"/>
          <w:szCs w:val="32"/>
        </w:rPr>
        <w:t>万元；事业收入</w:t>
      </w:r>
      <w:r>
        <w:rPr>
          <w:rFonts w:hint="eastAsia" w:eastAsia="仿宋_GB2312" w:cs="仿宋_GB2312"/>
          <w:sz w:val="32"/>
          <w:szCs w:val="32"/>
          <w:lang w:val="en-US" w:eastAsia="zh-CN"/>
        </w:rPr>
        <w:t>0</w:t>
      </w:r>
      <w:r>
        <w:rPr>
          <w:rFonts w:hint="eastAsia" w:eastAsia="仿宋_GB2312" w:cs="仿宋_GB2312"/>
          <w:sz w:val="32"/>
          <w:szCs w:val="32"/>
        </w:rPr>
        <w:t>万元；经营收入</w:t>
      </w:r>
      <w:r>
        <w:rPr>
          <w:rFonts w:hint="eastAsia" w:eastAsia="仿宋_GB2312" w:cs="仿宋_GB2312"/>
          <w:sz w:val="32"/>
          <w:szCs w:val="32"/>
          <w:lang w:val="en-US" w:eastAsia="zh-CN"/>
        </w:rPr>
        <w:t>0</w:t>
      </w:r>
      <w:r>
        <w:rPr>
          <w:rFonts w:hint="eastAsia" w:eastAsia="仿宋_GB2312" w:cs="仿宋_GB2312"/>
          <w:sz w:val="32"/>
          <w:szCs w:val="32"/>
        </w:rPr>
        <w:t>万元；附属单位上缴收入</w:t>
      </w:r>
      <w:r>
        <w:rPr>
          <w:rFonts w:hint="eastAsia" w:eastAsia="仿宋_GB2312" w:cs="仿宋_GB2312"/>
          <w:sz w:val="32"/>
          <w:szCs w:val="32"/>
          <w:lang w:val="en-US" w:eastAsia="zh-CN"/>
        </w:rPr>
        <w:t>0</w:t>
      </w:r>
      <w:r>
        <w:rPr>
          <w:rFonts w:hint="eastAsia" w:eastAsia="仿宋_GB2312" w:cs="仿宋_GB2312"/>
          <w:sz w:val="32"/>
          <w:szCs w:val="32"/>
        </w:rPr>
        <w:t>万元；其他收入</w:t>
      </w:r>
      <w:r>
        <w:rPr>
          <w:rFonts w:hint="eastAsia" w:eastAsia="仿宋_GB2312" w:cs="仿宋_GB2312"/>
          <w:sz w:val="32"/>
          <w:szCs w:val="32"/>
          <w:lang w:val="en-US" w:eastAsia="zh-CN"/>
        </w:rPr>
        <w:t>0</w:t>
      </w:r>
      <w:r>
        <w:rPr>
          <w:rFonts w:hint="eastAsia" w:eastAsia="仿宋_GB2312" w:cs="仿宋_GB2312"/>
          <w:sz w:val="32"/>
          <w:szCs w:val="32"/>
        </w:rPr>
        <w:t>万元。</w:t>
      </w:r>
    </w:p>
    <w:p w14:paraId="2E29A182">
      <w:pPr>
        <w:pStyle w:val="28"/>
        <w:spacing w:line="600" w:lineRule="exact"/>
        <w:ind w:firstLine="640"/>
        <w:jc w:val="distribute"/>
        <w:outlineLvl w:val="1"/>
        <w:rPr>
          <w:rFonts w:eastAsia="仿宋_GB2312" w:cs="仿宋_GB2312"/>
          <w:sz w:val="32"/>
          <w:szCs w:val="32"/>
        </w:rPr>
      </w:pPr>
      <w:r>
        <w:rPr>
          <w:rFonts w:hint="eastAsia" w:eastAsia="仿宋_GB2312" w:cs="仿宋_GB2312"/>
          <w:sz w:val="32"/>
          <w:szCs w:val="32"/>
          <w:lang w:eastAsia="zh-CN"/>
        </w:rPr>
        <w:drawing>
          <wp:anchor distT="0" distB="0" distL="114300" distR="114300" simplePos="0" relativeHeight="251659264" behindDoc="0" locked="0" layoutInCell="1" allowOverlap="1">
            <wp:simplePos x="0" y="0"/>
            <wp:positionH relativeFrom="column">
              <wp:posOffset>410845</wp:posOffset>
            </wp:positionH>
            <wp:positionV relativeFrom="paragraph">
              <wp:posOffset>207645</wp:posOffset>
            </wp:positionV>
            <wp:extent cx="4564380" cy="2048510"/>
            <wp:effectExtent l="4445" t="4445" r="22225" b="23495"/>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15A48A5A">
      <w:pPr>
        <w:pStyle w:val="28"/>
        <w:spacing w:line="600" w:lineRule="exact"/>
        <w:ind w:firstLine="640"/>
        <w:outlineLvl w:val="1"/>
        <w:rPr>
          <w:rStyle w:val="30"/>
          <w:rFonts w:ascii="Times New Roman" w:hAnsi="Times New Roman" w:eastAsia="黑体"/>
          <w:b w:val="0"/>
        </w:rPr>
      </w:pPr>
      <w:bookmarkStart w:id="22" w:name="_Toc15396605"/>
      <w:bookmarkStart w:id="23" w:name="_Toc15377207"/>
      <w:r>
        <w:rPr>
          <w:rFonts w:hint="eastAsia" w:eastAsia="黑体"/>
          <w:sz w:val="32"/>
          <w:szCs w:val="32"/>
        </w:rPr>
        <w:t>三、支</w:t>
      </w:r>
      <w:r>
        <w:rPr>
          <w:rStyle w:val="30"/>
          <w:rFonts w:hint="eastAsia" w:ascii="Times New Roman" w:hAnsi="Times New Roman" w:eastAsia="黑体"/>
          <w:b w:val="0"/>
        </w:rPr>
        <w:t>出决算情况说明</w:t>
      </w:r>
      <w:bookmarkEnd w:id="22"/>
      <w:bookmarkEnd w:id="23"/>
    </w:p>
    <w:p w14:paraId="65BF7B9F">
      <w:pPr>
        <w:pStyle w:val="28"/>
        <w:spacing w:line="600" w:lineRule="exact"/>
        <w:ind w:firstLine="640"/>
        <w:outlineLvl w:val="1"/>
        <w:rPr>
          <w:rFonts w:hint="eastAsia" w:eastAsia="仿宋_GB2312" w:cs="仿宋_GB2312"/>
          <w:sz w:val="32"/>
          <w:szCs w:val="32"/>
        </w:rPr>
      </w:pPr>
      <w:r>
        <w:rPr>
          <w:rFonts w:hint="eastAsia" w:eastAsia="仿宋_GB2312" w:cs="仿宋_GB2312"/>
          <w:sz w:val="32"/>
          <w:szCs w:val="32"/>
        </w:rPr>
        <w:t>2025年度本年支出合计</w:t>
      </w:r>
      <w:r>
        <w:rPr>
          <w:rFonts w:hint="eastAsia" w:eastAsia="仿宋_GB2312" w:cs="仿宋_GB2312"/>
          <w:sz w:val="32"/>
          <w:szCs w:val="32"/>
          <w:lang w:val="en-US" w:eastAsia="zh-CN"/>
        </w:rPr>
        <w:t>647.86</w:t>
      </w:r>
      <w:r>
        <w:rPr>
          <w:rFonts w:hint="eastAsia" w:eastAsia="仿宋_GB2312" w:cs="仿宋_GB2312"/>
          <w:sz w:val="32"/>
          <w:szCs w:val="32"/>
        </w:rPr>
        <w:t>万元，其中：基本支出</w:t>
      </w:r>
      <w:r>
        <w:rPr>
          <w:rFonts w:hint="eastAsia" w:eastAsia="仿宋_GB2312" w:cs="仿宋_GB2312"/>
          <w:sz w:val="32"/>
          <w:szCs w:val="32"/>
          <w:lang w:val="en-US" w:eastAsia="zh-CN"/>
        </w:rPr>
        <w:t>486.53</w:t>
      </w:r>
      <w:r>
        <w:rPr>
          <w:rFonts w:hint="eastAsia" w:eastAsia="仿宋_GB2312" w:cs="仿宋_GB2312"/>
          <w:sz w:val="32"/>
          <w:szCs w:val="32"/>
        </w:rPr>
        <w:t>万元，占</w:t>
      </w:r>
      <w:r>
        <w:rPr>
          <w:rFonts w:hint="eastAsia" w:eastAsia="仿宋_GB2312" w:cs="仿宋_GB2312"/>
          <w:sz w:val="32"/>
          <w:szCs w:val="32"/>
          <w:lang w:val="en-US" w:eastAsia="zh-CN"/>
        </w:rPr>
        <w:t>75.1</w:t>
      </w:r>
      <w:r>
        <w:rPr>
          <w:rFonts w:hint="eastAsia" w:eastAsia="仿宋_GB2312" w:cs="仿宋_GB2312"/>
          <w:sz w:val="32"/>
          <w:szCs w:val="32"/>
        </w:rPr>
        <w:t>%；项目支出</w:t>
      </w:r>
      <w:r>
        <w:rPr>
          <w:rFonts w:hint="eastAsia" w:eastAsia="仿宋_GB2312" w:cs="仿宋_GB2312"/>
          <w:sz w:val="32"/>
          <w:szCs w:val="32"/>
          <w:lang w:val="en-US" w:eastAsia="zh-CN"/>
        </w:rPr>
        <w:t>161.33</w:t>
      </w:r>
      <w:r>
        <w:rPr>
          <w:rFonts w:hint="eastAsia" w:eastAsia="仿宋_GB2312" w:cs="仿宋_GB2312"/>
          <w:sz w:val="32"/>
          <w:szCs w:val="32"/>
        </w:rPr>
        <w:t>万元，占</w:t>
      </w:r>
      <w:r>
        <w:rPr>
          <w:rFonts w:hint="eastAsia" w:eastAsia="仿宋_GB2312" w:cs="仿宋_GB2312"/>
          <w:sz w:val="32"/>
          <w:szCs w:val="32"/>
          <w:lang w:val="en-US" w:eastAsia="zh-CN"/>
        </w:rPr>
        <w:t>24.9</w:t>
      </w:r>
      <w:r>
        <w:rPr>
          <w:rFonts w:hint="eastAsia" w:eastAsia="仿宋_GB2312" w:cs="仿宋_GB2312"/>
          <w:sz w:val="32"/>
          <w:szCs w:val="32"/>
        </w:rPr>
        <w:t>%；上缴上级支出</w:t>
      </w:r>
      <w:r>
        <w:rPr>
          <w:rFonts w:hint="eastAsia" w:eastAsia="仿宋_GB2312" w:cs="仿宋_GB2312"/>
          <w:sz w:val="32"/>
          <w:szCs w:val="32"/>
          <w:lang w:val="en-US" w:eastAsia="zh-CN"/>
        </w:rPr>
        <w:t>0</w:t>
      </w:r>
      <w:r>
        <w:rPr>
          <w:rFonts w:hint="eastAsia" w:eastAsia="仿宋_GB2312" w:cs="仿宋_GB2312"/>
          <w:sz w:val="32"/>
          <w:szCs w:val="32"/>
        </w:rPr>
        <w:t>万元；经营支出</w:t>
      </w:r>
      <w:r>
        <w:rPr>
          <w:rFonts w:hint="eastAsia" w:eastAsia="仿宋_GB2312" w:cs="仿宋_GB2312"/>
          <w:sz w:val="32"/>
          <w:szCs w:val="32"/>
          <w:lang w:val="en-US" w:eastAsia="zh-CN"/>
        </w:rPr>
        <w:t>0</w:t>
      </w:r>
      <w:r>
        <w:rPr>
          <w:rFonts w:hint="eastAsia" w:eastAsia="仿宋_GB2312" w:cs="仿宋_GB2312"/>
          <w:sz w:val="32"/>
          <w:szCs w:val="32"/>
        </w:rPr>
        <w:t>万元；对附属单位补助支出</w:t>
      </w:r>
      <w:r>
        <w:rPr>
          <w:rFonts w:hint="eastAsia" w:eastAsia="仿宋_GB2312" w:cs="仿宋_GB2312"/>
          <w:sz w:val="32"/>
          <w:szCs w:val="32"/>
          <w:lang w:val="en-US" w:eastAsia="zh-CN"/>
        </w:rPr>
        <w:t>0</w:t>
      </w:r>
      <w:r>
        <w:rPr>
          <w:rFonts w:hint="eastAsia" w:eastAsia="仿宋_GB2312" w:cs="仿宋_GB2312"/>
          <w:sz w:val="32"/>
          <w:szCs w:val="32"/>
        </w:rPr>
        <w:t>万元。</w:t>
      </w:r>
    </w:p>
    <w:p w14:paraId="04311528">
      <w:pPr>
        <w:ind w:firstLine="800" w:firstLineChars="250"/>
        <w:rPr>
          <w:rFonts w:eastAsia="仿宋_GB2312" w:cs="仿宋_GB2312"/>
          <w:sz w:val="32"/>
          <w:szCs w:val="32"/>
        </w:rPr>
      </w:pPr>
      <w:r>
        <w:rPr>
          <w:rFonts w:hint="eastAsia" w:eastAsia="仿宋_GB2312" w:cs="仿宋_GB2312"/>
          <w:sz w:val="32"/>
          <w:szCs w:val="32"/>
          <w:lang w:eastAsia="zh-CN"/>
        </w:rPr>
        <w:drawing>
          <wp:anchor distT="0" distB="0" distL="114300" distR="114300" simplePos="0" relativeHeight="251660288" behindDoc="0" locked="0" layoutInCell="1" allowOverlap="1">
            <wp:simplePos x="0" y="0"/>
            <wp:positionH relativeFrom="column">
              <wp:posOffset>420370</wp:posOffset>
            </wp:positionH>
            <wp:positionV relativeFrom="paragraph">
              <wp:posOffset>280035</wp:posOffset>
            </wp:positionV>
            <wp:extent cx="4631690" cy="2039620"/>
            <wp:effectExtent l="4445" t="4445" r="12065" b="13335"/>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1AB6DFE2">
      <w:pPr>
        <w:spacing w:line="600" w:lineRule="exact"/>
        <w:ind w:firstLine="640" w:firstLineChars="200"/>
        <w:outlineLvl w:val="1"/>
        <w:rPr>
          <w:rStyle w:val="30"/>
          <w:rFonts w:ascii="Times New Roman" w:hAnsi="Times New Roman" w:eastAsia="黑体"/>
          <w:b w:val="0"/>
        </w:rPr>
      </w:pPr>
      <w:bookmarkStart w:id="24" w:name="_Toc15377208"/>
      <w:bookmarkStart w:id="25" w:name="_Toc15396606"/>
      <w:r>
        <w:rPr>
          <w:rFonts w:hint="eastAsia" w:eastAsia="黑体"/>
          <w:sz w:val="32"/>
          <w:szCs w:val="32"/>
        </w:rPr>
        <w:t>四、财</w:t>
      </w:r>
      <w:r>
        <w:rPr>
          <w:rStyle w:val="30"/>
          <w:rFonts w:hint="eastAsia" w:ascii="Times New Roman" w:hAnsi="Times New Roman" w:eastAsia="黑体"/>
          <w:b w:val="0"/>
        </w:rPr>
        <w:t>政拨款收入支出决算总体情况说明</w:t>
      </w:r>
      <w:bookmarkEnd w:id="24"/>
      <w:bookmarkEnd w:id="25"/>
    </w:p>
    <w:p w14:paraId="2DDBA381">
      <w:pPr>
        <w:spacing w:line="600" w:lineRule="exact"/>
        <w:ind w:firstLine="640"/>
        <w:rPr>
          <w:rFonts w:hint="eastAsia" w:eastAsia="仿宋_GB2312" w:cs="仿宋_GB2312"/>
          <w:sz w:val="32"/>
          <w:szCs w:val="32"/>
        </w:rPr>
      </w:pPr>
      <w:r>
        <w:rPr>
          <w:rFonts w:hint="eastAsia" w:eastAsia="仿宋_GB2312" w:cs="仿宋_GB2312"/>
          <w:sz w:val="32"/>
          <w:szCs w:val="32"/>
        </w:rPr>
        <w:t>2025年度财政拨款收入、支出总计均为</w:t>
      </w:r>
      <w:r>
        <w:rPr>
          <w:rFonts w:hint="eastAsia" w:eastAsia="仿宋_GB2312" w:cs="仿宋_GB2312"/>
          <w:sz w:val="32"/>
          <w:szCs w:val="32"/>
          <w:lang w:val="en-US" w:eastAsia="zh-CN"/>
        </w:rPr>
        <w:t>647.86</w:t>
      </w:r>
      <w:r>
        <w:rPr>
          <w:rFonts w:hint="eastAsia" w:eastAsia="仿宋_GB2312" w:cs="仿宋_GB2312"/>
          <w:sz w:val="32"/>
          <w:szCs w:val="32"/>
        </w:rPr>
        <w:t>万元。与上年度相比，财政拨款收入、支出总计各减少</w:t>
      </w:r>
      <w:r>
        <w:rPr>
          <w:rFonts w:hint="eastAsia" w:eastAsia="仿宋_GB2312" w:cs="仿宋_GB2312"/>
          <w:sz w:val="32"/>
          <w:szCs w:val="32"/>
          <w:lang w:val="en-US" w:eastAsia="zh-CN"/>
        </w:rPr>
        <w:t>61.07</w:t>
      </w:r>
      <w:r>
        <w:rPr>
          <w:rFonts w:hint="eastAsia" w:eastAsia="仿宋_GB2312" w:cs="仿宋_GB2312"/>
          <w:sz w:val="32"/>
          <w:szCs w:val="32"/>
        </w:rPr>
        <w:t>万元，下降</w:t>
      </w:r>
      <w:r>
        <w:rPr>
          <w:rFonts w:hint="eastAsia" w:eastAsia="仿宋_GB2312" w:cs="仿宋_GB2312"/>
          <w:sz w:val="32"/>
          <w:szCs w:val="32"/>
          <w:lang w:val="en-US" w:eastAsia="zh-CN"/>
        </w:rPr>
        <w:t>8.6</w:t>
      </w:r>
      <w:r>
        <w:rPr>
          <w:rFonts w:hint="eastAsia" w:eastAsia="仿宋_GB2312" w:cs="仿宋_GB2312"/>
          <w:sz w:val="32"/>
          <w:szCs w:val="32"/>
        </w:rPr>
        <w:t>%。主要变动原因是</w:t>
      </w:r>
      <w:r>
        <w:rPr>
          <w:rFonts w:hint="eastAsia" w:eastAsia="仿宋_GB2312" w:cs="仿宋_GB2312"/>
          <w:sz w:val="32"/>
          <w:szCs w:val="32"/>
          <w:lang w:eastAsia="zh-CN"/>
        </w:rPr>
        <w:t>按照全市预算安排，</w:t>
      </w:r>
      <w:r>
        <w:rPr>
          <w:rFonts w:hint="eastAsia" w:eastAsia="仿宋_GB2312" w:cs="仿宋_GB2312"/>
          <w:sz w:val="32"/>
          <w:szCs w:val="32"/>
          <w:lang w:val="en-US" w:eastAsia="zh-CN"/>
        </w:rPr>
        <w:t>2025年</w:t>
      </w:r>
      <w:r>
        <w:rPr>
          <w:rFonts w:hint="eastAsia" w:eastAsia="仿宋_GB2312" w:cs="仿宋_GB2312"/>
          <w:sz w:val="32"/>
          <w:szCs w:val="32"/>
          <w:lang w:eastAsia="zh-CN"/>
        </w:rPr>
        <w:t>缩减了用于保障日常培训活动开展的项目经费。</w:t>
      </w:r>
    </w:p>
    <w:p w14:paraId="1BA223E8">
      <w:pPr>
        <w:spacing w:line="600" w:lineRule="exact"/>
        <w:ind w:firstLine="640"/>
        <w:rPr>
          <w:rFonts w:hint="eastAsia" w:eastAsia="仿宋_GB2312" w:cs="仿宋_GB2312"/>
          <w:sz w:val="32"/>
          <w:szCs w:val="32"/>
          <w:lang w:eastAsia="zh-CN"/>
        </w:rPr>
      </w:pPr>
      <w:r>
        <w:rPr>
          <w:rFonts w:hint="eastAsia" w:eastAsia="仿宋_GB2312" w:cs="仿宋_GB2312"/>
          <w:sz w:val="32"/>
          <w:szCs w:val="32"/>
          <w:lang w:eastAsia="zh-CN"/>
        </w:rPr>
        <w:drawing>
          <wp:anchor distT="0" distB="0" distL="114300" distR="114300" simplePos="0" relativeHeight="251661312" behindDoc="0" locked="0" layoutInCell="1" allowOverlap="1">
            <wp:simplePos x="0" y="0"/>
            <wp:positionH relativeFrom="column">
              <wp:posOffset>167005</wp:posOffset>
            </wp:positionH>
            <wp:positionV relativeFrom="paragraph">
              <wp:posOffset>314960</wp:posOffset>
            </wp:positionV>
            <wp:extent cx="4651375" cy="1899285"/>
            <wp:effectExtent l="4445" t="4445" r="11430" b="20320"/>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bookmarkStart w:id="26" w:name="_Toc15396607"/>
      <w:bookmarkStart w:id="27" w:name="_Toc15377209"/>
    </w:p>
    <w:p w14:paraId="123DD10B">
      <w:pPr>
        <w:spacing w:line="600" w:lineRule="exact"/>
        <w:ind w:firstLine="640"/>
        <w:rPr>
          <w:rStyle w:val="30"/>
          <w:rFonts w:ascii="Times New Roman" w:hAnsi="Times New Roman" w:eastAsia="黑体"/>
          <w:b w:val="0"/>
        </w:rPr>
      </w:pPr>
      <w:r>
        <w:rPr>
          <w:rFonts w:hint="eastAsia" w:eastAsia="黑体"/>
          <w:sz w:val="32"/>
          <w:szCs w:val="32"/>
        </w:rPr>
        <w:t>五、</w:t>
      </w:r>
      <w:r>
        <w:rPr>
          <w:rFonts w:hint="eastAsia" w:eastAsia="黑体"/>
          <w:b/>
          <w:sz w:val="32"/>
          <w:szCs w:val="32"/>
        </w:rPr>
        <w:t>一</w:t>
      </w:r>
      <w:r>
        <w:rPr>
          <w:rStyle w:val="30"/>
          <w:rFonts w:hint="eastAsia" w:ascii="Times New Roman" w:hAnsi="Times New Roman" w:eastAsia="黑体"/>
          <w:b w:val="0"/>
        </w:rPr>
        <w:t>般公共预算财政拨款支出决算情况说明</w:t>
      </w:r>
      <w:bookmarkEnd w:id="26"/>
      <w:bookmarkEnd w:id="27"/>
    </w:p>
    <w:p w14:paraId="4647EF61">
      <w:pPr>
        <w:spacing w:line="600" w:lineRule="exact"/>
        <w:ind w:firstLine="643" w:firstLineChars="200"/>
        <w:outlineLvl w:val="2"/>
        <w:rPr>
          <w:rFonts w:eastAsia="楷体_GB2312" w:cs="楷体_GB2312"/>
          <w:b/>
          <w:sz w:val="32"/>
          <w:szCs w:val="32"/>
        </w:rPr>
      </w:pPr>
      <w:bookmarkStart w:id="28" w:name="_Toc15377210"/>
      <w:r>
        <w:rPr>
          <w:rFonts w:hint="eastAsia" w:eastAsia="楷体_GB2312" w:cs="楷体_GB2312"/>
          <w:b/>
          <w:sz w:val="32"/>
          <w:szCs w:val="32"/>
        </w:rPr>
        <w:t>（一）一般公共预算财政拨款支出决算总体情况</w:t>
      </w:r>
      <w:bookmarkEnd w:id="28"/>
    </w:p>
    <w:p w14:paraId="799EBAFC">
      <w:pPr>
        <w:spacing w:line="600" w:lineRule="exact"/>
        <w:ind w:firstLine="640"/>
        <w:rPr>
          <w:rFonts w:eastAsia="仿宋_GB2312" w:cs="仿宋_GB2312"/>
          <w:sz w:val="32"/>
          <w:szCs w:val="32"/>
        </w:rPr>
      </w:pPr>
      <w:r>
        <w:rPr>
          <w:rFonts w:hint="eastAsia" w:eastAsia="仿宋_GB2312" w:cs="仿宋_GB2312"/>
          <w:sz w:val="32"/>
          <w:szCs w:val="32"/>
        </w:rPr>
        <w:t>2025年度一般公共预算财政拨款支出</w:t>
      </w:r>
      <w:r>
        <w:rPr>
          <w:rFonts w:hint="eastAsia" w:eastAsia="仿宋_GB2312" w:cs="仿宋_GB2312"/>
          <w:sz w:val="32"/>
          <w:szCs w:val="32"/>
          <w:lang w:val="en-US" w:eastAsia="zh-CN"/>
        </w:rPr>
        <w:t>647.86</w:t>
      </w:r>
      <w:r>
        <w:rPr>
          <w:rFonts w:hint="eastAsia" w:eastAsia="仿宋_GB2312" w:cs="仿宋_GB2312"/>
          <w:sz w:val="32"/>
          <w:szCs w:val="32"/>
        </w:rPr>
        <w:t>万元，占本年支出合计的</w:t>
      </w:r>
      <w:r>
        <w:rPr>
          <w:rFonts w:hint="eastAsia" w:eastAsia="仿宋_GB2312" w:cs="仿宋_GB2312"/>
          <w:sz w:val="32"/>
          <w:szCs w:val="32"/>
          <w:lang w:val="en-US" w:eastAsia="zh-CN"/>
        </w:rPr>
        <w:t>100</w:t>
      </w:r>
      <w:r>
        <w:rPr>
          <w:rFonts w:hint="eastAsia" w:eastAsia="仿宋_GB2312" w:cs="仿宋_GB2312"/>
          <w:sz w:val="32"/>
          <w:szCs w:val="32"/>
        </w:rPr>
        <w:t>%。与上年度相比，一般公共预算财政拨款支出减少</w:t>
      </w:r>
      <w:r>
        <w:rPr>
          <w:rFonts w:hint="eastAsia" w:eastAsia="仿宋_GB2312" w:cs="仿宋_GB2312"/>
          <w:sz w:val="32"/>
          <w:szCs w:val="32"/>
          <w:lang w:val="en-US" w:eastAsia="zh-CN"/>
        </w:rPr>
        <w:t>61.07</w:t>
      </w:r>
      <w:r>
        <w:rPr>
          <w:rFonts w:hint="eastAsia" w:eastAsia="仿宋_GB2312" w:cs="仿宋_GB2312"/>
          <w:sz w:val="32"/>
          <w:szCs w:val="32"/>
        </w:rPr>
        <w:t>万元，下降</w:t>
      </w:r>
      <w:r>
        <w:rPr>
          <w:rFonts w:hint="eastAsia" w:eastAsia="仿宋_GB2312" w:cs="仿宋_GB2312"/>
          <w:sz w:val="32"/>
          <w:szCs w:val="32"/>
          <w:lang w:val="en-US" w:eastAsia="zh-CN"/>
        </w:rPr>
        <w:t>8.6</w:t>
      </w:r>
      <w:r>
        <w:rPr>
          <w:rFonts w:hint="eastAsia" w:eastAsia="仿宋_GB2312" w:cs="仿宋_GB2312"/>
          <w:sz w:val="32"/>
          <w:szCs w:val="32"/>
        </w:rPr>
        <w:t>%。主要变动原因是</w:t>
      </w:r>
      <w:r>
        <w:rPr>
          <w:rFonts w:hint="eastAsia" w:eastAsia="仿宋_GB2312" w:cs="仿宋_GB2312"/>
          <w:sz w:val="32"/>
          <w:szCs w:val="32"/>
          <w:lang w:val="en-US" w:eastAsia="zh-CN"/>
        </w:rPr>
        <w:t>2025年</w:t>
      </w:r>
      <w:r>
        <w:rPr>
          <w:rFonts w:hint="eastAsia" w:eastAsia="仿宋_GB2312" w:cs="仿宋_GB2312"/>
          <w:sz w:val="32"/>
          <w:szCs w:val="32"/>
          <w:lang w:eastAsia="zh-CN"/>
        </w:rPr>
        <w:t>缩减了用于保障日常培训活动开展的项目经费。</w:t>
      </w:r>
    </w:p>
    <w:p w14:paraId="065D233D">
      <w:pPr>
        <w:spacing w:line="600" w:lineRule="exact"/>
        <w:ind w:firstLine="640"/>
        <w:rPr>
          <w:rFonts w:eastAsia="仿宋_GB2312" w:cs="仿宋_GB2312"/>
          <w:sz w:val="32"/>
          <w:szCs w:val="32"/>
        </w:rPr>
      </w:pPr>
      <w:r>
        <w:rPr>
          <w:rFonts w:hint="eastAsia" w:eastAsia="仿宋_GB2312" w:cs="仿宋_GB2312"/>
          <w:sz w:val="32"/>
          <w:szCs w:val="32"/>
          <w:lang w:eastAsia="zh-CN"/>
        </w:rPr>
        <w:drawing>
          <wp:anchor distT="0" distB="0" distL="114300" distR="114300" simplePos="0" relativeHeight="251662336" behindDoc="0" locked="0" layoutInCell="1" allowOverlap="1">
            <wp:simplePos x="0" y="0"/>
            <wp:positionH relativeFrom="column">
              <wp:posOffset>318770</wp:posOffset>
            </wp:positionH>
            <wp:positionV relativeFrom="paragraph">
              <wp:posOffset>265430</wp:posOffset>
            </wp:positionV>
            <wp:extent cx="4608195" cy="1969770"/>
            <wp:effectExtent l="5080" t="4445" r="15875" b="6985"/>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30C1904C">
      <w:pPr>
        <w:spacing w:line="600" w:lineRule="exact"/>
        <w:ind w:firstLine="643" w:firstLineChars="200"/>
        <w:outlineLvl w:val="2"/>
        <w:rPr>
          <w:rFonts w:eastAsia="楷体_GB2312" w:cs="楷体_GB2312"/>
          <w:b/>
          <w:sz w:val="32"/>
          <w:szCs w:val="32"/>
        </w:rPr>
      </w:pPr>
      <w:bookmarkStart w:id="29" w:name="_Toc15377211"/>
      <w:r>
        <w:rPr>
          <w:rFonts w:hint="eastAsia" w:eastAsia="楷体_GB2312" w:cs="楷体_GB2312"/>
          <w:b/>
          <w:sz w:val="32"/>
          <w:szCs w:val="32"/>
        </w:rPr>
        <w:t>（二）一般公共预算财政拨款支出决算结构情况</w:t>
      </w:r>
      <w:bookmarkEnd w:id="29"/>
    </w:p>
    <w:p w14:paraId="0BB92A99">
      <w:pPr>
        <w:spacing w:line="600" w:lineRule="exact"/>
        <w:ind w:firstLine="640"/>
        <w:rPr>
          <w:rFonts w:hint="eastAsia" w:eastAsia="仿宋_GB2312" w:cs="仿宋_GB2312"/>
          <w:sz w:val="32"/>
          <w:szCs w:val="32"/>
        </w:rPr>
      </w:pPr>
      <w:r>
        <w:rPr>
          <w:rFonts w:hint="eastAsia" w:eastAsia="仿宋_GB2312" w:cs="仿宋_GB2312"/>
          <w:sz w:val="32"/>
          <w:szCs w:val="32"/>
        </w:rPr>
        <w:t>2025年度一般公共预算财政拨款支出</w:t>
      </w:r>
      <w:r>
        <w:rPr>
          <w:rFonts w:hint="eastAsia" w:eastAsia="仿宋_GB2312" w:cs="仿宋_GB2312"/>
          <w:sz w:val="32"/>
          <w:szCs w:val="32"/>
          <w:lang w:val="en-US" w:eastAsia="zh-CN"/>
        </w:rPr>
        <w:t>647.86</w:t>
      </w:r>
      <w:r>
        <w:rPr>
          <w:rFonts w:hint="eastAsia" w:eastAsia="仿宋_GB2312" w:cs="仿宋_GB2312"/>
          <w:sz w:val="32"/>
          <w:szCs w:val="32"/>
        </w:rPr>
        <w:t>万元，主要用于以下方面：一般公共服务支出</w:t>
      </w:r>
      <w:r>
        <w:rPr>
          <w:rFonts w:hint="eastAsia" w:eastAsia="仿宋_GB2312" w:cs="仿宋_GB2312"/>
          <w:sz w:val="32"/>
          <w:szCs w:val="32"/>
          <w:lang w:val="en-US" w:eastAsia="zh-CN"/>
        </w:rPr>
        <w:t>492.14</w:t>
      </w:r>
      <w:r>
        <w:rPr>
          <w:rFonts w:hint="eastAsia" w:eastAsia="仿宋_GB2312" w:cs="仿宋_GB2312"/>
          <w:sz w:val="32"/>
          <w:szCs w:val="32"/>
        </w:rPr>
        <w:t>万元，占</w:t>
      </w:r>
      <w:r>
        <w:rPr>
          <w:rFonts w:hint="eastAsia" w:eastAsia="仿宋_GB2312" w:cs="仿宋_GB2312"/>
          <w:sz w:val="32"/>
          <w:szCs w:val="32"/>
          <w:lang w:val="en-US" w:eastAsia="zh-CN"/>
        </w:rPr>
        <w:t>76</w:t>
      </w:r>
      <w:r>
        <w:rPr>
          <w:rFonts w:hint="eastAsia" w:eastAsia="仿宋_GB2312" w:cs="仿宋_GB2312"/>
          <w:sz w:val="32"/>
          <w:szCs w:val="32"/>
        </w:rPr>
        <w:t>%；社会保障和就业支出</w:t>
      </w:r>
      <w:r>
        <w:rPr>
          <w:rFonts w:hint="eastAsia" w:eastAsia="仿宋_GB2312" w:cs="仿宋_GB2312"/>
          <w:sz w:val="32"/>
          <w:szCs w:val="32"/>
          <w:lang w:val="en-US" w:eastAsia="zh-CN"/>
        </w:rPr>
        <w:t>94.09</w:t>
      </w:r>
      <w:r>
        <w:rPr>
          <w:rFonts w:hint="eastAsia" w:eastAsia="仿宋_GB2312" w:cs="仿宋_GB2312"/>
          <w:sz w:val="32"/>
          <w:szCs w:val="32"/>
        </w:rPr>
        <w:t>万元，占</w:t>
      </w:r>
      <w:r>
        <w:rPr>
          <w:rFonts w:hint="eastAsia" w:eastAsia="仿宋_GB2312" w:cs="仿宋_GB2312"/>
          <w:sz w:val="32"/>
          <w:szCs w:val="32"/>
          <w:lang w:val="en-US" w:eastAsia="zh-CN"/>
        </w:rPr>
        <w:t>14.5</w:t>
      </w:r>
      <w:r>
        <w:rPr>
          <w:rFonts w:hint="eastAsia" w:eastAsia="仿宋_GB2312" w:cs="仿宋_GB2312"/>
          <w:sz w:val="32"/>
          <w:szCs w:val="32"/>
        </w:rPr>
        <w:t>%；卫生健康支出</w:t>
      </w:r>
      <w:r>
        <w:rPr>
          <w:rFonts w:hint="eastAsia" w:eastAsia="仿宋_GB2312" w:cs="仿宋_GB2312"/>
          <w:sz w:val="32"/>
          <w:szCs w:val="32"/>
          <w:lang w:val="en-US" w:eastAsia="zh-CN"/>
        </w:rPr>
        <w:t>27.83</w:t>
      </w:r>
      <w:r>
        <w:rPr>
          <w:rFonts w:hint="eastAsia" w:eastAsia="仿宋_GB2312" w:cs="仿宋_GB2312"/>
          <w:sz w:val="32"/>
          <w:szCs w:val="32"/>
        </w:rPr>
        <w:t>万元，占</w:t>
      </w:r>
      <w:r>
        <w:rPr>
          <w:rFonts w:hint="eastAsia" w:eastAsia="仿宋_GB2312" w:cs="仿宋_GB2312"/>
          <w:sz w:val="32"/>
          <w:szCs w:val="32"/>
          <w:lang w:val="en-US" w:eastAsia="zh-CN"/>
        </w:rPr>
        <w:t>4.3</w:t>
      </w:r>
      <w:r>
        <w:rPr>
          <w:rFonts w:hint="eastAsia" w:eastAsia="仿宋_GB2312" w:cs="仿宋_GB2312"/>
          <w:sz w:val="32"/>
          <w:szCs w:val="32"/>
        </w:rPr>
        <w:t>%；住房保障支出</w:t>
      </w:r>
      <w:r>
        <w:rPr>
          <w:rFonts w:hint="eastAsia" w:eastAsia="仿宋_GB2312" w:cs="仿宋_GB2312"/>
          <w:sz w:val="32"/>
          <w:szCs w:val="32"/>
          <w:lang w:val="en-US" w:eastAsia="zh-CN"/>
        </w:rPr>
        <w:t>33.79</w:t>
      </w:r>
      <w:r>
        <w:rPr>
          <w:rFonts w:hint="eastAsia" w:eastAsia="仿宋_GB2312" w:cs="仿宋_GB2312"/>
          <w:sz w:val="32"/>
          <w:szCs w:val="32"/>
        </w:rPr>
        <w:t>万元，占</w:t>
      </w:r>
      <w:r>
        <w:rPr>
          <w:rFonts w:hint="eastAsia" w:eastAsia="仿宋_GB2312" w:cs="仿宋_GB2312"/>
          <w:sz w:val="32"/>
          <w:szCs w:val="32"/>
          <w:lang w:val="en-US" w:eastAsia="zh-CN"/>
        </w:rPr>
        <w:t>5.2</w:t>
      </w:r>
      <w:r>
        <w:rPr>
          <w:rFonts w:hint="eastAsia" w:eastAsia="仿宋_GB2312" w:cs="仿宋_GB2312"/>
          <w:sz w:val="32"/>
          <w:szCs w:val="32"/>
        </w:rPr>
        <w:t>%；</w:t>
      </w:r>
    </w:p>
    <w:p w14:paraId="2374D08B">
      <w:pPr>
        <w:spacing w:line="600" w:lineRule="exact"/>
        <w:ind w:firstLine="640"/>
        <w:rPr>
          <w:rFonts w:eastAsia="仿宋_GB2312" w:cs="仿宋_GB2312"/>
          <w:sz w:val="32"/>
          <w:szCs w:val="32"/>
        </w:rPr>
      </w:pPr>
      <w:r>
        <w:rPr>
          <w:rFonts w:hint="eastAsia" w:eastAsia="仿宋_GB2312" w:cs="仿宋_GB2312"/>
          <w:sz w:val="32"/>
          <w:szCs w:val="32"/>
          <w:lang w:eastAsia="zh-CN"/>
        </w:rPr>
        <w:drawing>
          <wp:anchor distT="0" distB="0" distL="114300" distR="114300" simplePos="0" relativeHeight="251663360" behindDoc="0" locked="0" layoutInCell="1" allowOverlap="1">
            <wp:simplePos x="0" y="0"/>
            <wp:positionH relativeFrom="column">
              <wp:posOffset>224790</wp:posOffset>
            </wp:positionH>
            <wp:positionV relativeFrom="paragraph">
              <wp:posOffset>327025</wp:posOffset>
            </wp:positionV>
            <wp:extent cx="5085715" cy="2315210"/>
            <wp:effectExtent l="5080" t="4445" r="14605" b="23495"/>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14:paraId="76C80D73">
      <w:pPr>
        <w:spacing w:line="600" w:lineRule="exact"/>
        <w:ind w:firstLine="643" w:firstLineChars="200"/>
        <w:outlineLvl w:val="2"/>
        <w:rPr>
          <w:rFonts w:eastAsia="楷体_GB2312" w:cs="楷体_GB2312"/>
          <w:b/>
          <w:sz w:val="32"/>
          <w:szCs w:val="32"/>
        </w:rPr>
      </w:pPr>
      <w:bookmarkStart w:id="30" w:name="_Toc15377212"/>
      <w:r>
        <w:rPr>
          <w:rFonts w:hint="eastAsia" w:eastAsia="楷体_GB2312" w:cs="楷体_GB2312"/>
          <w:b/>
          <w:sz w:val="32"/>
          <w:szCs w:val="32"/>
        </w:rPr>
        <w:t>（三）一般公共预算财政拨款支出决算具体情况</w:t>
      </w:r>
      <w:bookmarkEnd w:id="30"/>
    </w:p>
    <w:p w14:paraId="2127F506">
      <w:pPr>
        <w:spacing w:line="600" w:lineRule="exact"/>
        <w:ind w:firstLine="640"/>
        <w:rPr>
          <w:rFonts w:eastAsia="仿宋_GB2312" w:cs="仿宋_GB2312"/>
          <w:sz w:val="32"/>
          <w:szCs w:val="32"/>
        </w:rPr>
      </w:pPr>
      <w:bookmarkStart w:id="31" w:name="_Toc15377213"/>
      <w:bookmarkStart w:id="32" w:name="_Toc15377444"/>
      <w:bookmarkStart w:id="33" w:name="_Toc15378460"/>
      <w:r>
        <w:rPr>
          <w:rFonts w:hint="eastAsia" w:eastAsia="仿宋_GB2312" w:cs="仿宋_GB2312"/>
          <w:sz w:val="32"/>
          <w:szCs w:val="32"/>
        </w:rPr>
        <w:t>2025年度一般公共预算支出决算数为</w:t>
      </w:r>
      <w:r>
        <w:rPr>
          <w:rFonts w:hint="eastAsia" w:eastAsia="仿宋_GB2312" w:cs="仿宋_GB2312"/>
          <w:sz w:val="32"/>
          <w:szCs w:val="32"/>
          <w:lang w:val="en-US" w:eastAsia="zh-CN"/>
        </w:rPr>
        <w:t>647.86万元</w:t>
      </w:r>
      <w:r>
        <w:rPr>
          <w:rFonts w:hint="eastAsia" w:eastAsia="仿宋_GB2312" w:cs="仿宋_GB2312"/>
          <w:sz w:val="32"/>
          <w:szCs w:val="32"/>
        </w:rPr>
        <w:t>，完成预算</w:t>
      </w:r>
      <w:r>
        <w:rPr>
          <w:rFonts w:hint="eastAsia" w:eastAsia="仿宋_GB2312" w:cs="仿宋_GB2312"/>
          <w:sz w:val="32"/>
          <w:szCs w:val="32"/>
          <w:lang w:val="en-US" w:eastAsia="zh-CN"/>
        </w:rPr>
        <w:t>100</w:t>
      </w:r>
      <w:r>
        <w:rPr>
          <w:rFonts w:hint="eastAsia" w:eastAsia="仿宋_GB2312" w:cs="仿宋_GB2312"/>
          <w:sz w:val="32"/>
          <w:szCs w:val="32"/>
        </w:rPr>
        <w:t>%。其中：</w:t>
      </w:r>
      <w:bookmarkEnd w:id="31"/>
      <w:bookmarkEnd w:id="32"/>
      <w:bookmarkEnd w:id="33"/>
    </w:p>
    <w:p w14:paraId="08B0D5BB">
      <w:pPr>
        <w:spacing w:line="600" w:lineRule="exact"/>
        <w:ind w:firstLine="643" w:firstLineChars="200"/>
        <w:rPr>
          <w:rFonts w:ascii="仿宋" w:hAnsi="仿宋" w:eastAsia="仿宋"/>
          <w:b/>
          <w:color w:val="auto"/>
          <w:sz w:val="32"/>
          <w:szCs w:val="32"/>
          <w:highlight w:val="none"/>
        </w:rPr>
      </w:pPr>
      <w:bookmarkStart w:id="34" w:name="_Toc15396608"/>
      <w:bookmarkStart w:id="35" w:name="_Toc15377214"/>
      <w:r>
        <w:rPr>
          <w:rStyle w:val="18"/>
          <w:rFonts w:ascii="仿宋" w:hAnsi="仿宋" w:eastAsia="仿宋"/>
          <w:bCs/>
          <w:sz w:val="32"/>
          <w:szCs w:val="32"/>
        </w:rPr>
        <w:t>1.</w:t>
      </w:r>
      <w:r>
        <w:rPr>
          <w:rStyle w:val="18"/>
          <w:rFonts w:hint="eastAsia" w:ascii="仿宋" w:hAnsi="仿宋" w:eastAsia="仿宋"/>
          <w:bCs/>
          <w:sz w:val="32"/>
          <w:szCs w:val="32"/>
        </w:rPr>
        <w:t>一般公共服务（类）</w:t>
      </w:r>
      <w:r>
        <w:rPr>
          <w:rStyle w:val="18"/>
          <w:rFonts w:hint="eastAsia" w:ascii="仿宋" w:hAnsi="仿宋" w:eastAsia="仿宋"/>
          <w:bCs/>
          <w:sz w:val="32"/>
          <w:szCs w:val="32"/>
          <w:lang w:eastAsia="zh-CN"/>
        </w:rPr>
        <w:t>群众团体事务</w:t>
      </w:r>
      <w:r>
        <w:rPr>
          <w:rStyle w:val="18"/>
          <w:rFonts w:hint="eastAsia" w:ascii="仿宋" w:hAnsi="仿宋" w:eastAsia="仿宋"/>
          <w:bCs/>
          <w:sz w:val="32"/>
          <w:szCs w:val="32"/>
        </w:rPr>
        <w:t>（款）</w:t>
      </w:r>
      <w:r>
        <w:rPr>
          <w:rStyle w:val="18"/>
          <w:rFonts w:hint="eastAsia" w:ascii="仿宋" w:hAnsi="仿宋" w:eastAsia="仿宋"/>
          <w:bCs/>
          <w:sz w:val="32"/>
          <w:szCs w:val="32"/>
          <w:lang w:eastAsia="zh-CN"/>
        </w:rPr>
        <w:t>事业运行</w:t>
      </w:r>
      <w:r>
        <w:rPr>
          <w:rStyle w:val="18"/>
          <w:rFonts w:hint="eastAsia" w:ascii="仿宋" w:hAnsi="仿宋" w:eastAsia="仿宋"/>
          <w:bCs/>
          <w:sz w:val="32"/>
          <w:szCs w:val="32"/>
        </w:rPr>
        <w:t>（项）</w:t>
      </w:r>
      <w:r>
        <w:rPr>
          <w:rStyle w:val="18"/>
          <w:rFonts w:ascii="仿宋" w:hAnsi="仿宋" w:eastAsia="仿宋"/>
          <w:bCs/>
          <w:sz w:val="32"/>
          <w:szCs w:val="32"/>
        </w:rPr>
        <w:t>:</w:t>
      </w:r>
      <w:r>
        <w:rPr>
          <w:rStyle w:val="18"/>
          <w:rFonts w:ascii="仿宋" w:hAnsi="仿宋" w:eastAsia="仿宋"/>
          <w:b w:val="0"/>
          <w:bCs/>
          <w:color w:val="auto"/>
          <w:sz w:val="32"/>
          <w:szCs w:val="32"/>
          <w:highlight w:val="none"/>
        </w:rPr>
        <w:t xml:space="preserve"> </w:t>
      </w:r>
      <w:r>
        <w:rPr>
          <w:rStyle w:val="18"/>
          <w:rFonts w:hint="eastAsia" w:ascii="仿宋" w:hAnsi="仿宋" w:eastAsia="仿宋"/>
          <w:b w:val="0"/>
          <w:bCs/>
          <w:color w:val="auto"/>
          <w:sz w:val="32"/>
          <w:szCs w:val="32"/>
          <w:highlight w:val="none"/>
        </w:rPr>
        <w:t>支出决算为</w:t>
      </w:r>
      <w:r>
        <w:rPr>
          <w:rStyle w:val="18"/>
          <w:rFonts w:hint="eastAsia" w:ascii="仿宋" w:hAnsi="仿宋" w:eastAsia="仿宋"/>
          <w:b w:val="0"/>
          <w:bCs/>
          <w:color w:val="auto"/>
          <w:sz w:val="32"/>
          <w:szCs w:val="32"/>
          <w:highlight w:val="none"/>
          <w:lang w:val="en-US" w:eastAsia="zh-CN"/>
        </w:rPr>
        <w:t>328.4</w:t>
      </w:r>
      <w:r>
        <w:rPr>
          <w:rStyle w:val="18"/>
          <w:rFonts w:hint="eastAsia" w:ascii="仿宋" w:hAnsi="仿宋" w:eastAsia="仿宋"/>
          <w:b w:val="0"/>
          <w:bCs/>
          <w:color w:val="auto"/>
          <w:sz w:val="32"/>
          <w:szCs w:val="32"/>
          <w:highlight w:val="none"/>
        </w:rPr>
        <w:t>万元，完成预算</w:t>
      </w:r>
      <w:r>
        <w:rPr>
          <w:rStyle w:val="18"/>
          <w:rFonts w:hint="eastAsia" w:ascii="仿宋" w:hAnsi="仿宋" w:eastAsia="仿宋"/>
          <w:b w:val="0"/>
          <w:bCs/>
          <w:color w:val="auto"/>
          <w:sz w:val="32"/>
          <w:szCs w:val="32"/>
          <w:highlight w:val="none"/>
          <w:lang w:val="en-US" w:eastAsia="zh-CN"/>
        </w:rPr>
        <w:t>100</w:t>
      </w:r>
      <w:r>
        <w:rPr>
          <w:rStyle w:val="18"/>
          <w:rFonts w:ascii="仿宋" w:hAnsi="仿宋" w:eastAsia="仿宋"/>
          <w:b w:val="0"/>
          <w:bCs/>
          <w:color w:val="auto"/>
          <w:sz w:val="32"/>
          <w:szCs w:val="32"/>
          <w:highlight w:val="none"/>
        </w:rPr>
        <w:t>%</w:t>
      </w:r>
      <w:r>
        <w:rPr>
          <w:rStyle w:val="18"/>
          <w:rFonts w:hint="eastAsia" w:ascii="仿宋" w:hAnsi="仿宋" w:eastAsia="仿宋"/>
          <w:b w:val="0"/>
          <w:bCs/>
          <w:color w:val="auto"/>
          <w:sz w:val="32"/>
          <w:szCs w:val="32"/>
          <w:highlight w:val="none"/>
        </w:rPr>
        <w:t>，决算数</w:t>
      </w:r>
      <w:r>
        <w:rPr>
          <w:rStyle w:val="18"/>
          <w:rFonts w:hint="eastAsia" w:ascii="仿宋" w:hAnsi="仿宋" w:eastAsia="仿宋"/>
          <w:b w:val="0"/>
          <w:bCs/>
          <w:color w:val="auto"/>
          <w:sz w:val="32"/>
          <w:szCs w:val="32"/>
          <w:highlight w:val="none"/>
          <w:lang w:eastAsia="zh-CN"/>
        </w:rPr>
        <w:t>与</w:t>
      </w:r>
      <w:r>
        <w:rPr>
          <w:rStyle w:val="18"/>
          <w:rFonts w:hint="eastAsia" w:ascii="仿宋" w:hAnsi="仿宋" w:eastAsia="仿宋"/>
          <w:b w:val="0"/>
          <w:bCs/>
          <w:color w:val="auto"/>
          <w:sz w:val="32"/>
          <w:szCs w:val="32"/>
          <w:highlight w:val="none"/>
        </w:rPr>
        <w:t>预算数</w:t>
      </w:r>
      <w:r>
        <w:rPr>
          <w:rStyle w:val="18"/>
          <w:rFonts w:hint="eastAsia" w:ascii="仿宋" w:hAnsi="仿宋" w:eastAsia="仿宋"/>
          <w:b w:val="0"/>
          <w:bCs/>
          <w:color w:val="auto"/>
          <w:sz w:val="32"/>
          <w:szCs w:val="32"/>
          <w:highlight w:val="none"/>
          <w:lang w:eastAsia="zh-CN"/>
        </w:rPr>
        <w:t>持平。</w:t>
      </w:r>
    </w:p>
    <w:p w14:paraId="1804939C">
      <w:pPr>
        <w:spacing w:line="600" w:lineRule="exact"/>
        <w:ind w:firstLine="643" w:firstLineChars="200"/>
        <w:rPr>
          <w:rFonts w:ascii="仿宋" w:hAnsi="仿宋" w:eastAsia="仿宋"/>
          <w:b/>
          <w:color w:val="auto"/>
          <w:sz w:val="32"/>
          <w:szCs w:val="32"/>
          <w:highlight w:val="none"/>
        </w:rPr>
      </w:pPr>
      <w:r>
        <w:rPr>
          <w:rStyle w:val="18"/>
          <w:rFonts w:ascii="仿宋" w:hAnsi="仿宋" w:eastAsia="仿宋"/>
          <w:bCs/>
          <w:sz w:val="32"/>
          <w:szCs w:val="32"/>
        </w:rPr>
        <w:t>2.</w:t>
      </w:r>
      <w:r>
        <w:rPr>
          <w:rStyle w:val="18"/>
          <w:rFonts w:hint="eastAsia" w:ascii="仿宋" w:hAnsi="仿宋" w:eastAsia="仿宋"/>
          <w:bCs/>
          <w:sz w:val="32"/>
          <w:szCs w:val="32"/>
        </w:rPr>
        <w:t>一般公共服务（类）</w:t>
      </w:r>
      <w:r>
        <w:rPr>
          <w:rStyle w:val="18"/>
          <w:rFonts w:hint="eastAsia" w:ascii="仿宋" w:hAnsi="仿宋" w:eastAsia="仿宋"/>
          <w:bCs/>
          <w:sz w:val="32"/>
          <w:szCs w:val="32"/>
          <w:lang w:eastAsia="zh-CN"/>
        </w:rPr>
        <w:t>群众团体事务</w:t>
      </w:r>
      <w:r>
        <w:rPr>
          <w:rStyle w:val="18"/>
          <w:rFonts w:hint="eastAsia" w:ascii="仿宋" w:hAnsi="仿宋" w:eastAsia="仿宋"/>
          <w:bCs/>
          <w:sz w:val="32"/>
          <w:szCs w:val="32"/>
        </w:rPr>
        <w:t>（款）</w:t>
      </w:r>
      <w:r>
        <w:rPr>
          <w:rStyle w:val="18"/>
          <w:rFonts w:hint="eastAsia" w:ascii="仿宋" w:hAnsi="仿宋" w:eastAsia="仿宋"/>
          <w:bCs/>
          <w:sz w:val="32"/>
          <w:szCs w:val="32"/>
          <w:lang w:eastAsia="zh-CN"/>
        </w:rPr>
        <w:t>其他群众团体事务支出</w:t>
      </w:r>
      <w:r>
        <w:rPr>
          <w:rStyle w:val="18"/>
          <w:rFonts w:hint="eastAsia" w:ascii="仿宋" w:hAnsi="仿宋" w:eastAsia="仿宋"/>
          <w:bCs/>
          <w:sz w:val="32"/>
          <w:szCs w:val="32"/>
        </w:rPr>
        <w:t>（项）</w:t>
      </w:r>
      <w:r>
        <w:rPr>
          <w:rStyle w:val="18"/>
          <w:rFonts w:ascii="仿宋" w:hAnsi="仿宋" w:eastAsia="仿宋"/>
          <w:bCs/>
          <w:color w:val="auto"/>
          <w:sz w:val="32"/>
          <w:szCs w:val="32"/>
          <w:highlight w:val="none"/>
        </w:rPr>
        <w:t>:</w:t>
      </w:r>
      <w:r>
        <w:rPr>
          <w:rStyle w:val="18"/>
          <w:rFonts w:ascii="仿宋" w:hAnsi="仿宋" w:eastAsia="仿宋"/>
          <w:b w:val="0"/>
          <w:bCs/>
          <w:color w:val="auto"/>
          <w:sz w:val="32"/>
          <w:szCs w:val="32"/>
          <w:highlight w:val="none"/>
        </w:rPr>
        <w:t xml:space="preserve"> </w:t>
      </w:r>
      <w:r>
        <w:rPr>
          <w:rStyle w:val="18"/>
          <w:rFonts w:hint="eastAsia" w:ascii="仿宋" w:hAnsi="仿宋" w:eastAsia="仿宋"/>
          <w:b w:val="0"/>
          <w:bCs/>
          <w:color w:val="auto"/>
          <w:sz w:val="32"/>
          <w:szCs w:val="32"/>
          <w:highlight w:val="none"/>
        </w:rPr>
        <w:t>支出决算为</w:t>
      </w:r>
      <w:r>
        <w:rPr>
          <w:rStyle w:val="18"/>
          <w:rFonts w:hint="eastAsia" w:ascii="仿宋" w:hAnsi="仿宋" w:eastAsia="仿宋"/>
          <w:b w:val="0"/>
          <w:bCs/>
          <w:color w:val="auto"/>
          <w:sz w:val="32"/>
          <w:szCs w:val="32"/>
          <w:highlight w:val="none"/>
          <w:lang w:val="en-US" w:eastAsia="zh-CN"/>
        </w:rPr>
        <w:t>161.33</w:t>
      </w:r>
      <w:r>
        <w:rPr>
          <w:rStyle w:val="18"/>
          <w:rFonts w:hint="eastAsia" w:ascii="仿宋" w:hAnsi="仿宋" w:eastAsia="仿宋"/>
          <w:b w:val="0"/>
          <w:bCs/>
          <w:color w:val="auto"/>
          <w:sz w:val="32"/>
          <w:szCs w:val="32"/>
          <w:highlight w:val="none"/>
        </w:rPr>
        <w:t>万元，完成预算</w:t>
      </w:r>
      <w:r>
        <w:rPr>
          <w:rStyle w:val="18"/>
          <w:rFonts w:hint="eastAsia" w:ascii="仿宋" w:hAnsi="仿宋" w:eastAsia="仿宋"/>
          <w:b w:val="0"/>
          <w:bCs/>
          <w:color w:val="auto"/>
          <w:sz w:val="32"/>
          <w:szCs w:val="32"/>
          <w:highlight w:val="none"/>
          <w:lang w:val="en-US" w:eastAsia="zh-CN"/>
        </w:rPr>
        <w:t>100</w:t>
      </w:r>
      <w:r>
        <w:rPr>
          <w:rStyle w:val="18"/>
          <w:rFonts w:ascii="仿宋" w:hAnsi="仿宋" w:eastAsia="仿宋"/>
          <w:b w:val="0"/>
          <w:bCs/>
          <w:color w:val="auto"/>
          <w:sz w:val="32"/>
          <w:szCs w:val="32"/>
          <w:highlight w:val="none"/>
        </w:rPr>
        <w:t>%</w:t>
      </w:r>
      <w:r>
        <w:rPr>
          <w:rStyle w:val="18"/>
          <w:rFonts w:hint="eastAsia" w:ascii="仿宋" w:hAnsi="仿宋" w:eastAsia="仿宋"/>
          <w:b w:val="0"/>
          <w:bCs/>
          <w:color w:val="auto"/>
          <w:sz w:val="32"/>
          <w:szCs w:val="32"/>
          <w:highlight w:val="none"/>
        </w:rPr>
        <w:t>，决算数</w:t>
      </w:r>
      <w:r>
        <w:rPr>
          <w:rStyle w:val="18"/>
          <w:rFonts w:hint="eastAsia" w:ascii="仿宋" w:hAnsi="仿宋" w:eastAsia="仿宋"/>
          <w:b w:val="0"/>
          <w:bCs/>
          <w:color w:val="auto"/>
          <w:sz w:val="32"/>
          <w:szCs w:val="32"/>
          <w:highlight w:val="none"/>
          <w:lang w:eastAsia="zh-CN"/>
        </w:rPr>
        <w:t>与</w:t>
      </w:r>
      <w:r>
        <w:rPr>
          <w:rStyle w:val="18"/>
          <w:rFonts w:hint="eastAsia" w:ascii="仿宋" w:hAnsi="仿宋" w:eastAsia="仿宋"/>
          <w:b w:val="0"/>
          <w:bCs/>
          <w:color w:val="auto"/>
          <w:sz w:val="32"/>
          <w:szCs w:val="32"/>
          <w:highlight w:val="none"/>
        </w:rPr>
        <w:t>预算数</w:t>
      </w:r>
      <w:r>
        <w:rPr>
          <w:rStyle w:val="18"/>
          <w:rFonts w:hint="eastAsia" w:ascii="仿宋" w:hAnsi="仿宋" w:eastAsia="仿宋"/>
          <w:b w:val="0"/>
          <w:bCs/>
          <w:color w:val="auto"/>
          <w:sz w:val="32"/>
          <w:szCs w:val="32"/>
          <w:highlight w:val="none"/>
          <w:lang w:eastAsia="zh-CN"/>
        </w:rPr>
        <w:t>持平。</w:t>
      </w:r>
    </w:p>
    <w:p w14:paraId="679C4763">
      <w:pPr>
        <w:spacing w:line="600" w:lineRule="exact"/>
        <w:ind w:firstLine="643" w:firstLineChars="200"/>
        <w:rPr>
          <w:rStyle w:val="18"/>
          <w:rFonts w:hint="eastAsia" w:ascii="仿宋" w:hAnsi="仿宋" w:eastAsia="仿宋"/>
          <w:b w:val="0"/>
          <w:bCs/>
          <w:color w:val="auto"/>
          <w:sz w:val="32"/>
          <w:szCs w:val="32"/>
          <w:highlight w:val="none"/>
        </w:rPr>
      </w:pPr>
      <w:r>
        <w:rPr>
          <w:rStyle w:val="18"/>
          <w:rFonts w:hint="eastAsia" w:ascii="仿宋" w:hAnsi="仿宋" w:eastAsia="仿宋"/>
          <w:bCs/>
          <w:sz w:val="32"/>
          <w:szCs w:val="32"/>
          <w:lang w:val="en-US" w:eastAsia="zh-CN"/>
        </w:rPr>
        <w:t>3</w:t>
      </w:r>
      <w:r>
        <w:rPr>
          <w:rStyle w:val="18"/>
          <w:rFonts w:ascii="仿宋" w:hAnsi="仿宋" w:eastAsia="仿宋"/>
          <w:bCs/>
          <w:sz w:val="32"/>
          <w:szCs w:val="32"/>
        </w:rPr>
        <w:t>.</w:t>
      </w:r>
      <w:r>
        <w:rPr>
          <w:rStyle w:val="18"/>
          <w:rFonts w:hint="eastAsia" w:ascii="仿宋" w:hAnsi="仿宋" w:eastAsia="仿宋"/>
          <w:bCs/>
          <w:sz w:val="32"/>
          <w:szCs w:val="32"/>
        </w:rPr>
        <w:t>一般公共服务（类）</w:t>
      </w:r>
      <w:r>
        <w:rPr>
          <w:rStyle w:val="18"/>
          <w:rFonts w:hint="eastAsia" w:ascii="仿宋" w:hAnsi="仿宋" w:eastAsia="仿宋"/>
          <w:bCs/>
          <w:sz w:val="32"/>
          <w:szCs w:val="32"/>
          <w:lang w:eastAsia="zh-CN"/>
        </w:rPr>
        <w:t>群众团体事务</w:t>
      </w:r>
      <w:r>
        <w:rPr>
          <w:rStyle w:val="18"/>
          <w:rFonts w:hint="eastAsia" w:ascii="仿宋" w:hAnsi="仿宋" w:eastAsia="仿宋"/>
          <w:bCs/>
          <w:sz w:val="32"/>
          <w:szCs w:val="32"/>
        </w:rPr>
        <w:t>（款）</w:t>
      </w:r>
      <w:r>
        <w:rPr>
          <w:rStyle w:val="18"/>
          <w:rFonts w:hint="eastAsia" w:ascii="仿宋" w:hAnsi="仿宋" w:eastAsia="仿宋"/>
          <w:bCs/>
          <w:sz w:val="32"/>
          <w:szCs w:val="32"/>
          <w:lang w:eastAsia="zh-CN"/>
        </w:rPr>
        <w:t>其他组织事务支出</w:t>
      </w:r>
      <w:r>
        <w:rPr>
          <w:rStyle w:val="18"/>
          <w:rFonts w:hint="eastAsia" w:ascii="仿宋" w:hAnsi="仿宋" w:eastAsia="仿宋"/>
          <w:bCs/>
          <w:sz w:val="32"/>
          <w:szCs w:val="32"/>
        </w:rPr>
        <w:t>（项）</w:t>
      </w:r>
      <w:r>
        <w:rPr>
          <w:rStyle w:val="18"/>
          <w:rFonts w:ascii="仿宋" w:hAnsi="仿宋" w:eastAsia="仿宋"/>
          <w:bCs/>
          <w:color w:val="auto"/>
          <w:sz w:val="32"/>
          <w:szCs w:val="32"/>
          <w:highlight w:val="none"/>
        </w:rPr>
        <w:t>:</w:t>
      </w:r>
      <w:r>
        <w:rPr>
          <w:rStyle w:val="18"/>
          <w:rFonts w:ascii="仿宋" w:hAnsi="仿宋" w:eastAsia="仿宋"/>
          <w:b w:val="0"/>
          <w:bCs/>
          <w:color w:val="auto"/>
          <w:sz w:val="32"/>
          <w:szCs w:val="32"/>
          <w:highlight w:val="none"/>
        </w:rPr>
        <w:t xml:space="preserve"> </w:t>
      </w:r>
      <w:r>
        <w:rPr>
          <w:rStyle w:val="18"/>
          <w:rFonts w:hint="eastAsia" w:ascii="仿宋" w:hAnsi="仿宋" w:eastAsia="仿宋"/>
          <w:b w:val="0"/>
          <w:bCs/>
          <w:color w:val="auto"/>
          <w:sz w:val="32"/>
          <w:szCs w:val="32"/>
          <w:highlight w:val="none"/>
        </w:rPr>
        <w:t>支出决算为</w:t>
      </w:r>
      <w:r>
        <w:rPr>
          <w:rStyle w:val="18"/>
          <w:rFonts w:hint="eastAsia" w:ascii="仿宋" w:hAnsi="仿宋" w:eastAsia="仿宋"/>
          <w:b w:val="0"/>
          <w:bCs/>
          <w:color w:val="auto"/>
          <w:sz w:val="32"/>
          <w:szCs w:val="32"/>
          <w:highlight w:val="none"/>
          <w:lang w:val="en-US" w:eastAsia="zh-CN"/>
        </w:rPr>
        <w:t>2.42</w:t>
      </w:r>
      <w:r>
        <w:rPr>
          <w:rStyle w:val="18"/>
          <w:rFonts w:hint="eastAsia" w:ascii="仿宋" w:hAnsi="仿宋" w:eastAsia="仿宋"/>
          <w:b w:val="0"/>
          <w:bCs/>
          <w:color w:val="auto"/>
          <w:sz w:val="32"/>
          <w:szCs w:val="32"/>
          <w:highlight w:val="none"/>
        </w:rPr>
        <w:t>万元，完成预算</w:t>
      </w:r>
      <w:r>
        <w:rPr>
          <w:rStyle w:val="18"/>
          <w:rFonts w:hint="eastAsia" w:ascii="仿宋" w:hAnsi="仿宋" w:eastAsia="仿宋"/>
          <w:b w:val="0"/>
          <w:bCs/>
          <w:color w:val="auto"/>
          <w:sz w:val="32"/>
          <w:szCs w:val="32"/>
          <w:highlight w:val="none"/>
          <w:lang w:val="en-US" w:eastAsia="zh-CN"/>
        </w:rPr>
        <w:t>100</w:t>
      </w:r>
      <w:r>
        <w:rPr>
          <w:rStyle w:val="18"/>
          <w:rFonts w:ascii="仿宋" w:hAnsi="仿宋" w:eastAsia="仿宋"/>
          <w:b w:val="0"/>
          <w:bCs/>
          <w:color w:val="auto"/>
          <w:sz w:val="32"/>
          <w:szCs w:val="32"/>
          <w:highlight w:val="none"/>
        </w:rPr>
        <w:t>%</w:t>
      </w:r>
      <w:r>
        <w:rPr>
          <w:rStyle w:val="18"/>
          <w:rFonts w:hint="eastAsia" w:ascii="仿宋" w:hAnsi="仿宋" w:eastAsia="仿宋"/>
          <w:b w:val="0"/>
          <w:bCs/>
          <w:color w:val="auto"/>
          <w:sz w:val="32"/>
          <w:szCs w:val="32"/>
          <w:highlight w:val="none"/>
        </w:rPr>
        <w:t>，决算数</w:t>
      </w:r>
      <w:r>
        <w:rPr>
          <w:rStyle w:val="18"/>
          <w:rFonts w:hint="eastAsia" w:ascii="仿宋" w:hAnsi="仿宋" w:eastAsia="仿宋"/>
          <w:b w:val="0"/>
          <w:bCs/>
          <w:color w:val="auto"/>
          <w:sz w:val="32"/>
          <w:szCs w:val="32"/>
          <w:highlight w:val="none"/>
          <w:lang w:eastAsia="zh-CN"/>
        </w:rPr>
        <w:t>与</w:t>
      </w:r>
      <w:r>
        <w:rPr>
          <w:rStyle w:val="18"/>
          <w:rFonts w:hint="eastAsia" w:ascii="仿宋" w:hAnsi="仿宋" w:eastAsia="仿宋"/>
          <w:b w:val="0"/>
          <w:bCs/>
          <w:color w:val="auto"/>
          <w:sz w:val="32"/>
          <w:szCs w:val="32"/>
          <w:highlight w:val="none"/>
        </w:rPr>
        <w:t>预算数</w:t>
      </w:r>
      <w:r>
        <w:rPr>
          <w:rStyle w:val="18"/>
          <w:rFonts w:hint="eastAsia" w:ascii="仿宋" w:hAnsi="仿宋" w:eastAsia="仿宋"/>
          <w:b w:val="0"/>
          <w:bCs/>
          <w:color w:val="auto"/>
          <w:sz w:val="32"/>
          <w:szCs w:val="32"/>
          <w:highlight w:val="none"/>
          <w:lang w:eastAsia="zh-CN"/>
        </w:rPr>
        <w:t>持平。</w:t>
      </w:r>
    </w:p>
    <w:p w14:paraId="1B64C09C">
      <w:pPr>
        <w:spacing w:line="600" w:lineRule="exact"/>
        <w:ind w:firstLine="643" w:firstLineChars="200"/>
        <w:rPr>
          <w:rStyle w:val="18"/>
          <w:rFonts w:hint="eastAsia" w:ascii="仿宋" w:hAnsi="仿宋" w:eastAsia="仿宋"/>
          <w:b w:val="0"/>
          <w:bCs/>
          <w:color w:val="auto"/>
          <w:sz w:val="32"/>
          <w:szCs w:val="32"/>
          <w:highlight w:val="none"/>
        </w:rPr>
      </w:pPr>
      <w:r>
        <w:rPr>
          <w:rStyle w:val="18"/>
          <w:rFonts w:hint="eastAsia" w:ascii="仿宋" w:hAnsi="仿宋" w:eastAsia="仿宋"/>
          <w:bCs/>
          <w:sz w:val="32"/>
          <w:szCs w:val="32"/>
          <w:lang w:val="en-US" w:eastAsia="zh-CN"/>
        </w:rPr>
        <w:t>4</w:t>
      </w:r>
      <w:r>
        <w:rPr>
          <w:rStyle w:val="18"/>
          <w:rFonts w:ascii="仿宋" w:hAnsi="仿宋" w:eastAsia="仿宋"/>
          <w:bCs/>
          <w:sz w:val="32"/>
          <w:szCs w:val="32"/>
        </w:rPr>
        <w:t>.</w:t>
      </w:r>
      <w:r>
        <w:rPr>
          <w:rStyle w:val="18"/>
          <w:rFonts w:hint="eastAsia" w:ascii="仿宋" w:hAnsi="仿宋" w:eastAsia="仿宋"/>
          <w:bCs/>
          <w:sz w:val="32"/>
          <w:szCs w:val="32"/>
        </w:rPr>
        <w:t>社会保障和就业（类）</w:t>
      </w:r>
      <w:r>
        <w:rPr>
          <w:rStyle w:val="18"/>
          <w:rFonts w:hint="eastAsia" w:ascii="仿宋" w:hAnsi="仿宋" w:eastAsia="仿宋"/>
          <w:bCs/>
          <w:sz w:val="32"/>
          <w:szCs w:val="32"/>
          <w:lang w:eastAsia="zh-CN"/>
        </w:rPr>
        <w:t>行政事业单位养老支出</w:t>
      </w:r>
      <w:r>
        <w:rPr>
          <w:rStyle w:val="18"/>
          <w:rFonts w:hint="eastAsia" w:ascii="仿宋" w:hAnsi="仿宋" w:eastAsia="仿宋"/>
          <w:bCs/>
          <w:sz w:val="32"/>
          <w:szCs w:val="32"/>
        </w:rPr>
        <w:t>（款）</w:t>
      </w:r>
      <w:r>
        <w:rPr>
          <w:rStyle w:val="18"/>
          <w:rFonts w:hint="eastAsia" w:ascii="仿宋" w:hAnsi="仿宋" w:eastAsia="仿宋"/>
          <w:bCs/>
          <w:sz w:val="32"/>
          <w:szCs w:val="32"/>
          <w:lang w:eastAsia="zh-CN"/>
        </w:rPr>
        <w:t>事业单位离退休</w:t>
      </w:r>
      <w:r>
        <w:rPr>
          <w:rStyle w:val="18"/>
          <w:rFonts w:hint="eastAsia" w:ascii="仿宋" w:hAnsi="仿宋" w:eastAsia="仿宋"/>
          <w:bCs/>
          <w:sz w:val="32"/>
          <w:szCs w:val="32"/>
        </w:rPr>
        <w:t>（项）</w:t>
      </w:r>
      <w:r>
        <w:rPr>
          <w:rStyle w:val="18"/>
          <w:rFonts w:ascii="仿宋" w:hAnsi="仿宋" w:eastAsia="仿宋"/>
          <w:bCs/>
          <w:sz w:val="32"/>
          <w:szCs w:val="32"/>
        </w:rPr>
        <w:t>:</w:t>
      </w:r>
      <w:r>
        <w:rPr>
          <w:rStyle w:val="18"/>
          <w:rFonts w:ascii="仿宋" w:hAnsi="仿宋" w:eastAsia="仿宋"/>
          <w:b w:val="0"/>
          <w:bCs/>
          <w:color w:val="auto"/>
          <w:sz w:val="32"/>
          <w:szCs w:val="32"/>
          <w:highlight w:val="none"/>
        </w:rPr>
        <w:t xml:space="preserve"> </w:t>
      </w:r>
      <w:r>
        <w:rPr>
          <w:rStyle w:val="18"/>
          <w:rFonts w:hint="eastAsia" w:ascii="仿宋" w:hAnsi="仿宋" w:eastAsia="仿宋"/>
          <w:b w:val="0"/>
          <w:bCs/>
          <w:color w:val="auto"/>
          <w:sz w:val="32"/>
          <w:szCs w:val="32"/>
          <w:highlight w:val="none"/>
        </w:rPr>
        <w:t>支出决算为</w:t>
      </w:r>
      <w:r>
        <w:rPr>
          <w:rStyle w:val="18"/>
          <w:rFonts w:hint="eastAsia" w:ascii="仿宋" w:hAnsi="仿宋" w:eastAsia="仿宋"/>
          <w:b w:val="0"/>
          <w:bCs/>
          <w:color w:val="auto"/>
          <w:sz w:val="32"/>
          <w:szCs w:val="32"/>
          <w:highlight w:val="none"/>
          <w:lang w:val="en-US" w:eastAsia="zh-CN"/>
        </w:rPr>
        <w:t>47.85</w:t>
      </w:r>
      <w:r>
        <w:rPr>
          <w:rStyle w:val="18"/>
          <w:rFonts w:hint="eastAsia" w:ascii="仿宋" w:hAnsi="仿宋" w:eastAsia="仿宋"/>
          <w:b w:val="0"/>
          <w:bCs/>
          <w:color w:val="auto"/>
          <w:sz w:val="32"/>
          <w:szCs w:val="32"/>
          <w:highlight w:val="none"/>
        </w:rPr>
        <w:t>万元，完成预算</w:t>
      </w:r>
      <w:r>
        <w:rPr>
          <w:rStyle w:val="18"/>
          <w:rFonts w:hint="eastAsia" w:ascii="仿宋" w:hAnsi="仿宋" w:eastAsia="仿宋"/>
          <w:b w:val="0"/>
          <w:bCs/>
          <w:color w:val="auto"/>
          <w:sz w:val="32"/>
          <w:szCs w:val="32"/>
          <w:highlight w:val="none"/>
          <w:lang w:val="en-US" w:eastAsia="zh-CN"/>
        </w:rPr>
        <w:t>100</w:t>
      </w:r>
      <w:r>
        <w:rPr>
          <w:rStyle w:val="18"/>
          <w:rFonts w:ascii="仿宋" w:hAnsi="仿宋" w:eastAsia="仿宋"/>
          <w:b w:val="0"/>
          <w:bCs/>
          <w:color w:val="auto"/>
          <w:sz w:val="32"/>
          <w:szCs w:val="32"/>
          <w:highlight w:val="none"/>
        </w:rPr>
        <w:t>%</w:t>
      </w:r>
      <w:r>
        <w:rPr>
          <w:rStyle w:val="18"/>
          <w:rFonts w:hint="eastAsia" w:ascii="仿宋" w:hAnsi="仿宋" w:eastAsia="仿宋"/>
          <w:b w:val="0"/>
          <w:bCs/>
          <w:color w:val="auto"/>
          <w:sz w:val="32"/>
          <w:szCs w:val="32"/>
          <w:highlight w:val="none"/>
        </w:rPr>
        <w:t>，决算数</w:t>
      </w:r>
      <w:r>
        <w:rPr>
          <w:rStyle w:val="18"/>
          <w:rFonts w:hint="eastAsia" w:ascii="仿宋" w:hAnsi="仿宋" w:eastAsia="仿宋"/>
          <w:b w:val="0"/>
          <w:bCs/>
          <w:color w:val="auto"/>
          <w:sz w:val="32"/>
          <w:szCs w:val="32"/>
          <w:highlight w:val="none"/>
          <w:lang w:eastAsia="zh-CN"/>
        </w:rPr>
        <w:t>与</w:t>
      </w:r>
      <w:r>
        <w:rPr>
          <w:rStyle w:val="18"/>
          <w:rFonts w:hint="eastAsia" w:ascii="仿宋" w:hAnsi="仿宋" w:eastAsia="仿宋"/>
          <w:b w:val="0"/>
          <w:bCs/>
          <w:color w:val="auto"/>
          <w:sz w:val="32"/>
          <w:szCs w:val="32"/>
          <w:highlight w:val="none"/>
        </w:rPr>
        <w:t>预算数</w:t>
      </w:r>
      <w:r>
        <w:rPr>
          <w:rStyle w:val="18"/>
          <w:rFonts w:hint="eastAsia" w:ascii="仿宋" w:hAnsi="仿宋" w:eastAsia="仿宋"/>
          <w:b w:val="0"/>
          <w:bCs/>
          <w:color w:val="auto"/>
          <w:sz w:val="32"/>
          <w:szCs w:val="32"/>
          <w:highlight w:val="none"/>
          <w:lang w:eastAsia="zh-CN"/>
        </w:rPr>
        <w:t>持平。</w:t>
      </w:r>
    </w:p>
    <w:p w14:paraId="3E807B7A">
      <w:pPr>
        <w:spacing w:line="600" w:lineRule="exact"/>
        <w:ind w:firstLine="643" w:firstLineChars="200"/>
        <w:rPr>
          <w:rFonts w:ascii="仿宋" w:hAnsi="仿宋" w:eastAsia="仿宋"/>
          <w:b/>
          <w:color w:val="auto"/>
          <w:sz w:val="32"/>
          <w:szCs w:val="32"/>
          <w:highlight w:val="none"/>
        </w:rPr>
      </w:pPr>
      <w:r>
        <w:rPr>
          <w:rStyle w:val="18"/>
          <w:rFonts w:hint="eastAsia" w:ascii="仿宋" w:hAnsi="仿宋" w:eastAsia="仿宋"/>
          <w:bCs/>
          <w:sz w:val="32"/>
          <w:szCs w:val="32"/>
          <w:lang w:val="en-US" w:eastAsia="zh-CN"/>
        </w:rPr>
        <w:t>5</w:t>
      </w:r>
      <w:r>
        <w:rPr>
          <w:rStyle w:val="18"/>
          <w:rFonts w:ascii="仿宋" w:hAnsi="仿宋" w:eastAsia="仿宋"/>
          <w:bCs/>
          <w:sz w:val="32"/>
          <w:szCs w:val="32"/>
        </w:rPr>
        <w:t>.</w:t>
      </w:r>
      <w:r>
        <w:rPr>
          <w:rStyle w:val="18"/>
          <w:rFonts w:hint="eastAsia" w:ascii="仿宋" w:hAnsi="仿宋" w:eastAsia="仿宋"/>
          <w:bCs/>
          <w:sz w:val="32"/>
          <w:szCs w:val="32"/>
        </w:rPr>
        <w:t>社会保障和就业（类）</w:t>
      </w:r>
      <w:r>
        <w:rPr>
          <w:rStyle w:val="18"/>
          <w:rFonts w:hint="eastAsia" w:ascii="仿宋" w:hAnsi="仿宋" w:eastAsia="仿宋"/>
          <w:bCs/>
          <w:sz w:val="32"/>
          <w:szCs w:val="32"/>
          <w:lang w:eastAsia="zh-CN"/>
        </w:rPr>
        <w:t>行政事业单位养老支出</w:t>
      </w:r>
      <w:r>
        <w:rPr>
          <w:rStyle w:val="18"/>
          <w:rFonts w:hint="eastAsia" w:ascii="仿宋" w:hAnsi="仿宋" w:eastAsia="仿宋"/>
          <w:bCs/>
          <w:sz w:val="32"/>
          <w:szCs w:val="32"/>
        </w:rPr>
        <w:t>（款）</w:t>
      </w:r>
      <w:r>
        <w:rPr>
          <w:rStyle w:val="18"/>
          <w:rFonts w:hint="eastAsia" w:ascii="仿宋" w:hAnsi="仿宋" w:eastAsia="仿宋"/>
          <w:bCs/>
          <w:sz w:val="32"/>
          <w:szCs w:val="32"/>
          <w:lang w:eastAsia="zh-CN"/>
        </w:rPr>
        <w:t>机关事业单位基本养老保险缴费支出</w:t>
      </w:r>
      <w:r>
        <w:rPr>
          <w:rStyle w:val="18"/>
          <w:rFonts w:hint="eastAsia" w:ascii="仿宋" w:hAnsi="仿宋" w:eastAsia="仿宋"/>
          <w:bCs/>
          <w:sz w:val="32"/>
          <w:szCs w:val="32"/>
        </w:rPr>
        <w:t>（项）</w:t>
      </w:r>
      <w:r>
        <w:rPr>
          <w:rStyle w:val="18"/>
          <w:rFonts w:ascii="仿宋" w:hAnsi="仿宋" w:eastAsia="仿宋"/>
          <w:bCs/>
          <w:color w:val="auto"/>
          <w:sz w:val="32"/>
          <w:szCs w:val="32"/>
          <w:highlight w:val="none"/>
        </w:rPr>
        <w:t>:</w:t>
      </w:r>
      <w:r>
        <w:rPr>
          <w:rStyle w:val="18"/>
          <w:rFonts w:ascii="仿宋" w:hAnsi="仿宋" w:eastAsia="仿宋"/>
          <w:b w:val="0"/>
          <w:bCs/>
          <w:color w:val="auto"/>
          <w:sz w:val="32"/>
          <w:szCs w:val="32"/>
          <w:highlight w:val="none"/>
        </w:rPr>
        <w:t xml:space="preserve"> </w:t>
      </w:r>
      <w:r>
        <w:rPr>
          <w:rStyle w:val="18"/>
          <w:rFonts w:hint="eastAsia" w:ascii="仿宋" w:hAnsi="仿宋" w:eastAsia="仿宋"/>
          <w:b w:val="0"/>
          <w:bCs/>
          <w:color w:val="auto"/>
          <w:sz w:val="32"/>
          <w:szCs w:val="32"/>
          <w:highlight w:val="none"/>
        </w:rPr>
        <w:t>支出决算为</w:t>
      </w:r>
      <w:r>
        <w:rPr>
          <w:rStyle w:val="18"/>
          <w:rFonts w:hint="eastAsia" w:ascii="仿宋" w:hAnsi="仿宋" w:eastAsia="仿宋"/>
          <w:b w:val="0"/>
          <w:bCs/>
          <w:color w:val="auto"/>
          <w:sz w:val="32"/>
          <w:szCs w:val="32"/>
          <w:highlight w:val="none"/>
          <w:lang w:val="en-US" w:eastAsia="zh-CN"/>
        </w:rPr>
        <w:t>46.25</w:t>
      </w:r>
      <w:r>
        <w:rPr>
          <w:rStyle w:val="18"/>
          <w:rFonts w:hint="eastAsia" w:ascii="仿宋" w:hAnsi="仿宋" w:eastAsia="仿宋"/>
          <w:b w:val="0"/>
          <w:bCs/>
          <w:color w:val="auto"/>
          <w:sz w:val="32"/>
          <w:szCs w:val="32"/>
          <w:highlight w:val="none"/>
        </w:rPr>
        <w:t>万元，完成预算</w:t>
      </w:r>
      <w:r>
        <w:rPr>
          <w:rStyle w:val="18"/>
          <w:rFonts w:hint="eastAsia" w:ascii="仿宋" w:hAnsi="仿宋" w:eastAsia="仿宋"/>
          <w:b w:val="0"/>
          <w:bCs/>
          <w:color w:val="auto"/>
          <w:sz w:val="32"/>
          <w:szCs w:val="32"/>
          <w:highlight w:val="none"/>
          <w:lang w:val="en-US" w:eastAsia="zh-CN"/>
        </w:rPr>
        <w:t>100</w:t>
      </w:r>
      <w:r>
        <w:rPr>
          <w:rStyle w:val="18"/>
          <w:rFonts w:ascii="仿宋" w:hAnsi="仿宋" w:eastAsia="仿宋"/>
          <w:b w:val="0"/>
          <w:bCs/>
          <w:color w:val="auto"/>
          <w:sz w:val="32"/>
          <w:szCs w:val="32"/>
          <w:highlight w:val="none"/>
        </w:rPr>
        <w:t>%</w:t>
      </w:r>
      <w:r>
        <w:rPr>
          <w:rStyle w:val="18"/>
          <w:rFonts w:hint="eastAsia" w:ascii="仿宋" w:hAnsi="仿宋" w:eastAsia="仿宋"/>
          <w:b w:val="0"/>
          <w:bCs/>
          <w:color w:val="auto"/>
          <w:sz w:val="32"/>
          <w:szCs w:val="32"/>
          <w:highlight w:val="none"/>
        </w:rPr>
        <w:t>，决算数</w:t>
      </w:r>
      <w:r>
        <w:rPr>
          <w:rStyle w:val="18"/>
          <w:rFonts w:hint="eastAsia" w:ascii="仿宋" w:hAnsi="仿宋" w:eastAsia="仿宋"/>
          <w:b w:val="0"/>
          <w:bCs/>
          <w:color w:val="auto"/>
          <w:sz w:val="32"/>
          <w:szCs w:val="32"/>
          <w:highlight w:val="none"/>
          <w:lang w:eastAsia="zh-CN"/>
        </w:rPr>
        <w:t>与</w:t>
      </w:r>
      <w:r>
        <w:rPr>
          <w:rStyle w:val="18"/>
          <w:rFonts w:hint="eastAsia" w:ascii="仿宋" w:hAnsi="仿宋" w:eastAsia="仿宋"/>
          <w:b w:val="0"/>
          <w:bCs/>
          <w:color w:val="auto"/>
          <w:sz w:val="32"/>
          <w:szCs w:val="32"/>
          <w:highlight w:val="none"/>
        </w:rPr>
        <w:t>预算数</w:t>
      </w:r>
      <w:r>
        <w:rPr>
          <w:rStyle w:val="18"/>
          <w:rFonts w:hint="eastAsia" w:ascii="仿宋" w:hAnsi="仿宋" w:eastAsia="仿宋"/>
          <w:b w:val="0"/>
          <w:bCs/>
          <w:color w:val="auto"/>
          <w:sz w:val="32"/>
          <w:szCs w:val="32"/>
          <w:highlight w:val="none"/>
          <w:lang w:eastAsia="zh-CN"/>
        </w:rPr>
        <w:t>持平。</w:t>
      </w:r>
    </w:p>
    <w:p w14:paraId="0B113B46">
      <w:pPr>
        <w:spacing w:line="600" w:lineRule="exact"/>
        <w:ind w:firstLine="643" w:firstLineChars="200"/>
        <w:rPr>
          <w:rStyle w:val="18"/>
          <w:rFonts w:hint="eastAsia" w:ascii="仿宋" w:hAnsi="仿宋" w:eastAsia="仿宋"/>
          <w:b w:val="0"/>
          <w:bCs/>
          <w:color w:val="auto"/>
          <w:sz w:val="32"/>
          <w:szCs w:val="32"/>
          <w:highlight w:val="none"/>
          <w:lang w:eastAsia="zh-CN"/>
        </w:rPr>
      </w:pPr>
      <w:r>
        <w:rPr>
          <w:rStyle w:val="18"/>
          <w:rFonts w:hint="eastAsia" w:ascii="仿宋" w:hAnsi="仿宋" w:eastAsia="仿宋"/>
          <w:bCs/>
          <w:color w:val="auto"/>
          <w:sz w:val="32"/>
          <w:szCs w:val="32"/>
          <w:highlight w:val="none"/>
          <w:lang w:val="en-US" w:eastAsia="zh-CN"/>
        </w:rPr>
        <w:t>6</w:t>
      </w:r>
      <w:r>
        <w:rPr>
          <w:rStyle w:val="18"/>
          <w:rFonts w:ascii="仿宋" w:hAnsi="仿宋" w:eastAsia="仿宋"/>
          <w:bCs/>
          <w:color w:val="auto"/>
          <w:sz w:val="32"/>
          <w:szCs w:val="32"/>
          <w:highlight w:val="none"/>
        </w:rPr>
        <w:t>.</w:t>
      </w:r>
      <w:r>
        <w:rPr>
          <w:rFonts w:hint="eastAsia" w:ascii="仿宋" w:hAnsi="仿宋" w:eastAsia="仿宋"/>
          <w:b/>
          <w:bCs/>
          <w:color w:val="auto"/>
          <w:sz w:val="32"/>
          <w:szCs w:val="32"/>
          <w:highlight w:val="none"/>
        </w:rPr>
        <w:t>卫生健康支出</w:t>
      </w:r>
      <w:r>
        <w:rPr>
          <w:rStyle w:val="18"/>
          <w:rFonts w:hint="eastAsia" w:ascii="仿宋" w:hAnsi="仿宋" w:eastAsia="仿宋"/>
          <w:bCs/>
          <w:color w:val="auto"/>
          <w:sz w:val="32"/>
          <w:szCs w:val="32"/>
          <w:highlight w:val="none"/>
        </w:rPr>
        <w:t>（类）行政事业单位医疗（款）事业单位医疗（项）</w:t>
      </w:r>
      <w:r>
        <w:rPr>
          <w:rStyle w:val="18"/>
          <w:rFonts w:ascii="仿宋" w:hAnsi="仿宋" w:eastAsia="仿宋"/>
          <w:bCs/>
          <w:color w:val="auto"/>
          <w:sz w:val="32"/>
          <w:szCs w:val="32"/>
          <w:highlight w:val="none"/>
        </w:rPr>
        <w:t>:</w:t>
      </w:r>
      <w:r>
        <w:rPr>
          <w:rStyle w:val="18"/>
          <w:rFonts w:hint="eastAsia" w:ascii="仿宋" w:hAnsi="仿宋" w:eastAsia="仿宋"/>
          <w:b w:val="0"/>
          <w:bCs/>
          <w:color w:val="auto"/>
          <w:sz w:val="32"/>
          <w:szCs w:val="32"/>
          <w:highlight w:val="none"/>
        </w:rPr>
        <w:t>支出决算为</w:t>
      </w:r>
      <w:r>
        <w:rPr>
          <w:rStyle w:val="18"/>
          <w:rFonts w:hint="eastAsia" w:ascii="仿宋" w:hAnsi="仿宋" w:eastAsia="仿宋"/>
          <w:b w:val="0"/>
          <w:bCs/>
          <w:color w:val="auto"/>
          <w:sz w:val="32"/>
          <w:szCs w:val="32"/>
          <w:highlight w:val="none"/>
          <w:lang w:val="en-US" w:eastAsia="zh-CN"/>
        </w:rPr>
        <w:t>22.25</w:t>
      </w:r>
      <w:r>
        <w:rPr>
          <w:rStyle w:val="18"/>
          <w:rFonts w:hint="eastAsia" w:ascii="仿宋" w:hAnsi="仿宋" w:eastAsia="仿宋"/>
          <w:b w:val="0"/>
          <w:bCs/>
          <w:color w:val="auto"/>
          <w:sz w:val="32"/>
          <w:szCs w:val="32"/>
          <w:highlight w:val="none"/>
        </w:rPr>
        <w:t>万元，完成预算</w:t>
      </w:r>
      <w:r>
        <w:rPr>
          <w:rStyle w:val="18"/>
          <w:rFonts w:hint="eastAsia" w:ascii="仿宋" w:hAnsi="仿宋" w:eastAsia="仿宋"/>
          <w:b w:val="0"/>
          <w:bCs/>
          <w:color w:val="auto"/>
          <w:sz w:val="32"/>
          <w:szCs w:val="32"/>
          <w:highlight w:val="none"/>
          <w:lang w:val="en-US" w:eastAsia="zh-CN"/>
        </w:rPr>
        <w:t>100</w:t>
      </w:r>
      <w:r>
        <w:rPr>
          <w:rStyle w:val="18"/>
          <w:rFonts w:ascii="仿宋" w:hAnsi="仿宋" w:eastAsia="仿宋"/>
          <w:b w:val="0"/>
          <w:bCs/>
          <w:color w:val="auto"/>
          <w:sz w:val="32"/>
          <w:szCs w:val="32"/>
          <w:highlight w:val="none"/>
        </w:rPr>
        <w:t>%</w:t>
      </w:r>
      <w:r>
        <w:rPr>
          <w:rStyle w:val="18"/>
          <w:rFonts w:hint="eastAsia" w:ascii="仿宋" w:hAnsi="仿宋" w:eastAsia="仿宋"/>
          <w:b w:val="0"/>
          <w:bCs/>
          <w:color w:val="auto"/>
          <w:sz w:val="32"/>
          <w:szCs w:val="32"/>
          <w:highlight w:val="none"/>
        </w:rPr>
        <w:t>，决算数</w:t>
      </w:r>
      <w:r>
        <w:rPr>
          <w:rStyle w:val="18"/>
          <w:rFonts w:hint="eastAsia" w:ascii="仿宋" w:hAnsi="仿宋" w:eastAsia="仿宋"/>
          <w:b w:val="0"/>
          <w:bCs/>
          <w:color w:val="auto"/>
          <w:sz w:val="32"/>
          <w:szCs w:val="32"/>
          <w:highlight w:val="none"/>
          <w:lang w:eastAsia="zh-CN"/>
        </w:rPr>
        <w:t>与</w:t>
      </w:r>
      <w:r>
        <w:rPr>
          <w:rStyle w:val="18"/>
          <w:rFonts w:hint="eastAsia" w:ascii="仿宋" w:hAnsi="仿宋" w:eastAsia="仿宋"/>
          <w:b w:val="0"/>
          <w:bCs/>
          <w:color w:val="auto"/>
          <w:sz w:val="32"/>
          <w:szCs w:val="32"/>
          <w:highlight w:val="none"/>
        </w:rPr>
        <w:t>预算数</w:t>
      </w:r>
      <w:r>
        <w:rPr>
          <w:rStyle w:val="18"/>
          <w:rFonts w:hint="eastAsia" w:ascii="仿宋" w:hAnsi="仿宋" w:eastAsia="仿宋"/>
          <w:b w:val="0"/>
          <w:bCs/>
          <w:color w:val="auto"/>
          <w:sz w:val="32"/>
          <w:szCs w:val="32"/>
          <w:highlight w:val="none"/>
          <w:lang w:eastAsia="zh-CN"/>
        </w:rPr>
        <w:t>持平。</w:t>
      </w:r>
    </w:p>
    <w:p w14:paraId="07A8E9D5">
      <w:pPr>
        <w:spacing w:line="600" w:lineRule="exact"/>
        <w:ind w:firstLine="643" w:firstLineChars="200"/>
        <w:rPr>
          <w:rStyle w:val="18"/>
          <w:rFonts w:hint="eastAsia" w:ascii="仿宋" w:hAnsi="仿宋" w:eastAsia="仿宋"/>
          <w:b w:val="0"/>
          <w:bCs/>
          <w:color w:val="auto"/>
          <w:sz w:val="32"/>
          <w:szCs w:val="32"/>
          <w:highlight w:val="none"/>
          <w:lang w:eastAsia="zh-CN"/>
        </w:rPr>
      </w:pPr>
      <w:r>
        <w:rPr>
          <w:rStyle w:val="18"/>
          <w:rFonts w:hint="eastAsia" w:ascii="仿宋" w:hAnsi="仿宋" w:eastAsia="仿宋"/>
          <w:bCs/>
          <w:color w:val="auto"/>
          <w:sz w:val="32"/>
          <w:szCs w:val="32"/>
          <w:highlight w:val="none"/>
          <w:lang w:val="en-US" w:eastAsia="zh-CN"/>
        </w:rPr>
        <w:t>7</w:t>
      </w:r>
      <w:r>
        <w:rPr>
          <w:rStyle w:val="18"/>
          <w:rFonts w:ascii="仿宋" w:hAnsi="仿宋" w:eastAsia="仿宋"/>
          <w:bCs/>
          <w:color w:val="auto"/>
          <w:sz w:val="32"/>
          <w:szCs w:val="32"/>
          <w:highlight w:val="none"/>
        </w:rPr>
        <w:t>.</w:t>
      </w:r>
      <w:r>
        <w:rPr>
          <w:rFonts w:hint="eastAsia" w:ascii="仿宋" w:hAnsi="仿宋" w:eastAsia="仿宋"/>
          <w:b/>
          <w:bCs/>
          <w:color w:val="auto"/>
          <w:sz w:val="32"/>
          <w:szCs w:val="32"/>
          <w:highlight w:val="none"/>
        </w:rPr>
        <w:t>卫生健康支出</w:t>
      </w:r>
      <w:r>
        <w:rPr>
          <w:rStyle w:val="18"/>
          <w:rFonts w:hint="eastAsia" w:ascii="仿宋" w:hAnsi="仿宋" w:eastAsia="仿宋"/>
          <w:bCs/>
          <w:color w:val="auto"/>
          <w:sz w:val="32"/>
          <w:szCs w:val="32"/>
          <w:highlight w:val="none"/>
        </w:rPr>
        <w:t>（类）行政事业单位医疗（款）公务员医疗补助（项）</w:t>
      </w:r>
      <w:r>
        <w:rPr>
          <w:rStyle w:val="18"/>
          <w:rFonts w:ascii="仿宋" w:hAnsi="仿宋" w:eastAsia="仿宋"/>
          <w:bCs/>
          <w:color w:val="auto"/>
          <w:sz w:val="32"/>
          <w:szCs w:val="32"/>
          <w:highlight w:val="none"/>
        </w:rPr>
        <w:t>:</w:t>
      </w:r>
      <w:r>
        <w:rPr>
          <w:rStyle w:val="18"/>
          <w:rFonts w:hint="eastAsia" w:ascii="仿宋" w:hAnsi="仿宋" w:eastAsia="仿宋"/>
          <w:b w:val="0"/>
          <w:bCs/>
          <w:color w:val="auto"/>
          <w:sz w:val="32"/>
          <w:szCs w:val="32"/>
          <w:highlight w:val="none"/>
        </w:rPr>
        <w:t>支出决算为</w:t>
      </w:r>
      <w:r>
        <w:rPr>
          <w:rStyle w:val="18"/>
          <w:rFonts w:hint="eastAsia" w:ascii="仿宋" w:hAnsi="仿宋" w:eastAsia="仿宋"/>
          <w:b w:val="0"/>
          <w:bCs/>
          <w:color w:val="auto"/>
          <w:sz w:val="32"/>
          <w:szCs w:val="32"/>
          <w:highlight w:val="none"/>
          <w:lang w:val="en-US" w:eastAsia="zh-CN"/>
        </w:rPr>
        <w:t>2.75</w:t>
      </w:r>
      <w:r>
        <w:rPr>
          <w:rStyle w:val="18"/>
          <w:rFonts w:hint="eastAsia" w:ascii="仿宋" w:hAnsi="仿宋" w:eastAsia="仿宋"/>
          <w:b w:val="0"/>
          <w:bCs/>
          <w:color w:val="auto"/>
          <w:sz w:val="32"/>
          <w:szCs w:val="32"/>
          <w:highlight w:val="none"/>
        </w:rPr>
        <w:t>万元，完成预算</w:t>
      </w:r>
      <w:r>
        <w:rPr>
          <w:rStyle w:val="18"/>
          <w:rFonts w:hint="eastAsia" w:ascii="仿宋" w:hAnsi="仿宋" w:eastAsia="仿宋"/>
          <w:b w:val="0"/>
          <w:bCs/>
          <w:color w:val="auto"/>
          <w:sz w:val="32"/>
          <w:szCs w:val="32"/>
          <w:highlight w:val="none"/>
          <w:lang w:val="en-US" w:eastAsia="zh-CN"/>
        </w:rPr>
        <w:t>100</w:t>
      </w:r>
      <w:r>
        <w:rPr>
          <w:rStyle w:val="18"/>
          <w:rFonts w:ascii="仿宋" w:hAnsi="仿宋" w:eastAsia="仿宋"/>
          <w:b w:val="0"/>
          <w:bCs/>
          <w:color w:val="auto"/>
          <w:sz w:val="32"/>
          <w:szCs w:val="32"/>
          <w:highlight w:val="none"/>
        </w:rPr>
        <w:t>%</w:t>
      </w:r>
      <w:r>
        <w:rPr>
          <w:rStyle w:val="18"/>
          <w:rFonts w:hint="eastAsia" w:ascii="仿宋" w:hAnsi="仿宋" w:eastAsia="仿宋"/>
          <w:b w:val="0"/>
          <w:bCs/>
          <w:color w:val="auto"/>
          <w:sz w:val="32"/>
          <w:szCs w:val="32"/>
          <w:highlight w:val="none"/>
        </w:rPr>
        <w:t>，，决算数</w:t>
      </w:r>
      <w:r>
        <w:rPr>
          <w:rStyle w:val="18"/>
          <w:rFonts w:hint="eastAsia" w:ascii="仿宋" w:hAnsi="仿宋" w:eastAsia="仿宋"/>
          <w:b w:val="0"/>
          <w:bCs/>
          <w:color w:val="auto"/>
          <w:sz w:val="32"/>
          <w:szCs w:val="32"/>
          <w:highlight w:val="none"/>
          <w:lang w:eastAsia="zh-CN"/>
        </w:rPr>
        <w:t>与</w:t>
      </w:r>
      <w:r>
        <w:rPr>
          <w:rStyle w:val="18"/>
          <w:rFonts w:hint="eastAsia" w:ascii="仿宋" w:hAnsi="仿宋" w:eastAsia="仿宋"/>
          <w:b w:val="0"/>
          <w:bCs/>
          <w:color w:val="auto"/>
          <w:sz w:val="32"/>
          <w:szCs w:val="32"/>
          <w:highlight w:val="none"/>
        </w:rPr>
        <w:t>预算数</w:t>
      </w:r>
      <w:r>
        <w:rPr>
          <w:rStyle w:val="18"/>
          <w:rFonts w:hint="eastAsia" w:ascii="仿宋" w:hAnsi="仿宋" w:eastAsia="仿宋"/>
          <w:b w:val="0"/>
          <w:bCs/>
          <w:color w:val="auto"/>
          <w:sz w:val="32"/>
          <w:szCs w:val="32"/>
          <w:highlight w:val="none"/>
          <w:lang w:eastAsia="zh-CN"/>
        </w:rPr>
        <w:t>持平。</w:t>
      </w:r>
    </w:p>
    <w:p w14:paraId="77E88437">
      <w:pPr>
        <w:spacing w:line="600" w:lineRule="exact"/>
        <w:ind w:firstLine="643" w:firstLineChars="200"/>
        <w:rPr>
          <w:rStyle w:val="18"/>
          <w:rFonts w:hint="eastAsia" w:ascii="仿宋" w:hAnsi="仿宋" w:eastAsia="仿宋"/>
          <w:b w:val="0"/>
          <w:bCs/>
          <w:color w:val="auto"/>
          <w:sz w:val="32"/>
          <w:szCs w:val="32"/>
          <w:highlight w:val="none"/>
          <w:lang w:eastAsia="zh-CN"/>
        </w:rPr>
      </w:pPr>
      <w:r>
        <w:rPr>
          <w:rStyle w:val="18"/>
          <w:rFonts w:hint="eastAsia" w:ascii="仿宋" w:hAnsi="仿宋" w:eastAsia="仿宋"/>
          <w:bCs/>
          <w:color w:val="auto"/>
          <w:sz w:val="32"/>
          <w:szCs w:val="32"/>
          <w:highlight w:val="none"/>
          <w:lang w:val="en-US" w:eastAsia="zh-CN"/>
        </w:rPr>
        <w:t>8</w:t>
      </w:r>
      <w:r>
        <w:rPr>
          <w:rStyle w:val="18"/>
          <w:rFonts w:ascii="仿宋" w:hAnsi="仿宋" w:eastAsia="仿宋"/>
          <w:bCs/>
          <w:color w:val="auto"/>
          <w:sz w:val="32"/>
          <w:szCs w:val="32"/>
          <w:highlight w:val="none"/>
        </w:rPr>
        <w:t>.</w:t>
      </w:r>
      <w:r>
        <w:rPr>
          <w:rFonts w:hint="eastAsia" w:ascii="仿宋" w:hAnsi="仿宋" w:eastAsia="仿宋"/>
          <w:b/>
          <w:bCs/>
          <w:color w:val="auto"/>
          <w:sz w:val="32"/>
          <w:szCs w:val="32"/>
          <w:highlight w:val="none"/>
        </w:rPr>
        <w:t>卫生健康支出</w:t>
      </w:r>
      <w:r>
        <w:rPr>
          <w:rStyle w:val="18"/>
          <w:rFonts w:hint="eastAsia" w:ascii="仿宋" w:hAnsi="仿宋" w:eastAsia="仿宋"/>
          <w:bCs/>
          <w:color w:val="auto"/>
          <w:sz w:val="32"/>
          <w:szCs w:val="32"/>
          <w:highlight w:val="none"/>
        </w:rPr>
        <w:t>（类）行政事业单位医疗（款）其他行政事业单位医疗支出（项）</w:t>
      </w:r>
      <w:r>
        <w:rPr>
          <w:rStyle w:val="18"/>
          <w:rFonts w:ascii="仿宋" w:hAnsi="仿宋" w:eastAsia="仿宋"/>
          <w:bCs/>
          <w:color w:val="auto"/>
          <w:sz w:val="32"/>
          <w:szCs w:val="32"/>
          <w:highlight w:val="none"/>
        </w:rPr>
        <w:t>:</w:t>
      </w:r>
      <w:r>
        <w:rPr>
          <w:rStyle w:val="18"/>
          <w:rFonts w:hint="eastAsia" w:ascii="仿宋" w:hAnsi="仿宋" w:eastAsia="仿宋"/>
          <w:b w:val="0"/>
          <w:bCs/>
          <w:color w:val="auto"/>
          <w:sz w:val="32"/>
          <w:szCs w:val="32"/>
          <w:highlight w:val="none"/>
        </w:rPr>
        <w:t>支出决算为</w:t>
      </w:r>
      <w:r>
        <w:rPr>
          <w:rStyle w:val="18"/>
          <w:rFonts w:hint="eastAsia" w:ascii="仿宋" w:hAnsi="仿宋" w:eastAsia="仿宋"/>
          <w:b w:val="0"/>
          <w:bCs/>
          <w:color w:val="auto"/>
          <w:sz w:val="32"/>
          <w:szCs w:val="32"/>
          <w:highlight w:val="none"/>
          <w:lang w:val="en-US" w:eastAsia="zh-CN"/>
        </w:rPr>
        <w:t>2.82</w:t>
      </w:r>
      <w:r>
        <w:rPr>
          <w:rStyle w:val="18"/>
          <w:rFonts w:hint="eastAsia" w:ascii="仿宋" w:hAnsi="仿宋" w:eastAsia="仿宋"/>
          <w:b w:val="0"/>
          <w:bCs/>
          <w:color w:val="auto"/>
          <w:sz w:val="32"/>
          <w:szCs w:val="32"/>
          <w:highlight w:val="none"/>
        </w:rPr>
        <w:t>万元，完成预算</w:t>
      </w:r>
      <w:r>
        <w:rPr>
          <w:rStyle w:val="18"/>
          <w:rFonts w:hint="eastAsia" w:ascii="仿宋" w:hAnsi="仿宋" w:eastAsia="仿宋"/>
          <w:b w:val="0"/>
          <w:bCs/>
          <w:color w:val="auto"/>
          <w:sz w:val="32"/>
          <w:szCs w:val="32"/>
          <w:highlight w:val="none"/>
          <w:lang w:val="en-US" w:eastAsia="zh-CN"/>
        </w:rPr>
        <w:t>100</w:t>
      </w:r>
      <w:r>
        <w:rPr>
          <w:rStyle w:val="18"/>
          <w:rFonts w:ascii="仿宋" w:hAnsi="仿宋" w:eastAsia="仿宋"/>
          <w:b w:val="0"/>
          <w:bCs/>
          <w:color w:val="auto"/>
          <w:sz w:val="32"/>
          <w:szCs w:val="32"/>
          <w:highlight w:val="none"/>
        </w:rPr>
        <w:t>%</w:t>
      </w:r>
      <w:r>
        <w:rPr>
          <w:rStyle w:val="18"/>
          <w:rFonts w:hint="eastAsia" w:ascii="仿宋" w:hAnsi="仿宋" w:eastAsia="仿宋"/>
          <w:b w:val="0"/>
          <w:bCs/>
          <w:color w:val="auto"/>
          <w:sz w:val="32"/>
          <w:szCs w:val="32"/>
          <w:highlight w:val="none"/>
        </w:rPr>
        <w:t>，决算数</w:t>
      </w:r>
      <w:r>
        <w:rPr>
          <w:rStyle w:val="18"/>
          <w:rFonts w:hint="eastAsia" w:ascii="仿宋" w:hAnsi="仿宋" w:eastAsia="仿宋"/>
          <w:b w:val="0"/>
          <w:bCs/>
          <w:color w:val="auto"/>
          <w:sz w:val="32"/>
          <w:szCs w:val="32"/>
          <w:highlight w:val="none"/>
          <w:lang w:eastAsia="zh-CN"/>
        </w:rPr>
        <w:t>与</w:t>
      </w:r>
      <w:r>
        <w:rPr>
          <w:rStyle w:val="18"/>
          <w:rFonts w:hint="eastAsia" w:ascii="仿宋" w:hAnsi="仿宋" w:eastAsia="仿宋"/>
          <w:b w:val="0"/>
          <w:bCs/>
          <w:color w:val="auto"/>
          <w:sz w:val="32"/>
          <w:szCs w:val="32"/>
          <w:highlight w:val="none"/>
        </w:rPr>
        <w:t>预算数</w:t>
      </w:r>
      <w:r>
        <w:rPr>
          <w:rStyle w:val="18"/>
          <w:rFonts w:hint="eastAsia" w:ascii="仿宋" w:hAnsi="仿宋" w:eastAsia="仿宋"/>
          <w:b w:val="0"/>
          <w:bCs/>
          <w:color w:val="auto"/>
          <w:sz w:val="32"/>
          <w:szCs w:val="32"/>
          <w:highlight w:val="none"/>
          <w:lang w:eastAsia="zh-CN"/>
        </w:rPr>
        <w:t>持平。</w:t>
      </w:r>
    </w:p>
    <w:p w14:paraId="777D3CA0">
      <w:pPr>
        <w:spacing w:line="600" w:lineRule="exact"/>
        <w:ind w:firstLine="643" w:firstLineChars="200"/>
        <w:rPr>
          <w:rFonts w:eastAsia="仿宋_GB2312" w:cs="仿宋_GB2312"/>
          <w:sz w:val="32"/>
          <w:szCs w:val="32"/>
        </w:rPr>
      </w:pPr>
      <w:r>
        <w:rPr>
          <w:rStyle w:val="18"/>
          <w:rFonts w:hint="eastAsia" w:ascii="仿宋" w:hAnsi="仿宋" w:eastAsia="仿宋"/>
          <w:bCs/>
          <w:color w:val="auto"/>
          <w:sz w:val="32"/>
          <w:szCs w:val="32"/>
          <w:lang w:val="en-US" w:eastAsia="zh-CN"/>
        </w:rPr>
        <w:t>9</w:t>
      </w:r>
      <w:r>
        <w:rPr>
          <w:rStyle w:val="18"/>
          <w:rFonts w:ascii="仿宋" w:hAnsi="仿宋" w:eastAsia="仿宋"/>
          <w:bCs/>
          <w:color w:val="auto"/>
          <w:sz w:val="32"/>
          <w:szCs w:val="32"/>
        </w:rPr>
        <w:t>.</w:t>
      </w:r>
      <w:r>
        <w:rPr>
          <w:rFonts w:hint="eastAsia" w:ascii="仿宋" w:hAnsi="仿宋" w:eastAsia="仿宋"/>
          <w:b/>
          <w:bCs/>
          <w:color w:val="auto"/>
          <w:sz w:val="32"/>
          <w:szCs w:val="32"/>
          <w:lang w:eastAsia="zh-CN"/>
        </w:rPr>
        <w:t>住房保障支出</w:t>
      </w:r>
      <w:r>
        <w:rPr>
          <w:rStyle w:val="18"/>
          <w:rFonts w:hint="eastAsia" w:ascii="仿宋" w:hAnsi="仿宋" w:eastAsia="仿宋"/>
          <w:bCs/>
          <w:color w:val="auto"/>
          <w:sz w:val="32"/>
          <w:szCs w:val="32"/>
        </w:rPr>
        <w:t>（类）住房改革支出（款）住房公积金（项）</w:t>
      </w:r>
      <w:r>
        <w:rPr>
          <w:rStyle w:val="18"/>
          <w:rFonts w:ascii="仿宋" w:hAnsi="仿宋" w:eastAsia="仿宋"/>
          <w:bCs/>
          <w:color w:val="auto"/>
          <w:sz w:val="32"/>
          <w:szCs w:val="32"/>
          <w:highlight w:val="none"/>
        </w:rPr>
        <w:t>:</w:t>
      </w:r>
      <w:r>
        <w:rPr>
          <w:rStyle w:val="18"/>
          <w:rFonts w:ascii="仿宋" w:hAnsi="仿宋" w:eastAsia="仿宋"/>
          <w:b w:val="0"/>
          <w:bCs/>
          <w:color w:val="auto"/>
          <w:sz w:val="32"/>
          <w:szCs w:val="32"/>
          <w:highlight w:val="none"/>
        </w:rPr>
        <w:t xml:space="preserve"> </w:t>
      </w:r>
      <w:r>
        <w:rPr>
          <w:rStyle w:val="18"/>
          <w:rFonts w:hint="eastAsia" w:ascii="仿宋" w:hAnsi="仿宋" w:eastAsia="仿宋"/>
          <w:b w:val="0"/>
          <w:bCs/>
          <w:color w:val="auto"/>
          <w:sz w:val="32"/>
          <w:szCs w:val="32"/>
          <w:highlight w:val="none"/>
        </w:rPr>
        <w:t>支出决算为</w:t>
      </w:r>
      <w:r>
        <w:rPr>
          <w:rStyle w:val="18"/>
          <w:rFonts w:hint="eastAsia" w:ascii="仿宋" w:hAnsi="仿宋" w:eastAsia="仿宋"/>
          <w:b w:val="0"/>
          <w:bCs/>
          <w:color w:val="auto"/>
          <w:sz w:val="32"/>
          <w:szCs w:val="32"/>
          <w:highlight w:val="none"/>
          <w:lang w:val="en-US" w:eastAsia="zh-CN"/>
        </w:rPr>
        <w:t>33.79</w:t>
      </w:r>
      <w:r>
        <w:rPr>
          <w:rStyle w:val="18"/>
          <w:rFonts w:hint="eastAsia" w:ascii="仿宋" w:hAnsi="仿宋" w:eastAsia="仿宋"/>
          <w:b w:val="0"/>
          <w:bCs/>
          <w:color w:val="auto"/>
          <w:sz w:val="32"/>
          <w:szCs w:val="32"/>
          <w:highlight w:val="none"/>
        </w:rPr>
        <w:t>万元，完成预算</w:t>
      </w:r>
      <w:r>
        <w:rPr>
          <w:rStyle w:val="18"/>
          <w:rFonts w:hint="eastAsia" w:ascii="仿宋" w:hAnsi="仿宋" w:eastAsia="仿宋"/>
          <w:b w:val="0"/>
          <w:bCs/>
          <w:color w:val="auto"/>
          <w:sz w:val="32"/>
          <w:szCs w:val="32"/>
          <w:highlight w:val="none"/>
          <w:lang w:val="en-US" w:eastAsia="zh-CN"/>
        </w:rPr>
        <w:t>100</w:t>
      </w:r>
      <w:r>
        <w:rPr>
          <w:rStyle w:val="18"/>
          <w:rFonts w:ascii="仿宋" w:hAnsi="仿宋" w:eastAsia="仿宋"/>
          <w:b w:val="0"/>
          <w:bCs/>
          <w:color w:val="auto"/>
          <w:sz w:val="32"/>
          <w:szCs w:val="32"/>
          <w:highlight w:val="none"/>
        </w:rPr>
        <w:t>%</w:t>
      </w:r>
      <w:r>
        <w:rPr>
          <w:rStyle w:val="18"/>
          <w:rFonts w:hint="eastAsia" w:ascii="仿宋" w:hAnsi="仿宋" w:eastAsia="仿宋"/>
          <w:b w:val="0"/>
          <w:bCs/>
          <w:color w:val="auto"/>
          <w:sz w:val="32"/>
          <w:szCs w:val="32"/>
          <w:highlight w:val="none"/>
        </w:rPr>
        <w:t>，决算数</w:t>
      </w:r>
      <w:r>
        <w:rPr>
          <w:rStyle w:val="18"/>
          <w:rFonts w:hint="eastAsia" w:ascii="仿宋" w:hAnsi="仿宋" w:eastAsia="仿宋"/>
          <w:b w:val="0"/>
          <w:bCs/>
          <w:color w:val="auto"/>
          <w:sz w:val="32"/>
          <w:szCs w:val="32"/>
          <w:highlight w:val="none"/>
          <w:lang w:eastAsia="zh-CN"/>
        </w:rPr>
        <w:t>与</w:t>
      </w:r>
      <w:r>
        <w:rPr>
          <w:rStyle w:val="18"/>
          <w:rFonts w:hint="eastAsia" w:ascii="仿宋" w:hAnsi="仿宋" w:eastAsia="仿宋"/>
          <w:b w:val="0"/>
          <w:bCs/>
          <w:color w:val="auto"/>
          <w:sz w:val="32"/>
          <w:szCs w:val="32"/>
          <w:highlight w:val="none"/>
        </w:rPr>
        <w:t>预算数</w:t>
      </w:r>
      <w:r>
        <w:rPr>
          <w:rStyle w:val="18"/>
          <w:rFonts w:hint="eastAsia" w:ascii="仿宋" w:hAnsi="仿宋" w:eastAsia="仿宋"/>
          <w:b w:val="0"/>
          <w:bCs/>
          <w:color w:val="auto"/>
          <w:sz w:val="32"/>
          <w:szCs w:val="32"/>
          <w:highlight w:val="none"/>
          <w:lang w:eastAsia="zh-CN"/>
        </w:rPr>
        <w:t>持平。</w:t>
      </w:r>
    </w:p>
    <w:p w14:paraId="0081D2EC">
      <w:pPr>
        <w:tabs>
          <w:tab w:val="right" w:pos="8306"/>
        </w:tabs>
        <w:spacing w:line="600" w:lineRule="exact"/>
        <w:ind w:firstLine="640"/>
        <w:outlineLvl w:val="1"/>
        <w:rPr>
          <w:rStyle w:val="30"/>
          <w:rFonts w:ascii="Times New Roman" w:hAnsi="Times New Roman"/>
        </w:rPr>
      </w:pPr>
      <w:r>
        <w:rPr>
          <w:rFonts w:hint="eastAsia" w:eastAsia="黑体"/>
          <w:sz w:val="32"/>
          <w:szCs w:val="32"/>
        </w:rPr>
        <w:t>六</w:t>
      </w:r>
      <w:r>
        <w:rPr>
          <w:rFonts w:hint="eastAsia" w:eastAsia="黑体"/>
          <w:b/>
          <w:sz w:val="32"/>
          <w:szCs w:val="32"/>
        </w:rPr>
        <w:t>、一</w:t>
      </w:r>
      <w:r>
        <w:rPr>
          <w:rStyle w:val="30"/>
          <w:rFonts w:hint="eastAsia" w:ascii="Times New Roman" w:hAnsi="Times New Roman" w:eastAsia="黑体"/>
          <w:b w:val="0"/>
        </w:rPr>
        <w:t>般公共预算财政拨款基本支出决算情况说明</w:t>
      </w:r>
      <w:bookmarkEnd w:id="34"/>
      <w:bookmarkEnd w:id="35"/>
      <w:r>
        <w:rPr>
          <w:rStyle w:val="30"/>
          <w:rFonts w:ascii="Times New Roman" w:hAnsi="Times New Roman" w:eastAsia="黑体"/>
          <w:b w:val="0"/>
        </w:rPr>
        <w:tab/>
      </w:r>
    </w:p>
    <w:p w14:paraId="73C03D69">
      <w:pPr>
        <w:spacing w:line="600" w:lineRule="exact"/>
        <w:ind w:firstLine="640"/>
        <w:rPr>
          <w:rFonts w:eastAsia="仿宋_GB2312" w:cs="仿宋_GB2312"/>
          <w:sz w:val="32"/>
          <w:szCs w:val="32"/>
        </w:rPr>
      </w:pPr>
      <w:r>
        <w:rPr>
          <w:rFonts w:hint="eastAsia" w:eastAsia="仿宋_GB2312" w:cs="仿宋_GB2312"/>
          <w:sz w:val="32"/>
          <w:szCs w:val="32"/>
        </w:rPr>
        <w:t>2025年度一般公共预算财政拨款基本支出</w:t>
      </w:r>
      <w:r>
        <w:rPr>
          <w:rFonts w:hint="eastAsia" w:eastAsia="仿宋_GB2312" w:cs="仿宋_GB2312"/>
          <w:sz w:val="32"/>
          <w:szCs w:val="32"/>
          <w:lang w:val="en-US" w:eastAsia="zh-CN"/>
        </w:rPr>
        <w:t>484.11</w:t>
      </w:r>
      <w:r>
        <w:rPr>
          <w:rFonts w:hint="eastAsia" w:eastAsia="仿宋_GB2312" w:cs="仿宋_GB2312"/>
          <w:sz w:val="32"/>
          <w:szCs w:val="32"/>
        </w:rPr>
        <w:t>万元，其中：</w:t>
      </w:r>
    </w:p>
    <w:p w14:paraId="35A8A86E">
      <w:pPr>
        <w:spacing w:line="600" w:lineRule="exact"/>
        <w:ind w:firstLine="640"/>
        <w:rPr>
          <w:rFonts w:eastAsia="仿宋_GB2312" w:cs="仿宋_GB2312"/>
          <w:sz w:val="32"/>
          <w:szCs w:val="32"/>
        </w:rPr>
      </w:pPr>
      <w:r>
        <w:rPr>
          <w:rFonts w:hint="eastAsia" w:eastAsia="仿宋_GB2312" w:cs="仿宋_GB2312"/>
          <w:sz w:val="32"/>
          <w:szCs w:val="32"/>
        </w:rPr>
        <w:t>人员经费</w:t>
      </w:r>
      <w:r>
        <w:rPr>
          <w:rFonts w:hint="eastAsia" w:eastAsia="仿宋_GB2312" w:cs="仿宋_GB2312"/>
          <w:sz w:val="32"/>
          <w:szCs w:val="32"/>
          <w:lang w:val="en-US" w:eastAsia="zh-CN"/>
        </w:rPr>
        <w:t>467.54</w:t>
      </w:r>
      <w:r>
        <w:rPr>
          <w:rFonts w:hint="eastAsia" w:eastAsia="仿宋_GB2312" w:cs="仿宋_GB2312"/>
          <w:sz w:val="32"/>
          <w:szCs w:val="32"/>
        </w:rPr>
        <w:t>万元，主要包括：基本工资、津贴补贴、奖金、绩效工资、机关事业单位基本养老保险缴费、职业年金缴费、其他社会保障缴费、其他工资福利支出、退休费、医疗费补助、奖励金、住房公积金、其他对个人和家庭的补助支出等。</w:t>
      </w:r>
      <w:r>
        <w:rPr>
          <w:rFonts w:hint="eastAsia" w:eastAsia="仿宋_GB2312" w:cs="仿宋_GB2312"/>
          <w:sz w:val="32"/>
          <w:szCs w:val="32"/>
        </w:rPr>
        <w:br w:type="textWrapping"/>
      </w:r>
      <w:r>
        <w:rPr>
          <w:rFonts w:hint="eastAsia" w:eastAsia="仿宋_GB2312" w:cs="仿宋_GB2312"/>
          <w:sz w:val="32"/>
          <w:szCs w:val="32"/>
        </w:rPr>
        <w:t>　　公用经费</w:t>
      </w:r>
      <w:r>
        <w:rPr>
          <w:rFonts w:hint="eastAsia" w:eastAsia="仿宋_GB2312" w:cs="仿宋_GB2312"/>
          <w:sz w:val="32"/>
          <w:szCs w:val="32"/>
          <w:lang w:val="en-US" w:eastAsia="zh-CN"/>
        </w:rPr>
        <w:t>16.57</w:t>
      </w:r>
      <w:r>
        <w:rPr>
          <w:rFonts w:hint="eastAsia" w:eastAsia="仿宋_GB2312" w:cs="仿宋_GB2312"/>
          <w:sz w:val="32"/>
          <w:szCs w:val="32"/>
        </w:rPr>
        <w:t>万元，办公费、水费、电费、邮电费、差旅费、维修（护）费、工会经费、公务用车运行维护费等。</w:t>
      </w:r>
    </w:p>
    <w:p w14:paraId="7E9EEC26">
      <w:pPr>
        <w:spacing w:line="600" w:lineRule="exact"/>
        <w:ind w:firstLine="640"/>
        <w:outlineLvl w:val="1"/>
        <w:rPr>
          <w:rStyle w:val="30"/>
          <w:rFonts w:ascii="Times New Roman" w:hAnsi="Times New Roman" w:eastAsia="黑体"/>
          <w:b w:val="0"/>
        </w:rPr>
      </w:pPr>
      <w:bookmarkStart w:id="36" w:name="_Toc15377215"/>
      <w:bookmarkStart w:id="37" w:name="_Toc15396609"/>
      <w:r>
        <w:rPr>
          <w:rFonts w:hint="eastAsia" w:eastAsia="黑体"/>
          <w:sz w:val="32"/>
          <w:szCs w:val="32"/>
        </w:rPr>
        <w:t>七、</w:t>
      </w:r>
      <w:r>
        <w:rPr>
          <w:rStyle w:val="30"/>
          <w:rFonts w:hint="eastAsia" w:ascii="Times New Roman" w:hAnsi="Times New Roman" w:eastAsia="黑体"/>
          <w:b w:val="0"/>
        </w:rPr>
        <w:t>财政拨款</w:t>
      </w:r>
      <w:r>
        <w:rPr>
          <w:rStyle w:val="30"/>
          <w:rFonts w:hint="eastAsia" w:ascii="Times New Roman" w:hAnsi="Times New Roman" w:eastAsia="黑体"/>
        </w:rPr>
        <w:t>“</w:t>
      </w:r>
      <w:r>
        <w:rPr>
          <w:rStyle w:val="30"/>
          <w:rFonts w:hint="eastAsia" w:ascii="Times New Roman" w:hAnsi="Times New Roman" w:eastAsia="黑体"/>
          <w:b w:val="0"/>
        </w:rPr>
        <w:t>三公”经费支出决算情况说明</w:t>
      </w:r>
      <w:bookmarkEnd w:id="36"/>
      <w:bookmarkEnd w:id="37"/>
    </w:p>
    <w:p w14:paraId="17562A44">
      <w:pPr>
        <w:spacing w:line="600" w:lineRule="exact"/>
        <w:ind w:firstLine="643" w:firstLineChars="200"/>
        <w:outlineLvl w:val="2"/>
        <w:rPr>
          <w:rFonts w:eastAsia="楷体_GB2312" w:cs="楷体_GB2312"/>
          <w:b/>
          <w:sz w:val="32"/>
          <w:szCs w:val="32"/>
        </w:rPr>
      </w:pPr>
      <w:bookmarkStart w:id="38" w:name="_Toc15377216"/>
      <w:r>
        <w:rPr>
          <w:rFonts w:hint="eastAsia" w:eastAsia="楷体_GB2312" w:cs="楷体_GB2312"/>
          <w:b/>
          <w:sz w:val="32"/>
          <w:szCs w:val="32"/>
        </w:rPr>
        <w:t>（一）财政拨款“三公”经费支出决算总体情况说明</w:t>
      </w:r>
      <w:bookmarkEnd w:id="38"/>
    </w:p>
    <w:p w14:paraId="5C7209A0">
      <w:pPr>
        <w:spacing w:line="600" w:lineRule="exact"/>
        <w:ind w:firstLine="640"/>
        <w:rPr>
          <w:rFonts w:eastAsia="仿宋_GB2312" w:cs="仿宋_GB2312"/>
          <w:b/>
          <w:bCs/>
          <w:sz w:val="32"/>
          <w:szCs w:val="32"/>
        </w:rPr>
      </w:pPr>
      <w:r>
        <w:rPr>
          <w:rFonts w:hint="eastAsia" w:eastAsia="仿宋_GB2312" w:cs="仿宋_GB2312"/>
          <w:sz w:val="32"/>
          <w:szCs w:val="32"/>
        </w:rPr>
        <w:t>2025年度财政拨款“三公”经费支出决算为</w:t>
      </w:r>
      <w:r>
        <w:rPr>
          <w:rFonts w:hint="eastAsia" w:eastAsia="仿宋_GB2312" w:cs="仿宋_GB2312"/>
          <w:sz w:val="32"/>
          <w:szCs w:val="32"/>
          <w:lang w:val="en-US" w:eastAsia="zh-CN"/>
        </w:rPr>
        <w:t>0.23</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%，较上年度减少</w:t>
      </w:r>
      <w:r>
        <w:rPr>
          <w:rFonts w:hint="eastAsia" w:eastAsia="仿宋_GB2312" w:cs="仿宋_GB2312"/>
          <w:sz w:val="32"/>
          <w:szCs w:val="32"/>
          <w:lang w:val="en-US" w:eastAsia="zh-CN"/>
        </w:rPr>
        <w:t>0.05</w:t>
      </w:r>
      <w:r>
        <w:rPr>
          <w:rFonts w:hint="eastAsia" w:eastAsia="仿宋_GB2312" w:cs="仿宋_GB2312"/>
          <w:sz w:val="32"/>
          <w:szCs w:val="32"/>
        </w:rPr>
        <w:t>万元，下降</w:t>
      </w:r>
      <w:r>
        <w:rPr>
          <w:rFonts w:hint="eastAsia" w:eastAsia="仿宋_GB2312" w:cs="仿宋_GB2312"/>
          <w:sz w:val="32"/>
          <w:szCs w:val="32"/>
          <w:lang w:val="en-US" w:eastAsia="zh-CN"/>
        </w:rPr>
        <w:t>17.9</w:t>
      </w:r>
      <w:r>
        <w:rPr>
          <w:rFonts w:hint="eastAsia" w:eastAsia="仿宋_GB2312" w:cs="仿宋_GB2312"/>
          <w:sz w:val="32"/>
          <w:szCs w:val="32"/>
        </w:rPr>
        <w:t>%。决算数与预算数持平</w:t>
      </w:r>
      <w:r>
        <w:rPr>
          <w:rFonts w:hint="eastAsia" w:eastAsia="仿宋_GB2312" w:cs="仿宋_GB2312"/>
          <w:sz w:val="32"/>
          <w:szCs w:val="32"/>
          <w:lang w:eastAsia="zh-CN"/>
        </w:rPr>
        <w:t>。</w:t>
      </w:r>
    </w:p>
    <w:p w14:paraId="499EB6E8">
      <w:pPr>
        <w:spacing w:line="600" w:lineRule="exact"/>
        <w:ind w:firstLine="643" w:firstLineChars="200"/>
        <w:outlineLvl w:val="2"/>
        <w:rPr>
          <w:rFonts w:eastAsia="楷体_GB2312" w:cs="楷体_GB2312"/>
          <w:b/>
          <w:sz w:val="32"/>
          <w:szCs w:val="32"/>
        </w:rPr>
      </w:pPr>
      <w:bookmarkStart w:id="39" w:name="_Toc15377217"/>
      <w:r>
        <w:rPr>
          <w:rFonts w:hint="eastAsia" w:eastAsia="楷体_GB2312" w:cs="楷体_GB2312"/>
          <w:b/>
          <w:sz w:val="32"/>
          <w:szCs w:val="32"/>
        </w:rPr>
        <w:t>（二）财政拨款“三公”经费支出决算具体情况说明</w:t>
      </w:r>
      <w:bookmarkEnd w:id="39"/>
    </w:p>
    <w:p w14:paraId="5E16764D">
      <w:pPr>
        <w:spacing w:line="600" w:lineRule="exact"/>
        <w:ind w:firstLine="640"/>
        <w:rPr>
          <w:rFonts w:hint="eastAsia" w:eastAsia="仿宋_GB2312" w:cs="仿宋_GB2312"/>
          <w:sz w:val="32"/>
          <w:szCs w:val="32"/>
        </w:rPr>
      </w:pPr>
      <w:r>
        <w:rPr>
          <w:rFonts w:hint="eastAsia" w:eastAsia="仿宋_GB2312" w:cs="仿宋_GB2312"/>
          <w:sz w:val="32"/>
          <w:szCs w:val="32"/>
          <w:lang w:eastAsia="zh-CN"/>
        </w:rPr>
        <w:drawing>
          <wp:anchor distT="0" distB="0" distL="114300" distR="114300" simplePos="0" relativeHeight="251664384" behindDoc="0" locked="0" layoutInCell="1" allowOverlap="1">
            <wp:simplePos x="0" y="0"/>
            <wp:positionH relativeFrom="column">
              <wp:posOffset>342265</wp:posOffset>
            </wp:positionH>
            <wp:positionV relativeFrom="paragraph">
              <wp:posOffset>1663700</wp:posOffset>
            </wp:positionV>
            <wp:extent cx="4774565" cy="2303145"/>
            <wp:effectExtent l="4445" t="4445" r="21590" b="16510"/>
            <wp:wrapTopAndBottom/>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Pr>
          <w:rFonts w:hint="eastAsia" w:eastAsia="仿宋_GB2312" w:cs="仿宋_GB2312"/>
          <w:sz w:val="32"/>
          <w:szCs w:val="32"/>
        </w:rPr>
        <w:t>2025年度财政拨款“三公”经费支出决算中，因公出国（境）费支出决算</w:t>
      </w:r>
      <w:r>
        <w:rPr>
          <w:rFonts w:hint="eastAsia" w:eastAsia="仿宋_GB2312" w:cs="仿宋_GB2312"/>
          <w:sz w:val="32"/>
          <w:szCs w:val="32"/>
          <w:lang w:val="en-US" w:eastAsia="zh-CN"/>
        </w:rPr>
        <w:t>0</w:t>
      </w:r>
      <w:r>
        <w:rPr>
          <w:rFonts w:hint="eastAsia" w:eastAsia="仿宋_GB2312" w:cs="仿宋_GB2312"/>
          <w:sz w:val="32"/>
          <w:szCs w:val="32"/>
        </w:rPr>
        <w:t>万元；公务用车购置及运行维护费支出决算</w:t>
      </w:r>
      <w:r>
        <w:rPr>
          <w:rFonts w:hint="eastAsia" w:eastAsia="仿宋_GB2312" w:cs="仿宋_GB2312"/>
          <w:sz w:val="32"/>
          <w:szCs w:val="32"/>
          <w:lang w:val="en-US" w:eastAsia="zh-CN"/>
        </w:rPr>
        <w:t>0.23</w:t>
      </w:r>
      <w:r>
        <w:rPr>
          <w:rFonts w:hint="eastAsia" w:eastAsia="仿宋_GB2312" w:cs="仿宋_GB2312"/>
          <w:sz w:val="32"/>
          <w:szCs w:val="32"/>
        </w:rPr>
        <w:t>万元，占</w:t>
      </w:r>
      <w:r>
        <w:rPr>
          <w:rFonts w:hint="eastAsia" w:eastAsia="仿宋_GB2312" w:cs="仿宋_GB2312"/>
          <w:sz w:val="32"/>
          <w:szCs w:val="32"/>
          <w:lang w:val="en-US" w:eastAsia="zh-CN"/>
        </w:rPr>
        <w:t>100</w:t>
      </w:r>
      <w:r>
        <w:rPr>
          <w:rFonts w:hint="eastAsia" w:eastAsia="仿宋_GB2312" w:cs="仿宋_GB2312"/>
          <w:sz w:val="32"/>
          <w:szCs w:val="32"/>
        </w:rPr>
        <w:t>%；公务接待费支出决算</w:t>
      </w:r>
      <w:r>
        <w:rPr>
          <w:rFonts w:hint="eastAsia" w:eastAsia="仿宋_GB2312" w:cs="仿宋_GB2312"/>
          <w:sz w:val="32"/>
          <w:szCs w:val="32"/>
          <w:lang w:val="en-US" w:eastAsia="zh-CN"/>
        </w:rPr>
        <w:t>0</w:t>
      </w:r>
      <w:r>
        <w:rPr>
          <w:rFonts w:hint="eastAsia" w:eastAsia="仿宋_GB2312" w:cs="仿宋_GB2312"/>
          <w:sz w:val="32"/>
          <w:szCs w:val="32"/>
        </w:rPr>
        <w:t>万元。具体情况如下：</w:t>
      </w:r>
    </w:p>
    <w:p w14:paraId="3586BA78">
      <w:pPr>
        <w:numPr>
          <w:ilvl w:val="0"/>
          <w:numId w:val="2"/>
        </w:numPr>
        <w:spacing w:line="600" w:lineRule="exact"/>
        <w:ind w:firstLine="640"/>
        <w:rPr>
          <w:rFonts w:hint="eastAsia" w:eastAsia="仿宋_GB2312" w:cs="仿宋_GB2312"/>
          <w:sz w:val="32"/>
          <w:szCs w:val="32"/>
          <w:lang w:eastAsia="zh-CN"/>
        </w:rPr>
      </w:pPr>
      <w:r>
        <w:rPr>
          <w:rFonts w:hint="eastAsia" w:eastAsia="仿宋_GB2312" w:cs="仿宋_GB2312"/>
          <w:b/>
          <w:bCs/>
          <w:sz w:val="32"/>
          <w:szCs w:val="32"/>
        </w:rPr>
        <w:t>1.因公出国（境）经费支出</w:t>
      </w:r>
      <w:r>
        <w:rPr>
          <w:rFonts w:hint="eastAsia" w:eastAsia="仿宋_GB2312" w:cs="仿宋_GB2312"/>
          <w:b/>
          <w:bCs/>
          <w:sz w:val="32"/>
          <w:szCs w:val="32"/>
          <w:lang w:val="en-US" w:eastAsia="zh-CN"/>
        </w:rPr>
        <w:t>0</w:t>
      </w:r>
      <w:r>
        <w:rPr>
          <w:rFonts w:hint="eastAsia" w:eastAsia="仿宋_GB2312" w:cs="仿宋_GB2312"/>
          <w:b/>
          <w:bCs/>
          <w:sz w:val="32"/>
          <w:szCs w:val="32"/>
        </w:rPr>
        <w:t>万元。</w:t>
      </w:r>
      <w:r>
        <w:rPr>
          <w:rFonts w:hint="eastAsia" w:eastAsia="仿宋_GB2312" w:cs="仿宋_GB2312"/>
          <w:sz w:val="32"/>
          <w:szCs w:val="32"/>
        </w:rPr>
        <w:t>全年安排因公出国（境）团组</w:t>
      </w:r>
      <w:r>
        <w:rPr>
          <w:rFonts w:hint="eastAsia" w:eastAsia="仿宋_GB2312" w:cs="仿宋_GB2312"/>
          <w:sz w:val="32"/>
          <w:szCs w:val="32"/>
          <w:lang w:val="en-US" w:eastAsia="zh-CN"/>
        </w:rPr>
        <w:t>0</w:t>
      </w:r>
      <w:r>
        <w:rPr>
          <w:rFonts w:hint="eastAsia" w:eastAsia="仿宋_GB2312" w:cs="仿宋_GB2312"/>
          <w:sz w:val="32"/>
          <w:szCs w:val="32"/>
        </w:rPr>
        <w:t>次，出国（境）</w:t>
      </w:r>
      <w:r>
        <w:rPr>
          <w:rFonts w:hint="eastAsia" w:eastAsia="仿宋_GB2312" w:cs="仿宋_GB2312"/>
          <w:sz w:val="32"/>
          <w:szCs w:val="32"/>
          <w:lang w:val="en-US" w:eastAsia="zh-CN"/>
        </w:rPr>
        <w:t>0</w:t>
      </w:r>
      <w:r>
        <w:rPr>
          <w:rFonts w:hint="eastAsia" w:eastAsia="仿宋_GB2312" w:cs="仿宋_GB2312"/>
          <w:sz w:val="32"/>
          <w:szCs w:val="32"/>
        </w:rPr>
        <w:t>人。因公出国（境）支出决算比2023年</w:t>
      </w:r>
      <w:r>
        <w:rPr>
          <w:rFonts w:hint="eastAsia" w:eastAsia="仿宋_GB2312" w:cs="仿宋_GB2312"/>
          <w:sz w:val="32"/>
          <w:szCs w:val="32"/>
          <w:lang w:eastAsia="zh-CN"/>
        </w:rPr>
        <w:t>持平。</w:t>
      </w:r>
    </w:p>
    <w:p w14:paraId="0A5996BE">
      <w:pPr>
        <w:numPr>
          <w:ilvl w:val="0"/>
          <w:numId w:val="2"/>
        </w:numPr>
        <w:spacing w:line="600" w:lineRule="exact"/>
        <w:ind w:left="0" w:leftChars="0" w:firstLine="640" w:firstLineChars="0"/>
        <w:rPr>
          <w:rFonts w:hint="eastAsia" w:eastAsia="仿宋_GB2312" w:cs="仿宋_GB2312"/>
          <w:sz w:val="32"/>
          <w:szCs w:val="32"/>
          <w:lang w:eastAsia="zh-CN"/>
        </w:rPr>
      </w:pPr>
      <w:r>
        <w:rPr>
          <w:rFonts w:hint="eastAsia" w:eastAsia="仿宋_GB2312" w:cs="仿宋_GB2312"/>
          <w:b/>
          <w:bCs/>
          <w:sz w:val="32"/>
          <w:szCs w:val="32"/>
        </w:rPr>
        <w:t>公务用车购置及运行维护费支出</w:t>
      </w:r>
      <w:r>
        <w:rPr>
          <w:rFonts w:hint="eastAsia" w:eastAsia="仿宋_GB2312" w:cs="仿宋_GB2312"/>
          <w:b/>
          <w:bCs/>
          <w:sz w:val="32"/>
          <w:szCs w:val="32"/>
          <w:lang w:val="en-US" w:eastAsia="zh-CN"/>
        </w:rPr>
        <w:t>0.23</w:t>
      </w:r>
      <w:r>
        <w:rPr>
          <w:rFonts w:hint="eastAsia" w:eastAsia="仿宋_GB2312" w:cs="仿宋_GB2312"/>
          <w:b/>
          <w:bCs/>
          <w:sz w:val="32"/>
          <w:szCs w:val="32"/>
        </w:rPr>
        <w:t>万元，完成预算</w:t>
      </w:r>
      <w:r>
        <w:rPr>
          <w:rFonts w:hint="eastAsia" w:eastAsia="仿宋_GB2312" w:cs="仿宋_GB2312"/>
          <w:b/>
          <w:bCs/>
          <w:sz w:val="32"/>
          <w:szCs w:val="32"/>
          <w:lang w:val="en-US" w:eastAsia="zh-CN"/>
        </w:rPr>
        <w:t>100</w:t>
      </w:r>
      <w:r>
        <w:rPr>
          <w:rFonts w:hint="eastAsia" w:eastAsia="仿宋_GB2312" w:cs="仿宋_GB2312"/>
          <w:b/>
          <w:bCs/>
          <w:sz w:val="32"/>
          <w:szCs w:val="32"/>
        </w:rPr>
        <w:t>%。</w:t>
      </w:r>
      <w:r>
        <w:rPr>
          <w:rFonts w:hint="eastAsia" w:eastAsia="仿宋_GB2312" w:cs="仿宋_GB2312"/>
          <w:sz w:val="32"/>
          <w:szCs w:val="32"/>
        </w:rPr>
        <w:t>公务用车购置及运行维护费支出决算比上年度减少</w:t>
      </w:r>
      <w:r>
        <w:rPr>
          <w:rFonts w:hint="eastAsia" w:eastAsia="仿宋_GB2312" w:cs="仿宋_GB2312"/>
          <w:sz w:val="32"/>
          <w:szCs w:val="32"/>
          <w:lang w:val="en-US" w:eastAsia="zh-CN"/>
        </w:rPr>
        <w:t>0.05</w:t>
      </w:r>
      <w:r>
        <w:rPr>
          <w:rFonts w:hint="eastAsia" w:eastAsia="仿宋_GB2312" w:cs="仿宋_GB2312"/>
          <w:sz w:val="32"/>
          <w:szCs w:val="32"/>
        </w:rPr>
        <w:t>万元，下降</w:t>
      </w:r>
      <w:r>
        <w:rPr>
          <w:rFonts w:hint="eastAsia" w:eastAsia="仿宋_GB2312" w:cs="仿宋_GB2312"/>
          <w:sz w:val="32"/>
          <w:szCs w:val="32"/>
          <w:lang w:val="en-US" w:eastAsia="zh-CN"/>
        </w:rPr>
        <w:t>17.9</w:t>
      </w:r>
      <w:r>
        <w:rPr>
          <w:rFonts w:hint="eastAsia" w:eastAsia="仿宋_GB2312" w:cs="仿宋_GB2312"/>
          <w:sz w:val="32"/>
          <w:szCs w:val="32"/>
        </w:rPr>
        <w:t>%。主要原因是</w:t>
      </w:r>
      <w:r>
        <w:rPr>
          <w:rFonts w:hint="eastAsia" w:eastAsia="仿宋_GB2312" w:cs="仿宋_GB2312"/>
          <w:sz w:val="32"/>
          <w:szCs w:val="32"/>
          <w:lang w:eastAsia="zh-CN"/>
        </w:rPr>
        <w:t>公务车保险费下降。</w:t>
      </w:r>
    </w:p>
    <w:p w14:paraId="7F2C6DFC">
      <w:pPr>
        <w:numPr>
          <w:ilvl w:val="0"/>
          <w:numId w:val="2"/>
        </w:numPr>
        <w:spacing w:line="600" w:lineRule="exact"/>
        <w:ind w:left="0" w:leftChars="0" w:firstLine="640" w:firstLineChars="0"/>
        <w:rPr>
          <w:rFonts w:eastAsia="仿宋_GB2312" w:cs="仿宋_GB2312"/>
          <w:sz w:val="32"/>
          <w:szCs w:val="32"/>
        </w:rPr>
      </w:pPr>
      <w:r>
        <w:rPr>
          <w:rFonts w:hint="eastAsia" w:eastAsia="仿宋_GB2312" w:cs="仿宋_GB2312"/>
          <w:sz w:val="32"/>
          <w:szCs w:val="32"/>
        </w:rPr>
        <w:t>其中：公务用车购置支出</w:t>
      </w:r>
      <w:r>
        <w:rPr>
          <w:rFonts w:hint="eastAsia" w:eastAsia="仿宋_GB2312" w:cs="仿宋_GB2312"/>
          <w:sz w:val="32"/>
          <w:szCs w:val="32"/>
          <w:lang w:val="en-US" w:eastAsia="zh-CN"/>
        </w:rPr>
        <w:t>0</w:t>
      </w:r>
      <w:r>
        <w:rPr>
          <w:rFonts w:hint="eastAsia" w:eastAsia="仿宋_GB2312" w:cs="仿宋_GB2312"/>
          <w:sz w:val="32"/>
          <w:szCs w:val="32"/>
        </w:rPr>
        <w:t>万元。全年按规定更新购置公务用车</w:t>
      </w:r>
      <w:r>
        <w:rPr>
          <w:rFonts w:hint="eastAsia" w:eastAsia="仿宋_GB2312" w:cs="仿宋_GB2312"/>
          <w:sz w:val="32"/>
          <w:szCs w:val="32"/>
          <w:lang w:val="en-US" w:eastAsia="zh-CN"/>
        </w:rPr>
        <w:t>0</w:t>
      </w:r>
      <w:r>
        <w:rPr>
          <w:rFonts w:hint="eastAsia" w:eastAsia="仿宋_GB2312" w:cs="仿宋_GB2312"/>
          <w:sz w:val="32"/>
          <w:szCs w:val="32"/>
        </w:rPr>
        <w:t>辆，其中：轿车</w:t>
      </w:r>
      <w:r>
        <w:rPr>
          <w:rFonts w:hint="eastAsia" w:eastAsia="仿宋_GB2312" w:cs="仿宋_GB2312"/>
          <w:sz w:val="32"/>
          <w:szCs w:val="32"/>
          <w:lang w:val="en-US" w:eastAsia="zh-CN"/>
        </w:rPr>
        <w:t>0</w:t>
      </w:r>
      <w:r>
        <w:rPr>
          <w:rFonts w:hint="eastAsia" w:eastAsia="仿宋_GB2312" w:cs="仿宋_GB2312"/>
          <w:sz w:val="32"/>
          <w:szCs w:val="32"/>
        </w:rPr>
        <w:t>辆、金额</w:t>
      </w:r>
      <w:r>
        <w:rPr>
          <w:rFonts w:hint="eastAsia" w:eastAsia="仿宋_GB2312" w:cs="仿宋_GB2312"/>
          <w:sz w:val="32"/>
          <w:szCs w:val="32"/>
          <w:lang w:val="en-US" w:eastAsia="zh-CN"/>
        </w:rPr>
        <w:t>0</w:t>
      </w:r>
      <w:r>
        <w:rPr>
          <w:rFonts w:hint="eastAsia" w:eastAsia="仿宋_GB2312" w:cs="仿宋_GB2312"/>
          <w:sz w:val="32"/>
          <w:szCs w:val="32"/>
        </w:rPr>
        <w:t>万元，截至2025年12月31日，单位共有公务用车</w:t>
      </w:r>
      <w:r>
        <w:rPr>
          <w:rFonts w:hint="eastAsia" w:eastAsia="仿宋_GB2312" w:cs="仿宋_GB2312"/>
          <w:sz w:val="32"/>
          <w:szCs w:val="32"/>
          <w:lang w:val="en-US" w:eastAsia="zh-CN"/>
        </w:rPr>
        <w:t>1</w:t>
      </w:r>
      <w:r>
        <w:rPr>
          <w:rFonts w:hint="eastAsia" w:eastAsia="仿宋_GB2312" w:cs="仿宋_GB2312"/>
          <w:sz w:val="32"/>
          <w:szCs w:val="32"/>
        </w:rPr>
        <w:t>辆，其中：轿车</w:t>
      </w:r>
      <w:r>
        <w:rPr>
          <w:rFonts w:hint="eastAsia" w:eastAsia="仿宋_GB2312" w:cs="仿宋_GB2312"/>
          <w:sz w:val="32"/>
          <w:szCs w:val="32"/>
          <w:lang w:val="en-US" w:eastAsia="zh-CN"/>
        </w:rPr>
        <w:t>1</w:t>
      </w:r>
      <w:r>
        <w:rPr>
          <w:rFonts w:hint="eastAsia" w:eastAsia="仿宋_GB2312" w:cs="仿宋_GB2312"/>
          <w:sz w:val="32"/>
          <w:szCs w:val="32"/>
        </w:rPr>
        <w:t>辆、越野车</w:t>
      </w:r>
      <w:r>
        <w:rPr>
          <w:rFonts w:hint="eastAsia" w:eastAsia="仿宋_GB2312" w:cs="仿宋_GB2312"/>
          <w:sz w:val="32"/>
          <w:szCs w:val="32"/>
          <w:lang w:val="en-US" w:eastAsia="zh-CN"/>
        </w:rPr>
        <w:t>0</w:t>
      </w:r>
      <w:r>
        <w:rPr>
          <w:rFonts w:hint="eastAsia" w:eastAsia="仿宋_GB2312" w:cs="仿宋_GB2312"/>
          <w:sz w:val="32"/>
          <w:szCs w:val="32"/>
        </w:rPr>
        <w:t>辆、载客汽车</w:t>
      </w:r>
      <w:r>
        <w:rPr>
          <w:rFonts w:hint="eastAsia" w:eastAsia="仿宋_GB2312" w:cs="仿宋_GB2312"/>
          <w:sz w:val="32"/>
          <w:szCs w:val="32"/>
          <w:lang w:val="en-US" w:eastAsia="zh-CN"/>
        </w:rPr>
        <w:t>0</w:t>
      </w:r>
      <w:r>
        <w:rPr>
          <w:rFonts w:hint="eastAsia" w:eastAsia="仿宋_GB2312" w:cs="仿宋_GB2312"/>
          <w:sz w:val="32"/>
          <w:szCs w:val="32"/>
        </w:rPr>
        <w:t>辆。</w:t>
      </w:r>
    </w:p>
    <w:p w14:paraId="1467D167">
      <w:pPr>
        <w:spacing w:line="600" w:lineRule="exact"/>
        <w:ind w:firstLine="640"/>
        <w:rPr>
          <w:rFonts w:eastAsia="仿宋_GB2312" w:cs="仿宋_GB2312"/>
          <w:sz w:val="32"/>
          <w:szCs w:val="32"/>
        </w:rPr>
      </w:pPr>
      <w:r>
        <w:rPr>
          <w:rFonts w:hint="eastAsia" w:eastAsia="仿宋_GB2312" w:cs="仿宋_GB2312"/>
          <w:sz w:val="32"/>
          <w:szCs w:val="32"/>
        </w:rPr>
        <w:t>公务用车运行维护费支出</w:t>
      </w:r>
      <w:r>
        <w:rPr>
          <w:rFonts w:hint="eastAsia" w:eastAsia="仿宋_GB2312" w:cs="仿宋_GB2312"/>
          <w:sz w:val="32"/>
          <w:szCs w:val="32"/>
          <w:lang w:val="en-US" w:eastAsia="zh-CN"/>
        </w:rPr>
        <w:t>0.23</w:t>
      </w:r>
      <w:r>
        <w:rPr>
          <w:rFonts w:hint="eastAsia" w:eastAsia="仿宋_GB2312" w:cs="仿宋_GB2312"/>
          <w:sz w:val="32"/>
          <w:szCs w:val="32"/>
        </w:rPr>
        <w:t>万元。主要用于主要用于公务用车</w:t>
      </w:r>
      <w:r>
        <w:rPr>
          <w:rFonts w:hint="eastAsia" w:eastAsia="仿宋_GB2312" w:cs="仿宋_GB2312"/>
          <w:sz w:val="32"/>
          <w:szCs w:val="32"/>
          <w:lang w:eastAsia="zh-CN"/>
        </w:rPr>
        <w:t>基本</w:t>
      </w:r>
      <w:r>
        <w:rPr>
          <w:rFonts w:hint="eastAsia" w:eastAsia="仿宋_GB2312" w:cs="仿宋_GB2312"/>
          <w:sz w:val="32"/>
          <w:szCs w:val="32"/>
        </w:rPr>
        <w:t>保险费</w:t>
      </w:r>
      <w:r>
        <w:rPr>
          <w:rFonts w:hint="eastAsia" w:eastAsia="仿宋_GB2312" w:cs="仿宋_GB2312"/>
          <w:sz w:val="32"/>
          <w:szCs w:val="32"/>
          <w:lang w:eastAsia="zh-CN"/>
        </w:rPr>
        <w:t>和维修费</w:t>
      </w:r>
      <w:r>
        <w:rPr>
          <w:rFonts w:hint="eastAsia" w:eastAsia="仿宋_GB2312" w:cs="仿宋_GB2312"/>
          <w:sz w:val="32"/>
          <w:szCs w:val="32"/>
        </w:rPr>
        <w:t>支出。</w:t>
      </w:r>
    </w:p>
    <w:p w14:paraId="1215C4F7">
      <w:pPr>
        <w:spacing w:line="600" w:lineRule="exact"/>
        <w:ind w:firstLine="640"/>
        <w:rPr>
          <w:rFonts w:eastAsia="仿宋_GB2312" w:cs="仿宋_GB2312"/>
          <w:sz w:val="32"/>
          <w:szCs w:val="32"/>
        </w:rPr>
      </w:pPr>
      <w:r>
        <w:rPr>
          <w:rFonts w:hint="eastAsia" w:eastAsia="仿宋_GB2312" w:cs="仿宋_GB2312"/>
          <w:b/>
          <w:bCs/>
          <w:sz w:val="32"/>
          <w:szCs w:val="32"/>
        </w:rPr>
        <w:t>3.公务接待费支出</w:t>
      </w:r>
      <w:r>
        <w:rPr>
          <w:rFonts w:hint="eastAsia" w:eastAsia="仿宋_GB2312" w:cs="仿宋_GB2312"/>
          <w:b/>
          <w:bCs/>
          <w:sz w:val="32"/>
          <w:szCs w:val="32"/>
          <w:lang w:val="en-US" w:eastAsia="zh-CN"/>
        </w:rPr>
        <w:t>0</w:t>
      </w:r>
      <w:r>
        <w:rPr>
          <w:rFonts w:hint="eastAsia" w:eastAsia="仿宋_GB2312" w:cs="仿宋_GB2312"/>
          <w:b/>
          <w:bCs/>
          <w:sz w:val="32"/>
          <w:szCs w:val="32"/>
        </w:rPr>
        <w:t>万元。</w:t>
      </w:r>
      <w:r>
        <w:rPr>
          <w:rFonts w:hint="eastAsia" w:eastAsia="仿宋_GB2312" w:cs="仿宋_GB2312"/>
          <w:sz w:val="32"/>
          <w:szCs w:val="32"/>
        </w:rPr>
        <w:t>公务接待费支出决算比202</w:t>
      </w:r>
      <w:r>
        <w:rPr>
          <w:rFonts w:hint="eastAsia" w:eastAsia="仿宋_GB2312" w:cs="仿宋_GB2312"/>
          <w:sz w:val="32"/>
          <w:szCs w:val="32"/>
          <w:lang w:val="en-US" w:eastAsia="zh-CN"/>
        </w:rPr>
        <w:t>4</w:t>
      </w:r>
      <w:r>
        <w:rPr>
          <w:rFonts w:hint="eastAsia" w:eastAsia="仿宋_GB2312" w:cs="仿宋_GB2312"/>
          <w:sz w:val="32"/>
          <w:szCs w:val="32"/>
        </w:rPr>
        <w:t>年度</w:t>
      </w:r>
      <w:r>
        <w:rPr>
          <w:rFonts w:hint="eastAsia" w:eastAsia="仿宋_GB2312" w:cs="仿宋_GB2312"/>
          <w:sz w:val="32"/>
          <w:szCs w:val="32"/>
          <w:lang w:eastAsia="zh-CN"/>
        </w:rPr>
        <w:t>持平。</w:t>
      </w:r>
      <w:bookmarkStart w:id="40" w:name="_Toc15377218"/>
      <w:bookmarkStart w:id="41" w:name="_Toc15396610"/>
    </w:p>
    <w:p w14:paraId="2E675D11">
      <w:pPr>
        <w:spacing w:line="600" w:lineRule="exact"/>
        <w:ind w:firstLine="640"/>
        <w:outlineLvl w:val="1"/>
        <w:rPr>
          <w:rStyle w:val="30"/>
          <w:rFonts w:ascii="Times New Roman" w:hAnsi="Times New Roman" w:eastAsia="黑体"/>
        </w:rPr>
      </w:pPr>
      <w:r>
        <w:rPr>
          <w:rFonts w:hint="eastAsia" w:eastAsia="黑体"/>
          <w:sz w:val="32"/>
          <w:szCs w:val="32"/>
        </w:rPr>
        <w:t>八、</w:t>
      </w:r>
      <w:r>
        <w:rPr>
          <w:rStyle w:val="30"/>
          <w:rFonts w:hint="eastAsia" w:ascii="Times New Roman" w:hAnsi="Times New Roman" w:eastAsia="黑体"/>
          <w:b w:val="0"/>
        </w:rPr>
        <w:t>政府性基金预算支出决算情况说明</w:t>
      </w:r>
      <w:bookmarkEnd w:id="40"/>
      <w:bookmarkEnd w:id="41"/>
    </w:p>
    <w:p w14:paraId="5EA5B3EC">
      <w:pPr>
        <w:spacing w:line="600" w:lineRule="exact"/>
        <w:ind w:firstLine="640"/>
        <w:rPr>
          <w:rFonts w:eastAsia="仿宋_GB2312" w:cs="仿宋_GB2312"/>
          <w:sz w:val="32"/>
          <w:szCs w:val="32"/>
        </w:rPr>
      </w:pPr>
      <w:r>
        <w:rPr>
          <w:rFonts w:hint="eastAsia" w:eastAsia="仿宋_GB2312" w:cs="仿宋_GB2312"/>
          <w:sz w:val="32"/>
          <w:szCs w:val="32"/>
        </w:rPr>
        <w:t>2025年度政府性基金预算财政拨款支出</w:t>
      </w:r>
      <w:r>
        <w:rPr>
          <w:rFonts w:hint="eastAsia" w:eastAsia="仿宋_GB2312" w:cs="仿宋_GB2312"/>
          <w:sz w:val="32"/>
          <w:szCs w:val="32"/>
          <w:lang w:val="en-US" w:eastAsia="zh-CN"/>
        </w:rPr>
        <w:t>0</w:t>
      </w:r>
      <w:r>
        <w:rPr>
          <w:rFonts w:hint="eastAsia" w:eastAsia="仿宋_GB2312" w:cs="仿宋_GB2312"/>
          <w:sz w:val="32"/>
          <w:szCs w:val="32"/>
        </w:rPr>
        <w:t>万元，与202</w:t>
      </w:r>
      <w:r>
        <w:rPr>
          <w:rFonts w:hint="eastAsia" w:eastAsia="仿宋_GB2312" w:cs="仿宋_GB2312"/>
          <w:sz w:val="32"/>
          <w:szCs w:val="32"/>
          <w:lang w:val="en-US" w:eastAsia="zh-CN"/>
        </w:rPr>
        <w:t>4</w:t>
      </w:r>
      <w:r>
        <w:rPr>
          <w:rFonts w:hint="eastAsia" w:eastAsia="仿宋_GB2312" w:cs="仿宋_GB2312"/>
          <w:sz w:val="32"/>
          <w:szCs w:val="32"/>
        </w:rPr>
        <w:t>年度</w:t>
      </w:r>
      <w:r>
        <w:rPr>
          <w:rFonts w:hint="eastAsia" w:eastAsia="仿宋_GB2312" w:cs="仿宋_GB2312"/>
          <w:sz w:val="32"/>
          <w:szCs w:val="32"/>
          <w:lang w:val="en-US" w:eastAsia="zh-CN"/>
        </w:rPr>
        <w:t>持平。</w:t>
      </w:r>
    </w:p>
    <w:p w14:paraId="056CAA3F">
      <w:pPr>
        <w:spacing w:line="600" w:lineRule="exact"/>
        <w:ind w:left="630"/>
        <w:outlineLvl w:val="1"/>
        <w:rPr>
          <w:rStyle w:val="30"/>
          <w:rFonts w:ascii="Times New Roman" w:hAnsi="Times New Roman" w:eastAsia="黑体"/>
          <w:b w:val="0"/>
        </w:rPr>
      </w:pPr>
      <w:bookmarkStart w:id="42" w:name="_Toc15396611"/>
      <w:bookmarkStart w:id="43" w:name="_Toc15377219"/>
      <w:r>
        <w:rPr>
          <w:rStyle w:val="30"/>
          <w:rFonts w:hint="eastAsia" w:ascii="Times New Roman" w:hAnsi="Times New Roman" w:eastAsia="黑体"/>
          <w:b w:val="0"/>
        </w:rPr>
        <w:t>九、国有资本经营预算支出决算情况说明</w:t>
      </w:r>
      <w:bookmarkEnd w:id="42"/>
      <w:bookmarkEnd w:id="43"/>
    </w:p>
    <w:p w14:paraId="74D259F3">
      <w:pPr>
        <w:spacing w:line="600" w:lineRule="exact"/>
        <w:ind w:firstLine="640"/>
        <w:rPr>
          <w:rFonts w:eastAsia="仿宋_GB2312" w:cs="仿宋_GB2312"/>
          <w:sz w:val="32"/>
          <w:szCs w:val="32"/>
        </w:rPr>
      </w:pPr>
      <w:r>
        <w:rPr>
          <w:rFonts w:hint="eastAsia" w:eastAsia="仿宋_GB2312" w:cs="仿宋_GB2312"/>
          <w:sz w:val="32"/>
          <w:szCs w:val="32"/>
        </w:rPr>
        <w:t>2025年度国有资本经营预算财政拨款支出</w:t>
      </w:r>
      <w:r>
        <w:rPr>
          <w:rFonts w:hint="eastAsia" w:eastAsia="仿宋_GB2312" w:cs="仿宋_GB2312"/>
          <w:sz w:val="32"/>
          <w:szCs w:val="32"/>
          <w:lang w:val="en-US" w:eastAsia="zh-CN"/>
        </w:rPr>
        <w:t>0</w:t>
      </w:r>
      <w:r>
        <w:rPr>
          <w:rFonts w:hint="eastAsia" w:eastAsia="仿宋_GB2312" w:cs="仿宋_GB2312"/>
          <w:sz w:val="32"/>
          <w:szCs w:val="32"/>
        </w:rPr>
        <w:t>万元，与202</w:t>
      </w:r>
      <w:r>
        <w:rPr>
          <w:rFonts w:hint="eastAsia" w:eastAsia="仿宋_GB2312" w:cs="仿宋_GB2312"/>
          <w:sz w:val="32"/>
          <w:szCs w:val="32"/>
          <w:lang w:val="en-US" w:eastAsia="zh-CN"/>
        </w:rPr>
        <w:t>4</w:t>
      </w:r>
      <w:r>
        <w:rPr>
          <w:rFonts w:hint="eastAsia" w:eastAsia="仿宋_GB2312" w:cs="仿宋_GB2312"/>
          <w:sz w:val="32"/>
          <w:szCs w:val="32"/>
        </w:rPr>
        <w:t>年度</w:t>
      </w:r>
      <w:r>
        <w:rPr>
          <w:rFonts w:hint="eastAsia" w:eastAsia="仿宋_GB2312" w:cs="仿宋_GB2312"/>
          <w:sz w:val="32"/>
          <w:szCs w:val="32"/>
          <w:lang w:eastAsia="zh-CN"/>
        </w:rPr>
        <w:t>持平。</w:t>
      </w:r>
    </w:p>
    <w:p w14:paraId="6ADDDC49">
      <w:pPr>
        <w:spacing w:line="600" w:lineRule="exact"/>
        <w:ind w:left="630"/>
        <w:outlineLvl w:val="1"/>
        <w:rPr>
          <w:rStyle w:val="30"/>
          <w:rFonts w:ascii="Times New Roman" w:hAnsi="Times New Roman" w:eastAsia="黑体"/>
          <w:b w:val="0"/>
        </w:rPr>
      </w:pPr>
      <w:bookmarkStart w:id="44" w:name="_Toc15377221"/>
      <w:bookmarkStart w:id="45" w:name="_Toc15396612"/>
      <w:r>
        <w:rPr>
          <w:rStyle w:val="30"/>
          <w:rFonts w:hint="eastAsia" w:ascii="Times New Roman" w:hAnsi="Times New Roman" w:eastAsia="黑体"/>
          <w:b w:val="0"/>
        </w:rPr>
        <w:t>十、其他重要事项的情况说明</w:t>
      </w:r>
      <w:bookmarkEnd w:id="44"/>
      <w:bookmarkEnd w:id="45"/>
    </w:p>
    <w:p w14:paraId="76C32669">
      <w:pPr>
        <w:spacing w:line="600" w:lineRule="exact"/>
        <w:ind w:firstLine="643" w:firstLineChars="200"/>
        <w:outlineLvl w:val="2"/>
        <w:rPr>
          <w:rFonts w:eastAsia="楷体_GB2312" w:cs="楷体_GB2312"/>
          <w:b/>
          <w:sz w:val="32"/>
          <w:szCs w:val="32"/>
        </w:rPr>
      </w:pPr>
      <w:bookmarkStart w:id="46" w:name="_Toc15377222"/>
      <w:r>
        <w:rPr>
          <w:rFonts w:hint="eastAsia" w:eastAsia="楷体_GB2312" w:cs="楷体_GB2312"/>
          <w:b/>
          <w:sz w:val="32"/>
          <w:szCs w:val="32"/>
        </w:rPr>
        <w:t>（一）机关运行经费支出情况</w:t>
      </w:r>
      <w:bookmarkEnd w:id="46"/>
    </w:p>
    <w:p w14:paraId="1B2D1932">
      <w:pPr>
        <w:spacing w:line="600" w:lineRule="exact"/>
        <w:ind w:firstLine="640"/>
        <w:rPr>
          <w:rFonts w:eastAsia="仿宋_GB2312" w:cs="仿宋_GB2312"/>
          <w:sz w:val="32"/>
          <w:szCs w:val="32"/>
        </w:rPr>
      </w:pPr>
      <w:r>
        <w:rPr>
          <w:rFonts w:hint="eastAsia" w:eastAsia="仿宋_GB2312" w:cs="仿宋_GB2312"/>
          <w:sz w:val="32"/>
          <w:szCs w:val="32"/>
        </w:rPr>
        <w:t>202</w:t>
      </w:r>
      <w:r>
        <w:rPr>
          <w:rFonts w:hint="eastAsia" w:eastAsia="仿宋_GB2312" w:cs="仿宋_GB2312"/>
          <w:sz w:val="32"/>
          <w:szCs w:val="32"/>
          <w:lang w:val="en-US" w:eastAsia="zh-CN"/>
        </w:rPr>
        <w:t>5</w:t>
      </w:r>
      <w:r>
        <w:rPr>
          <w:rFonts w:hint="eastAsia" w:eastAsia="仿宋_GB2312" w:cs="仿宋_GB2312"/>
          <w:sz w:val="32"/>
          <w:szCs w:val="32"/>
        </w:rPr>
        <w:t>年度</w:t>
      </w:r>
      <w:r>
        <w:rPr>
          <w:rFonts w:hint="eastAsia" w:ascii="仿宋_GB2312" w:hAnsi="仿宋_GB2312" w:eastAsia="仿宋_GB2312" w:cs="仿宋_GB2312"/>
          <w:sz w:val="32"/>
          <w:szCs w:val="32"/>
        </w:rPr>
        <w:t>，四川省攀枝花市少年宫机关运行经费支出0万</w:t>
      </w:r>
      <w:r>
        <w:rPr>
          <w:rFonts w:hint="eastAsia" w:eastAsia="仿宋_GB2312" w:cs="仿宋_GB2312"/>
          <w:sz w:val="32"/>
          <w:szCs w:val="32"/>
        </w:rPr>
        <w:t>元，与202</w:t>
      </w:r>
      <w:r>
        <w:rPr>
          <w:rFonts w:hint="eastAsia" w:eastAsia="仿宋_GB2312" w:cs="仿宋_GB2312"/>
          <w:sz w:val="32"/>
          <w:szCs w:val="32"/>
          <w:lang w:val="en-US" w:eastAsia="zh-CN"/>
        </w:rPr>
        <w:t>4</w:t>
      </w:r>
      <w:r>
        <w:rPr>
          <w:rFonts w:hint="eastAsia" w:eastAsia="仿宋_GB2312" w:cs="仿宋_GB2312"/>
          <w:sz w:val="32"/>
          <w:szCs w:val="32"/>
        </w:rPr>
        <w:t>年度决算数持平。</w:t>
      </w:r>
    </w:p>
    <w:p w14:paraId="19499EF3">
      <w:pPr>
        <w:spacing w:line="600" w:lineRule="exact"/>
        <w:ind w:firstLine="643" w:firstLineChars="200"/>
        <w:outlineLvl w:val="2"/>
        <w:rPr>
          <w:rFonts w:eastAsia="楷体_GB2312" w:cs="楷体_GB2312"/>
          <w:b/>
          <w:sz w:val="32"/>
          <w:szCs w:val="32"/>
        </w:rPr>
      </w:pPr>
      <w:bookmarkStart w:id="47" w:name="_Toc15377223"/>
      <w:r>
        <w:rPr>
          <w:rFonts w:hint="eastAsia" w:eastAsia="楷体_GB2312" w:cs="楷体_GB2312"/>
          <w:b/>
          <w:sz w:val="32"/>
          <w:szCs w:val="32"/>
        </w:rPr>
        <w:t>（二）政府采购支出情况</w:t>
      </w:r>
      <w:bookmarkEnd w:id="47"/>
    </w:p>
    <w:p w14:paraId="1ABDE79D">
      <w:pPr>
        <w:spacing w:line="600" w:lineRule="exact"/>
        <w:ind w:firstLine="640"/>
        <w:rPr>
          <w:rFonts w:eastAsia="仿宋_GB2312" w:cs="仿宋_GB2312"/>
          <w:sz w:val="32"/>
          <w:szCs w:val="32"/>
        </w:rPr>
      </w:pPr>
      <w:r>
        <w:rPr>
          <w:rFonts w:hint="eastAsia" w:eastAsia="仿宋_GB2312" w:cs="仿宋_GB2312"/>
          <w:sz w:val="32"/>
          <w:szCs w:val="32"/>
        </w:rPr>
        <w:t>2025年度，</w:t>
      </w:r>
      <w:r>
        <w:rPr>
          <w:rFonts w:hint="eastAsia" w:ascii="仿宋_GB2312" w:hAnsi="仿宋_GB2312" w:eastAsia="仿宋_GB2312" w:cs="仿宋_GB2312"/>
          <w:sz w:val="32"/>
          <w:szCs w:val="32"/>
        </w:rPr>
        <w:t>四川省攀枝花市少年宫</w:t>
      </w:r>
      <w:r>
        <w:rPr>
          <w:rFonts w:hint="eastAsia" w:eastAsia="仿宋_GB2312" w:cs="仿宋_GB2312"/>
          <w:sz w:val="32"/>
          <w:szCs w:val="32"/>
        </w:rPr>
        <w:t>政府采购支出总额</w:t>
      </w:r>
      <w:r>
        <w:rPr>
          <w:rFonts w:hint="eastAsia" w:eastAsia="仿宋_GB2312" w:cs="仿宋_GB2312"/>
          <w:sz w:val="32"/>
          <w:szCs w:val="32"/>
          <w:lang w:val="en-US" w:eastAsia="zh-CN"/>
        </w:rPr>
        <w:t>0.23</w:t>
      </w:r>
      <w:r>
        <w:rPr>
          <w:rFonts w:hint="eastAsia" w:eastAsia="仿宋_GB2312" w:cs="仿宋_GB2312"/>
          <w:sz w:val="32"/>
          <w:szCs w:val="32"/>
        </w:rPr>
        <w:t>万元，其中：政府采购货物支出</w:t>
      </w:r>
      <w:r>
        <w:rPr>
          <w:rFonts w:hint="eastAsia" w:eastAsia="仿宋_GB2312" w:cs="仿宋_GB2312"/>
          <w:sz w:val="32"/>
          <w:szCs w:val="32"/>
          <w:lang w:val="en-US" w:eastAsia="zh-CN"/>
        </w:rPr>
        <w:t>0</w:t>
      </w:r>
      <w:r>
        <w:rPr>
          <w:rFonts w:hint="eastAsia" w:eastAsia="仿宋_GB2312" w:cs="仿宋_GB2312"/>
          <w:sz w:val="32"/>
          <w:szCs w:val="32"/>
        </w:rPr>
        <w:t>万元、政府采购工程支出</w:t>
      </w:r>
      <w:r>
        <w:rPr>
          <w:rFonts w:hint="eastAsia" w:eastAsia="仿宋_GB2312" w:cs="仿宋_GB2312"/>
          <w:sz w:val="32"/>
          <w:szCs w:val="32"/>
          <w:lang w:val="en-US" w:eastAsia="zh-CN"/>
        </w:rPr>
        <w:t>0</w:t>
      </w:r>
      <w:r>
        <w:rPr>
          <w:rFonts w:hint="eastAsia" w:eastAsia="仿宋_GB2312" w:cs="仿宋_GB2312"/>
          <w:sz w:val="32"/>
          <w:szCs w:val="32"/>
        </w:rPr>
        <w:t>万元、政府采购服务支出</w:t>
      </w:r>
      <w:r>
        <w:rPr>
          <w:rFonts w:hint="eastAsia" w:eastAsia="仿宋_GB2312" w:cs="仿宋_GB2312"/>
          <w:sz w:val="32"/>
          <w:szCs w:val="32"/>
          <w:lang w:val="en-US" w:eastAsia="zh-CN"/>
        </w:rPr>
        <w:t>0.23</w:t>
      </w:r>
      <w:r>
        <w:rPr>
          <w:rFonts w:hint="eastAsia" w:eastAsia="仿宋_GB2312" w:cs="仿宋_GB2312"/>
          <w:sz w:val="32"/>
          <w:szCs w:val="32"/>
        </w:rPr>
        <w:t>万元。主要用于</w:t>
      </w:r>
      <w:r>
        <w:rPr>
          <w:rFonts w:hint="eastAsia" w:ascii="仿宋_GB2312" w:hAnsi="仿宋_GB2312" w:eastAsia="仿宋_GB2312" w:cs="仿宋_GB2312"/>
          <w:sz w:val="32"/>
          <w:szCs w:val="32"/>
          <w:lang w:eastAsia="zh-CN"/>
        </w:rPr>
        <w:t>公务车辆保险缴费和维修费</w:t>
      </w:r>
      <w:r>
        <w:rPr>
          <w:rFonts w:hint="eastAsia" w:eastAsia="仿宋_GB2312" w:cs="仿宋_GB2312"/>
          <w:sz w:val="32"/>
          <w:szCs w:val="32"/>
        </w:rPr>
        <w:t>。授予中小企业合同金额</w:t>
      </w:r>
      <w:r>
        <w:rPr>
          <w:rFonts w:hint="eastAsia" w:eastAsia="仿宋_GB2312" w:cs="仿宋_GB2312"/>
          <w:sz w:val="32"/>
          <w:szCs w:val="32"/>
          <w:lang w:val="en-US" w:eastAsia="zh-CN"/>
        </w:rPr>
        <w:t>0</w:t>
      </w:r>
      <w:r>
        <w:rPr>
          <w:rFonts w:hint="eastAsia" w:eastAsia="仿宋_GB2312" w:cs="仿宋_GB2312"/>
          <w:sz w:val="32"/>
          <w:szCs w:val="32"/>
        </w:rPr>
        <w:t>万元，占政府采购支出总额的</w:t>
      </w:r>
      <w:r>
        <w:rPr>
          <w:rFonts w:hint="eastAsia" w:eastAsia="仿宋_GB2312" w:cs="仿宋_GB2312"/>
          <w:sz w:val="32"/>
          <w:szCs w:val="32"/>
          <w:lang w:val="en-US" w:eastAsia="zh-CN"/>
        </w:rPr>
        <w:t>0</w:t>
      </w:r>
      <w:r>
        <w:rPr>
          <w:rFonts w:hint="eastAsia" w:eastAsia="仿宋_GB2312" w:cs="仿宋_GB2312"/>
          <w:sz w:val="32"/>
          <w:szCs w:val="32"/>
        </w:rPr>
        <w:t>%，其中：授予小微企业合同金额</w:t>
      </w:r>
      <w:r>
        <w:rPr>
          <w:rFonts w:hint="eastAsia" w:eastAsia="仿宋_GB2312" w:cs="仿宋_GB2312"/>
          <w:sz w:val="32"/>
          <w:szCs w:val="32"/>
          <w:lang w:val="en-US" w:eastAsia="zh-CN"/>
        </w:rPr>
        <w:t>0</w:t>
      </w:r>
      <w:r>
        <w:rPr>
          <w:rFonts w:hint="eastAsia" w:eastAsia="仿宋_GB2312" w:cs="仿宋_GB2312"/>
          <w:sz w:val="32"/>
          <w:szCs w:val="32"/>
        </w:rPr>
        <w:t>万元，占政府采购支出总额的</w:t>
      </w:r>
      <w:r>
        <w:rPr>
          <w:rFonts w:hint="eastAsia" w:eastAsia="仿宋_GB2312" w:cs="仿宋_GB2312"/>
          <w:sz w:val="32"/>
          <w:szCs w:val="32"/>
          <w:lang w:val="en-US" w:eastAsia="zh-CN"/>
        </w:rPr>
        <w:t>0</w:t>
      </w:r>
      <w:r>
        <w:rPr>
          <w:rFonts w:hint="eastAsia" w:eastAsia="仿宋_GB2312" w:cs="仿宋_GB2312"/>
          <w:sz w:val="32"/>
          <w:szCs w:val="32"/>
        </w:rPr>
        <w:t>%。</w:t>
      </w:r>
    </w:p>
    <w:p w14:paraId="245DECD6">
      <w:pPr>
        <w:spacing w:line="600" w:lineRule="exact"/>
        <w:ind w:firstLine="643" w:firstLineChars="200"/>
        <w:outlineLvl w:val="2"/>
        <w:rPr>
          <w:rFonts w:eastAsia="楷体_GB2312" w:cs="楷体_GB2312"/>
          <w:b/>
          <w:sz w:val="32"/>
          <w:szCs w:val="32"/>
        </w:rPr>
      </w:pPr>
      <w:bookmarkStart w:id="48" w:name="_Toc15377224"/>
      <w:r>
        <w:rPr>
          <w:rFonts w:hint="eastAsia" w:eastAsia="楷体_GB2312" w:cs="楷体_GB2312"/>
          <w:b/>
          <w:sz w:val="32"/>
          <w:szCs w:val="32"/>
        </w:rPr>
        <w:t>（三）国有资产占有使用情况</w:t>
      </w:r>
      <w:bookmarkEnd w:id="48"/>
    </w:p>
    <w:p w14:paraId="65CE08EA">
      <w:pPr>
        <w:spacing w:line="600" w:lineRule="exact"/>
        <w:ind w:firstLine="640"/>
        <w:rPr>
          <w:rFonts w:eastAsia="仿宋_GB2312" w:cs="仿宋_GB2312"/>
          <w:sz w:val="32"/>
          <w:szCs w:val="32"/>
        </w:rPr>
      </w:pPr>
      <w:r>
        <w:rPr>
          <w:rFonts w:hint="eastAsia" w:eastAsia="仿宋_GB2312" w:cs="仿宋_GB2312"/>
          <w:sz w:val="32"/>
          <w:szCs w:val="32"/>
        </w:rPr>
        <w:t>截至2025年12月31日，</w:t>
      </w:r>
      <w:r>
        <w:rPr>
          <w:rFonts w:hint="eastAsia" w:ascii="仿宋_GB2312" w:hAnsi="仿宋_GB2312" w:eastAsia="仿宋_GB2312" w:cs="仿宋_GB2312"/>
          <w:sz w:val="32"/>
          <w:szCs w:val="32"/>
        </w:rPr>
        <w:t>四川省攀枝花市少年宫</w:t>
      </w:r>
      <w:r>
        <w:rPr>
          <w:rFonts w:hint="eastAsia" w:eastAsia="仿宋_GB2312" w:cs="仿宋_GB2312"/>
          <w:sz w:val="32"/>
          <w:szCs w:val="32"/>
        </w:rPr>
        <w:t>共有车辆</w:t>
      </w:r>
      <w:r>
        <w:rPr>
          <w:rFonts w:hint="eastAsia" w:eastAsia="仿宋_GB2312" w:cs="仿宋_GB2312"/>
          <w:sz w:val="32"/>
          <w:szCs w:val="32"/>
          <w:lang w:val="en-US" w:eastAsia="zh-CN"/>
        </w:rPr>
        <w:t>1</w:t>
      </w:r>
      <w:r>
        <w:rPr>
          <w:rFonts w:hint="eastAsia" w:eastAsia="仿宋_GB2312" w:cs="仿宋_GB2312"/>
          <w:sz w:val="32"/>
          <w:szCs w:val="32"/>
        </w:rPr>
        <w:t>辆，其中：副部（省）级及以上领导用车</w:t>
      </w:r>
      <w:r>
        <w:rPr>
          <w:rFonts w:hint="eastAsia" w:eastAsia="仿宋_GB2312" w:cs="仿宋_GB2312"/>
          <w:sz w:val="32"/>
          <w:szCs w:val="32"/>
          <w:lang w:val="en-US" w:eastAsia="zh-CN"/>
        </w:rPr>
        <w:t>0</w:t>
      </w:r>
      <w:r>
        <w:rPr>
          <w:rFonts w:hint="eastAsia" w:eastAsia="仿宋_GB2312" w:cs="仿宋_GB2312"/>
          <w:sz w:val="32"/>
          <w:szCs w:val="32"/>
        </w:rPr>
        <w:t>辆、主要负责人用车</w:t>
      </w:r>
      <w:r>
        <w:rPr>
          <w:rFonts w:hint="eastAsia" w:eastAsia="仿宋_GB2312" w:cs="仿宋_GB2312"/>
          <w:sz w:val="32"/>
          <w:szCs w:val="32"/>
          <w:lang w:val="en-US" w:eastAsia="zh-CN"/>
        </w:rPr>
        <w:t>0</w:t>
      </w:r>
      <w:r>
        <w:rPr>
          <w:rFonts w:hint="eastAsia" w:eastAsia="仿宋_GB2312" w:cs="仿宋_GB2312"/>
          <w:sz w:val="32"/>
          <w:szCs w:val="32"/>
        </w:rPr>
        <w:t>辆、机要通信用车</w:t>
      </w:r>
      <w:r>
        <w:rPr>
          <w:rFonts w:hint="eastAsia" w:eastAsia="仿宋_GB2312" w:cs="仿宋_GB2312"/>
          <w:sz w:val="32"/>
          <w:szCs w:val="32"/>
          <w:lang w:val="en-US" w:eastAsia="zh-CN"/>
        </w:rPr>
        <w:t>0</w:t>
      </w:r>
      <w:r>
        <w:rPr>
          <w:rFonts w:hint="eastAsia" w:eastAsia="仿宋_GB2312" w:cs="仿宋_GB2312"/>
          <w:sz w:val="32"/>
          <w:szCs w:val="32"/>
        </w:rPr>
        <w:t>辆、应急保障用车</w:t>
      </w:r>
      <w:r>
        <w:rPr>
          <w:rFonts w:hint="eastAsia" w:eastAsia="仿宋_GB2312" w:cs="仿宋_GB2312"/>
          <w:sz w:val="32"/>
          <w:szCs w:val="32"/>
          <w:lang w:val="en-US" w:eastAsia="zh-CN"/>
        </w:rPr>
        <w:t>0</w:t>
      </w:r>
      <w:r>
        <w:rPr>
          <w:rFonts w:hint="eastAsia" w:eastAsia="仿宋_GB2312" w:cs="仿宋_GB2312"/>
          <w:sz w:val="32"/>
          <w:szCs w:val="32"/>
        </w:rPr>
        <w:t>辆、执法执勤用车</w:t>
      </w:r>
      <w:r>
        <w:rPr>
          <w:rFonts w:hint="eastAsia" w:eastAsia="仿宋_GB2312" w:cs="仿宋_GB2312"/>
          <w:sz w:val="32"/>
          <w:szCs w:val="32"/>
          <w:lang w:val="en-US" w:eastAsia="zh-CN"/>
        </w:rPr>
        <w:t>0</w:t>
      </w:r>
      <w:r>
        <w:rPr>
          <w:rFonts w:hint="eastAsia" w:eastAsia="仿宋_GB2312" w:cs="仿宋_GB2312"/>
          <w:sz w:val="32"/>
          <w:szCs w:val="32"/>
        </w:rPr>
        <w:t>辆、特种专业技术用车</w:t>
      </w:r>
      <w:r>
        <w:rPr>
          <w:rFonts w:hint="eastAsia" w:eastAsia="仿宋_GB2312" w:cs="仿宋_GB2312"/>
          <w:sz w:val="32"/>
          <w:szCs w:val="32"/>
          <w:lang w:val="en-US" w:eastAsia="zh-CN"/>
        </w:rPr>
        <w:t>0</w:t>
      </w:r>
      <w:r>
        <w:rPr>
          <w:rFonts w:hint="eastAsia" w:eastAsia="仿宋_GB2312" w:cs="仿宋_GB2312"/>
          <w:sz w:val="32"/>
          <w:szCs w:val="32"/>
        </w:rPr>
        <w:t>辆、离退休干部服务用车</w:t>
      </w:r>
      <w:r>
        <w:rPr>
          <w:rFonts w:hint="eastAsia" w:eastAsia="仿宋_GB2312" w:cs="仿宋_GB2312"/>
          <w:sz w:val="32"/>
          <w:szCs w:val="32"/>
          <w:lang w:val="en-US" w:eastAsia="zh-CN"/>
        </w:rPr>
        <w:t>0</w:t>
      </w:r>
      <w:r>
        <w:rPr>
          <w:rFonts w:hint="eastAsia" w:eastAsia="仿宋_GB2312" w:cs="仿宋_GB2312"/>
          <w:sz w:val="32"/>
          <w:szCs w:val="32"/>
        </w:rPr>
        <w:t>辆、其他用车</w:t>
      </w:r>
      <w:r>
        <w:rPr>
          <w:rFonts w:hint="eastAsia" w:eastAsia="仿宋_GB2312" w:cs="仿宋_GB2312"/>
          <w:sz w:val="32"/>
          <w:szCs w:val="32"/>
          <w:lang w:val="en-US" w:eastAsia="zh-CN"/>
        </w:rPr>
        <w:t>1</w:t>
      </w:r>
      <w:r>
        <w:rPr>
          <w:rFonts w:hint="eastAsia" w:eastAsia="仿宋_GB2312" w:cs="仿宋_GB2312"/>
          <w:sz w:val="32"/>
          <w:szCs w:val="32"/>
        </w:rPr>
        <w:t>辆，其他用车主要是用于</w:t>
      </w:r>
      <w:r>
        <w:rPr>
          <w:rFonts w:hint="eastAsia" w:ascii="仿宋_GB2312" w:eastAsia="仿宋_GB2312"/>
          <w:sz w:val="32"/>
          <w:szCs w:val="32"/>
        </w:rPr>
        <w:t>用于</w:t>
      </w:r>
      <w:r>
        <w:rPr>
          <w:rFonts w:hint="eastAsia" w:ascii="仿宋_GB2312" w:eastAsia="仿宋_GB2312"/>
          <w:sz w:val="32"/>
          <w:szCs w:val="32"/>
          <w:lang w:eastAsia="zh-CN"/>
        </w:rPr>
        <w:t>保障日常培训活动</w:t>
      </w:r>
      <w:r>
        <w:rPr>
          <w:rFonts w:hint="eastAsia" w:eastAsia="仿宋_GB2312" w:cs="仿宋_GB2312"/>
          <w:sz w:val="32"/>
          <w:szCs w:val="32"/>
        </w:rPr>
        <w:t>。单价100万元（含）以上设备（不含车辆）</w:t>
      </w:r>
      <w:r>
        <w:rPr>
          <w:rFonts w:hint="eastAsia" w:eastAsia="仿宋_GB2312" w:cs="仿宋_GB2312"/>
          <w:sz w:val="32"/>
          <w:szCs w:val="32"/>
          <w:lang w:val="en-US" w:eastAsia="zh-CN"/>
        </w:rPr>
        <w:t>0</w:t>
      </w:r>
      <w:r>
        <w:rPr>
          <w:rFonts w:hint="eastAsia" w:eastAsia="仿宋_GB2312" w:cs="仿宋_GB2312"/>
          <w:sz w:val="32"/>
          <w:szCs w:val="32"/>
        </w:rPr>
        <w:t>台（套）。</w:t>
      </w:r>
    </w:p>
    <w:p w14:paraId="02510D5F">
      <w:pPr>
        <w:spacing w:line="600" w:lineRule="exact"/>
        <w:ind w:firstLine="643" w:firstLineChars="200"/>
        <w:outlineLvl w:val="2"/>
        <w:rPr>
          <w:rFonts w:eastAsia="楷体_GB2312" w:cs="楷体_GB2312"/>
          <w:b/>
          <w:sz w:val="32"/>
          <w:szCs w:val="32"/>
        </w:rPr>
      </w:pPr>
      <w:r>
        <w:rPr>
          <w:rFonts w:hint="eastAsia" w:eastAsia="楷体_GB2312" w:cs="楷体_GB2312"/>
          <w:b/>
          <w:sz w:val="32"/>
          <w:szCs w:val="32"/>
        </w:rPr>
        <w:t>（四）预算绩效管理情况</w:t>
      </w:r>
    </w:p>
    <w:p w14:paraId="0BCF4016">
      <w:pPr>
        <w:spacing w:line="600" w:lineRule="exact"/>
        <w:ind w:firstLine="640"/>
        <w:rPr>
          <w:rFonts w:hint="eastAsia" w:eastAsia="仿宋_GB2312" w:cs="仿宋_GB2312"/>
          <w:sz w:val="32"/>
          <w:szCs w:val="32"/>
        </w:rPr>
      </w:pPr>
      <w:r>
        <w:rPr>
          <w:rFonts w:hint="eastAsia" w:eastAsia="仿宋_GB2312" w:cs="仿宋_GB2312"/>
          <w:sz w:val="32"/>
          <w:szCs w:val="32"/>
        </w:rPr>
        <w:t>根据预算绩效管理要求，</w:t>
      </w:r>
      <w:r>
        <w:rPr>
          <w:rFonts w:hint="eastAsia" w:eastAsia="仿宋_GB2312" w:cs="仿宋_GB2312"/>
          <w:sz w:val="32"/>
          <w:szCs w:val="32"/>
          <w:lang w:val="en-US" w:eastAsia="zh-CN"/>
        </w:rPr>
        <w:t>市少年宫</w:t>
      </w:r>
      <w:r>
        <w:rPr>
          <w:rFonts w:hint="eastAsia" w:eastAsia="仿宋_GB2312" w:cs="仿宋_GB2312"/>
          <w:sz w:val="32"/>
          <w:szCs w:val="32"/>
        </w:rPr>
        <w:t>在202</w:t>
      </w:r>
      <w:r>
        <w:rPr>
          <w:rFonts w:hint="eastAsia" w:eastAsia="仿宋_GB2312" w:cs="仿宋_GB2312"/>
          <w:sz w:val="32"/>
          <w:szCs w:val="32"/>
          <w:lang w:val="en-US" w:eastAsia="zh-CN"/>
        </w:rPr>
        <w:t>5</w:t>
      </w:r>
      <w:r>
        <w:rPr>
          <w:rFonts w:hint="eastAsia" w:eastAsia="仿宋_GB2312" w:cs="仿宋_GB2312"/>
          <w:sz w:val="32"/>
          <w:szCs w:val="32"/>
        </w:rPr>
        <w:t>年度预算编制阶段，组织对</w:t>
      </w:r>
      <w:r>
        <w:rPr>
          <w:rFonts w:hint="eastAsia" w:ascii="仿宋_GB2312" w:eastAsia="仿宋_GB2312" w:cs="Times New Roman"/>
          <w:color w:val="auto"/>
          <w:sz w:val="32"/>
          <w:szCs w:val="32"/>
          <w:highlight w:val="none"/>
          <w:lang w:val="en-US" w:eastAsia="zh-CN"/>
        </w:rPr>
        <w:t>市少年宫办学经费</w:t>
      </w:r>
      <w:r>
        <w:rPr>
          <w:rFonts w:hint="eastAsia" w:ascii="仿宋_GB2312" w:eastAsia="仿宋_GB2312" w:cs="Times New Roman"/>
          <w:color w:val="auto"/>
          <w:sz w:val="32"/>
          <w:szCs w:val="32"/>
          <w:highlight w:val="none"/>
          <w:lang w:eastAsia="zh-CN"/>
        </w:rPr>
        <w:t>项目</w:t>
      </w:r>
      <w:r>
        <w:rPr>
          <w:rFonts w:hint="eastAsia" w:eastAsia="仿宋_GB2312" w:cs="仿宋_GB2312"/>
          <w:sz w:val="32"/>
          <w:szCs w:val="32"/>
        </w:rPr>
        <w:t>等</w:t>
      </w:r>
      <w:r>
        <w:rPr>
          <w:rFonts w:hint="eastAsia" w:eastAsia="仿宋_GB2312" w:cs="仿宋_GB2312"/>
          <w:sz w:val="32"/>
          <w:szCs w:val="32"/>
          <w:lang w:val="en-US" w:eastAsia="zh-CN"/>
        </w:rPr>
        <w:t>1</w:t>
      </w:r>
      <w:r>
        <w:rPr>
          <w:rFonts w:hint="eastAsia" w:eastAsia="仿宋_GB2312" w:cs="仿宋_GB2312"/>
          <w:sz w:val="32"/>
          <w:szCs w:val="32"/>
        </w:rPr>
        <w:t>个项目开展了预算事前绩效评估，对</w:t>
      </w:r>
      <w:r>
        <w:rPr>
          <w:rFonts w:hint="eastAsia" w:eastAsia="仿宋_GB2312" w:cs="仿宋_GB2312"/>
          <w:sz w:val="32"/>
          <w:szCs w:val="32"/>
          <w:lang w:val="en-US" w:eastAsia="zh-CN"/>
        </w:rPr>
        <w:t>1</w:t>
      </w:r>
      <w:r>
        <w:rPr>
          <w:rFonts w:hint="eastAsia" w:eastAsia="仿宋_GB2312" w:cs="仿宋_GB2312"/>
          <w:sz w:val="32"/>
          <w:szCs w:val="32"/>
        </w:rPr>
        <w:t>个项目编制了绩效目标，预算执行过程中，选取</w:t>
      </w:r>
      <w:r>
        <w:rPr>
          <w:rFonts w:hint="eastAsia" w:eastAsia="仿宋_GB2312" w:cs="仿宋_GB2312"/>
          <w:sz w:val="32"/>
          <w:szCs w:val="32"/>
          <w:lang w:val="en-US" w:eastAsia="zh-CN"/>
        </w:rPr>
        <w:t>1</w:t>
      </w:r>
      <w:r>
        <w:rPr>
          <w:rFonts w:hint="eastAsia" w:eastAsia="仿宋_GB2312" w:cs="仿宋_GB2312"/>
          <w:sz w:val="32"/>
          <w:szCs w:val="32"/>
        </w:rPr>
        <w:t>个项目开展绩效监控。</w:t>
      </w:r>
    </w:p>
    <w:p w14:paraId="35DBE111">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组织对202</w:t>
      </w:r>
      <w:r>
        <w:rPr>
          <w:rFonts w:hint="eastAsia" w:eastAsia="仿宋_GB2312" w:cs="仿宋_GB2312"/>
          <w:sz w:val="32"/>
          <w:szCs w:val="32"/>
          <w:lang w:val="en-US" w:eastAsia="zh-CN"/>
        </w:rPr>
        <w:t>5</w:t>
      </w:r>
      <w:r>
        <w:rPr>
          <w:rFonts w:hint="eastAsia" w:eastAsia="仿宋_GB2312" w:cs="仿宋_GB2312"/>
          <w:sz w:val="32"/>
          <w:szCs w:val="32"/>
        </w:rPr>
        <w:t>年度一般公共预算全面开展绩效自评，形成</w:t>
      </w:r>
      <w:r>
        <w:rPr>
          <w:rFonts w:hint="eastAsia" w:ascii="仿宋_GB2312" w:eastAsia="仿宋_GB2312" w:cs="Times New Roman"/>
          <w:color w:val="auto"/>
          <w:sz w:val="32"/>
          <w:szCs w:val="32"/>
          <w:highlight w:val="none"/>
          <w:lang w:val="en-US" w:eastAsia="zh-CN"/>
        </w:rPr>
        <w:t>市少年宫专项预算绩效自评报告。其中：办学经费专项预算绩效自评</w:t>
      </w:r>
      <w:r>
        <w:rPr>
          <w:rFonts w:hint="eastAsia" w:eastAsia="仿宋_GB2312" w:cs="仿宋_GB2312"/>
          <w:sz w:val="32"/>
          <w:szCs w:val="32"/>
        </w:rPr>
        <w:t>得分为</w:t>
      </w:r>
      <w:r>
        <w:rPr>
          <w:rFonts w:hint="eastAsia" w:eastAsia="仿宋_GB2312" w:cs="仿宋_GB2312"/>
          <w:sz w:val="32"/>
          <w:szCs w:val="32"/>
          <w:lang w:val="en-US" w:eastAsia="zh-CN"/>
        </w:rPr>
        <w:t>98</w:t>
      </w:r>
      <w:r>
        <w:rPr>
          <w:rFonts w:hint="eastAsia" w:eastAsia="仿宋_GB2312" w:cs="仿宋_GB2312"/>
          <w:sz w:val="32"/>
          <w:szCs w:val="32"/>
        </w:rPr>
        <w:t>分</w:t>
      </w:r>
      <w:r>
        <w:rPr>
          <w:rFonts w:hint="eastAsia" w:eastAsia="仿宋_GB2312" w:cs="仿宋_GB2312"/>
          <w:sz w:val="32"/>
          <w:szCs w:val="32"/>
          <w:lang w:eastAsia="zh-CN"/>
        </w:rPr>
        <w:t>。</w:t>
      </w:r>
    </w:p>
    <w:p w14:paraId="0ACF5E78">
      <w:pPr>
        <w:spacing w:line="600" w:lineRule="exact"/>
        <w:jc w:val="center"/>
        <w:outlineLvl w:val="0"/>
        <w:rPr>
          <w:rFonts w:eastAsia="黑体"/>
          <w:sz w:val="44"/>
          <w:szCs w:val="44"/>
        </w:rPr>
      </w:pPr>
      <w:bookmarkStart w:id="49" w:name="_Toc15377225"/>
      <w:bookmarkStart w:id="50" w:name="_Toc15396613"/>
      <w:r>
        <w:rPr>
          <w:rFonts w:hint="eastAsia" w:eastAsia="黑体"/>
          <w:sz w:val="44"/>
          <w:szCs w:val="44"/>
        </w:rPr>
        <w:t>第三部分  名词解释</w:t>
      </w:r>
      <w:bookmarkEnd w:id="49"/>
      <w:bookmarkEnd w:id="50"/>
    </w:p>
    <w:p w14:paraId="4DEDC75C">
      <w:pPr>
        <w:spacing w:line="600" w:lineRule="exact"/>
        <w:jc w:val="left"/>
        <w:rPr>
          <w:b/>
          <w:sz w:val="44"/>
          <w:szCs w:val="44"/>
        </w:rPr>
      </w:pPr>
    </w:p>
    <w:p w14:paraId="7A56579D">
      <w:pPr>
        <w:pStyle w:val="27"/>
        <w:spacing w:line="560" w:lineRule="exact"/>
        <w:ind w:firstLine="640" w:firstLineChars="200"/>
        <w:rPr>
          <w:rFonts w:ascii="仿宋_GB2312" w:eastAsia="仿宋_GB2312"/>
          <w:color w:val="auto"/>
          <w:sz w:val="32"/>
          <w:szCs w:val="32"/>
        </w:rPr>
      </w:pPr>
      <w:bookmarkStart w:id="51" w:name="_Toc15396614"/>
      <w:bookmarkStart w:id="52" w:name="_Toc15377226"/>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14:paraId="03A03D8F">
      <w:pPr>
        <w:pStyle w:val="27"/>
        <w:spacing w:line="560" w:lineRule="exact"/>
        <w:ind w:firstLine="640" w:firstLineChars="200"/>
        <w:rPr>
          <w:rFonts w:ascii="仿宋_GB2312" w:eastAsia="仿宋_GB2312"/>
          <w:color w:val="333333"/>
          <w:sz w:val="32"/>
          <w:szCs w:val="32"/>
          <w:shd w:val="clear" w:color="auto" w:fill="FFFFFF"/>
        </w:rPr>
      </w:pPr>
      <w:r>
        <w:rPr>
          <w:rFonts w:ascii="仿宋_GB2312" w:eastAsia="仿宋_GB2312"/>
          <w:b w:val="0"/>
          <w:bCs w:val="0"/>
          <w:color w:val="auto"/>
          <w:sz w:val="32"/>
          <w:szCs w:val="32"/>
        </w:rPr>
        <w:t>2.</w:t>
      </w:r>
      <w:bookmarkStart w:id="53" w:name="_Hlk113266409"/>
      <w:r>
        <w:rPr>
          <w:rFonts w:hint="eastAsia" w:ascii="仿宋_GB2312" w:eastAsia="仿宋_GB2312"/>
          <w:sz w:val="32"/>
          <w:szCs w:val="32"/>
        </w:rPr>
        <w:t>一般公共服务（类）</w:t>
      </w:r>
      <w:r>
        <w:rPr>
          <w:rStyle w:val="18"/>
          <w:rFonts w:hint="eastAsia" w:ascii="仿宋_GB2312" w:hAnsi="仿宋" w:eastAsia="仿宋_GB2312"/>
          <w:b w:val="0"/>
          <w:bCs/>
          <w:sz w:val="32"/>
          <w:szCs w:val="32"/>
        </w:rPr>
        <w:t>群众团体事务（款）事业运行（项）：指</w:t>
      </w:r>
      <w:r>
        <w:rPr>
          <w:rFonts w:hint="eastAsia" w:ascii="仿宋_GB2312" w:eastAsia="仿宋_GB2312"/>
          <w:color w:val="333333"/>
          <w:sz w:val="32"/>
          <w:szCs w:val="32"/>
          <w:shd w:val="clear" w:color="auto" w:fill="FFFFFF"/>
        </w:rPr>
        <w:t>事业单位的基本支出</w:t>
      </w:r>
      <w:bookmarkEnd w:id="53"/>
      <w:r>
        <w:rPr>
          <w:rFonts w:hint="eastAsia" w:ascii="仿宋_GB2312" w:eastAsia="仿宋_GB2312"/>
          <w:color w:val="333333"/>
          <w:sz w:val="32"/>
          <w:szCs w:val="32"/>
          <w:shd w:val="clear" w:color="auto" w:fill="FFFFFF"/>
        </w:rPr>
        <w:t>，不包括行政单位（包括实行公务员管理的事业单位）后勤服务中心，医务室等附属事业单位。</w:t>
      </w:r>
    </w:p>
    <w:p w14:paraId="2C89F8ED">
      <w:pPr>
        <w:pStyle w:val="27"/>
        <w:spacing w:line="560" w:lineRule="exact"/>
        <w:ind w:firstLine="640" w:firstLineChars="200"/>
        <w:rPr>
          <w:rFonts w:ascii="仿宋_GB2312" w:eastAsia="仿宋_GB2312"/>
          <w:sz w:val="32"/>
          <w:szCs w:val="32"/>
        </w:rPr>
      </w:pPr>
      <w:r>
        <w:rPr>
          <w:rFonts w:ascii="仿宋_GB2312" w:eastAsia="仿宋_GB2312"/>
          <w:color w:val="auto"/>
          <w:sz w:val="32"/>
          <w:szCs w:val="32"/>
        </w:rPr>
        <w:t>3.</w:t>
      </w:r>
      <w:r>
        <w:rPr>
          <w:rFonts w:hint="eastAsia" w:ascii="仿宋_GB2312" w:eastAsia="仿宋_GB2312"/>
          <w:sz w:val="32"/>
          <w:szCs w:val="32"/>
        </w:rPr>
        <w:t>一般公共服务（类）</w:t>
      </w:r>
      <w:r>
        <w:rPr>
          <w:rStyle w:val="18"/>
          <w:rFonts w:hint="eastAsia" w:ascii="仿宋_GB2312" w:hAnsi="仿宋" w:eastAsia="仿宋_GB2312"/>
          <w:b w:val="0"/>
          <w:bCs/>
          <w:sz w:val="32"/>
          <w:szCs w:val="32"/>
        </w:rPr>
        <w:t>群众团体事务（款）其他群众团体事务支出（项）：指除上述项目以外其他用于群众团体事务方面的支出。</w:t>
      </w:r>
    </w:p>
    <w:p w14:paraId="7E45B73C">
      <w:pPr>
        <w:pStyle w:val="27"/>
        <w:spacing w:line="560" w:lineRule="exact"/>
        <w:ind w:firstLine="640" w:firstLineChars="200"/>
        <w:rPr>
          <w:rFonts w:ascii="仿宋_GB2312" w:eastAsia="仿宋_GB2312"/>
          <w:b w:val="0"/>
          <w:bCs w:val="0"/>
          <w:sz w:val="32"/>
          <w:szCs w:val="32"/>
        </w:rPr>
      </w:pPr>
      <w:r>
        <w:rPr>
          <w:rFonts w:hint="eastAsia" w:ascii="仿宋_GB2312" w:eastAsia="仿宋_GB2312"/>
          <w:sz w:val="32"/>
          <w:szCs w:val="32"/>
          <w:lang w:val="en-US" w:eastAsia="zh-CN"/>
        </w:rPr>
        <w:t>4.</w:t>
      </w:r>
      <w:r>
        <w:rPr>
          <w:rFonts w:hint="eastAsia" w:ascii="仿宋_GB2312" w:eastAsia="仿宋_GB2312"/>
          <w:sz w:val="32"/>
          <w:szCs w:val="32"/>
        </w:rPr>
        <w:t>住房保障（类）</w:t>
      </w:r>
      <w:r>
        <w:rPr>
          <w:rFonts w:hint="eastAsia" w:ascii="仿宋_GB2312" w:hAnsi="仿宋" w:eastAsia="仿宋_GB2312"/>
          <w:color w:val="000000"/>
          <w:sz w:val="32"/>
          <w:szCs w:val="32"/>
          <w:shd w:val="clear" w:color="auto" w:fill="FFFFFF"/>
        </w:rPr>
        <w:t>住房改革支出（款）住房公积金（项）：</w:t>
      </w:r>
      <w:r>
        <w:rPr>
          <w:rFonts w:hint="eastAsia" w:ascii="仿宋_GB2312" w:eastAsia="仿宋_GB2312"/>
          <w:color w:val="333333"/>
          <w:sz w:val="32"/>
          <w:szCs w:val="32"/>
          <w:shd w:val="clear" w:color="auto" w:fill="FFFFFF"/>
        </w:rPr>
        <w:t>指主要用于机关及下属事业单位按照规定标准为职工缴纳住房公积金等支出。</w:t>
      </w:r>
    </w:p>
    <w:p w14:paraId="1CAA317E">
      <w:pPr>
        <w:ind w:firstLine="640" w:firstLineChars="200"/>
        <w:rPr>
          <w:rFonts w:hint="eastAsia" w:ascii="仿宋_GB2312" w:eastAsia="仿宋_GB2312"/>
          <w:sz w:val="32"/>
          <w:szCs w:val="32"/>
        </w:rPr>
      </w:pPr>
      <w:r>
        <w:rPr>
          <w:rFonts w:hint="eastAsia" w:ascii="仿宋_GB2312" w:eastAsia="仿宋_GB2312"/>
          <w:sz w:val="32"/>
          <w:szCs w:val="32"/>
          <w:lang w:val="en-US" w:eastAsia="zh-CN"/>
        </w:rPr>
        <w:t>5</w:t>
      </w:r>
      <w:r>
        <w:rPr>
          <w:rFonts w:ascii="仿宋_GB2312" w:eastAsia="仿宋_GB2312"/>
          <w:sz w:val="32"/>
          <w:szCs w:val="32"/>
        </w:rPr>
        <w:t>.</w:t>
      </w:r>
      <w:r>
        <w:rPr>
          <w:rFonts w:hint="eastAsia" w:ascii="仿宋_GB2312" w:eastAsia="仿宋_GB2312"/>
          <w:sz w:val="32"/>
          <w:szCs w:val="32"/>
        </w:rPr>
        <w:t>社会保障和就业支出（类）行政事业单位养老支出（款）事业单位离退休（项）：指</w:t>
      </w:r>
      <w:r>
        <w:rPr>
          <w:rFonts w:hint="eastAsia" w:ascii="仿宋_GB2312" w:eastAsia="仿宋_GB2312"/>
          <w:sz w:val="32"/>
          <w:szCs w:val="32"/>
          <w:lang w:eastAsia="zh-CN"/>
        </w:rPr>
        <w:t>反映事业单位开支的离退休经费</w:t>
      </w:r>
      <w:r>
        <w:rPr>
          <w:rFonts w:hint="eastAsia" w:ascii="仿宋_GB2312" w:eastAsia="仿宋_GB2312"/>
          <w:sz w:val="32"/>
          <w:szCs w:val="32"/>
        </w:rPr>
        <w:t>。</w:t>
      </w:r>
    </w:p>
    <w:p w14:paraId="631292C4">
      <w:pPr>
        <w:ind w:firstLine="640" w:firstLineChars="200"/>
        <w:rPr>
          <w:rFonts w:ascii="仿宋_GB2312" w:eastAsia="仿宋_GB2312"/>
          <w:sz w:val="32"/>
          <w:szCs w:val="32"/>
        </w:rPr>
      </w:pPr>
      <w:r>
        <w:rPr>
          <w:rFonts w:hint="eastAsia" w:ascii="仿宋_GB2312" w:eastAsia="仿宋_GB2312"/>
          <w:sz w:val="32"/>
          <w:szCs w:val="32"/>
          <w:lang w:val="en-US" w:eastAsia="zh-CN"/>
        </w:rPr>
        <w:t>6</w:t>
      </w:r>
      <w:r>
        <w:rPr>
          <w:rFonts w:ascii="仿宋_GB2312" w:eastAsia="仿宋_GB2312"/>
          <w:sz w:val="32"/>
          <w:szCs w:val="32"/>
        </w:rPr>
        <w:t>.</w:t>
      </w:r>
      <w:r>
        <w:rPr>
          <w:rFonts w:hint="eastAsia" w:ascii="仿宋_GB2312" w:eastAsia="仿宋_GB2312"/>
          <w:sz w:val="32"/>
          <w:szCs w:val="32"/>
        </w:rPr>
        <w:t>社会保障和就业支出（类）行政事业单位养老支出（款）机关事业单位基本养老保险缴费支出（项）：指</w:t>
      </w:r>
      <w:r>
        <w:rPr>
          <w:rFonts w:hint="eastAsia" w:ascii="仿宋_GB2312" w:eastAsia="仿宋_GB2312"/>
          <w:sz w:val="32"/>
          <w:szCs w:val="32"/>
          <w:lang w:eastAsia="zh-CN"/>
        </w:rPr>
        <w:t>反映机关事业单位实施养老保险制度由单位缴纳的基本养老保险费支出。</w:t>
      </w:r>
    </w:p>
    <w:p w14:paraId="34D03B16">
      <w:pPr>
        <w:ind w:firstLine="640" w:firstLineChars="200"/>
        <w:rPr>
          <w:rFonts w:ascii="仿宋_GB2312" w:eastAsia="仿宋_GB2312"/>
          <w:sz w:val="32"/>
          <w:szCs w:val="32"/>
        </w:rPr>
      </w:pPr>
      <w:r>
        <w:rPr>
          <w:rFonts w:hint="eastAsia" w:ascii="仿宋_GB2312" w:eastAsia="仿宋_GB2312"/>
          <w:sz w:val="32"/>
          <w:szCs w:val="32"/>
          <w:lang w:val="en-US" w:eastAsia="zh-CN"/>
        </w:rPr>
        <w:t>7</w:t>
      </w:r>
      <w:r>
        <w:rPr>
          <w:rFonts w:ascii="仿宋_GB2312" w:eastAsia="仿宋_GB2312"/>
          <w:sz w:val="32"/>
          <w:szCs w:val="32"/>
        </w:rPr>
        <w:t>.</w:t>
      </w:r>
      <w:r>
        <w:rPr>
          <w:rFonts w:hint="eastAsia" w:ascii="仿宋_GB2312" w:eastAsia="仿宋_GB2312"/>
          <w:sz w:val="32"/>
          <w:szCs w:val="32"/>
        </w:rPr>
        <w:t>住房保障支出（类）住房改革支出（款）住房公积金（项）：指</w:t>
      </w:r>
      <w:r>
        <w:rPr>
          <w:rFonts w:hint="eastAsia" w:ascii="仿宋_GB2312" w:eastAsia="仿宋_GB2312"/>
          <w:sz w:val="32"/>
          <w:szCs w:val="32"/>
          <w:lang w:eastAsia="zh-CN"/>
        </w:rPr>
        <w:t>反映行政事业单位按人力资源和社会保障部、财政部规定的基本工资和津贴补贴以及规定比例为职工缴纳的住房公积金</w:t>
      </w:r>
      <w:r>
        <w:rPr>
          <w:rFonts w:hint="eastAsia" w:ascii="仿宋_GB2312" w:eastAsia="仿宋_GB2312"/>
          <w:sz w:val="32"/>
          <w:szCs w:val="32"/>
        </w:rPr>
        <w:t>。</w:t>
      </w:r>
    </w:p>
    <w:p w14:paraId="42A89652">
      <w:pPr>
        <w:ind w:firstLine="640" w:firstLineChars="200"/>
        <w:rPr>
          <w:rFonts w:ascii="仿宋_GB2312" w:eastAsia="仿宋_GB2312"/>
          <w:sz w:val="32"/>
          <w:szCs w:val="32"/>
        </w:rPr>
      </w:pPr>
      <w:r>
        <w:rPr>
          <w:rFonts w:hint="eastAsia" w:ascii="仿宋_GB2312" w:eastAsia="仿宋_GB2312"/>
          <w:sz w:val="32"/>
          <w:szCs w:val="32"/>
          <w:lang w:val="en-US" w:eastAsia="zh-CN"/>
        </w:rPr>
        <w:t>8</w:t>
      </w:r>
      <w:r>
        <w:rPr>
          <w:rFonts w:ascii="仿宋_GB2312" w:eastAsia="仿宋_GB2312"/>
          <w:sz w:val="32"/>
          <w:szCs w:val="32"/>
        </w:rPr>
        <w:t>.</w:t>
      </w:r>
      <w:r>
        <w:rPr>
          <w:rFonts w:hint="eastAsia" w:ascii="仿宋_GB2312" w:eastAsia="仿宋_GB2312"/>
          <w:sz w:val="32"/>
          <w:szCs w:val="32"/>
        </w:rPr>
        <w:t>基本支出：指为保障机构正常运转、完成日常工作任务而发生的人员支出和公用支出。</w:t>
      </w:r>
    </w:p>
    <w:p w14:paraId="3F57B7C9">
      <w:pPr>
        <w:ind w:firstLine="640" w:firstLineChars="200"/>
        <w:rPr>
          <w:rFonts w:ascii="仿宋_GB2312" w:eastAsia="仿宋_GB2312"/>
          <w:sz w:val="32"/>
          <w:szCs w:val="32"/>
        </w:rPr>
      </w:pPr>
      <w:r>
        <w:rPr>
          <w:rFonts w:hint="eastAsia" w:ascii="仿宋_GB2312" w:eastAsia="仿宋_GB2312"/>
          <w:sz w:val="32"/>
          <w:szCs w:val="32"/>
          <w:lang w:val="en-US" w:eastAsia="zh-CN"/>
        </w:rPr>
        <w:t>9</w:t>
      </w:r>
      <w:r>
        <w:rPr>
          <w:rFonts w:ascii="仿宋_GB2312" w:eastAsia="仿宋_GB2312"/>
          <w:sz w:val="32"/>
          <w:szCs w:val="32"/>
        </w:rPr>
        <w:t>.</w:t>
      </w:r>
      <w:r>
        <w:rPr>
          <w:rFonts w:hint="eastAsia" w:ascii="仿宋_GB2312" w:eastAsia="仿宋_GB2312"/>
          <w:sz w:val="32"/>
          <w:szCs w:val="32"/>
        </w:rPr>
        <w:t>项目支出：指在基本支出之外为完成特定行政任务和事业发展目标所发生的支出。</w:t>
      </w:r>
      <w:r>
        <w:rPr>
          <w:rFonts w:ascii="仿宋_GB2312" w:eastAsia="仿宋_GB2312"/>
          <w:sz w:val="32"/>
          <w:szCs w:val="32"/>
        </w:rPr>
        <w:t xml:space="preserve"> </w:t>
      </w:r>
    </w:p>
    <w:p w14:paraId="044D92CB">
      <w:pPr>
        <w:ind w:firstLine="640" w:firstLineChars="200"/>
        <w:rPr>
          <w:rFonts w:hint="eastAsia" w:ascii="仿宋_GB2312" w:eastAsia="仿宋_GB2312"/>
          <w:color w:val="auto"/>
          <w:sz w:val="32"/>
          <w:szCs w:val="32"/>
        </w:rPr>
      </w:pPr>
      <w:r>
        <w:rPr>
          <w:rFonts w:hint="eastAsia" w:ascii="仿宋_GB2312" w:eastAsia="仿宋_GB2312"/>
          <w:color w:val="auto"/>
          <w:sz w:val="32"/>
          <w:szCs w:val="32"/>
          <w:lang w:val="en-US" w:eastAsia="zh-CN"/>
        </w:rPr>
        <w:t>10</w:t>
      </w:r>
      <w:r>
        <w:rPr>
          <w:rFonts w:ascii="仿宋_GB2312" w:eastAsia="仿宋_GB2312"/>
          <w:color w:val="auto"/>
          <w:sz w:val="32"/>
          <w:szCs w:val="32"/>
        </w:rPr>
        <w:t>.</w:t>
      </w:r>
      <w:r>
        <w:rPr>
          <w:rFonts w:hint="eastAsia" w:ascii="仿宋_GB2312" w:eastAsia="仿宋_GB2312"/>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77C995F3">
      <w:pPr>
        <w:ind w:firstLine="640" w:firstLineChars="200"/>
        <w:rPr>
          <w:rFonts w:hint="eastAsia" w:ascii="仿宋_GB2312" w:eastAsia="仿宋_GB2312"/>
          <w:color w:val="auto"/>
          <w:sz w:val="32"/>
          <w:szCs w:val="32"/>
        </w:rPr>
      </w:pPr>
    </w:p>
    <w:p w14:paraId="69A3D395">
      <w:pPr>
        <w:ind w:firstLine="640" w:firstLineChars="200"/>
        <w:rPr>
          <w:rFonts w:hint="eastAsia" w:ascii="仿宋_GB2312" w:eastAsia="仿宋_GB2312"/>
          <w:color w:val="auto"/>
          <w:sz w:val="32"/>
          <w:szCs w:val="32"/>
        </w:rPr>
      </w:pPr>
    </w:p>
    <w:p w14:paraId="15C10968">
      <w:pPr>
        <w:ind w:firstLine="640" w:firstLineChars="200"/>
        <w:rPr>
          <w:rFonts w:hint="eastAsia" w:ascii="仿宋_GB2312" w:eastAsia="仿宋_GB2312"/>
          <w:color w:val="auto"/>
          <w:sz w:val="32"/>
          <w:szCs w:val="32"/>
        </w:rPr>
      </w:pPr>
    </w:p>
    <w:p w14:paraId="3C7E4B21">
      <w:pPr>
        <w:ind w:firstLine="640" w:firstLineChars="200"/>
        <w:rPr>
          <w:rFonts w:hint="eastAsia" w:ascii="仿宋_GB2312" w:eastAsia="仿宋_GB2312"/>
          <w:color w:val="auto"/>
          <w:sz w:val="32"/>
          <w:szCs w:val="32"/>
        </w:rPr>
      </w:pPr>
    </w:p>
    <w:p w14:paraId="754D6085">
      <w:pPr>
        <w:ind w:firstLine="640" w:firstLineChars="200"/>
        <w:rPr>
          <w:rFonts w:hint="eastAsia" w:ascii="仿宋_GB2312" w:eastAsia="仿宋_GB2312"/>
          <w:color w:val="auto"/>
          <w:sz w:val="32"/>
          <w:szCs w:val="32"/>
        </w:rPr>
      </w:pPr>
    </w:p>
    <w:p w14:paraId="7588BDED">
      <w:pPr>
        <w:ind w:firstLine="640" w:firstLineChars="200"/>
        <w:rPr>
          <w:rFonts w:hint="eastAsia" w:ascii="仿宋_GB2312" w:eastAsia="仿宋_GB2312"/>
          <w:color w:val="auto"/>
          <w:sz w:val="32"/>
          <w:szCs w:val="32"/>
        </w:rPr>
      </w:pPr>
    </w:p>
    <w:p w14:paraId="327BBB32">
      <w:pPr>
        <w:ind w:firstLine="640" w:firstLineChars="200"/>
        <w:rPr>
          <w:rFonts w:hint="eastAsia" w:ascii="仿宋_GB2312" w:eastAsia="仿宋_GB2312"/>
          <w:color w:val="auto"/>
          <w:sz w:val="32"/>
          <w:szCs w:val="32"/>
        </w:rPr>
      </w:pPr>
    </w:p>
    <w:p w14:paraId="58482FE3">
      <w:pPr>
        <w:ind w:firstLine="640" w:firstLineChars="200"/>
        <w:rPr>
          <w:rFonts w:hint="eastAsia" w:ascii="仿宋_GB2312" w:eastAsia="仿宋_GB2312"/>
          <w:color w:val="auto"/>
          <w:sz w:val="32"/>
          <w:szCs w:val="32"/>
        </w:rPr>
      </w:pPr>
    </w:p>
    <w:p w14:paraId="537CC9BD">
      <w:pPr>
        <w:ind w:firstLine="640" w:firstLineChars="200"/>
        <w:rPr>
          <w:rFonts w:hint="eastAsia" w:ascii="仿宋_GB2312" w:eastAsia="仿宋_GB2312"/>
          <w:color w:val="auto"/>
          <w:sz w:val="32"/>
          <w:szCs w:val="32"/>
        </w:rPr>
      </w:pPr>
    </w:p>
    <w:p w14:paraId="396844DB">
      <w:pPr>
        <w:ind w:firstLine="640" w:firstLineChars="200"/>
        <w:rPr>
          <w:rFonts w:hint="eastAsia" w:ascii="仿宋_GB2312" w:eastAsia="仿宋_GB2312"/>
          <w:color w:val="auto"/>
          <w:sz w:val="32"/>
          <w:szCs w:val="32"/>
        </w:rPr>
      </w:pPr>
    </w:p>
    <w:p w14:paraId="14065459">
      <w:pPr>
        <w:spacing w:line="600" w:lineRule="exact"/>
        <w:jc w:val="center"/>
        <w:rPr>
          <w:rStyle w:val="29"/>
          <w:rFonts w:eastAsia="黑体"/>
          <w:b w:val="0"/>
        </w:rPr>
      </w:pPr>
      <w:r>
        <w:rPr>
          <w:rFonts w:hint="eastAsia" w:eastAsia="黑体"/>
          <w:sz w:val="44"/>
          <w:szCs w:val="44"/>
        </w:rPr>
        <w:t>第四部分  附件</w:t>
      </w:r>
      <w:bookmarkEnd w:id="51"/>
    </w:p>
    <w:p w14:paraId="1949047C">
      <w:pPr>
        <w:spacing w:line="572" w:lineRule="exact"/>
        <w:jc w:val="left"/>
        <w:outlineLvl w:val="0"/>
        <w:rPr>
          <w:rFonts w:eastAsia="黑体" w:cs="黑体"/>
          <w:color w:val="FF0000"/>
          <w:sz w:val="32"/>
          <w:szCs w:val="32"/>
        </w:rPr>
      </w:pPr>
    </w:p>
    <w:p w14:paraId="39631FD1">
      <w:pPr>
        <w:pStyle w:val="14"/>
      </w:pPr>
    </w:p>
    <w:p w14:paraId="0963AC1E">
      <w:pPr>
        <w:spacing w:line="572" w:lineRule="exact"/>
        <w:jc w:val="left"/>
        <w:outlineLvl w:val="0"/>
        <w:rPr>
          <w:rFonts w:eastAsia="黑体" w:cs="方正小标宋简体"/>
          <w:sz w:val="44"/>
          <w:szCs w:val="44"/>
        </w:rPr>
      </w:pPr>
      <w:r>
        <w:rPr>
          <w:rFonts w:hint="eastAsia" w:eastAsia="黑体" w:cs="黑体"/>
          <w:sz w:val="32"/>
          <w:szCs w:val="32"/>
        </w:rPr>
        <w:t>附件1</w:t>
      </w:r>
    </w:p>
    <w:p w14:paraId="57EE5C76">
      <w:pPr>
        <w:widowControl/>
        <w:spacing w:line="578" w:lineRule="exact"/>
        <w:contextualSpacing/>
        <w:jc w:val="center"/>
        <w:rPr>
          <w:rFonts w:eastAsia="方正小标宋简体"/>
          <w:bCs/>
          <w:sz w:val="44"/>
          <w:szCs w:val="44"/>
          <w:shd w:val="clear" w:color="auto" w:fill="FFFFFF"/>
        </w:rPr>
      </w:pPr>
    </w:p>
    <w:p w14:paraId="3C37742B">
      <w:pPr>
        <w:widowControl/>
        <w:spacing w:line="578" w:lineRule="exact"/>
        <w:contextualSpacing/>
        <w:jc w:val="center"/>
        <w:rPr>
          <w:rFonts w:eastAsia="仿宋_GB2312"/>
          <w:sz w:val="32"/>
          <w:szCs w:val="32"/>
          <w:shd w:val="clear" w:color="auto" w:fill="FFFFFF"/>
        </w:rPr>
      </w:pPr>
      <w:r>
        <w:rPr>
          <w:rFonts w:eastAsia="方正小标宋简体"/>
          <w:bCs/>
          <w:sz w:val="44"/>
          <w:szCs w:val="44"/>
          <w:shd w:val="clear" w:color="auto" w:fill="FFFFFF"/>
        </w:rPr>
        <w:t>部门预算绩效</w:t>
      </w:r>
      <w:r>
        <w:rPr>
          <w:rFonts w:hint="eastAsia" w:eastAsia="方正小标宋简体"/>
          <w:bCs/>
          <w:sz w:val="44"/>
          <w:szCs w:val="44"/>
          <w:shd w:val="clear" w:color="auto" w:fill="FFFFFF"/>
        </w:rPr>
        <w:t>评价</w:t>
      </w:r>
      <w:r>
        <w:rPr>
          <w:rFonts w:eastAsia="方正小标宋简体"/>
          <w:bCs/>
          <w:sz w:val="44"/>
          <w:szCs w:val="44"/>
          <w:shd w:val="clear" w:color="auto" w:fill="FFFFFF"/>
        </w:rPr>
        <w:t>报告</w:t>
      </w:r>
    </w:p>
    <w:p w14:paraId="53B03D76">
      <w:pPr>
        <w:widowControl/>
        <w:adjustRightInd w:val="0"/>
        <w:snapToGrid w:val="0"/>
        <w:spacing w:line="578" w:lineRule="exact"/>
        <w:ind w:firstLine="480" w:firstLineChars="200"/>
        <w:contextualSpacing/>
        <w:jc w:val="left"/>
        <w:rPr>
          <w:rFonts w:eastAsia="黑体"/>
          <w:color w:val="000000"/>
          <w:kern w:val="0"/>
          <w:sz w:val="24"/>
          <w:szCs w:val="32"/>
          <w:shd w:val="clear" w:color="auto" w:fill="FFFFFF"/>
        </w:rPr>
      </w:pPr>
    </w:p>
    <w:p w14:paraId="7934EB87">
      <w:pPr>
        <w:widowControl/>
        <w:adjustRightInd w:val="0"/>
        <w:snapToGrid w:val="0"/>
        <w:spacing w:line="578" w:lineRule="exact"/>
        <w:ind w:firstLine="640" w:firstLineChars="200"/>
        <w:contextualSpacing/>
        <w:jc w:val="left"/>
        <w:rPr>
          <w:rFonts w:eastAsia="仿宋_GB2312"/>
          <w:sz w:val="32"/>
          <w:szCs w:val="32"/>
        </w:rPr>
      </w:pPr>
      <w:r>
        <w:rPr>
          <w:rFonts w:eastAsia="黑体"/>
          <w:color w:val="000000"/>
          <w:kern w:val="0"/>
          <w:sz w:val="32"/>
          <w:szCs w:val="32"/>
          <w:shd w:val="clear" w:color="auto" w:fill="FFFFFF"/>
          <w:lang w:val="zh-CN"/>
        </w:rPr>
        <w:t>一、部门基本情况</w:t>
      </w:r>
    </w:p>
    <w:p w14:paraId="684E7414">
      <w:pPr>
        <w:widowControl/>
        <w:adjustRightInd w:val="0"/>
        <w:snapToGrid w:val="0"/>
        <w:spacing w:line="578" w:lineRule="exact"/>
        <w:ind w:firstLine="643" w:firstLineChars="200"/>
        <w:contextualSpacing/>
        <w:jc w:val="left"/>
        <w:rPr>
          <w:rFonts w:hint="eastAsia" w:ascii="Times New Roman" w:hAnsi="Times New Roman" w:eastAsia="仿宋_GB2312" w:cs="Times New Roman"/>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（一）机构组成。</w:t>
      </w:r>
      <w:r>
        <w:rPr>
          <w:rFonts w:hint="eastAsia" w:eastAsia="仿宋_GB2312"/>
          <w:sz w:val="32"/>
          <w:szCs w:val="32"/>
          <w:lang w:eastAsia="zh-CN"/>
        </w:rPr>
        <w:t>市</w:t>
      </w:r>
      <w:r>
        <w:rPr>
          <w:rFonts w:hint="eastAsia" w:ascii="Times New Roman" w:hAnsi="Times New Roman" w:eastAsia="仿宋_GB2312" w:cs="Times New Roman"/>
          <w:color w:val="000000"/>
          <w:kern w:val="0"/>
          <w:sz w:val="32"/>
          <w:szCs w:val="32"/>
          <w:shd w:val="clear" w:color="auto" w:fill="FFFFFF"/>
          <w:lang w:val="zh-CN" w:eastAsia="zh-CN"/>
        </w:rPr>
        <w:t>少年宫是全额拨款事业单位，无</w:t>
      </w:r>
      <w:r>
        <w:rPr>
          <w:rFonts w:hint="eastAsia" w:ascii="Times New Roman" w:hAnsi="Times New Roman" w:eastAsia="仿宋_GB2312" w:cs="Times New Roman"/>
          <w:color w:val="000000"/>
          <w:kern w:val="0"/>
          <w:sz w:val="32"/>
          <w:szCs w:val="32"/>
          <w:shd w:val="clear" w:color="auto" w:fill="FFFFFF"/>
          <w:lang w:val="zh-CN"/>
        </w:rPr>
        <w:t>下属单位</w:t>
      </w:r>
      <w:r>
        <w:rPr>
          <w:rFonts w:hint="eastAsia" w:ascii="Times New Roman" w:hAnsi="Times New Roman" w:eastAsia="仿宋_GB2312" w:cs="Times New Roman"/>
          <w:color w:val="000000"/>
          <w:kern w:val="0"/>
          <w:sz w:val="32"/>
          <w:szCs w:val="32"/>
          <w:shd w:val="clear" w:color="auto" w:fill="FFFFFF"/>
          <w:lang w:val="zh-CN" w:eastAsia="zh-CN"/>
        </w:rPr>
        <w:t>，内部设置了办公室、财务室、后勤</w:t>
      </w:r>
      <w:r>
        <w:rPr>
          <w:rFonts w:hint="eastAsia" w:eastAsia="仿宋_GB2312" w:cs="Times New Roman"/>
          <w:color w:val="000000"/>
          <w:kern w:val="0"/>
          <w:sz w:val="32"/>
          <w:szCs w:val="32"/>
          <w:shd w:val="clear" w:color="auto" w:fill="FFFFFF"/>
          <w:lang w:val="zh-CN" w:eastAsia="zh-CN"/>
        </w:rPr>
        <w:t>安全</w:t>
      </w:r>
      <w:r>
        <w:rPr>
          <w:rFonts w:hint="eastAsia" w:ascii="Times New Roman" w:hAnsi="Times New Roman" w:eastAsia="仿宋_GB2312" w:cs="Times New Roman"/>
          <w:color w:val="000000"/>
          <w:kern w:val="0"/>
          <w:sz w:val="32"/>
          <w:szCs w:val="32"/>
          <w:shd w:val="clear" w:color="auto" w:fill="FFFFFF"/>
          <w:lang w:val="zh-CN" w:eastAsia="zh-CN"/>
        </w:rPr>
        <w:t>部、</w:t>
      </w:r>
      <w:r>
        <w:rPr>
          <w:rFonts w:hint="eastAsia" w:eastAsia="仿宋_GB2312" w:cs="Times New Roman"/>
          <w:color w:val="000000"/>
          <w:kern w:val="0"/>
          <w:sz w:val="32"/>
          <w:szCs w:val="32"/>
          <w:shd w:val="clear" w:color="auto" w:fill="FFFFFF"/>
          <w:lang w:val="zh-CN" w:eastAsia="zh-CN"/>
        </w:rPr>
        <w:t>招生</w:t>
      </w:r>
      <w:r>
        <w:rPr>
          <w:rFonts w:hint="eastAsia" w:ascii="Times New Roman" w:hAnsi="Times New Roman" w:eastAsia="仿宋_GB2312" w:cs="Times New Roman"/>
          <w:color w:val="000000"/>
          <w:kern w:val="0"/>
          <w:sz w:val="32"/>
          <w:szCs w:val="32"/>
          <w:shd w:val="clear" w:color="auto" w:fill="FFFFFF"/>
          <w:lang w:val="zh-CN" w:eastAsia="zh-CN"/>
        </w:rPr>
        <w:t>部</w:t>
      </w:r>
      <w:r>
        <w:rPr>
          <w:rFonts w:hint="eastAsia" w:eastAsia="仿宋_GB2312" w:cs="Times New Roman"/>
          <w:color w:val="000000"/>
          <w:kern w:val="0"/>
          <w:sz w:val="32"/>
          <w:szCs w:val="32"/>
          <w:shd w:val="clear" w:color="auto" w:fill="FFFFFF"/>
          <w:lang w:val="zh-CN" w:eastAsia="zh-CN"/>
        </w:rPr>
        <w:t>、宣传与发展部</w:t>
      </w:r>
      <w:r>
        <w:rPr>
          <w:rFonts w:hint="eastAsia" w:ascii="Times New Roman" w:hAnsi="Times New Roman" w:eastAsia="仿宋_GB2312" w:cs="Times New Roman"/>
          <w:color w:val="000000"/>
          <w:kern w:val="0"/>
          <w:sz w:val="32"/>
          <w:szCs w:val="32"/>
          <w:shd w:val="clear" w:color="auto" w:fill="FFFFFF"/>
          <w:lang w:val="zh-CN" w:eastAsia="zh-CN"/>
        </w:rPr>
        <w:t>等职能部门。</w:t>
      </w:r>
    </w:p>
    <w:p w14:paraId="0D922167">
      <w:pPr>
        <w:widowControl/>
        <w:numPr>
          <w:ilvl w:val="0"/>
          <w:numId w:val="0"/>
        </w:numPr>
        <w:adjustRightInd w:val="0"/>
        <w:snapToGrid w:val="0"/>
        <w:spacing w:line="578" w:lineRule="exact"/>
        <w:ind w:firstLine="643" w:firstLineChars="200"/>
        <w:contextualSpacing/>
        <w:jc w:val="left"/>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（二）机构职能。</w:t>
      </w:r>
      <w:r>
        <w:rPr>
          <w:rFonts w:hint="eastAsia" w:eastAsia="仿宋_GB2312"/>
          <w:color w:val="000000"/>
          <w:kern w:val="0"/>
          <w:sz w:val="32"/>
          <w:szCs w:val="32"/>
          <w:shd w:val="clear" w:color="auto" w:fill="FFFFFF"/>
          <w:lang w:val="zh-CN"/>
        </w:rPr>
        <w:t>市少年宫秉承“为学生引好路，为家长服好务”宗旨，牢牢把握青少年社会教育这一工作主线，推动校外教育阵地建设大发展，夯实培训和活动两个根本，突出公益性、服务性和体验性三大特点，立足本宫，通过丰富多彩的主题教育兴趣培养等途径，面向全市青少年儿童开展各类校外艺术培训活动。</w:t>
      </w:r>
    </w:p>
    <w:p w14:paraId="4C7BE879">
      <w:pPr>
        <w:spacing w:line="600" w:lineRule="exact"/>
        <w:ind w:firstLine="643" w:firstLineChars="200"/>
        <w:rPr>
          <w:rFonts w:eastAsia="仿宋_GB2312"/>
          <w:sz w:val="32"/>
          <w:szCs w:val="32"/>
        </w:rPr>
      </w:pPr>
      <w:r>
        <w:rPr>
          <w:rFonts w:eastAsia="楷体_GB2312"/>
          <w:b/>
          <w:bCs/>
          <w:color w:val="000000"/>
          <w:kern w:val="0"/>
          <w:sz w:val="32"/>
          <w:szCs w:val="32"/>
          <w:shd w:val="clear" w:color="auto" w:fill="FFFFFF"/>
          <w:lang w:val="zh-CN"/>
        </w:rPr>
        <w:t>（三）人员概况。</w:t>
      </w:r>
      <w:r>
        <w:rPr>
          <w:rFonts w:eastAsia="仿宋_GB2312"/>
          <w:sz w:val="32"/>
          <w:szCs w:val="32"/>
        </w:rPr>
        <w:t>截至2025年末，实有人数</w:t>
      </w:r>
      <w:r>
        <w:rPr>
          <w:rFonts w:hint="eastAsia" w:eastAsia="仿宋_GB2312"/>
          <w:sz w:val="32"/>
          <w:szCs w:val="32"/>
          <w:lang w:val="en-US" w:eastAsia="zh-CN"/>
        </w:rPr>
        <w:t>23人。</w:t>
      </w:r>
    </w:p>
    <w:p w14:paraId="426076CC">
      <w:pPr>
        <w:widowControl/>
        <w:adjustRightInd w:val="0"/>
        <w:snapToGrid w:val="0"/>
        <w:spacing w:line="578" w:lineRule="exact"/>
        <w:ind w:firstLine="640" w:firstLineChars="200"/>
        <w:contextualSpacing/>
        <w:jc w:val="left"/>
        <w:rPr>
          <w:rFonts w:eastAsia="黑体"/>
          <w:color w:val="000000"/>
          <w:kern w:val="0"/>
          <w:sz w:val="32"/>
          <w:szCs w:val="32"/>
          <w:shd w:val="clear" w:color="auto" w:fill="FFFFFF"/>
        </w:rPr>
      </w:pPr>
      <w:r>
        <w:rPr>
          <w:rFonts w:eastAsia="黑体"/>
          <w:color w:val="000000"/>
          <w:kern w:val="0"/>
          <w:sz w:val="32"/>
          <w:szCs w:val="32"/>
          <w:shd w:val="clear" w:color="auto" w:fill="FFFFFF"/>
        </w:rPr>
        <w:t>二、部门资金收支情况</w:t>
      </w:r>
    </w:p>
    <w:p w14:paraId="4B5FB196">
      <w:pPr>
        <w:widowControl/>
        <w:adjustRightInd w:val="0"/>
        <w:snapToGrid w:val="0"/>
        <w:spacing w:line="578" w:lineRule="exact"/>
        <w:ind w:firstLine="643" w:firstLineChars="200"/>
        <w:contextualSpacing/>
        <w:jc w:val="left"/>
        <w:rPr>
          <w:rFonts w:hint="eastAsia" w:ascii="Times New Roman" w:hAnsi="Times New Roman" w:eastAsia="仿宋_GB2312" w:cs="Times New Roman"/>
          <w:color w:val="000000"/>
          <w:kern w:val="0"/>
          <w:sz w:val="32"/>
          <w:szCs w:val="32"/>
          <w:shd w:val="clear" w:color="auto" w:fill="FFFFFF"/>
          <w:lang w:val="zh-CN" w:eastAsia="zh-CN" w:bidi="ar-SA"/>
        </w:rPr>
      </w:pPr>
      <w:r>
        <w:rPr>
          <w:rFonts w:eastAsia="楷体_GB2312"/>
          <w:b/>
          <w:bCs/>
          <w:color w:val="000000"/>
          <w:kern w:val="0"/>
          <w:sz w:val="32"/>
          <w:szCs w:val="32"/>
          <w:shd w:val="clear" w:color="auto" w:fill="FFFFFF"/>
          <w:lang w:val="zh-CN"/>
        </w:rPr>
        <w:t>（一）收入情况。</w:t>
      </w:r>
      <w:r>
        <w:rPr>
          <w:rFonts w:hint="eastAsia" w:ascii="Times New Roman" w:hAnsi="Times New Roman" w:eastAsia="仿宋_GB2312" w:cs="Times New Roman"/>
          <w:color w:val="000000"/>
          <w:kern w:val="0"/>
          <w:sz w:val="32"/>
          <w:szCs w:val="32"/>
          <w:shd w:val="clear" w:color="auto" w:fill="FFFFFF"/>
          <w:lang w:val="zh-CN" w:eastAsia="zh-CN" w:bidi="ar-SA"/>
        </w:rPr>
        <w:t>202</w:t>
      </w:r>
      <w:r>
        <w:rPr>
          <w:rFonts w:hint="eastAsia" w:ascii="Times New Roman" w:hAnsi="Times New Roman" w:eastAsia="仿宋_GB2312" w:cs="Times New Roman"/>
          <w:color w:val="000000"/>
          <w:kern w:val="0"/>
          <w:sz w:val="32"/>
          <w:szCs w:val="32"/>
          <w:shd w:val="clear" w:color="auto" w:fill="FFFFFF"/>
          <w:lang w:val="en-US" w:eastAsia="zh-CN" w:bidi="ar-SA"/>
        </w:rPr>
        <w:t>5</w:t>
      </w:r>
      <w:r>
        <w:rPr>
          <w:rFonts w:hint="eastAsia" w:ascii="Times New Roman" w:hAnsi="Times New Roman" w:eastAsia="仿宋_GB2312" w:cs="Times New Roman"/>
          <w:color w:val="000000"/>
          <w:kern w:val="0"/>
          <w:sz w:val="32"/>
          <w:szCs w:val="32"/>
          <w:shd w:val="clear" w:color="auto" w:fill="FFFFFF"/>
          <w:lang w:val="zh-CN" w:eastAsia="zh-CN" w:bidi="ar-SA"/>
        </w:rPr>
        <w:t>年年初预算收入</w:t>
      </w:r>
      <w:r>
        <w:rPr>
          <w:rFonts w:hint="eastAsia" w:eastAsia="仿宋_GB2312" w:cs="Times New Roman"/>
          <w:color w:val="000000"/>
          <w:kern w:val="0"/>
          <w:sz w:val="32"/>
          <w:szCs w:val="32"/>
          <w:shd w:val="clear" w:color="auto" w:fill="FFFFFF"/>
          <w:lang w:val="en-US" w:eastAsia="zh-CN" w:bidi="ar-SA"/>
        </w:rPr>
        <w:t>768.05</w:t>
      </w:r>
      <w:r>
        <w:rPr>
          <w:rFonts w:hint="eastAsia" w:ascii="Times New Roman" w:hAnsi="Times New Roman" w:eastAsia="仿宋_GB2312" w:cs="Times New Roman"/>
          <w:color w:val="000000"/>
          <w:kern w:val="0"/>
          <w:sz w:val="32"/>
          <w:szCs w:val="32"/>
          <w:shd w:val="clear" w:color="auto" w:fill="FFFFFF"/>
          <w:lang w:val="en-US" w:eastAsia="zh-CN" w:bidi="ar-SA"/>
        </w:rPr>
        <w:t>万元，</w:t>
      </w:r>
      <w:r>
        <w:rPr>
          <w:rFonts w:hint="eastAsia" w:ascii="Times New Roman" w:hAnsi="Times New Roman" w:eastAsia="仿宋_GB2312" w:cs="Times New Roman"/>
          <w:color w:val="000000"/>
          <w:kern w:val="0"/>
          <w:sz w:val="32"/>
          <w:szCs w:val="32"/>
          <w:shd w:val="clear" w:color="auto" w:fill="FFFFFF"/>
          <w:lang w:val="zh-CN" w:eastAsia="zh-CN" w:bidi="ar-SA"/>
        </w:rPr>
        <w:t>决算报表收入</w:t>
      </w:r>
      <w:r>
        <w:rPr>
          <w:rFonts w:hint="eastAsia" w:eastAsia="仿宋_GB2312" w:cs="Times New Roman"/>
          <w:color w:val="000000"/>
          <w:kern w:val="0"/>
          <w:sz w:val="32"/>
          <w:szCs w:val="32"/>
          <w:shd w:val="clear" w:color="auto" w:fill="FFFFFF"/>
          <w:lang w:val="en-US" w:eastAsia="zh-CN" w:bidi="ar-SA"/>
        </w:rPr>
        <w:t>768.05</w:t>
      </w:r>
      <w:r>
        <w:rPr>
          <w:rFonts w:hint="eastAsia" w:ascii="Times New Roman" w:hAnsi="Times New Roman" w:eastAsia="仿宋_GB2312" w:cs="Times New Roman"/>
          <w:color w:val="000000"/>
          <w:kern w:val="0"/>
          <w:sz w:val="32"/>
          <w:szCs w:val="32"/>
          <w:shd w:val="clear" w:color="auto" w:fill="FFFFFF"/>
          <w:lang w:val="en-US" w:eastAsia="zh-CN" w:bidi="ar-SA"/>
        </w:rPr>
        <w:t>万元</w:t>
      </w:r>
      <w:r>
        <w:rPr>
          <w:rFonts w:hint="eastAsia" w:ascii="Times New Roman" w:hAnsi="Times New Roman" w:eastAsia="仿宋_GB2312" w:cs="Times New Roman"/>
          <w:color w:val="000000"/>
          <w:kern w:val="0"/>
          <w:sz w:val="32"/>
          <w:szCs w:val="32"/>
          <w:shd w:val="clear" w:color="auto" w:fill="FFFFFF"/>
          <w:lang w:val="zh-CN" w:eastAsia="zh-CN" w:bidi="ar-SA"/>
        </w:rPr>
        <w:t>。其中：基本支出预算</w:t>
      </w:r>
      <w:r>
        <w:rPr>
          <w:rFonts w:hint="eastAsia" w:eastAsia="仿宋_GB2312" w:cs="Times New Roman"/>
          <w:color w:val="000000"/>
          <w:kern w:val="0"/>
          <w:sz w:val="32"/>
          <w:szCs w:val="32"/>
          <w:shd w:val="clear" w:color="auto" w:fill="FFFFFF"/>
          <w:lang w:val="en-US" w:eastAsia="zh-CN" w:bidi="ar-SA"/>
        </w:rPr>
        <w:t>488.05</w:t>
      </w:r>
      <w:r>
        <w:rPr>
          <w:rFonts w:hint="eastAsia" w:ascii="Times New Roman" w:hAnsi="Times New Roman" w:eastAsia="仿宋_GB2312" w:cs="Times New Roman"/>
          <w:color w:val="000000"/>
          <w:kern w:val="0"/>
          <w:sz w:val="32"/>
          <w:szCs w:val="32"/>
          <w:shd w:val="clear" w:color="auto" w:fill="FFFFFF"/>
          <w:lang w:val="zh-CN" w:eastAsia="zh-CN" w:bidi="ar-SA"/>
        </w:rPr>
        <w:t>万元，项目支出预算</w:t>
      </w:r>
      <w:r>
        <w:rPr>
          <w:rFonts w:hint="eastAsia" w:eastAsia="仿宋_GB2312" w:cs="Times New Roman"/>
          <w:color w:val="000000"/>
          <w:kern w:val="0"/>
          <w:sz w:val="32"/>
          <w:szCs w:val="32"/>
          <w:shd w:val="clear" w:color="auto" w:fill="FFFFFF"/>
          <w:lang w:val="en-US" w:eastAsia="zh-CN" w:bidi="ar-SA"/>
        </w:rPr>
        <w:t>280</w:t>
      </w:r>
      <w:r>
        <w:rPr>
          <w:rFonts w:hint="eastAsia" w:ascii="Times New Roman" w:hAnsi="Times New Roman" w:eastAsia="仿宋_GB2312" w:cs="Times New Roman"/>
          <w:color w:val="000000"/>
          <w:kern w:val="0"/>
          <w:sz w:val="32"/>
          <w:szCs w:val="32"/>
          <w:shd w:val="clear" w:color="auto" w:fill="FFFFFF"/>
          <w:lang w:val="zh-CN" w:eastAsia="zh-CN" w:bidi="ar-SA"/>
        </w:rPr>
        <w:t>万元。</w:t>
      </w:r>
    </w:p>
    <w:p w14:paraId="3A3DCC13">
      <w:pPr>
        <w:widowControl w:val="0"/>
        <w:spacing w:line="600" w:lineRule="exact"/>
        <w:ind w:firstLine="643" w:firstLineChars="200"/>
        <w:jc w:val="left"/>
        <w:rPr>
          <w:rFonts w:ascii="宋体" w:hAnsi="Courier New" w:eastAsia="宋体" w:cs="Times New Roman"/>
          <w:kern w:val="2"/>
          <w:sz w:val="32"/>
          <w:szCs w:val="32"/>
          <w:lang w:val="zh-CN" w:eastAsia="zh-CN" w:bidi="ar-SA"/>
        </w:rPr>
      </w:pPr>
      <w:r>
        <w:rPr>
          <w:rFonts w:ascii="宋体" w:hAnsi="Courier New" w:eastAsia="楷体_GB2312" w:cs="Times New Roman"/>
          <w:b/>
          <w:bCs/>
          <w:color w:val="000000"/>
          <w:kern w:val="0"/>
          <w:sz w:val="32"/>
          <w:szCs w:val="32"/>
          <w:shd w:val="clear" w:color="auto" w:fill="FFFFFF"/>
          <w:lang w:val="zh-CN" w:eastAsia="zh-CN" w:bidi="ar-SA"/>
        </w:rPr>
        <w:t>（二）支出情况。</w:t>
      </w:r>
      <w:r>
        <w:rPr>
          <w:rFonts w:hint="eastAsia" w:ascii="Times New Roman" w:hAnsi="Times New Roman" w:eastAsia="仿宋_GB2312" w:cs="Times New Roman"/>
          <w:color w:val="000000"/>
          <w:kern w:val="0"/>
          <w:sz w:val="32"/>
          <w:szCs w:val="32"/>
          <w:shd w:val="clear" w:color="auto" w:fill="FFFFFF"/>
          <w:lang w:val="zh-CN" w:eastAsia="zh-CN" w:bidi="ar-SA"/>
        </w:rPr>
        <w:t>202</w:t>
      </w:r>
      <w:r>
        <w:rPr>
          <w:rFonts w:hint="eastAsia" w:ascii="Times New Roman" w:hAnsi="Times New Roman" w:eastAsia="仿宋_GB2312" w:cs="Times New Roman"/>
          <w:color w:val="000000"/>
          <w:kern w:val="0"/>
          <w:sz w:val="32"/>
          <w:szCs w:val="32"/>
          <w:shd w:val="clear" w:color="auto" w:fill="FFFFFF"/>
          <w:lang w:val="en-US" w:eastAsia="zh-CN" w:bidi="ar-SA"/>
        </w:rPr>
        <w:t>5</w:t>
      </w:r>
      <w:r>
        <w:rPr>
          <w:rFonts w:hint="eastAsia" w:ascii="Times New Roman" w:hAnsi="Times New Roman" w:eastAsia="仿宋_GB2312" w:cs="Times New Roman"/>
          <w:color w:val="000000"/>
          <w:kern w:val="0"/>
          <w:sz w:val="32"/>
          <w:szCs w:val="32"/>
          <w:shd w:val="clear" w:color="auto" w:fill="FFFFFF"/>
          <w:lang w:val="zh-CN" w:eastAsia="zh-CN" w:bidi="ar-SA"/>
        </w:rPr>
        <w:t>年年初预算支出</w:t>
      </w:r>
      <w:r>
        <w:rPr>
          <w:rFonts w:hint="eastAsia" w:ascii="Times New Roman" w:hAnsi="Times New Roman" w:eastAsia="仿宋_GB2312" w:cs="Times New Roman"/>
          <w:color w:val="000000"/>
          <w:kern w:val="0"/>
          <w:sz w:val="32"/>
          <w:szCs w:val="32"/>
          <w:shd w:val="clear" w:color="auto" w:fill="FFFFFF"/>
          <w:lang w:val="en-US" w:eastAsia="zh-CN" w:bidi="ar-SA"/>
        </w:rPr>
        <w:t>647.86万元，</w:t>
      </w:r>
      <w:r>
        <w:rPr>
          <w:rFonts w:hint="eastAsia" w:ascii="Times New Roman" w:hAnsi="Times New Roman" w:eastAsia="仿宋_GB2312" w:cs="Times New Roman"/>
          <w:color w:val="000000"/>
          <w:kern w:val="0"/>
          <w:sz w:val="32"/>
          <w:szCs w:val="32"/>
          <w:shd w:val="clear" w:color="auto" w:fill="FFFFFF"/>
          <w:lang w:val="zh-CN" w:eastAsia="zh-CN" w:bidi="ar-SA"/>
        </w:rPr>
        <w:t>决算报表支出</w:t>
      </w:r>
      <w:r>
        <w:rPr>
          <w:rFonts w:hint="eastAsia" w:ascii="Times New Roman" w:hAnsi="Times New Roman" w:eastAsia="仿宋_GB2312" w:cs="Times New Roman"/>
          <w:color w:val="000000"/>
          <w:kern w:val="0"/>
          <w:sz w:val="32"/>
          <w:szCs w:val="32"/>
          <w:shd w:val="clear" w:color="auto" w:fill="FFFFFF"/>
          <w:lang w:val="en-US" w:eastAsia="zh-CN" w:bidi="ar-SA"/>
        </w:rPr>
        <w:t>647.86万元。其中：</w:t>
      </w:r>
      <w:r>
        <w:rPr>
          <w:rFonts w:hint="eastAsia" w:ascii="Times New Roman" w:hAnsi="Times New Roman" w:eastAsia="仿宋_GB2312" w:cs="Times New Roman"/>
          <w:color w:val="000000"/>
          <w:kern w:val="0"/>
          <w:sz w:val="32"/>
          <w:szCs w:val="32"/>
          <w:shd w:val="clear" w:color="auto" w:fill="FFFFFF"/>
          <w:lang w:val="zh-CN" w:eastAsia="zh-CN" w:bidi="ar-SA"/>
        </w:rPr>
        <w:t>基本支出</w:t>
      </w:r>
      <w:r>
        <w:rPr>
          <w:rFonts w:hint="eastAsia" w:ascii="Times New Roman" w:hAnsi="Times New Roman" w:eastAsia="仿宋_GB2312" w:cs="Times New Roman"/>
          <w:color w:val="000000"/>
          <w:kern w:val="0"/>
          <w:sz w:val="32"/>
          <w:szCs w:val="32"/>
          <w:shd w:val="clear" w:color="auto" w:fill="FFFFFF"/>
          <w:lang w:val="en-US" w:eastAsia="zh-CN" w:bidi="ar-SA"/>
        </w:rPr>
        <w:t>486.53</w:t>
      </w:r>
      <w:r>
        <w:rPr>
          <w:rFonts w:hint="eastAsia" w:ascii="Times New Roman" w:hAnsi="Times New Roman" w:eastAsia="仿宋_GB2312" w:cs="Times New Roman"/>
          <w:color w:val="000000"/>
          <w:kern w:val="0"/>
          <w:sz w:val="32"/>
          <w:szCs w:val="32"/>
          <w:shd w:val="clear" w:color="auto" w:fill="FFFFFF"/>
          <w:lang w:val="zh-CN" w:eastAsia="zh-CN" w:bidi="ar-SA"/>
        </w:rPr>
        <w:t>万元，主要用于在编人员工资及福利支出。项目支出</w:t>
      </w:r>
      <w:r>
        <w:rPr>
          <w:rFonts w:hint="eastAsia" w:ascii="Times New Roman" w:hAnsi="Times New Roman" w:eastAsia="仿宋_GB2312" w:cs="Times New Roman"/>
          <w:color w:val="000000"/>
          <w:kern w:val="0"/>
          <w:sz w:val="32"/>
          <w:szCs w:val="32"/>
          <w:shd w:val="clear" w:color="auto" w:fill="FFFFFF"/>
          <w:lang w:val="en-US" w:eastAsia="zh-CN" w:bidi="ar-SA"/>
        </w:rPr>
        <w:t>161.33</w:t>
      </w:r>
      <w:r>
        <w:rPr>
          <w:rFonts w:hint="eastAsia" w:ascii="Times New Roman" w:hAnsi="Times New Roman" w:eastAsia="仿宋_GB2312" w:cs="Times New Roman"/>
          <w:color w:val="000000"/>
          <w:kern w:val="0"/>
          <w:sz w:val="32"/>
          <w:szCs w:val="32"/>
          <w:shd w:val="clear" w:color="auto" w:fill="FFFFFF"/>
          <w:lang w:val="zh-CN" w:eastAsia="zh-CN" w:bidi="ar-SA"/>
        </w:rPr>
        <w:t>万元，主要用于保障日常培训活动开展的业务运行。</w:t>
      </w:r>
    </w:p>
    <w:p w14:paraId="799E7604">
      <w:pPr>
        <w:widowControl/>
        <w:adjustRightInd w:val="0"/>
        <w:snapToGrid w:val="0"/>
        <w:spacing w:line="578" w:lineRule="exact"/>
        <w:ind w:firstLine="643" w:firstLineChars="200"/>
        <w:contextualSpacing/>
        <w:jc w:val="left"/>
        <w:rPr>
          <w:rFonts w:eastAsia="仿宋_GB2312"/>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（三）</w:t>
      </w:r>
      <w:r>
        <w:rPr>
          <w:rFonts w:eastAsia="楷体_GB2312"/>
          <w:b/>
          <w:sz w:val="32"/>
          <w:szCs w:val="32"/>
        </w:rPr>
        <w:t>结余分配和结转结余情况。</w:t>
      </w:r>
      <w:r>
        <w:rPr>
          <w:rFonts w:eastAsia="仿宋_GB2312"/>
          <w:sz w:val="32"/>
          <w:szCs w:val="32"/>
        </w:rPr>
        <w:t>202</w:t>
      </w:r>
      <w:r>
        <w:rPr>
          <w:rFonts w:hint="eastAsia" w:eastAsia="仿宋_GB2312"/>
          <w:sz w:val="32"/>
          <w:szCs w:val="32"/>
          <w:lang w:val="en-US" w:eastAsia="zh-CN"/>
        </w:rPr>
        <w:t>5</w:t>
      </w:r>
      <w:r>
        <w:rPr>
          <w:rFonts w:eastAsia="仿宋_GB2312"/>
          <w:sz w:val="32"/>
          <w:szCs w:val="32"/>
        </w:rPr>
        <w:t>年决算</w:t>
      </w:r>
      <w:r>
        <w:rPr>
          <w:rFonts w:hint="eastAsia" w:eastAsia="仿宋_GB2312"/>
          <w:sz w:val="32"/>
          <w:szCs w:val="32"/>
          <w:lang w:eastAsia="zh-CN"/>
        </w:rPr>
        <w:t>无</w:t>
      </w:r>
      <w:r>
        <w:rPr>
          <w:rFonts w:eastAsia="仿宋_GB2312"/>
          <w:color w:val="000000"/>
          <w:kern w:val="0"/>
          <w:sz w:val="32"/>
          <w:szCs w:val="32"/>
          <w:shd w:val="clear" w:color="auto" w:fill="FFFFFF"/>
        </w:rPr>
        <w:t>结转结余情况。</w:t>
      </w:r>
    </w:p>
    <w:p w14:paraId="68E68E35">
      <w:pPr>
        <w:widowControl/>
        <w:adjustRightInd w:val="0"/>
        <w:snapToGrid w:val="0"/>
        <w:spacing w:line="578" w:lineRule="exact"/>
        <w:ind w:firstLine="640" w:firstLineChars="200"/>
        <w:contextualSpacing/>
        <w:jc w:val="left"/>
        <w:rPr>
          <w:rFonts w:eastAsia="黑体"/>
          <w:color w:val="000000"/>
          <w:kern w:val="0"/>
          <w:sz w:val="32"/>
          <w:szCs w:val="32"/>
          <w:shd w:val="clear" w:color="auto" w:fill="FFFFFF"/>
        </w:rPr>
      </w:pPr>
      <w:r>
        <w:rPr>
          <w:rFonts w:eastAsia="黑体"/>
          <w:color w:val="000000"/>
          <w:kern w:val="0"/>
          <w:sz w:val="32"/>
          <w:szCs w:val="32"/>
          <w:shd w:val="clear" w:color="auto" w:fill="FFFFFF"/>
        </w:rPr>
        <w:t>三、部门预算绩效分析</w:t>
      </w:r>
    </w:p>
    <w:p w14:paraId="77EA05B8">
      <w:pPr>
        <w:adjustRightInd w:val="0"/>
        <w:snapToGrid w:val="0"/>
        <w:spacing w:line="578" w:lineRule="exact"/>
        <w:ind w:firstLine="643" w:firstLineChars="200"/>
        <w:contextualSpacing/>
        <w:jc w:val="left"/>
        <w:rPr>
          <w:rFonts w:eastAsia="仿宋_GB2312"/>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（一）部门预算总体绩效分析。</w:t>
      </w:r>
    </w:p>
    <w:p w14:paraId="401599F9">
      <w:pPr>
        <w:adjustRightInd w:val="0"/>
        <w:snapToGrid w:val="0"/>
        <w:spacing w:line="578" w:lineRule="exact"/>
        <w:ind w:firstLine="640" w:firstLineChars="200"/>
        <w:contextualSpacing/>
        <w:jc w:val="left"/>
        <w:rPr>
          <w:rFonts w:hint="eastAsia" w:ascii="Times New Roman" w:hAnsi="Times New Roman" w:eastAsia="仿宋_GB2312" w:cs="Times New Roman"/>
          <w:b w:val="0"/>
          <w:color w:val="000000"/>
          <w:kern w:val="0"/>
          <w:sz w:val="32"/>
          <w:szCs w:val="32"/>
          <w:shd w:val="clear" w:color="auto" w:fill="FFFFFF"/>
          <w:lang w:val="zh-CN" w:eastAsia="zh-CN" w:bidi="ar-SA"/>
        </w:rPr>
      </w:pPr>
      <w:r>
        <w:rPr>
          <w:rFonts w:eastAsia="楷体_GB2312"/>
          <w:color w:val="000000"/>
          <w:kern w:val="0"/>
          <w:sz w:val="32"/>
          <w:szCs w:val="32"/>
          <w:shd w:val="clear" w:color="auto" w:fill="FFFFFF"/>
        </w:rPr>
        <w:t>1.</w:t>
      </w:r>
      <w:r>
        <w:rPr>
          <w:rFonts w:eastAsia="楷体_GB2312"/>
          <w:color w:val="000000"/>
          <w:kern w:val="0"/>
          <w:sz w:val="32"/>
          <w:szCs w:val="32"/>
          <w:shd w:val="clear" w:color="auto" w:fill="FFFFFF"/>
          <w:lang w:val="zh-CN"/>
        </w:rPr>
        <w:t>履职效能。</w:t>
      </w:r>
      <w:r>
        <w:rPr>
          <w:rFonts w:hint="eastAsia" w:eastAsia="仿宋_GB2312"/>
          <w:sz w:val="32"/>
          <w:szCs w:val="32"/>
          <w:lang w:eastAsia="zh-CN"/>
        </w:rPr>
        <w:t>市</w:t>
      </w:r>
      <w:r>
        <w:rPr>
          <w:rFonts w:hint="eastAsia" w:ascii="Times New Roman" w:hAnsi="Times New Roman" w:eastAsia="仿宋_GB2312" w:cs="Times New Roman"/>
          <w:color w:val="000000"/>
          <w:kern w:val="0"/>
          <w:sz w:val="32"/>
          <w:szCs w:val="32"/>
          <w:shd w:val="clear" w:color="auto" w:fill="FFFFFF"/>
          <w:lang w:val="zh-CN" w:eastAsia="zh-CN"/>
        </w:rPr>
        <w:t>少年宫</w:t>
      </w:r>
      <w:r>
        <w:rPr>
          <w:rFonts w:hint="eastAsia" w:ascii="Times New Roman" w:hAnsi="Times New Roman" w:eastAsia="仿宋_GB2312" w:cs="Times New Roman"/>
          <w:b w:val="0"/>
          <w:color w:val="000000"/>
          <w:kern w:val="0"/>
          <w:sz w:val="32"/>
          <w:szCs w:val="32"/>
          <w:shd w:val="clear" w:color="auto" w:fill="FFFFFF"/>
          <w:lang w:val="zh-CN" w:eastAsia="zh-CN" w:bidi="ar-SA"/>
        </w:rPr>
        <w:t>认真贯彻落实市委、市政府以及团市委的决策部署，以全面推进攀枝花市青少年儿童校外教育为主线，坚持公益性原则，扎扎实实开展了全年各项工作。青少年校外活动保障经费分别用于春</w:t>
      </w:r>
      <w:r>
        <w:rPr>
          <w:rFonts w:hint="eastAsia" w:eastAsia="仿宋_GB2312" w:cs="Times New Roman"/>
          <w:b w:val="0"/>
          <w:color w:val="000000"/>
          <w:kern w:val="0"/>
          <w:sz w:val="32"/>
          <w:szCs w:val="32"/>
          <w:shd w:val="clear" w:color="auto" w:fill="FFFFFF"/>
          <w:lang w:val="zh-CN" w:eastAsia="zh-CN" w:bidi="ar-SA"/>
        </w:rPr>
        <w:t>秋</w:t>
      </w:r>
      <w:r>
        <w:rPr>
          <w:rFonts w:hint="eastAsia" w:ascii="Times New Roman" w:hAnsi="Times New Roman" w:eastAsia="仿宋_GB2312" w:cs="Times New Roman"/>
          <w:b w:val="0"/>
          <w:color w:val="000000"/>
          <w:kern w:val="0"/>
          <w:sz w:val="32"/>
          <w:szCs w:val="32"/>
          <w:shd w:val="clear" w:color="auto" w:fill="FFFFFF"/>
          <w:lang w:val="zh-CN" w:eastAsia="zh-CN" w:bidi="ar-SA"/>
        </w:rPr>
        <w:t>季和</w:t>
      </w:r>
      <w:r>
        <w:rPr>
          <w:rFonts w:hint="eastAsia" w:eastAsia="仿宋_GB2312" w:cs="Times New Roman"/>
          <w:b w:val="0"/>
          <w:color w:val="000000"/>
          <w:kern w:val="0"/>
          <w:sz w:val="32"/>
          <w:szCs w:val="32"/>
          <w:shd w:val="clear" w:color="auto" w:fill="FFFFFF"/>
          <w:lang w:val="zh-CN" w:eastAsia="zh-CN" w:bidi="ar-SA"/>
        </w:rPr>
        <w:t>寒</w:t>
      </w:r>
      <w:r>
        <w:rPr>
          <w:rFonts w:hint="eastAsia" w:ascii="Times New Roman" w:hAnsi="Times New Roman" w:eastAsia="仿宋_GB2312" w:cs="Times New Roman"/>
          <w:b w:val="0"/>
          <w:color w:val="000000"/>
          <w:kern w:val="0"/>
          <w:sz w:val="32"/>
          <w:szCs w:val="32"/>
          <w:shd w:val="clear" w:color="auto" w:fill="FFFFFF"/>
          <w:lang w:val="zh-CN" w:eastAsia="zh-CN" w:bidi="ar-SA"/>
        </w:rPr>
        <w:t>暑</w:t>
      </w:r>
      <w:r>
        <w:rPr>
          <w:rFonts w:hint="eastAsia" w:eastAsia="仿宋_GB2312" w:cs="Times New Roman"/>
          <w:b w:val="0"/>
          <w:color w:val="000000"/>
          <w:kern w:val="0"/>
          <w:sz w:val="32"/>
          <w:szCs w:val="32"/>
          <w:shd w:val="clear" w:color="auto" w:fill="FFFFFF"/>
          <w:lang w:val="zh-CN" w:eastAsia="zh-CN" w:bidi="ar-SA"/>
        </w:rPr>
        <w:t>假</w:t>
      </w:r>
      <w:r>
        <w:rPr>
          <w:rFonts w:hint="eastAsia" w:ascii="Times New Roman" w:hAnsi="Times New Roman" w:eastAsia="仿宋_GB2312" w:cs="Times New Roman"/>
          <w:b w:val="0"/>
          <w:color w:val="000000"/>
          <w:kern w:val="0"/>
          <w:sz w:val="32"/>
          <w:szCs w:val="32"/>
          <w:shd w:val="clear" w:color="auto" w:fill="FFFFFF"/>
          <w:lang w:val="zh-CN" w:eastAsia="zh-CN" w:bidi="ar-SA"/>
        </w:rPr>
        <w:t>教学期间发生的教师工资及社会保险缴费、教师课时费、培训期间的水电邮费、培训材料费、消防物资等支出。年培训学员达</w:t>
      </w:r>
      <w:r>
        <w:rPr>
          <w:rFonts w:hint="eastAsia" w:eastAsia="仿宋_GB2312" w:cs="Times New Roman"/>
          <w:b w:val="0"/>
          <w:color w:val="000000"/>
          <w:kern w:val="0"/>
          <w:sz w:val="32"/>
          <w:szCs w:val="32"/>
          <w:shd w:val="clear" w:color="auto" w:fill="FFFFFF"/>
          <w:lang w:val="en-US" w:eastAsia="zh-CN" w:bidi="ar-SA"/>
        </w:rPr>
        <w:t>4622</w:t>
      </w:r>
      <w:r>
        <w:rPr>
          <w:rFonts w:hint="eastAsia" w:ascii="Times New Roman" w:hAnsi="Times New Roman" w:eastAsia="仿宋_GB2312" w:cs="Times New Roman"/>
          <w:b w:val="0"/>
          <w:color w:val="000000"/>
          <w:kern w:val="0"/>
          <w:sz w:val="32"/>
          <w:szCs w:val="32"/>
          <w:shd w:val="clear" w:color="auto" w:fill="FFFFFF"/>
          <w:lang w:val="en-US" w:eastAsia="zh-CN" w:bidi="ar-SA"/>
        </w:rPr>
        <w:t>人次，</w:t>
      </w:r>
      <w:r>
        <w:rPr>
          <w:rFonts w:hint="eastAsia" w:ascii="Times New Roman" w:hAnsi="Times New Roman" w:eastAsia="仿宋_GB2312" w:cs="Times New Roman"/>
          <w:b w:val="0"/>
          <w:color w:val="000000"/>
          <w:kern w:val="0"/>
          <w:sz w:val="32"/>
          <w:szCs w:val="32"/>
          <w:shd w:val="clear" w:color="auto" w:fill="FFFFFF"/>
          <w:lang w:val="zh-CN" w:eastAsia="zh-CN" w:bidi="ar-SA"/>
        </w:rPr>
        <w:t>圆满完成全年项目任务。</w:t>
      </w:r>
    </w:p>
    <w:p w14:paraId="36C688B7">
      <w:pPr>
        <w:adjustRightInd w:val="0"/>
        <w:snapToGrid w:val="0"/>
        <w:spacing w:line="600" w:lineRule="exact"/>
        <w:ind w:firstLine="720"/>
        <w:rPr>
          <w:rFonts w:hint="eastAsia" w:eastAsia="仿宋_GB2312"/>
          <w:sz w:val="32"/>
          <w:szCs w:val="32"/>
          <w:lang w:val="zh-CN" w:eastAsia="zh-CN"/>
        </w:rPr>
      </w:pPr>
      <w:r>
        <w:rPr>
          <w:rFonts w:hint="eastAsia" w:eastAsia="楷体_GB2312"/>
          <w:color w:val="000000"/>
          <w:kern w:val="0"/>
          <w:sz w:val="32"/>
          <w:szCs w:val="32"/>
          <w:shd w:val="clear" w:color="auto" w:fill="FFFFFF"/>
          <w:lang w:val="en-US" w:eastAsia="zh-CN"/>
        </w:rPr>
        <w:t>2.</w:t>
      </w:r>
      <w:r>
        <w:rPr>
          <w:rFonts w:eastAsia="楷体_GB2312"/>
          <w:color w:val="000000"/>
          <w:kern w:val="0"/>
          <w:sz w:val="32"/>
          <w:szCs w:val="32"/>
          <w:shd w:val="clear" w:color="auto" w:fill="FFFFFF"/>
          <w:lang w:val="zh-CN"/>
        </w:rPr>
        <w:t>预算管理。</w:t>
      </w:r>
      <w:r>
        <w:rPr>
          <w:rFonts w:hint="eastAsia" w:eastAsia="仿宋_GB2312"/>
          <w:sz w:val="32"/>
          <w:szCs w:val="32"/>
          <w:lang w:val="zh-CN" w:eastAsia="zh-CN"/>
        </w:rPr>
        <w:t>在项目实施过程中，</w:t>
      </w:r>
      <w:r>
        <w:rPr>
          <w:rFonts w:hint="eastAsia" w:eastAsia="仿宋_GB2312"/>
          <w:sz w:val="32"/>
          <w:szCs w:val="32"/>
          <w:lang w:eastAsia="zh-CN"/>
        </w:rPr>
        <w:t>市</w:t>
      </w:r>
      <w:r>
        <w:rPr>
          <w:rFonts w:hint="eastAsia" w:ascii="Times New Roman" w:hAnsi="Times New Roman" w:eastAsia="仿宋_GB2312" w:cs="Times New Roman"/>
          <w:color w:val="000000"/>
          <w:kern w:val="0"/>
          <w:sz w:val="32"/>
          <w:szCs w:val="32"/>
          <w:shd w:val="clear" w:color="auto" w:fill="FFFFFF"/>
          <w:lang w:val="zh-CN" w:eastAsia="zh-CN"/>
        </w:rPr>
        <w:t>少年宫</w:t>
      </w:r>
      <w:r>
        <w:rPr>
          <w:rFonts w:hint="eastAsia" w:eastAsia="仿宋_GB2312"/>
          <w:sz w:val="32"/>
          <w:szCs w:val="32"/>
          <w:lang w:val="zh-CN" w:eastAsia="zh-CN"/>
        </w:rPr>
        <w:t>通过全面的财务管理，提高资金使用效率、降低项目成本、提供决策支持并保障项目顺利。少年宫作为项目实施单位，财务管理制度健全，严格执行了财务管理制度，账务处理及时，会计核算规范。</w:t>
      </w:r>
    </w:p>
    <w:p w14:paraId="4BB1EA94">
      <w:pPr>
        <w:numPr>
          <w:ilvl w:val="0"/>
          <w:numId w:val="0"/>
        </w:numPr>
        <w:adjustRightInd w:val="0"/>
        <w:snapToGrid w:val="0"/>
        <w:spacing w:line="578" w:lineRule="exact"/>
        <w:ind w:firstLine="640" w:firstLineChars="200"/>
        <w:contextualSpacing/>
        <w:jc w:val="left"/>
        <w:rPr>
          <w:rFonts w:hint="eastAsia" w:ascii="仿宋_GB2312" w:hAnsi="仿宋_GB2312" w:eastAsia="仿宋_GB2312" w:cs="仿宋_GB2312"/>
          <w:sz w:val="32"/>
          <w:szCs w:val="32"/>
          <w:lang w:val="zh-CN" w:eastAsia="zh-CN"/>
        </w:rPr>
      </w:pPr>
      <w:r>
        <w:rPr>
          <w:rFonts w:hint="eastAsia" w:eastAsia="楷体_GB2312"/>
          <w:color w:val="000000"/>
          <w:kern w:val="0"/>
          <w:sz w:val="32"/>
          <w:szCs w:val="32"/>
          <w:shd w:val="clear" w:color="auto" w:fill="FFFFFF"/>
          <w:lang w:val="en-US" w:eastAsia="zh-CN"/>
        </w:rPr>
        <w:t>3.</w:t>
      </w:r>
      <w:r>
        <w:rPr>
          <w:rFonts w:eastAsia="楷体_GB2312"/>
          <w:color w:val="000000"/>
          <w:kern w:val="0"/>
          <w:sz w:val="32"/>
          <w:szCs w:val="32"/>
          <w:shd w:val="clear" w:color="auto" w:fill="FFFFFF"/>
          <w:lang w:val="zh-CN"/>
        </w:rPr>
        <w:t>财务管理。</w:t>
      </w:r>
      <w:r>
        <w:rPr>
          <w:rFonts w:hint="eastAsia" w:eastAsia="仿宋_GB2312"/>
          <w:sz w:val="32"/>
          <w:szCs w:val="32"/>
          <w:lang w:eastAsia="zh-CN"/>
        </w:rPr>
        <w:t>市</w:t>
      </w:r>
      <w:r>
        <w:rPr>
          <w:rFonts w:hint="eastAsia" w:ascii="Times New Roman" w:hAnsi="Times New Roman" w:eastAsia="仿宋_GB2312" w:cs="Times New Roman"/>
          <w:color w:val="000000"/>
          <w:kern w:val="0"/>
          <w:sz w:val="32"/>
          <w:szCs w:val="32"/>
          <w:shd w:val="clear" w:color="auto" w:fill="FFFFFF"/>
          <w:lang w:val="zh-CN" w:eastAsia="zh-CN"/>
        </w:rPr>
        <w:t>少年宫</w:t>
      </w:r>
      <w:r>
        <w:rPr>
          <w:rFonts w:hint="eastAsia" w:ascii="仿宋_GB2312" w:hAnsi="仿宋_GB2312" w:eastAsia="仿宋_GB2312" w:cs="仿宋_GB2312"/>
          <w:sz w:val="32"/>
          <w:szCs w:val="32"/>
          <w:lang w:val="zh-CN" w:eastAsia="zh-CN"/>
        </w:rPr>
        <w:t>制定了《财务管理制度》，设置了财务室，配备了主办会计、出纳、一般工作人员。在财务管理、绩效管理等方面，单位严格按照财政部门预算编制通知明确的范围、标准等编制部门预算，人员和公用支出预算均按定员定额标准编制，项目支出预算真实，按规定开展项目评审，全部收入纳入单位综合预算管理。当年基本支出项目和业务运行费项目均在年度内顺利完成，为开展各艺术专业培训活动和教学成果展示提供了有力保障。</w:t>
      </w:r>
    </w:p>
    <w:p w14:paraId="43886045">
      <w:pPr>
        <w:numPr>
          <w:ilvl w:val="0"/>
          <w:numId w:val="0"/>
        </w:numPr>
        <w:adjustRightInd w:val="0"/>
        <w:snapToGrid w:val="0"/>
        <w:spacing w:line="578" w:lineRule="exact"/>
        <w:ind w:firstLine="640" w:firstLineChars="200"/>
        <w:contextualSpacing/>
        <w:jc w:val="left"/>
        <w:rPr>
          <w:rFonts w:hint="eastAsia" w:ascii="仿宋_GB2312" w:hAnsi="仿宋" w:eastAsia="仿宋_GB2312"/>
          <w:sz w:val="32"/>
          <w:szCs w:val="32"/>
        </w:rPr>
      </w:pPr>
      <w:r>
        <w:rPr>
          <w:rFonts w:hint="eastAsia" w:ascii="仿宋_GB2312" w:hAnsi="仿宋_GB2312" w:eastAsia="仿宋_GB2312" w:cs="仿宋_GB2312"/>
          <w:sz w:val="32"/>
          <w:szCs w:val="32"/>
          <w:lang w:val="en-US" w:eastAsia="zh-CN"/>
        </w:rPr>
        <w:t>4.</w:t>
      </w:r>
      <w:r>
        <w:rPr>
          <w:rFonts w:eastAsia="楷体_GB2312"/>
          <w:color w:val="000000"/>
          <w:kern w:val="0"/>
          <w:sz w:val="32"/>
          <w:szCs w:val="32"/>
          <w:shd w:val="clear" w:color="auto" w:fill="FFFFFF"/>
          <w:lang w:val="zh-CN"/>
        </w:rPr>
        <w:t>资产管理。</w:t>
      </w:r>
      <w:r>
        <w:rPr>
          <w:rFonts w:hint="eastAsia" w:eastAsia="仿宋_GB2312"/>
          <w:sz w:val="32"/>
          <w:szCs w:val="32"/>
          <w:lang w:eastAsia="zh-CN"/>
        </w:rPr>
        <w:t>市</w:t>
      </w:r>
      <w:r>
        <w:rPr>
          <w:rFonts w:hint="eastAsia" w:ascii="Times New Roman" w:hAnsi="Times New Roman" w:eastAsia="仿宋_GB2312" w:cs="Times New Roman"/>
          <w:color w:val="000000"/>
          <w:kern w:val="0"/>
          <w:sz w:val="32"/>
          <w:szCs w:val="32"/>
          <w:shd w:val="clear" w:color="auto" w:fill="FFFFFF"/>
          <w:lang w:val="zh-CN" w:eastAsia="zh-CN"/>
        </w:rPr>
        <w:t>少年宫</w:t>
      </w:r>
      <w:r>
        <w:rPr>
          <w:rFonts w:hint="eastAsia" w:ascii="仿宋_GB2312" w:hAnsi="仿宋" w:eastAsia="仿宋_GB2312" w:cs="宋体"/>
          <w:color w:val="333333"/>
          <w:kern w:val="0"/>
          <w:sz w:val="32"/>
          <w:szCs w:val="32"/>
        </w:rPr>
        <w:t>每年末组织相关人员，对资产进行账务清理、对实物进行清查盘点。202</w:t>
      </w:r>
      <w:r>
        <w:rPr>
          <w:rFonts w:hint="eastAsia" w:ascii="仿宋_GB2312" w:hAnsi="仿宋" w:eastAsia="仿宋_GB2312" w:cs="宋体"/>
          <w:color w:val="333333"/>
          <w:kern w:val="0"/>
          <w:sz w:val="32"/>
          <w:szCs w:val="32"/>
          <w:lang w:val="en-US" w:eastAsia="zh-CN"/>
        </w:rPr>
        <w:t>5</w:t>
      </w:r>
      <w:r>
        <w:rPr>
          <w:rFonts w:hint="eastAsia" w:ascii="仿宋_GB2312" w:hAnsi="仿宋" w:eastAsia="仿宋_GB2312" w:cs="宋体"/>
          <w:color w:val="333333"/>
          <w:kern w:val="0"/>
          <w:sz w:val="32"/>
          <w:szCs w:val="32"/>
        </w:rPr>
        <w:t>年末账务和实物核对一致。</w:t>
      </w:r>
      <w:r>
        <w:rPr>
          <w:rFonts w:hint="eastAsia" w:ascii="仿宋_GB2312" w:hAnsi="仿宋" w:eastAsia="仿宋_GB2312"/>
          <w:sz w:val="32"/>
          <w:szCs w:val="32"/>
        </w:rPr>
        <w:t>为实现控制目标，通过制定制度、实施措施和执行程序等手段，对经济业务活动的风险进行防范和管控。</w:t>
      </w:r>
    </w:p>
    <w:p w14:paraId="0A80132C">
      <w:pPr>
        <w:numPr>
          <w:ilvl w:val="0"/>
          <w:numId w:val="0"/>
        </w:numPr>
        <w:adjustRightInd w:val="0"/>
        <w:snapToGrid w:val="0"/>
        <w:spacing w:line="578" w:lineRule="exact"/>
        <w:ind w:firstLine="640" w:firstLineChars="200"/>
        <w:contextualSpacing/>
        <w:jc w:val="left"/>
        <w:rPr>
          <w:rFonts w:eastAsia="楷体_GB2312"/>
          <w:color w:val="000000"/>
          <w:kern w:val="0"/>
          <w:sz w:val="32"/>
          <w:szCs w:val="32"/>
          <w:shd w:val="clear" w:color="auto" w:fill="FFFFFF"/>
          <w:lang w:val="zh-CN"/>
        </w:rPr>
      </w:pPr>
      <w:r>
        <w:rPr>
          <w:rFonts w:hint="eastAsia" w:ascii="仿宋_GB2312" w:hAnsi="仿宋" w:eastAsia="仿宋_GB2312"/>
          <w:sz w:val="32"/>
          <w:szCs w:val="32"/>
          <w:lang w:val="en-US" w:eastAsia="zh-CN"/>
        </w:rPr>
        <w:t>5.</w:t>
      </w:r>
      <w:r>
        <w:rPr>
          <w:rFonts w:eastAsia="楷体_GB2312"/>
          <w:color w:val="000000"/>
          <w:kern w:val="0"/>
          <w:sz w:val="32"/>
          <w:szCs w:val="32"/>
          <w:shd w:val="clear" w:color="auto" w:fill="FFFFFF"/>
          <w:lang w:val="zh-CN"/>
        </w:rPr>
        <w:t>采购管理。</w:t>
      </w:r>
      <w:r>
        <w:rPr>
          <w:rFonts w:hint="eastAsia" w:eastAsia="仿宋_GB2312"/>
          <w:sz w:val="32"/>
          <w:szCs w:val="32"/>
          <w:lang w:eastAsia="zh-CN"/>
        </w:rPr>
        <w:t>市</w:t>
      </w:r>
      <w:r>
        <w:rPr>
          <w:rFonts w:hint="eastAsia" w:ascii="Times New Roman" w:hAnsi="Times New Roman" w:eastAsia="仿宋_GB2312" w:cs="Times New Roman"/>
          <w:color w:val="000000"/>
          <w:kern w:val="0"/>
          <w:sz w:val="32"/>
          <w:szCs w:val="32"/>
          <w:shd w:val="clear" w:color="auto" w:fill="FFFFFF"/>
          <w:lang w:val="zh-CN" w:eastAsia="zh-CN"/>
        </w:rPr>
        <w:t>少年宫</w:t>
      </w:r>
      <w:r>
        <w:rPr>
          <w:rFonts w:hint="eastAsia" w:ascii="仿宋_GB2312" w:hAnsi="仿宋" w:eastAsia="仿宋_GB2312"/>
          <w:sz w:val="32"/>
          <w:szCs w:val="32"/>
        </w:rPr>
        <w:t>明确了</w:t>
      </w:r>
      <w:r>
        <w:rPr>
          <w:rFonts w:hint="eastAsia" w:ascii="仿宋_GB2312" w:hAnsi="仿宋" w:eastAsia="仿宋_GB2312"/>
          <w:sz w:val="32"/>
          <w:szCs w:val="32"/>
          <w:lang w:eastAsia="zh-CN"/>
        </w:rPr>
        <w:t>采购</w:t>
      </w:r>
      <w:r>
        <w:rPr>
          <w:rFonts w:hint="eastAsia" w:ascii="仿宋_GB2312" w:hAnsi="仿宋" w:eastAsia="仿宋_GB2312"/>
          <w:sz w:val="32"/>
          <w:szCs w:val="32"/>
        </w:rPr>
        <w:t>岗位职责及分工，确保不相容岗位相互分离、相互制约和相互监督</w:t>
      </w:r>
      <w:r>
        <w:rPr>
          <w:rFonts w:hint="eastAsia" w:ascii="仿宋_GB2312" w:hAnsi="仿宋" w:eastAsia="仿宋_GB2312"/>
          <w:sz w:val="32"/>
          <w:szCs w:val="32"/>
          <w:lang w:eastAsia="zh-CN"/>
        </w:rPr>
        <w:t>。</w:t>
      </w:r>
    </w:p>
    <w:p w14:paraId="6119CAA4">
      <w:pPr>
        <w:adjustRightInd w:val="0"/>
        <w:snapToGrid w:val="0"/>
        <w:spacing w:line="578" w:lineRule="exact"/>
        <w:ind w:firstLine="643" w:firstLineChars="200"/>
        <w:contextualSpacing/>
        <w:jc w:val="left"/>
        <w:rPr>
          <w:rFonts w:eastAsia="仿宋_GB2312"/>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（二）部门预算项目绩效分析。</w:t>
      </w:r>
      <w:r>
        <w:rPr>
          <w:rFonts w:eastAsia="仿宋_GB2312"/>
          <w:color w:val="000000"/>
          <w:kern w:val="0"/>
          <w:sz w:val="32"/>
          <w:szCs w:val="32"/>
          <w:shd w:val="clear" w:color="auto" w:fill="FFFFFF"/>
        </w:rPr>
        <w:t>常年项目绩效分析。</w:t>
      </w:r>
      <w:r>
        <w:rPr>
          <w:rFonts w:eastAsia="仿宋_GB2312"/>
          <w:color w:val="000000"/>
          <w:kern w:val="0"/>
          <w:sz w:val="32"/>
          <w:szCs w:val="32"/>
          <w:shd w:val="clear" w:color="auto" w:fill="FFFFFF"/>
          <w:lang w:val="zh-CN"/>
        </w:rPr>
        <w:t>该类项目总数</w:t>
      </w:r>
      <w:r>
        <w:rPr>
          <w:rFonts w:hint="eastAsia" w:eastAsia="仿宋_GB2312"/>
          <w:color w:val="000000"/>
          <w:kern w:val="0"/>
          <w:sz w:val="32"/>
          <w:szCs w:val="32"/>
          <w:shd w:val="clear" w:color="auto" w:fill="FFFFFF"/>
          <w:lang w:val="en-US" w:eastAsia="zh-CN"/>
        </w:rPr>
        <w:t>16</w:t>
      </w:r>
      <w:r>
        <w:rPr>
          <w:rFonts w:eastAsia="仿宋_GB2312"/>
          <w:color w:val="000000"/>
          <w:kern w:val="0"/>
          <w:sz w:val="32"/>
          <w:szCs w:val="32"/>
          <w:shd w:val="clear" w:color="auto" w:fill="FFFFFF"/>
          <w:lang w:val="zh-CN"/>
        </w:rPr>
        <w:t>个，涉及预算总金额</w:t>
      </w:r>
      <w:r>
        <w:rPr>
          <w:rFonts w:hint="eastAsia" w:eastAsia="仿宋_GB2312"/>
          <w:color w:val="000000"/>
          <w:kern w:val="0"/>
          <w:sz w:val="32"/>
          <w:szCs w:val="32"/>
          <w:shd w:val="clear" w:color="auto" w:fill="FFFFFF"/>
          <w:lang w:val="en-US" w:eastAsia="zh-CN"/>
        </w:rPr>
        <w:t>647.86</w:t>
      </w:r>
      <w:r>
        <w:rPr>
          <w:rFonts w:eastAsia="仿宋_GB2312"/>
          <w:color w:val="000000"/>
          <w:kern w:val="0"/>
          <w:sz w:val="32"/>
          <w:szCs w:val="32"/>
          <w:shd w:val="clear" w:color="auto" w:fill="FFFFFF"/>
          <w:lang w:val="zh-CN"/>
        </w:rPr>
        <w:t>万元，1</w:t>
      </w:r>
      <w:r>
        <w:rPr>
          <w:rFonts w:hint="eastAsia" w:eastAsia="仿宋_GB2312"/>
          <w:color w:val="000000"/>
          <w:kern w:val="0"/>
          <w:sz w:val="32"/>
          <w:szCs w:val="32"/>
          <w:shd w:val="clear" w:color="auto" w:fill="FFFFFF"/>
          <w:lang w:val="zh-CN"/>
        </w:rPr>
        <w:t>—</w:t>
      </w:r>
      <w:r>
        <w:rPr>
          <w:rFonts w:eastAsia="仿宋_GB2312"/>
          <w:color w:val="000000"/>
          <w:kern w:val="0"/>
          <w:sz w:val="32"/>
          <w:szCs w:val="32"/>
          <w:shd w:val="clear" w:color="auto" w:fill="FFFFFF"/>
          <w:lang w:val="zh-CN"/>
        </w:rPr>
        <w:t>1</w:t>
      </w:r>
      <w:r>
        <w:rPr>
          <w:rFonts w:eastAsia="仿宋_GB2312"/>
          <w:color w:val="000000"/>
          <w:kern w:val="0"/>
          <w:sz w:val="32"/>
          <w:szCs w:val="32"/>
          <w:shd w:val="clear" w:color="auto" w:fill="FFFFFF"/>
        </w:rPr>
        <w:t>2</w:t>
      </w:r>
      <w:r>
        <w:rPr>
          <w:rFonts w:eastAsia="仿宋_GB2312"/>
          <w:color w:val="000000"/>
          <w:kern w:val="0"/>
          <w:sz w:val="32"/>
          <w:szCs w:val="32"/>
          <w:shd w:val="clear" w:color="auto" w:fill="FFFFFF"/>
          <w:lang w:val="zh-CN"/>
        </w:rPr>
        <w:t>月预算执行总体进度为</w:t>
      </w:r>
      <w:r>
        <w:rPr>
          <w:rFonts w:hint="eastAsia" w:eastAsia="仿宋_GB2312"/>
          <w:color w:val="000000"/>
          <w:kern w:val="0"/>
          <w:sz w:val="32"/>
          <w:szCs w:val="32"/>
          <w:shd w:val="clear" w:color="auto" w:fill="FFFFFF"/>
          <w:lang w:val="en-US" w:eastAsia="zh-CN"/>
        </w:rPr>
        <w:t>100</w:t>
      </w:r>
      <w:r>
        <w:rPr>
          <w:rFonts w:eastAsia="仿宋_GB2312"/>
          <w:color w:val="000000"/>
          <w:kern w:val="0"/>
          <w:sz w:val="32"/>
          <w:szCs w:val="32"/>
          <w:shd w:val="clear" w:color="auto" w:fill="FFFFFF"/>
          <w:lang w:val="zh-CN"/>
        </w:rPr>
        <w:t>%，其中：预算结余率大于</w:t>
      </w:r>
      <w:r>
        <w:rPr>
          <w:rFonts w:eastAsia="仿宋_GB2312"/>
          <w:color w:val="000000"/>
          <w:kern w:val="0"/>
          <w:sz w:val="32"/>
          <w:szCs w:val="32"/>
          <w:shd w:val="clear" w:color="auto" w:fill="FFFFFF"/>
        </w:rPr>
        <w:t>10%</w:t>
      </w:r>
      <w:r>
        <w:rPr>
          <w:rFonts w:eastAsia="仿宋_GB2312"/>
          <w:color w:val="000000"/>
          <w:kern w:val="0"/>
          <w:sz w:val="32"/>
          <w:szCs w:val="32"/>
          <w:shd w:val="clear" w:color="auto" w:fill="FFFFFF"/>
          <w:lang w:val="zh-CN"/>
        </w:rPr>
        <w:t>的项目共计</w:t>
      </w:r>
      <w:r>
        <w:rPr>
          <w:rFonts w:hint="eastAsia" w:eastAsia="仿宋_GB2312"/>
          <w:color w:val="000000"/>
          <w:kern w:val="0"/>
          <w:sz w:val="32"/>
          <w:szCs w:val="32"/>
          <w:shd w:val="clear" w:color="auto" w:fill="FFFFFF"/>
          <w:lang w:val="en-US" w:eastAsia="zh-CN"/>
        </w:rPr>
        <w:t>0</w:t>
      </w:r>
      <w:r>
        <w:rPr>
          <w:rFonts w:eastAsia="仿宋_GB2312"/>
          <w:color w:val="000000"/>
          <w:kern w:val="0"/>
          <w:sz w:val="32"/>
          <w:szCs w:val="32"/>
          <w:shd w:val="clear" w:color="auto" w:fill="FFFFFF"/>
          <w:lang w:val="zh-CN"/>
        </w:rPr>
        <w:t>个。</w:t>
      </w:r>
    </w:p>
    <w:p w14:paraId="45C952D2">
      <w:pPr>
        <w:adjustRightInd w:val="0"/>
        <w:snapToGrid w:val="0"/>
        <w:spacing w:line="578" w:lineRule="exact"/>
        <w:ind w:firstLine="640" w:firstLineChars="200"/>
        <w:contextualSpacing/>
        <w:jc w:val="left"/>
        <w:rPr>
          <w:rFonts w:eastAsia="仿宋_GB2312"/>
          <w:color w:val="000000"/>
          <w:kern w:val="0"/>
          <w:sz w:val="32"/>
          <w:szCs w:val="32"/>
          <w:shd w:val="clear" w:color="auto" w:fill="FFFFFF"/>
          <w:lang w:val="zh-CN"/>
        </w:rPr>
      </w:pPr>
      <w:r>
        <w:rPr>
          <w:rFonts w:eastAsia="仿宋_GB2312"/>
          <w:color w:val="000000"/>
          <w:kern w:val="0"/>
          <w:sz w:val="32"/>
          <w:szCs w:val="32"/>
          <w:shd w:val="clear" w:color="auto" w:fill="FFFFFF"/>
        </w:rPr>
        <w:t>阶段（</w:t>
      </w:r>
      <w:r>
        <w:rPr>
          <w:rFonts w:hint="eastAsia" w:eastAsia="仿宋_GB2312"/>
          <w:color w:val="000000"/>
          <w:kern w:val="0"/>
          <w:sz w:val="32"/>
          <w:szCs w:val="32"/>
          <w:shd w:val="clear" w:color="auto" w:fill="FFFFFF"/>
        </w:rPr>
        <w:t>含</w:t>
      </w:r>
      <w:r>
        <w:rPr>
          <w:rFonts w:eastAsia="仿宋_GB2312"/>
          <w:color w:val="000000"/>
          <w:kern w:val="0"/>
          <w:sz w:val="32"/>
          <w:szCs w:val="32"/>
          <w:shd w:val="clear" w:color="auto" w:fill="FFFFFF"/>
        </w:rPr>
        <w:t>一次性）项目绩效分析。</w:t>
      </w:r>
      <w:r>
        <w:rPr>
          <w:rFonts w:eastAsia="仿宋_GB2312"/>
          <w:color w:val="000000"/>
          <w:kern w:val="0"/>
          <w:sz w:val="32"/>
          <w:szCs w:val="32"/>
          <w:shd w:val="clear" w:color="auto" w:fill="FFFFFF"/>
          <w:lang w:val="zh-CN"/>
        </w:rPr>
        <w:t>该类项目总数</w:t>
      </w:r>
      <w:r>
        <w:rPr>
          <w:rFonts w:hint="eastAsia" w:eastAsia="仿宋_GB2312"/>
          <w:color w:val="000000"/>
          <w:kern w:val="0"/>
          <w:sz w:val="32"/>
          <w:szCs w:val="32"/>
          <w:shd w:val="clear" w:color="auto" w:fill="FFFFFF"/>
          <w:lang w:val="en-US" w:eastAsia="zh-CN"/>
        </w:rPr>
        <w:t>0</w:t>
      </w:r>
      <w:r>
        <w:rPr>
          <w:rFonts w:eastAsia="仿宋_GB2312"/>
          <w:color w:val="000000"/>
          <w:kern w:val="0"/>
          <w:sz w:val="32"/>
          <w:szCs w:val="32"/>
          <w:shd w:val="clear" w:color="auto" w:fill="FFFFFF"/>
          <w:lang w:val="zh-CN"/>
        </w:rPr>
        <w:t>个，涉及预算总金额</w:t>
      </w:r>
      <w:r>
        <w:rPr>
          <w:rFonts w:hint="eastAsia" w:eastAsia="仿宋_GB2312"/>
          <w:color w:val="000000"/>
          <w:kern w:val="0"/>
          <w:sz w:val="32"/>
          <w:szCs w:val="32"/>
          <w:shd w:val="clear" w:color="auto" w:fill="FFFFFF"/>
          <w:lang w:val="en-US" w:eastAsia="zh-CN"/>
        </w:rPr>
        <w:t>0</w:t>
      </w:r>
      <w:r>
        <w:rPr>
          <w:rFonts w:eastAsia="仿宋_GB2312"/>
          <w:color w:val="000000"/>
          <w:kern w:val="0"/>
          <w:sz w:val="32"/>
          <w:szCs w:val="32"/>
          <w:shd w:val="clear" w:color="auto" w:fill="FFFFFF"/>
          <w:lang w:val="zh-CN"/>
        </w:rPr>
        <w:t>万元，1</w:t>
      </w:r>
      <w:r>
        <w:rPr>
          <w:rFonts w:hint="eastAsia" w:eastAsia="仿宋_GB2312"/>
          <w:color w:val="000000"/>
          <w:kern w:val="0"/>
          <w:sz w:val="32"/>
          <w:szCs w:val="32"/>
          <w:shd w:val="clear" w:color="auto" w:fill="FFFFFF"/>
          <w:lang w:val="zh-CN"/>
        </w:rPr>
        <w:t>—</w:t>
      </w:r>
      <w:r>
        <w:rPr>
          <w:rFonts w:eastAsia="仿宋_GB2312"/>
          <w:color w:val="000000"/>
          <w:kern w:val="0"/>
          <w:sz w:val="32"/>
          <w:szCs w:val="32"/>
          <w:shd w:val="clear" w:color="auto" w:fill="FFFFFF"/>
          <w:lang w:val="zh-CN"/>
        </w:rPr>
        <w:t>1</w:t>
      </w:r>
      <w:r>
        <w:rPr>
          <w:rFonts w:eastAsia="仿宋_GB2312"/>
          <w:color w:val="000000"/>
          <w:kern w:val="0"/>
          <w:sz w:val="32"/>
          <w:szCs w:val="32"/>
          <w:shd w:val="clear" w:color="auto" w:fill="FFFFFF"/>
        </w:rPr>
        <w:t>2</w:t>
      </w:r>
      <w:r>
        <w:rPr>
          <w:rFonts w:eastAsia="仿宋_GB2312"/>
          <w:color w:val="000000"/>
          <w:kern w:val="0"/>
          <w:sz w:val="32"/>
          <w:szCs w:val="32"/>
          <w:shd w:val="clear" w:color="auto" w:fill="FFFFFF"/>
          <w:lang w:val="zh-CN"/>
        </w:rPr>
        <w:t>月预算执行总体进度为</w:t>
      </w:r>
      <w:r>
        <w:rPr>
          <w:rFonts w:hint="eastAsia" w:eastAsia="仿宋_GB2312"/>
          <w:color w:val="000000"/>
          <w:kern w:val="0"/>
          <w:sz w:val="32"/>
          <w:szCs w:val="32"/>
          <w:shd w:val="clear" w:color="auto" w:fill="FFFFFF"/>
          <w:lang w:val="en-US" w:eastAsia="zh-CN"/>
        </w:rPr>
        <w:t>100</w:t>
      </w:r>
      <w:r>
        <w:rPr>
          <w:rFonts w:eastAsia="仿宋_GB2312"/>
          <w:color w:val="000000"/>
          <w:kern w:val="0"/>
          <w:sz w:val="32"/>
          <w:szCs w:val="32"/>
          <w:shd w:val="clear" w:color="auto" w:fill="FFFFFF"/>
          <w:lang w:val="zh-CN"/>
        </w:rPr>
        <w:t>%，其中：预算结余率大于</w:t>
      </w:r>
      <w:r>
        <w:rPr>
          <w:rFonts w:eastAsia="仿宋_GB2312"/>
          <w:color w:val="000000"/>
          <w:kern w:val="0"/>
          <w:sz w:val="32"/>
          <w:szCs w:val="32"/>
          <w:shd w:val="clear" w:color="auto" w:fill="FFFFFF"/>
        </w:rPr>
        <w:t>10%</w:t>
      </w:r>
      <w:r>
        <w:rPr>
          <w:rFonts w:eastAsia="仿宋_GB2312"/>
          <w:color w:val="000000"/>
          <w:kern w:val="0"/>
          <w:sz w:val="32"/>
          <w:szCs w:val="32"/>
          <w:shd w:val="clear" w:color="auto" w:fill="FFFFFF"/>
          <w:lang w:val="zh-CN"/>
        </w:rPr>
        <w:t>的项目共计</w:t>
      </w:r>
      <w:r>
        <w:rPr>
          <w:rFonts w:hint="eastAsia" w:eastAsia="仿宋_GB2312"/>
          <w:color w:val="000000"/>
          <w:kern w:val="0"/>
          <w:sz w:val="32"/>
          <w:szCs w:val="32"/>
          <w:shd w:val="clear" w:color="auto" w:fill="FFFFFF"/>
          <w:lang w:val="en-US" w:eastAsia="zh-CN"/>
        </w:rPr>
        <w:t>0</w:t>
      </w:r>
      <w:r>
        <w:rPr>
          <w:rFonts w:eastAsia="仿宋_GB2312"/>
          <w:color w:val="000000"/>
          <w:kern w:val="0"/>
          <w:sz w:val="32"/>
          <w:szCs w:val="32"/>
          <w:shd w:val="clear" w:color="auto" w:fill="FFFFFF"/>
          <w:lang w:val="zh-CN"/>
        </w:rPr>
        <w:t>个。</w:t>
      </w:r>
    </w:p>
    <w:p w14:paraId="181B3774">
      <w:pPr>
        <w:adjustRightInd w:val="0"/>
        <w:snapToGrid w:val="0"/>
        <w:spacing w:line="578" w:lineRule="exact"/>
        <w:ind w:firstLine="640" w:firstLineChars="200"/>
        <w:contextualSpacing/>
        <w:jc w:val="left"/>
        <w:rPr>
          <w:rFonts w:eastAsia="仿宋_GB2312"/>
          <w:color w:val="000000"/>
          <w:kern w:val="0"/>
          <w:sz w:val="32"/>
          <w:szCs w:val="32"/>
          <w:shd w:val="clear" w:color="auto" w:fill="FFFFFF"/>
          <w:lang w:val="zh-CN"/>
        </w:rPr>
      </w:pPr>
      <w:r>
        <w:rPr>
          <w:rFonts w:eastAsia="楷体_GB2312"/>
          <w:color w:val="000000"/>
          <w:kern w:val="0"/>
          <w:sz w:val="32"/>
          <w:szCs w:val="32"/>
          <w:shd w:val="clear" w:color="auto" w:fill="FFFFFF"/>
        </w:rPr>
        <w:t>1.</w:t>
      </w:r>
      <w:r>
        <w:rPr>
          <w:rFonts w:eastAsia="楷体_GB2312"/>
          <w:color w:val="000000"/>
          <w:kern w:val="0"/>
          <w:sz w:val="32"/>
          <w:szCs w:val="32"/>
          <w:shd w:val="clear" w:color="auto" w:fill="FFFFFF"/>
          <w:lang w:val="zh-CN"/>
        </w:rPr>
        <w:t>项目决策</w:t>
      </w:r>
      <w:r>
        <w:rPr>
          <w:rFonts w:hint="eastAsia" w:ascii="方正仿宋_GB2312" w:hAnsi="方正仿宋_GB2312" w:eastAsia="方正仿宋_GB2312" w:cs="方正仿宋_GB2312"/>
          <w:color w:val="000000"/>
          <w:kern w:val="0"/>
          <w:sz w:val="32"/>
          <w:szCs w:val="32"/>
          <w:shd w:val="clear" w:color="auto" w:fill="FFFFFF"/>
          <w:lang w:val="zh-CN"/>
        </w:rPr>
        <w:t>。</w:t>
      </w:r>
      <w:r>
        <w:rPr>
          <w:rFonts w:hint="eastAsia" w:eastAsia="仿宋_GB2312"/>
          <w:color w:val="000000"/>
          <w:kern w:val="0"/>
          <w:sz w:val="32"/>
          <w:szCs w:val="32"/>
          <w:shd w:val="clear" w:color="auto" w:fill="FFFFFF"/>
          <w:lang w:val="zh-CN"/>
        </w:rPr>
        <w:t>在项目实施前，</w:t>
      </w:r>
      <w:r>
        <w:rPr>
          <w:rFonts w:hint="eastAsia" w:eastAsia="仿宋_GB2312"/>
          <w:sz w:val="32"/>
          <w:szCs w:val="32"/>
          <w:lang w:eastAsia="zh-CN"/>
        </w:rPr>
        <w:t>市</w:t>
      </w:r>
      <w:r>
        <w:rPr>
          <w:rFonts w:hint="eastAsia" w:ascii="Times New Roman" w:hAnsi="Times New Roman" w:eastAsia="仿宋_GB2312" w:cs="Times New Roman"/>
          <w:color w:val="000000"/>
          <w:kern w:val="0"/>
          <w:sz w:val="32"/>
          <w:szCs w:val="32"/>
          <w:shd w:val="clear" w:color="auto" w:fill="FFFFFF"/>
          <w:lang w:val="zh-CN" w:eastAsia="zh-CN"/>
        </w:rPr>
        <w:t>少年宫</w:t>
      </w:r>
      <w:r>
        <w:rPr>
          <w:rFonts w:hint="eastAsia" w:eastAsia="仿宋_GB2312"/>
          <w:color w:val="000000"/>
          <w:kern w:val="0"/>
          <w:sz w:val="32"/>
          <w:szCs w:val="32"/>
          <w:shd w:val="clear" w:color="auto" w:fill="FFFFFF"/>
          <w:lang w:val="zh-CN"/>
        </w:rPr>
        <w:t>收集和整理项目相关的各种信息和数据</w:t>
      </w:r>
      <w:r>
        <w:rPr>
          <w:rFonts w:hint="eastAsia" w:eastAsia="仿宋_GB2312"/>
          <w:color w:val="000000"/>
          <w:kern w:val="0"/>
          <w:sz w:val="32"/>
          <w:szCs w:val="32"/>
          <w:shd w:val="clear" w:color="auto" w:fill="FFFFFF"/>
          <w:lang w:val="zh-CN" w:eastAsia="zh-CN"/>
        </w:rPr>
        <w:t>，包括市场调研、成本预算等，对不同方案进行全面分析，综合考虑项目的目标和需求，选择出项目执行的最佳方案。</w:t>
      </w:r>
    </w:p>
    <w:p w14:paraId="400790EE">
      <w:pPr>
        <w:adjustRightInd w:val="0"/>
        <w:snapToGrid w:val="0"/>
        <w:spacing w:line="578" w:lineRule="exact"/>
        <w:ind w:firstLine="640" w:firstLineChars="200"/>
        <w:contextualSpacing/>
        <w:jc w:val="left"/>
        <w:rPr>
          <w:rFonts w:eastAsia="楷体_GB2312"/>
          <w:color w:val="000000"/>
          <w:kern w:val="0"/>
          <w:sz w:val="32"/>
          <w:szCs w:val="32"/>
          <w:shd w:val="clear" w:color="auto" w:fill="FFFFFF"/>
          <w:lang w:val="zh-CN"/>
        </w:rPr>
      </w:pPr>
      <w:r>
        <w:rPr>
          <w:rFonts w:eastAsia="楷体_GB2312"/>
          <w:color w:val="000000"/>
          <w:kern w:val="0"/>
          <w:sz w:val="32"/>
          <w:szCs w:val="32"/>
          <w:shd w:val="clear" w:color="auto" w:fill="FFFFFF"/>
        </w:rPr>
        <w:t>2.项目执行</w:t>
      </w:r>
      <w:r>
        <w:rPr>
          <w:rFonts w:eastAsia="楷体_GB2312"/>
          <w:color w:val="000000"/>
          <w:kern w:val="0"/>
          <w:sz w:val="32"/>
          <w:szCs w:val="32"/>
          <w:shd w:val="clear" w:color="auto" w:fill="FFFFFF"/>
          <w:lang w:val="zh-CN"/>
        </w:rPr>
        <w:t>。</w:t>
      </w:r>
      <w:r>
        <w:rPr>
          <w:rFonts w:hint="eastAsia" w:eastAsia="仿宋_GB2312"/>
          <w:sz w:val="32"/>
          <w:szCs w:val="32"/>
          <w:lang w:eastAsia="zh-CN"/>
        </w:rPr>
        <w:t>市</w:t>
      </w:r>
      <w:r>
        <w:rPr>
          <w:rFonts w:hint="eastAsia" w:ascii="Times New Roman" w:hAnsi="Times New Roman" w:eastAsia="仿宋_GB2312" w:cs="Times New Roman"/>
          <w:color w:val="000000"/>
          <w:kern w:val="0"/>
          <w:sz w:val="32"/>
          <w:szCs w:val="32"/>
          <w:shd w:val="clear" w:color="auto" w:fill="FFFFFF"/>
          <w:lang w:val="zh-CN" w:eastAsia="zh-CN"/>
        </w:rPr>
        <w:t>少年宫</w:t>
      </w:r>
      <w:r>
        <w:rPr>
          <w:rFonts w:hint="eastAsia" w:ascii="仿宋_GB2312" w:hAnsi="仿宋_GB2312" w:eastAsia="仿宋_GB2312" w:cs="仿宋_GB2312"/>
          <w:sz w:val="32"/>
          <w:szCs w:val="32"/>
          <w:lang w:val="zh-CN" w:eastAsia="zh-CN"/>
        </w:rPr>
        <w:t>通过综合分析和总结，识别项目在执行过程中的关键因素、以往经验和潜在问题，制定相应策略。按照项目计划的时间表推进，确保按时完成各阶段的任务。面对突发问题和挑战，迅速做出调整，优化资源分配和任务安排，确保项目的高效执行。</w:t>
      </w:r>
    </w:p>
    <w:p w14:paraId="2F111C59">
      <w:pPr>
        <w:widowControl/>
        <w:adjustRightInd w:val="0"/>
        <w:snapToGrid w:val="0"/>
        <w:spacing w:line="580" w:lineRule="exact"/>
        <w:ind w:firstLine="640" w:firstLineChars="200"/>
        <w:contextualSpacing/>
        <w:jc w:val="left"/>
        <w:rPr>
          <w:rFonts w:hint="eastAsia" w:ascii="仿宋_GB2312" w:hAnsi="仿宋_GB2312" w:eastAsia="仿宋_GB2312" w:cs="仿宋_GB2312"/>
          <w:sz w:val="32"/>
          <w:szCs w:val="32"/>
          <w:lang w:val="zh-CN" w:eastAsia="zh-CN"/>
        </w:rPr>
      </w:pPr>
      <w:r>
        <w:rPr>
          <w:rFonts w:eastAsia="楷体_GB2312"/>
          <w:color w:val="000000"/>
          <w:kern w:val="0"/>
          <w:sz w:val="32"/>
          <w:szCs w:val="32"/>
          <w:shd w:val="clear" w:color="auto" w:fill="FFFFFF"/>
        </w:rPr>
        <w:t>3.</w:t>
      </w:r>
      <w:r>
        <w:rPr>
          <w:rFonts w:eastAsia="楷体_GB2312"/>
          <w:color w:val="000000"/>
          <w:kern w:val="0"/>
          <w:sz w:val="32"/>
          <w:szCs w:val="32"/>
          <w:shd w:val="clear" w:color="auto" w:fill="FFFFFF"/>
          <w:lang w:val="zh-CN"/>
        </w:rPr>
        <w:t>目标实现。</w:t>
      </w:r>
      <w:r>
        <w:rPr>
          <w:rFonts w:hint="eastAsia" w:ascii="仿宋_GB2312" w:hAnsi="仿宋_GB2312" w:eastAsia="仿宋_GB2312" w:cs="仿宋_GB2312"/>
          <w:sz w:val="32"/>
          <w:szCs w:val="32"/>
          <w:lang w:val="zh-CN" w:eastAsia="zh-CN"/>
        </w:rPr>
        <w:t>在财政资金支持保障下，</w:t>
      </w:r>
      <w:r>
        <w:rPr>
          <w:rFonts w:hint="eastAsia" w:eastAsia="仿宋_GB2312"/>
          <w:sz w:val="32"/>
          <w:szCs w:val="32"/>
          <w:lang w:eastAsia="zh-CN"/>
        </w:rPr>
        <w:t>市</w:t>
      </w:r>
      <w:r>
        <w:rPr>
          <w:rFonts w:hint="eastAsia" w:ascii="Times New Roman" w:hAnsi="Times New Roman" w:eastAsia="仿宋_GB2312" w:cs="Times New Roman"/>
          <w:color w:val="000000"/>
          <w:kern w:val="0"/>
          <w:sz w:val="32"/>
          <w:szCs w:val="32"/>
          <w:shd w:val="clear" w:color="auto" w:fill="FFFFFF"/>
          <w:lang w:val="zh-CN" w:eastAsia="zh-CN"/>
        </w:rPr>
        <w:t>少年宫</w:t>
      </w:r>
      <w:r>
        <w:rPr>
          <w:rFonts w:hint="eastAsia" w:ascii="仿宋_GB2312" w:hAnsi="仿宋_GB2312" w:eastAsia="仿宋_GB2312" w:cs="仿宋_GB2312"/>
          <w:sz w:val="32"/>
          <w:szCs w:val="32"/>
          <w:lang w:val="zh-CN" w:eastAsia="zh-CN"/>
        </w:rPr>
        <w:t>全年累计培训学员约</w:t>
      </w:r>
      <w:r>
        <w:rPr>
          <w:rFonts w:hint="eastAsia" w:ascii="仿宋_GB2312" w:hAnsi="仿宋_GB2312" w:eastAsia="仿宋_GB2312" w:cs="仿宋_GB2312"/>
          <w:sz w:val="32"/>
          <w:szCs w:val="32"/>
          <w:lang w:val="en-US" w:eastAsia="zh-CN"/>
        </w:rPr>
        <w:t>4622人次，</w:t>
      </w:r>
      <w:r>
        <w:rPr>
          <w:rFonts w:hint="eastAsia" w:ascii="仿宋_GB2312" w:hAnsi="仿宋_GB2312" w:eastAsia="仿宋_GB2312" w:cs="仿宋_GB2312"/>
          <w:sz w:val="32"/>
          <w:szCs w:val="32"/>
          <w:lang w:val="zh-CN" w:eastAsia="zh-CN"/>
        </w:rPr>
        <w:t>深受家长和小朋友的喜爱，圆满完成</w:t>
      </w:r>
      <w:r>
        <w:rPr>
          <w:rFonts w:hint="eastAsia" w:ascii="仿宋_GB2312" w:hAnsi="仿宋_GB2312" w:eastAsia="仿宋_GB2312" w:cs="仿宋_GB2312"/>
          <w:sz w:val="32"/>
          <w:szCs w:val="32"/>
          <w:lang w:val="en-US" w:eastAsia="zh-CN"/>
        </w:rPr>
        <w:t>部门整体支出绩效目标。</w:t>
      </w:r>
    </w:p>
    <w:p w14:paraId="135290FE">
      <w:pPr>
        <w:widowControl/>
        <w:adjustRightInd w:val="0"/>
        <w:snapToGrid w:val="0"/>
        <w:spacing w:line="580" w:lineRule="exact"/>
        <w:ind w:firstLine="643" w:firstLineChars="200"/>
        <w:contextualSpacing/>
        <w:jc w:val="left"/>
        <w:rPr>
          <w:rFonts w:eastAsia="仿宋_GB2312"/>
          <w:b/>
          <w:sz w:val="32"/>
          <w:szCs w:val="32"/>
        </w:rPr>
      </w:pPr>
      <w:r>
        <w:rPr>
          <w:rFonts w:eastAsia="楷体_GB2312"/>
          <w:b/>
          <w:bCs/>
          <w:color w:val="000000"/>
          <w:kern w:val="0"/>
          <w:sz w:val="32"/>
          <w:szCs w:val="32"/>
          <w:shd w:val="clear" w:color="auto" w:fill="FFFFFF"/>
          <w:lang w:val="zh-CN"/>
        </w:rPr>
        <w:t>（三）</w:t>
      </w:r>
      <w:r>
        <w:rPr>
          <w:rFonts w:eastAsia="楷体_GB2312"/>
          <w:b/>
          <w:bCs/>
          <w:sz w:val="32"/>
          <w:szCs w:val="32"/>
          <w:lang w:val="zh-CN"/>
        </w:rPr>
        <w:t>绩效结果应用情况。</w:t>
      </w:r>
      <w:r>
        <w:rPr>
          <w:rFonts w:hint="eastAsia" w:ascii="仿宋_GB2312" w:hAnsi="仿宋_GB2312" w:eastAsia="仿宋_GB2312" w:cs="仿宋_GB2312"/>
          <w:color w:val="000000"/>
          <w:kern w:val="0"/>
          <w:sz w:val="32"/>
          <w:szCs w:val="32"/>
          <w:shd w:val="clear" w:color="auto" w:fill="FFFFFF"/>
          <w:lang w:val="en-US" w:eastAsia="zh-CN"/>
        </w:rPr>
        <w:t>在绩效结果应用方面，</w:t>
      </w:r>
      <w:r>
        <w:rPr>
          <w:rFonts w:hint="eastAsia" w:eastAsia="仿宋_GB2312"/>
          <w:sz w:val="32"/>
          <w:szCs w:val="32"/>
          <w:lang w:eastAsia="zh-CN"/>
        </w:rPr>
        <w:t>市</w:t>
      </w:r>
      <w:r>
        <w:rPr>
          <w:rFonts w:hint="eastAsia" w:ascii="Times New Roman" w:hAnsi="Times New Roman" w:eastAsia="仿宋_GB2312" w:cs="Times New Roman"/>
          <w:color w:val="000000"/>
          <w:kern w:val="0"/>
          <w:sz w:val="32"/>
          <w:szCs w:val="32"/>
          <w:shd w:val="clear" w:color="auto" w:fill="FFFFFF"/>
          <w:lang w:val="zh-CN" w:eastAsia="zh-CN"/>
        </w:rPr>
        <w:t>少年宫</w:t>
      </w:r>
      <w:r>
        <w:rPr>
          <w:rFonts w:hint="eastAsia" w:ascii="仿宋_GB2312" w:hAnsi="仿宋_GB2312" w:eastAsia="仿宋_GB2312" w:cs="仿宋_GB2312"/>
          <w:color w:val="000000"/>
          <w:kern w:val="0"/>
          <w:sz w:val="32"/>
          <w:szCs w:val="32"/>
          <w:shd w:val="clear" w:color="auto" w:fill="FFFFFF"/>
          <w:lang w:val="en-US" w:eastAsia="zh-CN"/>
        </w:rPr>
        <w:t>将绩效管理与预算管理挂钩，按要求将部门整体绩效自评情况向社会公开，根据绩效管理结果积极完善政策，改进管理，并及时向财政部门反馈结果。</w:t>
      </w:r>
    </w:p>
    <w:p w14:paraId="583629A9">
      <w:pPr>
        <w:widowControl/>
        <w:adjustRightInd w:val="0"/>
        <w:snapToGrid w:val="0"/>
        <w:spacing w:line="578" w:lineRule="exact"/>
        <w:ind w:firstLine="640" w:firstLineChars="200"/>
        <w:contextualSpacing/>
        <w:jc w:val="left"/>
        <w:rPr>
          <w:rFonts w:eastAsia="黑体"/>
          <w:color w:val="000000"/>
          <w:kern w:val="0"/>
          <w:sz w:val="32"/>
          <w:szCs w:val="32"/>
          <w:shd w:val="clear" w:color="auto" w:fill="FFFFFF"/>
        </w:rPr>
      </w:pPr>
      <w:r>
        <w:rPr>
          <w:rFonts w:eastAsia="黑体"/>
          <w:color w:val="000000"/>
          <w:kern w:val="0"/>
          <w:sz w:val="32"/>
          <w:szCs w:val="32"/>
          <w:shd w:val="clear" w:color="auto" w:fill="FFFFFF"/>
        </w:rPr>
        <w:t>四、评价结论及建议</w:t>
      </w:r>
    </w:p>
    <w:p w14:paraId="7B675352">
      <w:pPr>
        <w:widowControl/>
        <w:adjustRightInd w:val="0"/>
        <w:snapToGrid w:val="0"/>
        <w:spacing w:line="578" w:lineRule="exact"/>
        <w:ind w:firstLine="643" w:firstLineChars="200"/>
        <w:contextualSpacing/>
        <w:jc w:val="left"/>
        <w:rPr>
          <w:rFonts w:hint="default" w:eastAsia="仿宋_GB2312"/>
          <w:b/>
          <w:bCs/>
          <w:color w:val="000000"/>
          <w:kern w:val="0"/>
          <w:sz w:val="32"/>
          <w:szCs w:val="32"/>
          <w:shd w:val="clear" w:color="auto" w:fill="FFFFFF"/>
          <w:lang w:val="en-US" w:eastAsia="zh-CN"/>
        </w:rPr>
      </w:pPr>
      <w:r>
        <w:rPr>
          <w:rFonts w:eastAsia="楷体_GB2312"/>
          <w:b/>
          <w:bCs/>
          <w:color w:val="000000"/>
          <w:kern w:val="0"/>
          <w:sz w:val="32"/>
          <w:szCs w:val="32"/>
          <w:shd w:val="clear" w:color="auto" w:fill="FFFFFF"/>
          <w:lang w:val="zh-CN"/>
        </w:rPr>
        <w:t>（一）评价结论。</w:t>
      </w:r>
      <w:r>
        <w:rPr>
          <w:rFonts w:hint="eastAsia" w:eastAsia="仿宋_GB2312"/>
          <w:sz w:val="32"/>
          <w:szCs w:val="32"/>
          <w:lang w:eastAsia="zh-CN"/>
        </w:rPr>
        <w:t>市</w:t>
      </w:r>
      <w:r>
        <w:rPr>
          <w:rFonts w:hint="eastAsia" w:ascii="Times New Roman" w:hAnsi="Times New Roman" w:eastAsia="仿宋_GB2312" w:cs="Times New Roman"/>
          <w:color w:val="000000"/>
          <w:kern w:val="0"/>
          <w:sz w:val="32"/>
          <w:szCs w:val="32"/>
          <w:shd w:val="clear" w:color="auto" w:fill="FFFFFF"/>
          <w:lang w:val="zh-CN" w:eastAsia="zh-CN"/>
        </w:rPr>
        <w:t>少年宫</w:t>
      </w:r>
      <w:r>
        <w:rPr>
          <w:rFonts w:hint="eastAsia" w:ascii="仿宋_GB2312" w:hAnsi="仿宋_GB2312" w:eastAsia="仿宋_GB2312" w:cs="仿宋_GB2312"/>
          <w:sz w:val="32"/>
          <w:szCs w:val="32"/>
          <w:lang w:eastAsia="zh-CN"/>
        </w:rPr>
        <w:t>预算</w:t>
      </w:r>
      <w:r>
        <w:rPr>
          <w:rFonts w:hint="eastAsia" w:ascii="仿宋_GB2312" w:hAnsi="仿宋_GB2312" w:eastAsia="仿宋_GB2312" w:cs="仿宋_GB2312"/>
          <w:sz w:val="32"/>
          <w:szCs w:val="32"/>
        </w:rPr>
        <w:t>均在年度内</w:t>
      </w:r>
      <w:r>
        <w:rPr>
          <w:rFonts w:hint="eastAsia" w:ascii="仿宋_GB2312" w:hAnsi="仿宋_GB2312" w:eastAsia="仿宋_GB2312" w:cs="仿宋_GB2312"/>
          <w:sz w:val="32"/>
          <w:szCs w:val="32"/>
          <w:lang w:eastAsia="zh-CN"/>
        </w:rPr>
        <w:t>分阶段按计划顺利</w:t>
      </w:r>
      <w:r>
        <w:rPr>
          <w:rFonts w:hint="eastAsia" w:ascii="仿宋_GB2312" w:hAnsi="仿宋_GB2312" w:eastAsia="仿宋_GB2312" w:cs="仿宋_GB2312"/>
          <w:sz w:val="32"/>
          <w:szCs w:val="32"/>
        </w:rPr>
        <w:t>完成，为</w:t>
      </w:r>
      <w:r>
        <w:rPr>
          <w:rFonts w:hint="eastAsia" w:ascii="仿宋_GB2312" w:hAnsi="仿宋_GB2312" w:eastAsia="仿宋_GB2312" w:cs="仿宋_GB2312"/>
          <w:sz w:val="32"/>
          <w:szCs w:val="32"/>
          <w:lang w:eastAsia="zh-CN"/>
        </w:rPr>
        <w:t>全市青少年儿童提供艺术类非学科</w:t>
      </w:r>
      <w:r>
        <w:rPr>
          <w:rFonts w:hint="eastAsia" w:ascii="仿宋_GB2312" w:hAnsi="仿宋_GB2312" w:eastAsia="仿宋_GB2312" w:cs="仿宋_GB2312"/>
          <w:sz w:val="32"/>
          <w:szCs w:val="32"/>
        </w:rPr>
        <w:t>专业培训</w:t>
      </w:r>
      <w:r>
        <w:rPr>
          <w:rFonts w:hint="eastAsia" w:ascii="仿宋_GB2312" w:hAnsi="仿宋_GB2312" w:eastAsia="仿宋_GB2312" w:cs="仿宋_GB2312"/>
          <w:sz w:val="32"/>
          <w:szCs w:val="32"/>
          <w:lang w:eastAsia="zh-CN"/>
        </w:rPr>
        <w:t>以及开展公益类学生活动</w:t>
      </w:r>
      <w:r>
        <w:rPr>
          <w:rFonts w:hint="eastAsia" w:ascii="仿宋_GB2312" w:hAnsi="仿宋_GB2312" w:eastAsia="仿宋_GB2312" w:cs="仿宋_GB2312"/>
          <w:sz w:val="32"/>
          <w:szCs w:val="32"/>
        </w:rPr>
        <w:t>的提供了有力保障</w:t>
      </w:r>
      <w:r>
        <w:rPr>
          <w:rFonts w:hint="eastAsia" w:ascii="仿宋_GB2312" w:hAnsi="仿宋_GB2312" w:eastAsia="仿宋_GB2312" w:cs="仿宋_GB2312"/>
          <w:sz w:val="32"/>
          <w:szCs w:val="32"/>
          <w:lang w:eastAsia="zh-CN"/>
        </w:rPr>
        <w:t>，绩效</w:t>
      </w:r>
      <w:r>
        <w:rPr>
          <w:rFonts w:eastAsia="仿宋_GB2312"/>
          <w:kern w:val="0"/>
          <w:sz w:val="32"/>
          <w:szCs w:val="32"/>
        </w:rPr>
        <w:t>自评得分</w:t>
      </w:r>
      <w:r>
        <w:rPr>
          <w:rFonts w:hint="eastAsia" w:eastAsia="仿宋_GB2312"/>
          <w:kern w:val="0"/>
          <w:sz w:val="32"/>
          <w:szCs w:val="32"/>
          <w:lang w:val="en-US" w:eastAsia="zh-CN"/>
        </w:rPr>
        <w:t>98分。</w:t>
      </w:r>
    </w:p>
    <w:p w14:paraId="10246A46">
      <w:pPr>
        <w:widowControl/>
        <w:numPr>
          <w:ilvl w:val="0"/>
          <w:numId w:val="0"/>
        </w:numPr>
        <w:adjustRightInd w:val="0"/>
        <w:snapToGrid w:val="0"/>
        <w:spacing w:line="578" w:lineRule="exact"/>
        <w:ind w:firstLine="643" w:firstLineChars="200"/>
        <w:contextualSpacing/>
        <w:jc w:val="left"/>
        <w:rPr>
          <w:rFonts w:hint="eastAsia" w:eastAsia="仿宋_GB2312"/>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（二）存在问题。</w:t>
      </w:r>
      <w:r>
        <w:rPr>
          <w:rFonts w:hint="eastAsia" w:eastAsia="仿宋_GB2312"/>
          <w:sz w:val="32"/>
          <w:szCs w:val="32"/>
          <w:lang w:eastAsia="zh-CN"/>
        </w:rPr>
        <w:t>市</w:t>
      </w:r>
      <w:r>
        <w:rPr>
          <w:rFonts w:hint="eastAsia" w:ascii="Times New Roman" w:hAnsi="Times New Roman" w:eastAsia="仿宋_GB2312" w:cs="Times New Roman"/>
          <w:color w:val="000000"/>
          <w:kern w:val="0"/>
          <w:sz w:val="32"/>
          <w:szCs w:val="32"/>
          <w:shd w:val="clear" w:color="auto" w:fill="FFFFFF"/>
          <w:lang w:val="zh-CN" w:eastAsia="zh-CN"/>
        </w:rPr>
        <w:t>少年宫</w:t>
      </w:r>
      <w:r>
        <w:rPr>
          <w:rFonts w:hint="eastAsia" w:eastAsia="仿宋_GB2312"/>
          <w:color w:val="000000"/>
          <w:kern w:val="0"/>
          <w:sz w:val="32"/>
          <w:szCs w:val="32"/>
          <w:shd w:val="clear" w:color="auto" w:fill="FFFFFF"/>
          <w:lang w:val="zh-CN"/>
        </w:rPr>
        <w:t>在完善考核激励机制、强化考核结果运行方面还有提升空间，绩效管理考核是衡量我部门工作完成情况的主要形式，为体现考核的权威性，就必须强化考核结果运用，完善考核激励机制。</w:t>
      </w:r>
    </w:p>
    <w:p w14:paraId="35932E0D">
      <w:pPr>
        <w:widowControl/>
        <w:numPr>
          <w:ilvl w:val="0"/>
          <w:numId w:val="0"/>
        </w:numPr>
        <w:adjustRightInd w:val="0"/>
        <w:snapToGrid w:val="0"/>
        <w:spacing w:line="578" w:lineRule="exact"/>
        <w:ind w:firstLine="643" w:firstLineChars="200"/>
        <w:contextualSpacing/>
        <w:jc w:val="left"/>
        <w:rPr>
          <w:rFonts w:hint="eastAsia" w:eastAsia="仿宋_GB2312"/>
          <w:color w:val="000000"/>
          <w:kern w:val="0"/>
          <w:sz w:val="32"/>
          <w:szCs w:val="32"/>
          <w:shd w:val="clear" w:color="auto" w:fill="FFFFFF"/>
          <w:lang w:val="en-US" w:eastAsia="zh-CN"/>
        </w:rPr>
      </w:pPr>
      <w:r>
        <w:rPr>
          <w:rFonts w:hint="eastAsia" w:eastAsia="楷体_GB2312"/>
          <w:b/>
          <w:bCs/>
          <w:color w:val="000000"/>
          <w:kern w:val="0"/>
          <w:sz w:val="32"/>
          <w:szCs w:val="32"/>
          <w:shd w:val="clear" w:color="auto" w:fill="FFFFFF"/>
          <w:lang w:val="zh-CN"/>
        </w:rPr>
        <w:t>（</w:t>
      </w:r>
      <w:r>
        <w:rPr>
          <w:rFonts w:ascii="Times New Roman" w:hAnsi="Times New Roman" w:eastAsia="楷体_GB2312" w:cs="Times New Roman"/>
          <w:b/>
          <w:bCs/>
          <w:color w:val="000000"/>
          <w:kern w:val="0"/>
          <w:sz w:val="32"/>
          <w:szCs w:val="32"/>
          <w:shd w:val="clear" w:color="auto" w:fill="FFFFFF"/>
          <w:lang w:val="zh-CN"/>
        </w:rPr>
        <w:t>三）改进建议。</w:t>
      </w:r>
      <w:r>
        <w:rPr>
          <w:rFonts w:hint="eastAsia" w:eastAsia="仿宋_GB2312"/>
          <w:sz w:val="32"/>
          <w:szCs w:val="32"/>
          <w:lang w:eastAsia="zh-CN"/>
        </w:rPr>
        <w:t>市</w:t>
      </w:r>
      <w:r>
        <w:rPr>
          <w:rFonts w:hint="eastAsia" w:ascii="Times New Roman" w:hAnsi="Times New Roman" w:eastAsia="仿宋_GB2312" w:cs="Times New Roman"/>
          <w:color w:val="000000"/>
          <w:kern w:val="0"/>
          <w:sz w:val="32"/>
          <w:szCs w:val="32"/>
          <w:shd w:val="clear" w:color="auto" w:fill="FFFFFF"/>
          <w:lang w:val="zh-CN" w:eastAsia="zh-CN"/>
        </w:rPr>
        <w:t>少年宫</w:t>
      </w:r>
      <w:r>
        <w:rPr>
          <w:rFonts w:hint="eastAsia" w:eastAsia="仿宋_GB2312"/>
          <w:color w:val="000000"/>
          <w:kern w:val="0"/>
          <w:sz w:val="32"/>
          <w:szCs w:val="32"/>
          <w:shd w:val="clear" w:color="auto" w:fill="FFFFFF"/>
          <w:lang w:val="en-US" w:eastAsia="zh-CN"/>
        </w:rPr>
        <w:t>在今后的绩效管理工作中，通过考核激励，充分调动全体工作人员工作积极性，强化考核结果分析，找出问题，究其原因，并针对问题开展专题调研，寻求解决问题的方法和途径，推动工作的全面发展。</w:t>
      </w:r>
    </w:p>
    <w:p w14:paraId="6A8C8C35">
      <w:pPr>
        <w:widowControl/>
        <w:numPr>
          <w:ilvl w:val="0"/>
          <w:numId w:val="0"/>
        </w:numPr>
        <w:adjustRightInd w:val="0"/>
        <w:snapToGrid w:val="0"/>
        <w:spacing w:line="578" w:lineRule="exact"/>
        <w:ind w:firstLine="640" w:firstLineChars="200"/>
        <w:contextualSpacing/>
        <w:jc w:val="left"/>
        <w:rPr>
          <w:rFonts w:hint="eastAsia" w:eastAsia="仿宋_GB2312"/>
          <w:color w:val="000000"/>
          <w:kern w:val="0"/>
          <w:sz w:val="32"/>
          <w:szCs w:val="32"/>
          <w:shd w:val="clear" w:color="auto" w:fill="FFFFFF"/>
          <w:lang w:val="zh-CN"/>
        </w:rPr>
      </w:pPr>
    </w:p>
    <w:p w14:paraId="0F965D89">
      <w:pPr>
        <w:widowControl/>
        <w:numPr>
          <w:ilvl w:val="0"/>
          <w:numId w:val="0"/>
        </w:numPr>
        <w:adjustRightInd w:val="0"/>
        <w:snapToGrid w:val="0"/>
        <w:spacing w:line="578" w:lineRule="exact"/>
        <w:ind w:firstLine="640" w:firstLineChars="200"/>
        <w:contextualSpacing/>
        <w:jc w:val="left"/>
        <w:rPr>
          <w:rFonts w:hint="eastAsia" w:eastAsia="仿宋_GB2312"/>
          <w:color w:val="000000"/>
          <w:kern w:val="0"/>
          <w:sz w:val="32"/>
          <w:szCs w:val="32"/>
          <w:shd w:val="clear" w:color="auto" w:fill="FFFFFF"/>
          <w:lang w:val="zh-CN"/>
        </w:rPr>
      </w:pPr>
    </w:p>
    <w:p w14:paraId="4ACD7171">
      <w:pPr>
        <w:widowControl/>
        <w:numPr>
          <w:ilvl w:val="0"/>
          <w:numId w:val="0"/>
        </w:numPr>
        <w:adjustRightInd w:val="0"/>
        <w:snapToGrid w:val="0"/>
        <w:spacing w:line="578" w:lineRule="exact"/>
        <w:ind w:firstLine="640" w:firstLineChars="200"/>
        <w:contextualSpacing/>
        <w:jc w:val="left"/>
        <w:rPr>
          <w:rFonts w:hint="eastAsia" w:eastAsia="仿宋_GB2312"/>
          <w:color w:val="000000"/>
          <w:kern w:val="0"/>
          <w:sz w:val="32"/>
          <w:szCs w:val="32"/>
          <w:shd w:val="clear" w:color="auto" w:fill="FFFFFF"/>
          <w:lang w:val="zh-CN"/>
        </w:rPr>
      </w:pPr>
    </w:p>
    <w:p w14:paraId="564BD83D">
      <w:pPr>
        <w:spacing w:line="572" w:lineRule="exact"/>
        <w:jc w:val="left"/>
        <w:outlineLvl w:val="0"/>
        <w:rPr>
          <w:rFonts w:hint="default" w:eastAsia="黑体" w:cs="黑体"/>
          <w:color w:val="000000" w:themeColor="text1"/>
          <w:sz w:val="32"/>
          <w:szCs w:val="32"/>
          <w:lang w:val="en-US" w:eastAsia="zh-CN"/>
          <w14:textFill>
            <w14:solidFill>
              <w14:schemeClr w14:val="tx1"/>
            </w14:solidFill>
          </w14:textFill>
        </w:rPr>
      </w:pPr>
      <w:r>
        <w:rPr>
          <w:rFonts w:hint="eastAsia" w:eastAsia="黑体" w:cs="黑体"/>
          <w:color w:val="000000" w:themeColor="text1"/>
          <w:sz w:val="32"/>
          <w:szCs w:val="32"/>
          <w:lang w:eastAsia="zh-CN"/>
          <w14:textFill>
            <w14:solidFill>
              <w14:schemeClr w14:val="tx1"/>
            </w14:solidFill>
          </w14:textFill>
        </w:rPr>
        <w:t>附件</w:t>
      </w:r>
      <w:r>
        <w:rPr>
          <w:rFonts w:hint="eastAsia" w:eastAsia="黑体" w:cs="黑体"/>
          <w:color w:val="000000" w:themeColor="text1"/>
          <w:sz w:val="32"/>
          <w:szCs w:val="32"/>
          <w:lang w:val="en-US" w:eastAsia="zh-CN"/>
          <w14:textFill>
            <w14:solidFill>
              <w14:schemeClr w14:val="tx1"/>
            </w14:solidFill>
          </w14:textFill>
        </w:rPr>
        <w:t>2</w:t>
      </w:r>
    </w:p>
    <w:tbl>
      <w:tblPr>
        <w:tblStyle w:val="16"/>
        <w:tblpPr w:leftFromText="180" w:rightFromText="180" w:vertAnchor="text" w:horzAnchor="page" w:tblpX="2368" w:tblpY="83"/>
        <w:tblOverlap w:val="never"/>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4"/>
        <w:gridCol w:w="647"/>
        <w:gridCol w:w="837"/>
        <w:gridCol w:w="1185"/>
        <w:gridCol w:w="437"/>
        <w:gridCol w:w="784"/>
        <w:gridCol w:w="437"/>
        <w:gridCol w:w="1192"/>
        <w:gridCol w:w="490"/>
        <w:gridCol w:w="442"/>
        <w:gridCol w:w="1437"/>
      </w:tblGrid>
      <w:tr w14:paraId="4D39C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jc w:val="center"/>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97B2652">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79F2F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09457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2C1145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51040025T000012905208-市少年宫办学成本性支出</w:t>
            </w:r>
          </w:p>
        </w:tc>
      </w:tr>
      <w:tr w14:paraId="00CF1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jc w:val="center"/>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E754E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685DD7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攀枝花市少年宫部门</w:t>
            </w:r>
          </w:p>
        </w:tc>
        <w:tc>
          <w:tcPr>
            <w:tcW w:w="0" w:type="auto"/>
            <w:tcBorders>
              <w:top w:val="nil"/>
              <w:left w:val="nil"/>
              <w:bottom w:val="nil"/>
              <w:right w:val="nil"/>
            </w:tcBorders>
            <w:shd w:val="clear" w:color="auto" w:fill="auto"/>
            <w:vAlign w:val="center"/>
          </w:tcPr>
          <w:p w14:paraId="57321971">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5A2A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攀枝花市少年宫</w:t>
            </w:r>
          </w:p>
        </w:tc>
      </w:tr>
      <w:tr w14:paraId="7CAE3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ED3CD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715DF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0C206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56E40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年度目标完成情况</w:t>
            </w:r>
          </w:p>
        </w:tc>
      </w:tr>
      <w:tr w14:paraId="19523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D11F61">
            <w:pP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CAA155">
            <w:pP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D0C0A5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秉承“公益办中心，服务青少年”为宗旨，牢牢把握青少年社会教育这一工作主线，推动校外教育阵地建设大发展，夯实培训和活动两个根本，突出公益性、服务性和体验性三大特点，立足本宫，通过丰富多彩的主题教育兴趣培养等途径，面向全市青少年宫儿童开展各类校外艺术培训活动。</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4C7EE2F">
            <w:pPr>
              <w:keepNext w:val="0"/>
              <w:keepLines w:val="0"/>
              <w:widowControl/>
              <w:suppressLineNumbers w:val="0"/>
              <w:jc w:val="center"/>
              <w:textAlignment w:val="center"/>
              <w:rPr>
                <w:rFonts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市少年宫在市委、市政府的关怀领导下，在团市委的大力支持下，切实提升校外教育工作实绩。引导广大少年儿童从小听党话、跟党走，团结、教育和引领青少年儿童努力成为堪当民族复兴重任的时代新人</w:t>
            </w:r>
          </w:p>
        </w:tc>
      </w:tr>
      <w:tr w14:paraId="6062C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7DC9BA">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C0EA5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EE2AD7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全年开设美术、书法、声乐、语言艺术、拉丁舞、中国舞、篮球、乒乓球、机器人编程、围棋、象棋等非学科类项目，共4622人次青少年儿童参与兴趣培训。</w:t>
            </w:r>
          </w:p>
        </w:tc>
      </w:tr>
      <w:tr w14:paraId="61E31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DA7A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BBC1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8C3E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23C2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A969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D0DB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887C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38EB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CAA4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7409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E1690B">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B7B0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9EBB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F528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161.33</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2C51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161.33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00A7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8857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5AAD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74E975">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0DC3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F3A730">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5C3E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AFD9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68E3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161.33</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850A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161.33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FD9C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8A51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3EA5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52002B">
            <w:pPr>
              <w:rPr>
                <w:rFonts w:hint="default" w:ascii="黑体" w:hAnsi="黑体" w:eastAsia="黑体" w:cs="黑体"/>
                <w:i w:val="0"/>
                <w:iCs w:val="0"/>
                <w:color w:val="000000"/>
                <w:sz w:val="18"/>
                <w:szCs w:val="18"/>
                <w:u w:val="none"/>
              </w:rPr>
            </w:pPr>
          </w:p>
        </w:tc>
      </w:tr>
      <w:tr w14:paraId="5523C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AB1EB6">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C2EF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E6DE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C217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37E3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F94F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620A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5B26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DD9822">
            <w:pPr>
              <w:rPr>
                <w:rFonts w:hint="default" w:ascii="黑体" w:hAnsi="黑体" w:eastAsia="黑体" w:cs="黑体"/>
                <w:i w:val="0"/>
                <w:iCs w:val="0"/>
                <w:color w:val="000000"/>
                <w:sz w:val="18"/>
                <w:szCs w:val="18"/>
                <w:u w:val="none"/>
              </w:rPr>
            </w:pPr>
          </w:p>
        </w:tc>
      </w:tr>
      <w:tr w14:paraId="3D92C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54B49C">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0CA5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8F59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0021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8767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671E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7F1B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E647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F51399">
            <w:pPr>
              <w:rPr>
                <w:rFonts w:hint="default" w:ascii="黑体" w:hAnsi="黑体" w:eastAsia="黑体" w:cs="黑体"/>
                <w:i w:val="0"/>
                <w:iCs w:val="0"/>
                <w:color w:val="000000"/>
                <w:sz w:val="18"/>
                <w:szCs w:val="18"/>
                <w:u w:val="none"/>
              </w:rPr>
            </w:pPr>
          </w:p>
        </w:tc>
      </w:tr>
      <w:tr w14:paraId="3C6A9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625E5C">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028B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CBD3EC">
            <w:pPr>
              <w:jc w:val="center"/>
              <w:rPr>
                <w:rFonts w:hint="default"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3C7D2E">
            <w:pPr>
              <w:jc w:val="center"/>
              <w:rPr>
                <w:rFonts w:hint="default" w:ascii="微软雅黑" w:hAnsi="微软雅黑" w:eastAsia="微软雅黑" w:cs="微软雅黑"/>
                <w:i/>
                <w:iCs/>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CAA309">
            <w:pPr>
              <w:jc w:val="center"/>
              <w:rPr>
                <w:rFonts w:hint="default"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12C5AF">
            <w:pPr>
              <w:jc w:val="center"/>
              <w:rPr>
                <w:rFonts w:hint="default"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D19D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F4DD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124FD5">
            <w:pPr>
              <w:rPr>
                <w:rFonts w:hint="default" w:ascii="黑体" w:hAnsi="黑体" w:eastAsia="黑体" w:cs="黑体"/>
                <w:i w:val="0"/>
                <w:iCs w:val="0"/>
                <w:color w:val="000000"/>
                <w:sz w:val="18"/>
                <w:szCs w:val="18"/>
                <w:u w:val="none"/>
              </w:rPr>
            </w:pPr>
          </w:p>
        </w:tc>
      </w:tr>
      <w:tr w14:paraId="14173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FE49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71FC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75B0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36C6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EE4B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FC02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352A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F873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A619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2798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5DE8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C100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722D67">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E0A9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B0DA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10BF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全年计划培训学员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9B47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77C1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D719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8CE9C8">
            <w:pPr>
              <w:keepNext w:val="0"/>
              <w:keepLines w:val="0"/>
              <w:widowControl/>
              <w:suppressLineNumbers w:val="0"/>
              <w:jc w:val="center"/>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4622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9280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0" w:type="auto"/>
            <w:tcBorders>
              <w:top w:val="nil"/>
              <w:left w:val="nil"/>
              <w:bottom w:val="nil"/>
              <w:right w:val="nil"/>
            </w:tcBorders>
            <w:shd w:val="clear" w:color="auto" w:fill="auto"/>
            <w:noWrap/>
            <w:vAlign w:val="center"/>
          </w:tcPr>
          <w:p w14:paraId="66BB6A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9AE692">
            <w:pPr>
              <w:jc w:val="center"/>
              <w:rPr>
                <w:rFonts w:hint="default" w:ascii="微软雅黑" w:hAnsi="微软雅黑" w:eastAsia="微软雅黑" w:cs="微软雅黑"/>
                <w:i/>
                <w:iCs/>
                <w:color w:val="000000"/>
                <w:sz w:val="16"/>
                <w:szCs w:val="16"/>
                <w:u w:val="none"/>
              </w:rPr>
            </w:pPr>
          </w:p>
        </w:tc>
      </w:tr>
      <w:tr w14:paraId="26E61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EF8AC7">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DD9340">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3C4B41">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E5A6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开展公益类学生活动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C997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98D4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D450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场次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B3F868">
            <w:pPr>
              <w:keepNext w:val="0"/>
              <w:keepLines w:val="0"/>
              <w:widowControl/>
              <w:suppressLineNumbers w:val="0"/>
              <w:jc w:val="center"/>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54C7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B8DB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1357B2">
            <w:pPr>
              <w:jc w:val="center"/>
              <w:rPr>
                <w:rFonts w:hint="default" w:ascii="微软雅黑" w:hAnsi="微软雅黑" w:eastAsia="微软雅黑" w:cs="微软雅黑"/>
                <w:i/>
                <w:iCs/>
                <w:color w:val="000000"/>
                <w:sz w:val="16"/>
                <w:szCs w:val="16"/>
                <w:u w:val="none"/>
              </w:rPr>
            </w:pPr>
          </w:p>
        </w:tc>
      </w:tr>
      <w:tr w14:paraId="321002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B8D390">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97D8C9">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B1C3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73AF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艺术类校外培训完成率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3DB5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5C9A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扎实开展艺术类学员培训工作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7D478E">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9615B7">
            <w:pPr>
              <w:keepNext w:val="0"/>
              <w:keepLines w:val="0"/>
              <w:widowControl/>
              <w:suppressLineNumbers w:val="0"/>
              <w:jc w:val="center"/>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通过丰富多彩的主题教育兴趣培养等途径，面向全市青少年宫儿童开展各类校外艺术培训活动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038A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4189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E581A4">
            <w:pPr>
              <w:jc w:val="center"/>
              <w:rPr>
                <w:rFonts w:hint="default" w:ascii="微软雅黑" w:hAnsi="微软雅黑" w:eastAsia="微软雅黑" w:cs="微软雅黑"/>
                <w:i/>
                <w:iCs/>
                <w:color w:val="000000"/>
                <w:sz w:val="16"/>
                <w:szCs w:val="16"/>
                <w:u w:val="none"/>
              </w:rPr>
            </w:pPr>
          </w:p>
        </w:tc>
      </w:tr>
      <w:tr w14:paraId="571BC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12ED5F">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4C84A4">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0A03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BC30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完成及时率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ED6A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6DCA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开展寒假、春季、暑假、秋季培训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5D63C6">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82AC4E">
            <w:pPr>
              <w:keepNext w:val="0"/>
              <w:keepLines w:val="0"/>
              <w:widowControl/>
              <w:suppressLineNumbers w:val="0"/>
              <w:jc w:val="center"/>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全年开设美术、书法、声乐、语言艺术、拉丁舞、中国舞、篮球、乒乓球、机器人编程、围棋、象棋、武术散打等非学科类项目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019F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01F2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9F7262">
            <w:pPr>
              <w:jc w:val="center"/>
              <w:rPr>
                <w:rFonts w:hint="default" w:ascii="微软雅黑" w:hAnsi="微软雅黑" w:eastAsia="微软雅黑" w:cs="微软雅黑"/>
                <w:i/>
                <w:iCs/>
                <w:color w:val="000000"/>
                <w:sz w:val="16"/>
                <w:szCs w:val="16"/>
                <w:u w:val="none"/>
              </w:rPr>
            </w:pPr>
          </w:p>
        </w:tc>
      </w:tr>
      <w:tr w14:paraId="501C6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DEC7B4">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EEF5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97A0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3D97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实现上缴非税收入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CABA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E0B6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625E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5A49B7">
            <w:pPr>
              <w:keepNext w:val="0"/>
              <w:keepLines w:val="0"/>
              <w:widowControl/>
              <w:suppressLineNumbers w:val="0"/>
              <w:jc w:val="center"/>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333.98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6E72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2F41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76B6E8">
            <w:pPr>
              <w:keepNext w:val="0"/>
              <w:keepLines w:val="0"/>
              <w:widowControl/>
              <w:suppressLineNumbers w:val="0"/>
              <w:jc w:val="center"/>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受市场环境影响，培训人数较往年有所下降</w:t>
            </w:r>
          </w:p>
        </w:tc>
      </w:tr>
      <w:tr w14:paraId="7EC8B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6FA2D2">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3F5201">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9927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2206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通过丰富多彩的主题教育兴趣培养等途径，面向全市青少年宫儿童开展各类校外艺术培训活动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0E00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33A4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发挥实践育人作用，搭建校外教育活动平台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923839">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3147CA">
            <w:pPr>
              <w:keepNext w:val="0"/>
              <w:keepLines w:val="0"/>
              <w:widowControl/>
              <w:suppressLineNumbers w:val="0"/>
              <w:jc w:val="center"/>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市少年宫发挥青少年儿童校外教育专业的特色，突出活动实践教育，结合少年宫各类活动的特点和优势发挥少先队组织的实践育人作用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038A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A1BF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2BD2D4">
            <w:pPr>
              <w:jc w:val="center"/>
              <w:rPr>
                <w:rFonts w:hint="default" w:ascii="微软雅黑" w:hAnsi="微软雅黑" w:eastAsia="微软雅黑" w:cs="微软雅黑"/>
                <w:i/>
                <w:iCs/>
                <w:color w:val="000000"/>
                <w:sz w:val="16"/>
                <w:szCs w:val="16"/>
                <w:u w:val="none"/>
              </w:rPr>
            </w:pPr>
          </w:p>
        </w:tc>
      </w:tr>
      <w:tr w14:paraId="25158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48814B">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6551F1">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9045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生态效益指标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432E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生态效益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B81F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7E92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发挥实践育人作用，搭建校外教育活动平台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2E9B48">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6DE69D">
            <w:pPr>
              <w:keepNext w:val="0"/>
              <w:keepLines w:val="0"/>
              <w:widowControl/>
              <w:suppressLineNumbers w:val="0"/>
              <w:jc w:val="center"/>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建宫40年以来持续开展校外艺术培训活动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611A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3EE3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4E8138">
            <w:pPr>
              <w:jc w:val="center"/>
              <w:rPr>
                <w:rFonts w:hint="default" w:ascii="微软雅黑" w:hAnsi="微软雅黑" w:eastAsia="微软雅黑" w:cs="微软雅黑"/>
                <w:i/>
                <w:iCs/>
                <w:color w:val="000000"/>
                <w:sz w:val="16"/>
                <w:szCs w:val="16"/>
                <w:u w:val="none"/>
              </w:rPr>
            </w:pPr>
          </w:p>
        </w:tc>
      </w:tr>
      <w:tr w14:paraId="0BCE9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CB0012">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DD6F30">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6A12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4480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202B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B6D5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面向全市青少年开展培训活动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D2A973">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3DF5E9">
            <w:pPr>
              <w:keepNext w:val="0"/>
              <w:keepLines w:val="0"/>
              <w:widowControl/>
              <w:suppressLineNumbers w:val="0"/>
              <w:jc w:val="center"/>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面向全市青少年开展培训活动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BEDA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AF4B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3EA2D5">
            <w:pPr>
              <w:jc w:val="center"/>
              <w:rPr>
                <w:rFonts w:hint="default" w:ascii="微软雅黑" w:hAnsi="微软雅黑" w:eastAsia="微软雅黑" w:cs="微软雅黑"/>
                <w:i/>
                <w:iCs/>
                <w:color w:val="000000"/>
                <w:sz w:val="16"/>
                <w:szCs w:val="16"/>
                <w:u w:val="none"/>
              </w:rPr>
            </w:pPr>
          </w:p>
        </w:tc>
      </w:tr>
      <w:tr w14:paraId="799A2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3D7E8B">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4631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EBAD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C438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社会公众或服务对象满意度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F541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6AE0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得到学生及家长信任，满意度良好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527F9C">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AE4A82">
            <w:pPr>
              <w:keepNext w:val="0"/>
              <w:keepLines w:val="0"/>
              <w:widowControl/>
              <w:suppressLineNumbers w:val="0"/>
              <w:jc w:val="center"/>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深受家长和小朋友的喜爱</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A250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A799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A9C700">
            <w:pPr>
              <w:jc w:val="center"/>
              <w:rPr>
                <w:rFonts w:hint="default" w:ascii="微软雅黑" w:hAnsi="微软雅黑" w:eastAsia="微软雅黑" w:cs="微软雅黑"/>
                <w:i/>
                <w:iCs/>
                <w:color w:val="000000"/>
                <w:sz w:val="16"/>
                <w:szCs w:val="16"/>
                <w:u w:val="none"/>
              </w:rPr>
            </w:pPr>
          </w:p>
        </w:tc>
      </w:tr>
      <w:tr w14:paraId="71497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57D309">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38C0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8FDB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413D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成本节约率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F569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856B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计划成本300万元，实际成本控制在280万元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90B114">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FDF588">
            <w:pPr>
              <w:keepNext w:val="0"/>
              <w:keepLines w:val="0"/>
              <w:widowControl/>
              <w:suppressLineNumbers w:val="0"/>
              <w:jc w:val="center"/>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计划成本280万元，实际成本161.33万元，成本节约率42.38%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695B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D0E0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D7A1FE">
            <w:pPr>
              <w:jc w:val="center"/>
              <w:rPr>
                <w:rFonts w:hint="default" w:ascii="微软雅黑" w:hAnsi="微软雅黑" w:eastAsia="微软雅黑" w:cs="微软雅黑"/>
                <w:i/>
                <w:iCs/>
                <w:color w:val="000000"/>
                <w:sz w:val="16"/>
                <w:szCs w:val="16"/>
                <w:u w:val="none"/>
              </w:rPr>
            </w:pPr>
          </w:p>
        </w:tc>
      </w:tr>
      <w:tr w14:paraId="1DF66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A8B3C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C98B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C411C4">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107694">
            <w:pPr>
              <w:rPr>
                <w:rFonts w:hint="eastAsia" w:ascii="宋体" w:hAnsi="宋体" w:eastAsia="宋体" w:cs="宋体"/>
                <w:i w:val="0"/>
                <w:iCs w:val="0"/>
                <w:color w:val="000000"/>
                <w:sz w:val="18"/>
                <w:szCs w:val="18"/>
                <w:u w:val="none"/>
              </w:rPr>
            </w:pPr>
          </w:p>
        </w:tc>
      </w:tr>
      <w:tr w14:paraId="106C0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9FC1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BDBE06B">
            <w:pPr>
              <w:keepNext w:val="0"/>
              <w:keepLines w:val="0"/>
              <w:widowControl/>
              <w:suppressLineNumbers w:val="0"/>
              <w:jc w:val="left"/>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2025市少年宫在上级部门的领导下，认真贯彻落实市委、市政府以及团市委的决策部署，以全面推进攀枝花市青少年儿童校外教育为主线，坚持公益性原则，拓宽工作思路，扎扎实实开展了各项工作。市少年宫继续坚持春、秋和</w:t>
            </w:r>
            <w:r>
              <w:rPr>
                <w:rFonts w:hint="eastAsia" w:ascii="微软雅黑" w:hAnsi="微软雅黑" w:eastAsia="微软雅黑" w:cs="微软雅黑"/>
                <w:i w:val="0"/>
                <w:iCs w:val="0"/>
                <w:color w:val="000000"/>
                <w:kern w:val="0"/>
                <w:sz w:val="16"/>
                <w:szCs w:val="16"/>
                <w:u w:val="none"/>
                <w:lang w:val="en-US" w:eastAsia="zh-CN" w:bidi="ar"/>
              </w:rPr>
              <w:t>寒</w:t>
            </w:r>
            <w:bookmarkStart w:id="68" w:name="_GoBack"/>
            <w:bookmarkEnd w:id="68"/>
            <w:r>
              <w:rPr>
                <w:rFonts w:hint="default" w:ascii="微软雅黑" w:hAnsi="微软雅黑" w:eastAsia="微软雅黑" w:cs="微软雅黑"/>
                <w:i w:val="0"/>
                <w:iCs w:val="0"/>
                <w:color w:val="000000"/>
                <w:kern w:val="0"/>
                <w:sz w:val="16"/>
                <w:szCs w:val="16"/>
                <w:u w:val="none"/>
                <w:lang w:val="en-US" w:eastAsia="zh-CN" w:bidi="ar"/>
              </w:rPr>
              <w:t>暑假开展培训工作，开设了科、艺、体三大类课程，分别是：美术、书法、舞蹈、器乐、声乐、语言、跆拳道、国韵诵读、幼少儿编程、中国象棋、围棋、国际象棋、乒乓球、武术、模特等20余个专业特色培训课程，深受家长和小朋友的喜爱，年培训学员达4622人次，圆满完成全年项目任务。</w:t>
            </w:r>
          </w:p>
        </w:tc>
      </w:tr>
      <w:tr w14:paraId="1152C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789D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31F5387">
            <w:pPr>
              <w:keepNext w:val="0"/>
              <w:keepLines w:val="0"/>
              <w:widowControl/>
              <w:suppressLineNumbers w:val="0"/>
              <w:jc w:val="left"/>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在项目实施过程中确实存在阻碍，主要表现在市少年宫项目资金严重不足，无法</w:t>
            </w:r>
            <w:r>
              <w:rPr>
                <w:rFonts w:hint="eastAsia" w:ascii="微软雅黑" w:hAnsi="微软雅黑" w:eastAsia="微软雅黑" w:cs="微软雅黑"/>
                <w:i w:val="0"/>
                <w:iCs w:val="0"/>
                <w:color w:val="000000"/>
                <w:kern w:val="0"/>
                <w:sz w:val="16"/>
                <w:szCs w:val="16"/>
                <w:u w:val="none"/>
                <w:lang w:val="en-US" w:eastAsia="zh-CN" w:bidi="ar"/>
              </w:rPr>
              <w:t>彻底</w:t>
            </w:r>
            <w:r>
              <w:rPr>
                <w:rFonts w:hint="default" w:ascii="微软雅黑" w:hAnsi="微软雅黑" w:eastAsia="微软雅黑" w:cs="微软雅黑"/>
                <w:i w:val="0"/>
                <w:iCs w:val="0"/>
                <w:color w:val="000000"/>
                <w:kern w:val="0"/>
                <w:sz w:val="16"/>
                <w:szCs w:val="16"/>
                <w:u w:val="none"/>
                <w:lang w:val="en-US" w:eastAsia="zh-CN" w:bidi="ar"/>
              </w:rPr>
              <w:t>解决安全隐患，交通安全隐患日渐突出，教学楼安全通道狭窄，学生家长进出高峰期间</w:t>
            </w:r>
            <w:r>
              <w:rPr>
                <w:rFonts w:hint="eastAsia" w:ascii="微软雅黑" w:hAnsi="微软雅黑" w:eastAsia="微软雅黑" w:cs="微软雅黑"/>
                <w:i w:val="0"/>
                <w:iCs w:val="0"/>
                <w:color w:val="000000"/>
                <w:kern w:val="0"/>
                <w:sz w:val="16"/>
                <w:szCs w:val="16"/>
                <w:u w:val="none"/>
                <w:lang w:val="en-US" w:eastAsia="zh-CN" w:bidi="ar"/>
              </w:rPr>
              <w:t>易发生</w:t>
            </w:r>
            <w:r>
              <w:rPr>
                <w:rFonts w:hint="default" w:ascii="微软雅黑" w:hAnsi="微软雅黑" w:eastAsia="微软雅黑" w:cs="微软雅黑"/>
                <w:i w:val="0"/>
                <w:iCs w:val="0"/>
                <w:color w:val="000000"/>
                <w:kern w:val="0"/>
                <w:sz w:val="16"/>
                <w:szCs w:val="16"/>
                <w:u w:val="none"/>
                <w:lang w:val="en-US" w:eastAsia="zh-CN" w:bidi="ar"/>
              </w:rPr>
              <w:t>踩踏</w:t>
            </w:r>
            <w:r>
              <w:rPr>
                <w:rFonts w:hint="eastAsia" w:ascii="微软雅黑" w:hAnsi="微软雅黑" w:eastAsia="微软雅黑" w:cs="微软雅黑"/>
                <w:i w:val="0"/>
                <w:iCs w:val="0"/>
                <w:color w:val="000000"/>
                <w:kern w:val="0"/>
                <w:sz w:val="16"/>
                <w:szCs w:val="16"/>
                <w:u w:val="none"/>
                <w:lang w:val="en-US" w:eastAsia="zh-CN" w:bidi="ar"/>
              </w:rPr>
              <w:t>事故</w:t>
            </w:r>
            <w:r>
              <w:rPr>
                <w:rFonts w:hint="default" w:ascii="微软雅黑" w:hAnsi="微软雅黑" w:eastAsia="微软雅黑" w:cs="微软雅黑"/>
                <w:i w:val="0"/>
                <w:iCs w:val="0"/>
                <w:color w:val="000000"/>
                <w:kern w:val="0"/>
                <w:sz w:val="16"/>
                <w:szCs w:val="16"/>
                <w:u w:val="none"/>
                <w:lang w:val="en-US" w:eastAsia="zh-CN" w:bidi="ar"/>
              </w:rPr>
              <w:t>。日常培训活动产生的零星维修及办公用品等经费不足，对公益性学生活动的开展造成了阻碍。</w:t>
            </w:r>
          </w:p>
        </w:tc>
      </w:tr>
      <w:tr w14:paraId="73179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29DE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F642AEE">
            <w:pPr>
              <w:keepNext w:val="0"/>
              <w:keepLines w:val="0"/>
              <w:widowControl/>
              <w:suppressLineNumbers w:val="0"/>
              <w:jc w:val="left"/>
              <w:textAlignment w:val="center"/>
              <w:rPr>
                <w:rFonts w:hint="default" w:ascii="微软雅黑" w:hAnsi="微软雅黑" w:eastAsia="微软雅黑" w:cs="微软雅黑"/>
                <w:i w:val="0"/>
                <w:iCs w:val="0"/>
                <w:color w:val="000000"/>
                <w:sz w:val="16"/>
                <w:szCs w:val="16"/>
                <w:u w:val="none"/>
              </w:rPr>
            </w:pPr>
            <w:r>
              <w:rPr>
                <w:rFonts w:hint="default" w:ascii="微软雅黑" w:hAnsi="微软雅黑" w:eastAsia="微软雅黑" w:cs="微软雅黑"/>
                <w:i w:val="0"/>
                <w:iCs w:val="0"/>
                <w:color w:val="000000"/>
                <w:kern w:val="0"/>
                <w:sz w:val="16"/>
                <w:szCs w:val="16"/>
                <w:u w:val="none"/>
                <w:lang w:val="en-US" w:eastAsia="zh-CN" w:bidi="ar"/>
              </w:rPr>
              <w:t>在今后的绩效管理工作中，通过考核激励，充分调动全体工作人员工作积极性，强化考核结果分析，找出问题，究其原因，并针对问题开展专题调研，寻求解决问题的方法和途径，推动工作的全面发展。</w:t>
            </w:r>
          </w:p>
        </w:tc>
      </w:tr>
      <w:tr w14:paraId="19EB3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393B053">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项目负责人：杨书通</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A1E5064">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财务负责人：胡瑶</w:t>
            </w:r>
          </w:p>
        </w:tc>
      </w:tr>
    </w:tbl>
    <w:p w14:paraId="344F05AF">
      <w:pPr>
        <w:pStyle w:val="7"/>
        <w:spacing w:line="560" w:lineRule="exact"/>
        <w:ind w:left="0" w:leftChars="0" w:firstLine="0" w:firstLineChars="0"/>
        <w:rPr>
          <w:rFonts w:ascii="Times New Roman"/>
          <w:sz w:val="32"/>
          <w:highlight w:val="yellow"/>
          <w:lang w:val="zh-CN"/>
        </w:rPr>
      </w:pPr>
    </w:p>
    <w:p w14:paraId="36BA78A4">
      <w:pPr>
        <w:pStyle w:val="5"/>
        <w:spacing w:before="93"/>
        <w:rPr>
          <w:rFonts w:ascii="Times New Roman" w:cs="宋体"/>
          <w:color w:val="FF0000"/>
          <w:sz w:val="32"/>
          <w:szCs w:val="32"/>
          <w:highlight w:val="yellow"/>
          <w:shd w:val="clear" w:color="auto" w:fill="FFFFFF"/>
          <w:lang w:val="zh-CN"/>
        </w:rPr>
      </w:pPr>
    </w:p>
    <w:p w14:paraId="5A31FD6C">
      <w:pPr>
        <w:rPr>
          <w:rFonts w:eastAsia="黑体" w:cs="黑体"/>
          <w:kern w:val="0"/>
          <w:sz w:val="32"/>
          <w:szCs w:val="32"/>
          <w:shd w:val="clear" w:color="auto" w:fill="FFFFFF"/>
          <w:lang w:val="zh-CN"/>
        </w:rPr>
      </w:pPr>
      <w:r>
        <w:rPr>
          <w:rFonts w:hint="eastAsia" w:eastAsia="黑体" w:cs="黑体"/>
          <w:kern w:val="0"/>
          <w:sz w:val="32"/>
          <w:szCs w:val="32"/>
          <w:shd w:val="clear" w:color="auto" w:fill="FFFFFF"/>
          <w:lang w:val="zh-CN"/>
        </w:rPr>
        <w:br w:type="page"/>
      </w:r>
    </w:p>
    <w:p w14:paraId="203187AF">
      <w:pPr>
        <w:spacing w:line="578" w:lineRule="exact"/>
        <w:ind w:firstLine="640"/>
        <w:rPr>
          <w:rFonts w:eastAsia="仿宋_GB2312" w:cs="仿宋_GB2312"/>
          <w:kern w:val="0"/>
          <w:sz w:val="32"/>
          <w:szCs w:val="32"/>
        </w:rPr>
      </w:pPr>
      <w:bookmarkStart w:id="54" w:name="_Toc15396618"/>
    </w:p>
    <w:p w14:paraId="57AD8589">
      <w:pPr>
        <w:widowControl/>
        <w:jc w:val="center"/>
        <w:rPr>
          <w:rFonts w:eastAsia="仿宋"/>
        </w:rPr>
      </w:pPr>
      <w:r>
        <w:rPr>
          <w:rFonts w:hint="eastAsia" w:eastAsia="黑体"/>
          <w:sz w:val="44"/>
          <w:szCs w:val="44"/>
        </w:rPr>
        <w:t>第</w:t>
      </w:r>
      <w:r>
        <w:rPr>
          <w:rStyle w:val="29"/>
          <w:rFonts w:hint="eastAsia" w:eastAsia="黑体"/>
          <w:b w:val="0"/>
        </w:rPr>
        <w:t>五部分 附表</w:t>
      </w:r>
      <w:bookmarkEnd w:id="52"/>
      <w:bookmarkEnd w:id="54"/>
      <w:bookmarkStart w:id="55" w:name="_Toc15396619"/>
    </w:p>
    <w:p w14:paraId="7F371247">
      <w:pPr>
        <w:pStyle w:val="15"/>
        <w:adjustRightInd w:val="0"/>
        <w:snapToGrid w:val="0"/>
        <w:spacing w:line="560" w:lineRule="exact"/>
        <w:jc w:val="left"/>
        <w:rPr>
          <w:rFonts w:eastAsia="仿宋_GB2312" w:cs="仿宋_GB2312"/>
          <w:sz w:val="32"/>
          <w:szCs w:val="32"/>
        </w:rPr>
      </w:pPr>
    </w:p>
    <w:p w14:paraId="61867E53">
      <w:pPr>
        <w:pStyle w:val="15"/>
        <w:adjustRightInd w:val="0"/>
        <w:snapToGrid w:val="0"/>
        <w:spacing w:line="560" w:lineRule="exact"/>
        <w:jc w:val="left"/>
        <w:rPr>
          <w:rFonts w:eastAsia="仿宋_GB2312" w:cs="仿宋_GB2312"/>
          <w:sz w:val="32"/>
          <w:szCs w:val="32"/>
        </w:rPr>
      </w:pPr>
      <w:r>
        <w:rPr>
          <w:rFonts w:hint="eastAsia" w:eastAsia="仿宋_GB2312" w:cs="仿宋_GB2312"/>
          <w:sz w:val="32"/>
          <w:szCs w:val="32"/>
        </w:rPr>
        <w:t>一、收入支出决算总表</w:t>
      </w:r>
      <w:bookmarkEnd w:id="55"/>
    </w:p>
    <w:p w14:paraId="2D8D52C3">
      <w:pPr>
        <w:pStyle w:val="15"/>
        <w:adjustRightInd w:val="0"/>
        <w:snapToGrid w:val="0"/>
        <w:spacing w:line="560" w:lineRule="exact"/>
        <w:jc w:val="left"/>
        <w:rPr>
          <w:rFonts w:eastAsia="仿宋_GB2312" w:cs="仿宋_GB2312"/>
          <w:sz w:val="32"/>
          <w:szCs w:val="32"/>
        </w:rPr>
      </w:pPr>
      <w:bookmarkStart w:id="56" w:name="_Toc15396620"/>
      <w:r>
        <w:rPr>
          <w:rFonts w:hint="eastAsia" w:eastAsia="仿宋_GB2312" w:cs="仿宋_GB2312"/>
          <w:sz w:val="32"/>
          <w:szCs w:val="32"/>
        </w:rPr>
        <w:t>二、收入决算表</w:t>
      </w:r>
      <w:bookmarkEnd w:id="56"/>
    </w:p>
    <w:p w14:paraId="4A705C4E">
      <w:pPr>
        <w:pStyle w:val="15"/>
        <w:adjustRightInd w:val="0"/>
        <w:snapToGrid w:val="0"/>
        <w:spacing w:line="560" w:lineRule="exact"/>
        <w:jc w:val="left"/>
        <w:rPr>
          <w:rFonts w:eastAsia="仿宋_GB2312" w:cs="仿宋_GB2312"/>
          <w:sz w:val="32"/>
          <w:szCs w:val="32"/>
        </w:rPr>
      </w:pPr>
      <w:bookmarkStart w:id="57" w:name="_Toc15396621"/>
      <w:r>
        <w:rPr>
          <w:rFonts w:hint="eastAsia" w:eastAsia="仿宋_GB2312" w:cs="仿宋_GB2312"/>
          <w:sz w:val="32"/>
          <w:szCs w:val="32"/>
        </w:rPr>
        <w:t>三、支出决算表</w:t>
      </w:r>
      <w:bookmarkEnd w:id="57"/>
    </w:p>
    <w:p w14:paraId="548D1555">
      <w:pPr>
        <w:pStyle w:val="15"/>
        <w:adjustRightInd w:val="0"/>
        <w:snapToGrid w:val="0"/>
        <w:spacing w:line="560" w:lineRule="exact"/>
        <w:jc w:val="left"/>
        <w:rPr>
          <w:rFonts w:eastAsia="仿宋_GB2312" w:cs="仿宋_GB2312"/>
          <w:sz w:val="32"/>
          <w:szCs w:val="32"/>
        </w:rPr>
      </w:pPr>
      <w:bookmarkStart w:id="58" w:name="_Toc15396622"/>
      <w:r>
        <w:rPr>
          <w:rFonts w:hint="eastAsia" w:eastAsia="仿宋_GB2312" w:cs="仿宋_GB2312"/>
          <w:sz w:val="32"/>
          <w:szCs w:val="32"/>
        </w:rPr>
        <w:t>四、财政拨款收入支出决算总表</w:t>
      </w:r>
      <w:bookmarkEnd w:id="58"/>
    </w:p>
    <w:p w14:paraId="0568EBE5">
      <w:pPr>
        <w:pStyle w:val="15"/>
        <w:adjustRightInd w:val="0"/>
        <w:snapToGrid w:val="0"/>
        <w:spacing w:line="560" w:lineRule="exact"/>
        <w:jc w:val="left"/>
        <w:rPr>
          <w:rFonts w:eastAsia="仿宋_GB2312" w:cs="仿宋_GB2312"/>
          <w:sz w:val="32"/>
          <w:szCs w:val="32"/>
        </w:rPr>
      </w:pPr>
      <w:bookmarkStart w:id="59" w:name="_Toc15396623"/>
      <w:r>
        <w:rPr>
          <w:rFonts w:hint="eastAsia" w:eastAsia="仿宋_GB2312" w:cs="仿宋_GB2312"/>
          <w:sz w:val="32"/>
          <w:szCs w:val="32"/>
        </w:rPr>
        <w:t>五、财政拨款支出决算明细表</w:t>
      </w:r>
      <w:bookmarkEnd w:id="59"/>
      <w:bookmarkStart w:id="60" w:name="_Toc15396624"/>
    </w:p>
    <w:p w14:paraId="3CB999E7">
      <w:pPr>
        <w:pStyle w:val="15"/>
        <w:adjustRightInd w:val="0"/>
        <w:snapToGrid w:val="0"/>
        <w:spacing w:line="560" w:lineRule="exact"/>
        <w:jc w:val="left"/>
        <w:rPr>
          <w:rFonts w:eastAsia="仿宋_GB2312" w:cs="仿宋_GB2312"/>
          <w:sz w:val="32"/>
          <w:szCs w:val="32"/>
        </w:rPr>
      </w:pPr>
      <w:r>
        <w:rPr>
          <w:rFonts w:hint="eastAsia" w:eastAsia="仿宋_GB2312" w:cs="仿宋_GB2312"/>
          <w:sz w:val="32"/>
          <w:szCs w:val="32"/>
        </w:rPr>
        <w:t>六、一般公共预算财政拨款支出决算表</w:t>
      </w:r>
      <w:bookmarkEnd w:id="60"/>
    </w:p>
    <w:p w14:paraId="7F368D6F">
      <w:pPr>
        <w:pStyle w:val="15"/>
        <w:adjustRightInd w:val="0"/>
        <w:snapToGrid w:val="0"/>
        <w:spacing w:line="560" w:lineRule="exact"/>
        <w:jc w:val="left"/>
        <w:rPr>
          <w:rFonts w:eastAsia="仿宋_GB2312" w:cs="仿宋_GB2312"/>
          <w:sz w:val="32"/>
          <w:szCs w:val="32"/>
        </w:rPr>
      </w:pPr>
      <w:bookmarkStart w:id="61" w:name="_Toc15396625"/>
      <w:r>
        <w:rPr>
          <w:rFonts w:hint="eastAsia" w:eastAsia="仿宋_GB2312" w:cs="仿宋_GB2312"/>
          <w:sz w:val="32"/>
          <w:szCs w:val="32"/>
        </w:rPr>
        <w:t>七、一般公共预算财政拨款支出决算明细表</w:t>
      </w:r>
      <w:bookmarkEnd w:id="61"/>
    </w:p>
    <w:p w14:paraId="3519A376">
      <w:pPr>
        <w:pStyle w:val="15"/>
        <w:adjustRightInd w:val="0"/>
        <w:snapToGrid w:val="0"/>
        <w:spacing w:line="560" w:lineRule="exact"/>
        <w:jc w:val="left"/>
        <w:rPr>
          <w:rFonts w:eastAsia="仿宋_GB2312" w:cs="仿宋_GB2312"/>
          <w:sz w:val="32"/>
          <w:szCs w:val="32"/>
        </w:rPr>
      </w:pPr>
      <w:bookmarkStart w:id="62" w:name="_Toc15396626"/>
      <w:r>
        <w:rPr>
          <w:rFonts w:hint="eastAsia" w:eastAsia="仿宋_GB2312" w:cs="仿宋_GB2312"/>
          <w:sz w:val="32"/>
          <w:szCs w:val="32"/>
        </w:rPr>
        <w:t>八、一般公共预算财政拨款基本支出决算表</w:t>
      </w:r>
      <w:bookmarkEnd w:id="62"/>
    </w:p>
    <w:p w14:paraId="42A8568F">
      <w:pPr>
        <w:pStyle w:val="15"/>
        <w:adjustRightInd w:val="0"/>
        <w:snapToGrid w:val="0"/>
        <w:spacing w:line="560" w:lineRule="exact"/>
        <w:jc w:val="left"/>
        <w:rPr>
          <w:rFonts w:eastAsia="仿宋_GB2312" w:cs="仿宋_GB2312"/>
          <w:sz w:val="32"/>
          <w:szCs w:val="32"/>
        </w:rPr>
      </w:pPr>
      <w:bookmarkStart w:id="63" w:name="_Toc15396627"/>
      <w:r>
        <w:rPr>
          <w:rFonts w:hint="eastAsia" w:eastAsia="仿宋_GB2312" w:cs="仿宋_GB2312"/>
          <w:sz w:val="32"/>
          <w:szCs w:val="32"/>
        </w:rPr>
        <w:t>九、一般公共预算财政拨款项目支出决算表</w:t>
      </w:r>
      <w:bookmarkEnd w:id="63"/>
    </w:p>
    <w:p w14:paraId="39D18E22">
      <w:pPr>
        <w:pStyle w:val="15"/>
        <w:adjustRightInd w:val="0"/>
        <w:snapToGrid w:val="0"/>
        <w:spacing w:line="560" w:lineRule="exact"/>
        <w:jc w:val="left"/>
        <w:rPr>
          <w:rFonts w:eastAsia="仿宋_GB2312" w:cs="仿宋_GB2312"/>
          <w:sz w:val="32"/>
          <w:szCs w:val="32"/>
        </w:rPr>
      </w:pPr>
      <w:bookmarkStart w:id="64" w:name="_Toc15396628"/>
      <w:r>
        <w:rPr>
          <w:rFonts w:hint="eastAsia" w:eastAsia="仿宋_GB2312" w:cs="仿宋_GB2312"/>
          <w:sz w:val="32"/>
          <w:szCs w:val="32"/>
        </w:rPr>
        <w:t>十、</w:t>
      </w:r>
      <w:bookmarkEnd w:id="64"/>
      <w:r>
        <w:rPr>
          <w:rFonts w:hint="eastAsia" w:eastAsia="仿宋_GB2312" w:cs="仿宋_GB2312"/>
          <w:sz w:val="32"/>
          <w:szCs w:val="32"/>
        </w:rPr>
        <w:t>政府性基金预算财政拨款收入支出决算表</w:t>
      </w:r>
    </w:p>
    <w:p w14:paraId="25186464">
      <w:pPr>
        <w:pStyle w:val="15"/>
        <w:adjustRightInd w:val="0"/>
        <w:snapToGrid w:val="0"/>
        <w:spacing w:line="560" w:lineRule="exact"/>
        <w:jc w:val="left"/>
        <w:rPr>
          <w:rFonts w:eastAsia="仿宋_GB2312" w:cs="仿宋_GB2312"/>
          <w:sz w:val="32"/>
          <w:szCs w:val="32"/>
        </w:rPr>
      </w:pPr>
      <w:bookmarkStart w:id="65" w:name="_Toc15396629"/>
      <w:r>
        <w:rPr>
          <w:rFonts w:hint="eastAsia" w:eastAsia="仿宋_GB2312" w:cs="仿宋_GB2312"/>
          <w:sz w:val="32"/>
          <w:szCs w:val="32"/>
        </w:rPr>
        <w:t>十一、</w:t>
      </w:r>
      <w:bookmarkEnd w:id="65"/>
      <w:r>
        <w:rPr>
          <w:rFonts w:hint="eastAsia" w:eastAsia="仿宋_GB2312" w:cs="仿宋_GB2312"/>
          <w:sz w:val="32"/>
          <w:szCs w:val="32"/>
        </w:rPr>
        <w:t>国有资本经营预算财政拨款收入支出决算表</w:t>
      </w:r>
    </w:p>
    <w:p w14:paraId="581F6E77">
      <w:pPr>
        <w:pStyle w:val="15"/>
        <w:adjustRightInd w:val="0"/>
        <w:snapToGrid w:val="0"/>
        <w:spacing w:line="560" w:lineRule="exact"/>
        <w:jc w:val="left"/>
        <w:rPr>
          <w:rFonts w:eastAsia="仿宋_GB2312" w:cs="仿宋_GB2312"/>
          <w:sz w:val="32"/>
          <w:szCs w:val="32"/>
        </w:rPr>
      </w:pPr>
      <w:bookmarkStart w:id="66" w:name="_Toc15396630"/>
      <w:r>
        <w:rPr>
          <w:rFonts w:hint="eastAsia" w:eastAsia="仿宋_GB2312" w:cs="仿宋_GB2312"/>
          <w:sz w:val="32"/>
          <w:szCs w:val="32"/>
        </w:rPr>
        <w:t>十二、</w:t>
      </w:r>
      <w:bookmarkEnd w:id="66"/>
      <w:r>
        <w:rPr>
          <w:rFonts w:hint="eastAsia" w:eastAsia="仿宋_GB2312" w:cs="仿宋_GB2312"/>
          <w:sz w:val="32"/>
          <w:szCs w:val="32"/>
        </w:rPr>
        <w:t>国有资本经营预算财政拨款支出决算表</w:t>
      </w:r>
    </w:p>
    <w:p w14:paraId="75E07AAD">
      <w:pPr>
        <w:pStyle w:val="15"/>
        <w:adjustRightInd w:val="0"/>
        <w:snapToGrid w:val="0"/>
        <w:spacing w:line="560" w:lineRule="exact"/>
        <w:jc w:val="left"/>
        <w:rPr>
          <w:rFonts w:eastAsia="仿宋_GB2312" w:cs="仿宋_GB2312"/>
          <w:sz w:val="32"/>
          <w:szCs w:val="32"/>
        </w:rPr>
      </w:pPr>
      <w:bookmarkStart w:id="67" w:name="_Toc15396631"/>
      <w:r>
        <w:rPr>
          <w:rFonts w:hint="eastAsia" w:eastAsia="仿宋_GB2312" w:cs="仿宋_GB2312"/>
          <w:sz w:val="32"/>
          <w:szCs w:val="32"/>
        </w:rPr>
        <w:t>十三、</w:t>
      </w:r>
      <w:bookmarkEnd w:id="67"/>
      <w:r>
        <w:rPr>
          <w:rFonts w:hint="eastAsia" w:eastAsia="仿宋_GB2312" w:cs="仿宋_GB2312"/>
          <w:sz w:val="32"/>
          <w:szCs w:val="32"/>
        </w:rPr>
        <w:t>财政拨款“三公”经费支出决算表</w:t>
      </w:r>
    </w:p>
    <w:p w14:paraId="63465F1C"/>
    <w:sectPr>
      <w:footerReference r:id="rId8" w:type="first"/>
      <w:footerReference r:id="rId7"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3C1A97D-BCFC-4F89-8BED-6B7820B14E5E}"/>
  </w:font>
  <w:font w:name="Courier New">
    <w:panose1 w:val="02070309020205020404"/>
    <w:charset w:val="01"/>
    <w:family w:val="modern"/>
    <w:pitch w:val="default"/>
    <w:sig w:usb0="E0002AFF" w:usb1="C0007843" w:usb2="00000009" w:usb3="00000000" w:csb0="400001FF" w:csb1="FFFF0000"/>
    <w:embedRegular r:id="rId2" w:fontKey="{D73FB502-99B6-4AFB-81AB-F5601F2DD491}"/>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embedRegular r:id="rId3" w:fontKey="{96B919D3-AA02-4125-976E-E7CE91EE91F2}"/>
  </w:font>
  <w:font w:name="仿宋">
    <w:panose1 w:val="02010609060101010101"/>
    <w:charset w:val="86"/>
    <w:family w:val="modern"/>
    <w:pitch w:val="default"/>
    <w:sig w:usb0="800002BF" w:usb1="38CF7CFA" w:usb2="00000016" w:usb3="00000000" w:csb0="00040001" w:csb1="00000000"/>
    <w:embedRegular r:id="rId4" w:fontKey="{8CE8D6A8-5BA6-4B3B-BCF7-6287BAE2C6FF}"/>
  </w:font>
  <w:font w:name="??">
    <w:altName w:val="Segoe Print"/>
    <w:panose1 w:val="00000000000000000000"/>
    <w:charset w:val="00"/>
    <w:family w:val="roman"/>
    <w:pitch w:val="default"/>
    <w:sig w:usb0="00000000" w:usb1="00000000" w:usb2="00000000" w:usb3="00000000" w:csb0="00000000" w:csb1="00000000"/>
  </w:font>
  <w:font w:name="C059">
    <w:altName w:val="Segoe Print"/>
    <w:panose1 w:val="00000500000000000000"/>
    <w:charset w:val="00"/>
    <w:family w:val="auto"/>
    <w:pitch w:val="default"/>
    <w:sig w:usb0="00000000" w:usb1="00000000" w:usb2="00000000" w:usb3="00000000" w:csb0="6000009F" w:csb1="00000000"/>
  </w:font>
  <w:font w:name="方正小标宋简体">
    <w:altName w:val="Arial Unicode MS"/>
    <w:panose1 w:val="02000000000000000000"/>
    <w:charset w:val="86"/>
    <w:family w:val="script"/>
    <w:pitch w:val="default"/>
    <w:sig w:usb0="00000000" w:usb1="00000000" w:usb2="00000012" w:usb3="00000000" w:csb0="00040001" w:csb1="00000000"/>
    <w:embedRegular r:id="rId5" w:fontKey="{B2AD1F5E-F21D-45F4-A2C5-2D23462C586C}"/>
  </w:font>
  <w:font w:name="楷体_GB2312">
    <w:altName w:val="楷体"/>
    <w:panose1 w:val="02010609030101010101"/>
    <w:charset w:val="86"/>
    <w:family w:val="modern"/>
    <w:pitch w:val="default"/>
    <w:sig w:usb0="00000000" w:usb1="00000000" w:usb2="00000000" w:usb3="00000000" w:csb0="00040000" w:csb1="00000000"/>
    <w:embedRegular r:id="rId6" w:fontKey="{66FF62CD-1CA9-49EE-913A-D5EC7EA4DEC4}"/>
  </w:font>
  <w:font w:name="方正仿宋_GB2312">
    <w:panose1 w:val="02000000000000000000"/>
    <w:charset w:val="86"/>
    <w:family w:val="auto"/>
    <w:pitch w:val="default"/>
    <w:sig w:usb0="A00002BF" w:usb1="184F6CFA" w:usb2="00000012" w:usb3="00000000" w:csb0="00040001" w:csb1="00000000"/>
    <w:embedRegular r:id="rId7" w:fontKey="{F2CF4BD0-FA1C-4064-A6C2-53AE6BED464B}"/>
  </w:font>
  <w:font w:name="微软雅黑">
    <w:panose1 w:val="020B0503020204020204"/>
    <w:charset w:val="86"/>
    <w:family w:val="auto"/>
    <w:pitch w:val="default"/>
    <w:sig w:usb0="80000287" w:usb1="280F3C52" w:usb2="00000016" w:usb3="00000000" w:csb0="0004001F" w:csb1="00000000"/>
    <w:embedRegular r:id="rId8" w:fontKey="{1B284FFC-D773-4DC6-A905-AF04B054AD37}"/>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81AFCB">
    <w:pPr>
      <w:pStyle w:val="11"/>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DC94B3">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CDC94B3">
                    <w:pPr>
                      <w:pStyle w:val="11"/>
                    </w:pPr>
                    <w:r>
                      <w:fldChar w:fldCharType="begin"/>
                    </w:r>
                    <w:r>
                      <w:instrText xml:space="preserve"> PAGE  \* MERGEFORMAT </w:instrText>
                    </w:r>
                    <w:r>
                      <w:fldChar w:fldCharType="separate"/>
                    </w:r>
                    <w:r>
                      <w:t>1</w:t>
                    </w:r>
                    <w:r>
                      <w:fldChar w:fldCharType="end"/>
                    </w:r>
                  </w:p>
                </w:txbxContent>
              </v:textbox>
            </v:shape>
          </w:pict>
        </mc:Fallback>
      </mc:AlternateContent>
    </w:r>
  </w:p>
  <w:p w14:paraId="70D1490D">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8F22B">
    <w:pPr>
      <w:pStyle w:val="11"/>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D9DA6C">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08D9DA6C">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8F878">
    <w:pPr>
      <w:pStyle w:val="11"/>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B403AA">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0BB403AA">
                    <w:pPr>
                      <w:pStyle w:val="11"/>
                    </w:pPr>
                    <w:r>
                      <w:fldChar w:fldCharType="begin"/>
                    </w:r>
                    <w:r>
                      <w:instrText xml:space="preserve"> PAGE  \* MERGEFORMAT </w:instrText>
                    </w:r>
                    <w:r>
                      <w:fldChar w:fldCharType="separate"/>
                    </w:r>
                    <w:r>
                      <w:t>1</w:t>
                    </w:r>
                    <w:r>
                      <w:fldChar w:fldCharType="end"/>
                    </w:r>
                  </w:p>
                </w:txbxContent>
              </v:textbox>
            </v:shape>
          </w:pict>
        </mc:Fallback>
      </mc:AlternateContent>
    </w:r>
  </w:p>
  <w:p w14:paraId="0D461EB0">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F0ACB">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2F5A49">
                          <w:pPr>
                            <w:pStyle w:val="11"/>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602F5A49">
                    <w:pPr>
                      <w:pStyle w:val="11"/>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D8BE0">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0F5F7">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3B048"/>
    <w:multiLevelType w:val="singleLevel"/>
    <w:tmpl w:val="BEB3B048"/>
    <w:lvl w:ilvl="0" w:tentative="0">
      <w:start w:val="1"/>
      <w:numFmt w:val="chineseCounting"/>
      <w:suff w:val="nothing"/>
      <w:lvlText w:val="%1、"/>
      <w:lvlJc w:val="left"/>
      <w:rPr>
        <w:rFonts w:hint="eastAsia"/>
      </w:rPr>
    </w:lvl>
  </w:abstractNum>
  <w:abstractNum w:abstractNumId="1">
    <w:nsid w:val="32540B35"/>
    <w:multiLevelType w:val="singleLevel"/>
    <w:tmpl w:val="32540B35"/>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1ADD"/>
    <w:rsid w:val="00163351"/>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66425"/>
    <w:rsid w:val="0037013F"/>
    <w:rsid w:val="00380C92"/>
    <w:rsid w:val="003A167B"/>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75C6A"/>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3741F"/>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87D95"/>
    <w:rsid w:val="009931C3"/>
    <w:rsid w:val="009A1776"/>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5EA2"/>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43BF5"/>
    <w:rsid w:val="00D51247"/>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975B8"/>
    <w:rsid w:val="02317B1B"/>
    <w:rsid w:val="02FEBE30"/>
    <w:rsid w:val="03D64DF8"/>
    <w:rsid w:val="061E35DE"/>
    <w:rsid w:val="066E0107"/>
    <w:rsid w:val="07996F6E"/>
    <w:rsid w:val="07D900C6"/>
    <w:rsid w:val="07DFD8BA"/>
    <w:rsid w:val="08DB07E4"/>
    <w:rsid w:val="09867E8F"/>
    <w:rsid w:val="09C86F91"/>
    <w:rsid w:val="0A2032A3"/>
    <w:rsid w:val="0ABF3548"/>
    <w:rsid w:val="0C6C4794"/>
    <w:rsid w:val="0CA3263A"/>
    <w:rsid w:val="0CA8290A"/>
    <w:rsid w:val="0D35B1ED"/>
    <w:rsid w:val="0DE07E2B"/>
    <w:rsid w:val="0F98263C"/>
    <w:rsid w:val="101860EC"/>
    <w:rsid w:val="10C055FF"/>
    <w:rsid w:val="11772AA4"/>
    <w:rsid w:val="118107EC"/>
    <w:rsid w:val="12DE15D3"/>
    <w:rsid w:val="139541EA"/>
    <w:rsid w:val="13D50BC4"/>
    <w:rsid w:val="14022904"/>
    <w:rsid w:val="152F2A07"/>
    <w:rsid w:val="16201F02"/>
    <w:rsid w:val="165E0673"/>
    <w:rsid w:val="16705DD5"/>
    <w:rsid w:val="16BB723D"/>
    <w:rsid w:val="16C26219"/>
    <w:rsid w:val="17EFD13D"/>
    <w:rsid w:val="186504BB"/>
    <w:rsid w:val="1938089F"/>
    <w:rsid w:val="19A445FC"/>
    <w:rsid w:val="1B7D550C"/>
    <w:rsid w:val="1BE8440E"/>
    <w:rsid w:val="1C8651B5"/>
    <w:rsid w:val="1D155CEE"/>
    <w:rsid w:val="1DDBB2D0"/>
    <w:rsid w:val="1E740ACF"/>
    <w:rsid w:val="1EF5B99B"/>
    <w:rsid w:val="1F5F95CA"/>
    <w:rsid w:val="1FF35744"/>
    <w:rsid w:val="1FF6BC77"/>
    <w:rsid w:val="21962A9E"/>
    <w:rsid w:val="21AE7C77"/>
    <w:rsid w:val="22BC3C41"/>
    <w:rsid w:val="23860B96"/>
    <w:rsid w:val="240371BF"/>
    <w:rsid w:val="248144B4"/>
    <w:rsid w:val="24BC193D"/>
    <w:rsid w:val="2551425D"/>
    <w:rsid w:val="258B7398"/>
    <w:rsid w:val="260F557C"/>
    <w:rsid w:val="281408E2"/>
    <w:rsid w:val="29FD04D3"/>
    <w:rsid w:val="2A16744D"/>
    <w:rsid w:val="2BFF7BC6"/>
    <w:rsid w:val="2C8A61B5"/>
    <w:rsid w:val="2D2E01CF"/>
    <w:rsid w:val="2DF04E50"/>
    <w:rsid w:val="2E9545B0"/>
    <w:rsid w:val="2F040D46"/>
    <w:rsid w:val="2FAE5751"/>
    <w:rsid w:val="2FB1A395"/>
    <w:rsid w:val="2FD960EE"/>
    <w:rsid w:val="2FD9A7D8"/>
    <w:rsid w:val="319F7F4E"/>
    <w:rsid w:val="321B2544"/>
    <w:rsid w:val="322F30D3"/>
    <w:rsid w:val="32676D24"/>
    <w:rsid w:val="3304709D"/>
    <w:rsid w:val="34281836"/>
    <w:rsid w:val="349D6851"/>
    <w:rsid w:val="35BA6CAF"/>
    <w:rsid w:val="364D14C1"/>
    <w:rsid w:val="36AA5135"/>
    <w:rsid w:val="36BE0DA7"/>
    <w:rsid w:val="376B6AA6"/>
    <w:rsid w:val="376D39B2"/>
    <w:rsid w:val="37E16F03"/>
    <w:rsid w:val="37F53A3B"/>
    <w:rsid w:val="389B6C89"/>
    <w:rsid w:val="38D341A5"/>
    <w:rsid w:val="38D469F0"/>
    <w:rsid w:val="39627CCD"/>
    <w:rsid w:val="397BAF1F"/>
    <w:rsid w:val="39EE2A10"/>
    <w:rsid w:val="3AB79AF3"/>
    <w:rsid w:val="3B7EF35A"/>
    <w:rsid w:val="3B9FDB6C"/>
    <w:rsid w:val="3BF5BC2F"/>
    <w:rsid w:val="3BFD8A59"/>
    <w:rsid w:val="3C8808A8"/>
    <w:rsid w:val="3CEBA265"/>
    <w:rsid w:val="3D98207C"/>
    <w:rsid w:val="3D9B0D99"/>
    <w:rsid w:val="3DEE7CF3"/>
    <w:rsid w:val="3DF02244"/>
    <w:rsid w:val="3E09759C"/>
    <w:rsid w:val="3E7264FF"/>
    <w:rsid w:val="3E734A16"/>
    <w:rsid w:val="3E78745D"/>
    <w:rsid w:val="3F7DDB46"/>
    <w:rsid w:val="3FA32B93"/>
    <w:rsid w:val="3FE7368A"/>
    <w:rsid w:val="3FF4CAE0"/>
    <w:rsid w:val="3FF7B227"/>
    <w:rsid w:val="40E54C45"/>
    <w:rsid w:val="41FA16D6"/>
    <w:rsid w:val="42132798"/>
    <w:rsid w:val="43A407DF"/>
    <w:rsid w:val="44515BEA"/>
    <w:rsid w:val="44E268DA"/>
    <w:rsid w:val="453F7E5B"/>
    <w:rsid w:val="486A6C7A"/>
    <w:rsid w:val="49176D9B"/>
    <w:rsid w:val="493E61CA"/>
    <w:rsid w:val="4A627F82"/>
    <w:rsid w:val="4B0E749A"/>
    <w:rsid w:val="4B4F25DA"/>
    <w:rsid w:val="4BC60A62"/>
    <w:rsid w:val="4BDA0CFB"/>
    <w:rsid w:val="4BE068DB"/>
    <w:rsid w:val="4C26756B"/>
    <w:rsid w:val="4D3C0CCC"/>
    <w:rsid w:val="4D577224"/>
    <w:rsid w:val="4DBF1CEB"/>
    <w:rsid w:val="4EAB630A"/>
    <w:rsid w:val="4ECE2238"/>
    <w:rsid w:val="4F833267"/>
    <w:rsid w:val="4FE9BD67"/>
    <w:rsid w:val="4FFB052F"/>
    <w:rsid w:val="50087712"/>
    <w:rsid w:val="50E21CB3"/>
    <w:rsid w:val="5201260D"/>
    <w:rsid w:val="53083A92"/>
    <w:rsid w:val="537E6D0A"/>
    <w:rsid w:val="53AF27A2"/>
    <w:rsid w:val="53F74C96"/>
    <w:rsid w:val="56E47B74"/>
    <w:rsid w:val="57BD3DD4"/>
    <w:rsid w:val="57DE4A9F"/>
    <w:rsid w:val="5915699E"/>
    <w:rsid w:val="5AF92295"/>
    <w:rsid w:val="5BDD79E6"/>
    <w:rsid w:val="5BF561CA"/>
    <w:rsid w:val="5BFF5DFC"/>
    <w:rsid w:val="5CD71FC4"/>
    <w:rsid w:val="5D1F11B5"/>
    <w:rsid w:val="5D777AC6"/>
    <w:rsid w:val="5DAE1B18"/>
    <w:rsid w:val="5DE7D9E5"/>
    <w:rsid w:val="5EC155FD"/>
    <w:rsid w:val="5ECEC941"/>
    <w:rsid w:val="5F493CB7"/>
    <w:rsid w:val="5F6D7AC0"/>
    <w:rsid w:val="5FBF9FF3"/>
    <w:rsid w:val="5FCD4E2C"/>
    <w:rsid w:val="5FD15F49"/>
    <w:rsid w:val="5FEF394A"/>
    <w:rsid w:val="5FF67715"/>
    <w:rsid w:val="62BF3928"/>
    <w:rsid w:val="647F5392"/>
    <w:rsid w:val="65206C7A"/>
    <w:rsid w:val="655C6080"/>
    <w:rsid w:val="65FA9F08"/>
    <w:rsid w:val="664B1D71"/>
    <w:rsid w:val="67AA3209"/>
    <w:rsid w:val="67F5FA71"/>
    <w:rsid w:val="67FFA856"/>
    <w:rsid w:val="681C4F0D"/>
    <w:rsid w:val="69046D0F"/>
    <w:rsid w:val="698D0931"/>
    <w:rsid w:val="6A993CED"/>
    <w:rsid w:val="6B053271"/>
    <w:rsid w:val="6B5FE701"/>
    <w:rsid w:val="6B930322"/>
    <w:rsid w:val="6BCE6674"/>
    <w:rsid w:val="6C4A05C8"/>
    <w:rsid w:val="6C8742B8"/>
    <w:rsid w:val="6C8A170F"/>
    <w:rsid w:val="6CB54609"/>
    <w:rsid w:val="6CBF9D40"/>
    <w:rsid w:val="6DBF5E93"/>
    <w:rsid w:val="6DFF077E"/>
    <w:rsid w:val="6E7E3605"/>
    <w:rsid w:val="6E7FDCC7"/>
    <w:rsid w:val="6EB61853"/>
    <w:rsid w:val="6EB67ED1"/>
    <w:rsid w:val="6ED6A62E"/>
    <w:rsid w:val="6EE00B15"/>
    <w:rsid w:val="6F544B20"/>
    <w:rsid w:val="6F6FB3EB"/>
    <w:rsid w:val="6F784160"/>
    <w:rsid w:val="6F7D77CB"/>
    <w:rsid w:val="6F8731EA"/>
    <w:rsid w:val="6FCE6052"/>
    <w:rsid w:val="6FD57C00"/>
    <w:rsid w:val="6FDF4104"/>
    <w:rsid w:val="6FEFFFD8"/>
    <w:rsid w:val="6FF5CC65"/>
    <w:rsid w:val="6FFB47EC"/>
    <w:rsid w:val="6FFF034A"/>
    <w:rsid w:val="70496804"/>
    <w:rsid w:val="706E310B"/>
    <w:rsid w:val="712A28F1"/>
    <w:rsid w:val="715C0E4B"/>
    <w:rsid w:val="72233669"/>
    <w:rsid w:val="72734D90"/>
    <w:rsid w:val="7332FE48"/>
    <w:rsid w:val="73AB61DA"/>
    <w:rsid w:val="73AD73D5"/>
    <w:rsid w:val="73B6EB34"/>
    <w:rsid w:val="73F64263"/>
    <w:rsid w:val="73FA497D"/>
    <w:rsid w:val="744731E5"/>
    <w:rsid w:val="74527205"/>
    <w:rsid w:val="74BBD01D"/>
    <w:rsid w:val="74ED5379"/>
    <w:rsid w:val="74FC2395"/>
    <w:rsid w:val="757EF4AC"/>
    <w:rsid w:val="75DEEEC2"/>
    <w:rsid w:val="76E3355F"/>
    <w:rsid w:val="76FD6F97"/>
    <w:rsid w:val="76FF5125"/>
    <w:rsid w:val="7747F42E"/>
    <w:rsid w:val="776F6FFA"/>
    <w:rsid w:val="7777E7C6"/>
    <w:rsid w:val="778769C8"/>
    <w:rsid w:val="77D17BC0"/>
    <w:rsid w:val="77DC22F5"/>
    <w:rsid w:val="79086DAD"/>
    <w:rsid w:val="79974F09"/>
    <w:rsid w:val="79D7FD79"/>
    <w:rsid w:val="79EE5BA4"/>
    <w:rsid w:val="7A374CA5"/>
    <w:rsid w:val="7A6C1F0A"/>
    <w:rsid w:val="7A894339"/>
    <w:rsid w:val="7AFF7572"/>
    <w:rsid w:val="7B6C7DFB"/>
    <w:rsid w:val="7BBFBED0"/>
    <w:rsid w:val="7BC3E394"/>
    <w:rsid w:val="7BF7B2DE"/>
    <w:rsid w:val="7C1F3737"/>
    <w:rsid w:val="7CBFC87B"/>
    <w:rsid w:val="7CFE0F48"/>
    <w:rsid w:val="7D7EC23E"/>
    <w:rsid w:val="7D916348"/>
    <w:rsid w:val="7DFBFCD8"/>
    <w:rsid w:val="7DFD29E8"/>
    <w:rsid w:val="7E0724A9"/>
    <w:rsid w:val="7E8ADEBF"/>
    <w:rsid w:val="7EC97899"/>
    <w:rsid w:val="7EEF11D3"/>
    <w:rsid w:val="7F0971A6"/>
    <w:rsid w:val="7F3D2EA7"/>
    <w:rsid w:val="7F3F679B"/>
    <w:rsid w:val="7F4FC4EF"/>
    <w:rsid w:val="7F5904ED"/>
    <w:rsid w:val="7F5E4D54"/>
    <w:rsid w:val="7F6E0135"/>
    <w:rsid w:val="7FA03C5B"/>
    <w:rsid w:val="7FA30C79"/>
    <w:rsid w:val="7FAF8ABF"/>
    <w:rsid w:val="7FB7269E"/>
    <w:rsid w:val="7FB7E4B2"/>
    <w:rsid w:val="7FC96657"/>
    <w:rsid w:val="7FDA9588"/>
    <w:rsid w:val="7FDF220F"/>
    <w:rsid w:val="7FEDC5F7"/>
    <w:rsid w:val="7FEDD9DE"/>
    <w:rsid w:val="7FF5506E"/>
    <w:rsid w:val="7FF5890D"/>
    <w:rsid w:val="7FF93490"/>
    <w:rsid w:val="8FFF7375"/>
    <w:rsid w:val="95F37630"/>
    <w:rsid w:val="97F9F18C"/>
    <w:rsid w:val="99FF2014"/>
    <w:rsid w:val="A6DD0D7F"/>
    <w:rsid w:val="ADC6F725"/>
    <w:rsid w:val="B2F71B0B"/>
    <w:rsid w:val="B7CF06AB"/>
    <w:rsid w:val="B7CFA926"/>
    <w:rsid w:val="B7F8786B"/>
    <w:rsid w:val="BABB6AA1"/>
    <w:rsid w:val="BB2F4199"/>
    <w:rsid w:val="BB579067"/>
    <w:rsid w:val="BD079C78"/>
    <w:rsid w:val="BD733540"/>
    <w:rsid w:val="BF3735D5"/>
    <w:rsid w:val="BF7F09AC"/>
    <w:rsid w:val="BFD475C3"/>
    <w:rsid w:val="BFDE5EA6"/>
    <w:rsid w:val="BFFB0A91"/>
    <w:rsid w:val="CF6FC6F3"/>
    <w:rsid w:val="CF792752"/>
    <w:rsid w:val="CFD3D3D7"/>
    <w:rsid w:val="CFDF1009"/>
    <w:rsid w:val="D5CAAD55"/>
    <w:rsid w:val="D7D7B16A"/>
    <w:rsid w:val="D8D6DB89"/>
    <w:rsid w:val="DB6F4CAB"/>
    <w:rsid w:val="DB777682"/>
    <w:rsid w:val="DBBF7EAC"/>
    <w:rsid w:val="DD1FB521"/>
    <w:rsid w:val="DEFBFEAE"/>
    <w:rsid w:val="DF1F3B80"/>
    <w:rsid w:val="DF5FE743"/>
    <w:rsid w:val="DF6F9789"/>
    <w:rsid w:val="DFDF1B11"/>
    <w:rsid w:val="DFEF0B97"/>
    <w:rsid w:val="DFFF85C5"/>
    <w:rsid w:val="DFFFA9E8"/>
    <w:rsid w:val="E5F4E9DC"/>
    <w:rsid w:val="E6F91252"/>
    <w:rsid w:val="E70FE695"/>
    <w:rsid w:val="EBFE0CBF"/>
    <w:rsid w:val="ECFED1BC"/>
    <w:rsid w:val="ED1D69BB"/>
    <w:rsid w:val="ED77D0E2"/>
    <w:rsid w:val="ED7FD312"/>
    <w:rsid w:val="EDBF21E2"/>
    <w:rsid w:val="EDF40A68"/>
    <w:rsid w:val="EDFE3C76"/>
    <w:rsid w:val="EDFF144D"/>
    <w:rsid w:val="EDFF68D6"/>
    <w:rsid w:val="EF53993F"/>
    <w:rsid w:val="EF6FD633"/>
    <w:rsid w:val="EF9F87EC"/>
    <w:rsid w:val="EFBFB2F4"/>
    <w:rsid w:val="EFBFFA21"/>
    <w:rsid w:val="EFDB0916"/>
    <w:rsid w:val="F2BEBCB8"/>
    <w:rsid w:val="F36FB518"/>
    <w:rsid w:val="F3DE1A04"/>
    <w:rsid w:val="F3F722E5"/>
    <w:rsid w:val="F59E3F63"/>
    <w:rsid w:val="F637003F"/>
    <w:rsid w:val="F7F669EB"/>
    <w:rsid w:val="F7FFF1FE"/>
    <w:rsid w:val="FA5F1E70"/>
    <w:rsid w:val="FA5FDB97"/>
    <w:rsid w:val="FB3F3A7F"/>
    <w:rsid w:val="FB7F1542"/>
    <w:rsid w:val="FB7F486A"/>
    <w:rsid w:val="FB9EE681"/>
    <w:rsid w:val="FBE9682D"/>
    <w:rsid w:val="FBFE94C8"/>
    <w:rsid w:val="FBFF5B2E"/>
    <w:rsid w:val="FD5AFCFD"/>
    <w:rsid w:val="FD7FFE2B"/>
    <w:rsid w:val="FD950473"/>
    <w:rsid w:val="FDEE196B"/>
    <w:rsid w:val="FDFE6575"/>
    <w:rsid w:val="FE7F0381"/>
    <w:rsid w:val="FEDFDDC2"/>
    <w:rsid w:val="FEED32F6"/>
    <w:rsid w:val="FEF781DD"/>
    <w:rsid w:val="FEFB41AD"/>
    <w:rsid w:val="FF3F7E3F"/>
    <w:rsid w:val="FF9FA887"/>
    <w:rsid w:val="FFB70686"/>
    <w:rsid w:val="FFBA12D7"/>
    <w:rsid w:val="FFDB5413"/>
    <w:rsid w:val="FFDFFAEE"/>
    <w:rsid w:val="FFDFFE06"/>
    <w:rsid w:val="FFE78D43"/>
    <w:rsid w:val="FFEF8A75"/>
    <w:rsid w:val="FFEFA1B7"/>
    <w:rsid w:val="FFF9B57B"/>
    <w:rsid w:val="FFFD3DEC"/>
    <w:rsid w:val="FFFD61D9"/>
    <w:rsid w:val="FFFD8F59"/>
    <w:rsid w:val="FFFE79A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6"/>
    <w:qFormat/>
    <w:uiPriority w:val="99"/>
    <w:pPr>
      <w:spacing w:beforeLines="30"/>
    </w:pPr>
    <w:rPr>
      <w:rFonts w:ascii="仿宋_GB2312" w:eastAsia="仿宋_GB2312"/>
      <w:kern w:val="0"/>
      <w:sz w:val="30"/>
    </w:rPr>
  </w:style>
  <w:style w:type="paragraph" w:styleId="6">
    <w:name w:val="Body Text Indent"/>
    <w:basedOn w:val="1"/>
    <w:next w:val="7"/>
    <w:qFormat/>
    <w:uiPriority w:val="0"/>
    <w:pPr>
      <w:spacing w:after="120"/>
      <w:ind w:left="200" w:leftChars="200"/>
    </w:pPr>
    <w:rPr>
      <w:rFonts w:ascii="仿宋_GB2312"/>
      <w:szCs w:val="32"/>
    </w:rPr>
  </w:style>
  <w:style w:type="paragraph" w:styleId="7">
    <w:name w:val="Body Text First Indent 2"/>
    <w:basedOn w:val="6"/>
    <w:next w:val="1"/>
    <w:link w:val="36"/>
    <w:unhideWhenUsed/>
    <w:qFormat/>
    <w:uiPriority w:val="99"/>
    <w:pPr>
      <w:ind w:firstLine="420" w:firstLineChars="200"/>
    </w:pPr>
  </w:style>
  <w:style w:type="paragraph" w:styleId="8">
    <w:name w:val="toc 3"/>
    <w:basedOn w:val="1"/>
    <w:next w:val="1"/>
    <w:unhideWhenUsed/>
    <w:qFormat/>
    <w:uiPriority w:val="39"/>
    <w:pPr>
      <w:tabs>
        <w:tab w:val="right" w:leader="dot" w:pos="8296"/>
      </w:tabs>
      <w:ind w:left="840" w:leftChars="400"/>
    </w:pPr>
  </w:style>
  <w:style w:type="paragraph" w:styleId="9">
    <w:name w:val="Plain Text"/>
    <w:basedOn w:val="1"/>
    <w:qFormat/>
    <w:uiPriority w:val="0"/>
    <w:rPr>
      <w:rFonts w:ascii="宋体" w:hAnsi="Courier New" w:eastAsia="宋体" w:cs="Times New Roman"/>
      <w:szCs w:val="24"/>
    </w:rPr>
  </w:style>
  <w:style w:type="paragraph" w:styleId="10">
    <w:name w:val="Balloon Text"/>
    <w:basedOn w:val="1"/>
    <w:link w:val="32"/>
    <w:semiHidden/>
    <w:unhideWhenUsed/>
    <w:qFormat/>
    <w:uiPriority w:val="99"/>
    <w:rPr>
      <w:sz w:val="18"/>
      <w:szCs w:val="18"/>
    </w:rPr>
  </w:style>
  <w:style w:type="paragraph" w:styleId="11">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7"/>
    <w:semiHidden/>
    <w:qFormat/>
    <w:uiPriority w:val="0"/>
    <w:pPr>
      <w:snapToGrid w:val="0"/>
      <w:jc w:val="left"/>
    </w:pPr>
    <w:rPr>
      <w:sz w:val="18"/>
      <w:szCs w:val="18"/>
    </w:rPr>
  </w:style>
  <w:style w:type="paragraph" w:styleId="15">
    <w:name w:val="toc 2"/>
    <w:basedOn w:val="1"/>
    <w:next w:val="1"/>
    <w:unhideWhenUsed/>
    <w:qFormat/>
    <w:uiPriority w:val="39"/>
    <w:pPr>
      <w:tabs>
        <w:tab w:val="right" w:leader="dot" w:pos="8296"/>
      </w:tabs>
      <w:ind w:left="420" w:leftChars="200"/>
    </w:p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Char"/>
    <w:link w:val="12"/>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Char"/>
    <w:link w:val="11"/>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Char"/>
    <w:link w:val="5"/>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7"/>
    <w:link w:val="2"/>
    <w:qFormat/>
    <w:uiPriority w:val="9"/>
    <w:rPr>
      <w:rFonts w:ascii="Times New Roman" w:hAnsi="Times New Roman"/>
      <w:b/>
      <w:bCs/>
      <w:kern w:val="44"/>
      <w:sz w:val="44"/>
      <w:szCs w:val="44"/>
    </w:rPr>
  </w:style>
  <w:style w:type="character" w:customStyle="1" w:styleId="30">
    <w:name w:val="标题 2 Char"/>
    <w:basedOn w:val="17"/>
    <w:link w:val="3"/>
    <w:qFormat/>
    <w:uiPriority w:val="9"/>
    <w:rPr>
      <w:rFonts w:asciiTheme="majorHAnsi" w:hAnsiTheme="majorHAnsi" w:eastAsiaTheme="majorEastAsia" w:cstheme="majorBidi"/>
      <w:b/>
      <w:bCs/>
      <w:kern w:val="2"/>
      <w:sz w:val="32"/>
      <w:szCs w:val="32"/>
    </w:rPr>
  </w:style>
  <w:style w:type="paragraph" w:customStyle="1" w:styleId="31">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7"/>
    <w:link w:val="10"/>
    <w:semiHidden/>
    <w:qFormat/>
    <w:uiPriority w:val="99"/>
    <w:rPr>
      <w:rFonts w:ascii="Times New Roman" w:hAnsi="Times New Roman"/>
      <w:kern w:val="2"/>
      <w:sz w:val="18"/>
      <w:szCs w:val="18"/>
    </w:rPr>
  </w:style>
  <w:style w:type="character" w:customStyle="1" w:styleId="33">
    <w:name w:val="标题 3 Char"/>
    <w:basedOn w:val="17"/>
    <w:link w:val="4"/>
    <w:qFormat/>
    <w:uiPriority w:val="9"/>
    <w:rPr>
      <w:rFonts w:ascii="Times New Roman" w:hAnsi="Times New Roman"/>
      <w:b/>
      <w:bCs/>
      <w:kern w:val="2"/>
      <w:sz w:val="32"/>
      <w:szCs w:val="32"/>
    </w:rPr>
  </w:style>
  <w:style w:type="paragraph" w:customStyle="1" w:styleId="34">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color w:val="000000"/>
      <w:kern w:val="0"/>
      <w:sz w:val="28"/>
      <w:szCs w:val="21"/>
      <w:lang w:val="zh-CN"/>
    </w:rPr>
  </w:style>
  <w:style w:type="character" w:customStyle="1" w:styleId="36">
    <w:name w:val="正文首行缩进 2 Char"/>
    <w:basedOn w:val="17"/>
    <w:link w:val="7"/>
    <w:qFormat/>
    <w:uiPriority w:val="99"/>
    <w:rPr>
      <w:rFonts w:ascii="仿宋_GB2312"/>
      <w:kern w:val="2"/>
      <w:sz w:val="21"/>
      <w:szCs w:val="3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chart" Target="charts/chart6.xml"/><Relationship Id="rId16" Type="http://schemas.openxmlformats.org/officeDocument/2006/relationships/chart" Target="charts/chart5.xml"/><Relationship Id="rId15" Type="http://schemas.openxmlformats.org/officeDocument/2006/relationships/chart" Target="charts/chart4.xml"/><Relationship Id="rId14" Type="http://schemas.openxmlformats.org/officeDocument/2006/relationships/chart" Target="charts/chart3.xml"/><Relationship Id="rId13" Type="http://schemas.openxmlformats.org/officeDocument/2006/relationships/chart" Target="charts/chart2.xml"/><Relationship Id="rId12" Type="http://schemas.openxmlformats.org/officeDocument/2006/relationships/chart" Target="charts/chart1.xml"/><Relationship Id="rId11" Type="http://schemas.openxmlformats.org/officeDocument/2006/relationships/image" Target="media/image1.emf"/><Relationship Id="rId10" Type="http://schemas.openxmlformats.org/officeDocument/2006/relationships/oleObject" Target="embeddings/oleObject1.bin"/><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4" Type="http://schemas.microsoft.com/office/2011/relationships/chartColorStyle" Target="colors2.xml"/><Relationship Id="rId3" Type="http://schemas.microsoft.com/office/2011/relationships/chartStyle" Target="style2.xml"/><Relationship Id="rId2" Type="http://schemas.openxmlformats.org/officeDocument/2006/relationships/themeOverride" Target="../theme/themeOverride1.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4" Type="http://schemas.microsoft.com/office/2011/relationships/chartColorStyle" Target="colors3.xml"/><Relationship Id="rId3" Type="http://schemas.microsoft.com/office/2011/relationships/chartStyle" Target="style3.xml"/><Relationship Id="rId2" Type="http://schemas.openxmlformats.org/officeDocument/2006/relationships/themeOverride" Target="../theme/themeOverride2.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4" Type="http://schemas.microsoft.com/office/2011/relationships/chartColorStyle" Target="colors4.xml"/><Relationship Id="rId3" Type="http://schemas.microsoft.com/office/2011/relationships/chartStyle" Target="style4.xml"/><Relationship Id="rId2" Type="http://schemas.openxmlformats.org/officeDocument/2006/relationships/themeOverride" Target="../theme/themeOverride3.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收入决算结构图</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delete val="1"/>
          </c:dLbls>
          <c:cat>
            <c:strRef>
              <c:f>Sheet1!$A$2:$A$5</c:f>
              <c:strCache>
                <c:ptCount val="4"/>
                <c:pt idx="0">
                  <c:v>一般公共预算财政拨款收入</c:v>
                </c:pt>
                <c:pt idx="1">
                  <c:v>政府性基金预算财政拨款收入</c:v>
                </c:pt>
                <c:pt idx="2">
                  <c:v>国有资本经营预算财政拨款收入</c:v>
                </c:pt>
                <c:pt idx="3">
                  <c:v>上级补助收入</c:v>
                </c:pt>
              </c:strCache>
            </c:strRef>
          </c:cat>
          <c:val>
            <c:numRef>
              <c:f>Sheet1!$B$2:$B$5</c:f>
              <c:numCache>
                <c:formatCode>General</c:formatCode>
                <c:ptCount val="4"/>
                <c:pt idx="0">
                  <c:v>647.86</c:v>
                </c:pt>
                <c:pt idx="1">
                  <c:v>0</c:v>
                </c:pt>
                <c:pt idx="2">
                  <c:v>0</c:v>
                </c:pt>
                <c:pt idx="3">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348fbc3-2d8a-4d36-ac5d-080318ca2f3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400" b="1" i="0" u="none" strike="noStrike" kern="1200" baseline="0">
                <a:solidFill>
                  <a:sysClr val="windowText" lastClr="000000">
                    <a:lumMod val="75000"/>
                    <a:lumOff val="25000"/>
                  </a:sys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tx>
            <c:strRef>
              <c:f>Sheet1!$B$1</c:f>
              <c:strCache>
                <c:ptCount val="1"/>
                <c:pt idx="0">
                  <c:v>收入决算结构图</c:v>
                </c:pt>
              </c:strCache>
            </c:strRef>
          </c:tx>
          <c:spPr/>
          <c:explosion val="0"/>
          <c:dPt>
            <c:idx val="0"/>
            <c:bubble3D val="0"/>
            <c:spPr>
              <a:solidFill>
                <a:srgbClr val="4F81BD"/>
              </a:solidFill>
              <a:ln>
                <a:solidFill>
                  <a:sysClr val="window" lastClr="FFFFFF"/>
                </a:solidFill>
              </a:ln>
              <a:effectLst/>
            </c:spPr>
          </c:dPt>
          <c:dPt>
            <c:idx val="1"/>
            <c:bubble3D val="0"/>
            <c:spPr>
              <a:solidFill>
                <a:srgbClr val="C0504D"/>
              </a:solidFill>
              <a:ln>
                <a:solidFill>
                  <a:sysClr val="window" lastClr="FFFFFF"/>
                </a:solidFill>
              </a:ln>
              <a:effectLst/>
            </c:spPr>
          </c:dPt>
          <c:dPt>
            <c:idx val="2"/>
            <c:bubble3D val="0"/>
            <c:spPr>
              <a:solidFill>
                <a:srgbClr val="9BBB59"/>
              </a:solidFill>
              <a:ln>
                <a:solidFill>
                  <a:sysClr val="window" lastClr="FFFFFF"/>
                </a:solidFill>
              </a:ln>
              <a:effectLst/>
            </c:spPr>
          </c:dPt>
          <c:dPt>
            <c:idx val="3"/>
            <c:bubble3D val="0"/>
            <c:spPr>
              <a:solidFill>
                <a:srgbClr val="8064A2"/>
              </a:solidFill>
              <a:ln>
                <a:solidFill>
                  <a:sysClr val="window" lastClr="FFFFFF"/>
                </a:solidFill>
              </a:ln>
              <a:effectLst/>
            </c:spPr>
          </c:dPt>
          <c:dPt>
            <c:idx val="4"/>
            <c:bubble3D val="0"/>
            <c:spPr>
              <a:solidFill>
                <a:schemeClr val="accent5"/>
              </a:solidFill>
              <a:ln>
                <a:solidFill>
                  <a:sysClr val="window" lastClr="FFFFFF"/>
                </a:solidFill>
              </a:ln>
              <a:effectLst/>
            </c:spPr>
          </c:dPt>
          <c:dLbls>
            <c:delete val="1"/>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486.53</c:v>
                </c:pt>
                <c:pt idx="1">
                  <c:v>161.33</c:v>
                </c:pt>
                <c:pt idx="2">
                  <c:v>0</c:v>
                </c:pt>
                <c:pt idx="3">
                  <c:v>0</c:v>
                </c:pt>
                <c:pt idx="4">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manualLayout>
          <c:xMode val="edge"/>
          <c:yMode val="edge"/>
          <c:x val="0.10175949016348"/>
          <c:y val="0.169272976680384"/>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ysClr val="windowText" lastClr="000000">
                  <a:lumMod val="65000"/>
                  <a:lumOff val="35000"/>
                </a:sysClr>
              </a:solidFill>
              <a:latin typeface="+mn-lt"/>
              <a:ea typeface="+mn-ea"/>
              <a:cs typeface="+mn-cs"/>
            </a:defRPr>
          </a:pPr>
        </a:p>
      </c:txPr>
    </c:legend>
    <c:plotVisOnly val="1"/>
    <c:dispBlanksAs val="gap"/>
    <c:showDLblsOverMax val="0"/>
    <c:extLst>
      <c:ext uri="{0b15fc19-7d7d-44ad-8c2d-2c3a37ce22c3}">
        <chartProps xmlns="https://web.wps.cn/et/2018/main" chartId="{bfb90fd1-341a-49e6-b96c-68f3892177fc}"/>
      </c:ext>
    </c:extLst>
  </c:chart>
  <c:spPr>
    <a:solidFill>
      <a:sysClr val="window" lastClr="FFFFFF"/>
    </a:solidFill>
    <a:ln w="9525" cap="flat" cmpd="sng" algn="ctr">
      <a:solidFill>
        <a:sysClr val="windowText" lastClr="000000">
          <a:lumMod val="15000"/>
          <a:lumOff val="85000"/>
        </a:sys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200" b="0" i="0" u="none" strike="noStrike" kern="1200" baseline="0">
                <a:solidFill>
                  <a:sysClr val="windowText" lastClr="000000">
                    <a:lumMod val="75000"/>
                    <a:lumOff val="25000"/>
                  </a:sysClr>
                </a:solidFill>
                <a:latin typeface="+mn-lt"/>
                <a:ea typeface="+mn-ea"/>
                <a:cs typeface="+mn-cs"/>
              </a:defRPr>
            </a:pPr>
            <a:r>
              <a:rPr altLang="en-US" sz="1200" b="0"/>
              <a:t>图</a:t>
            </a:r>
            <a:r>
              <a:rPr lang="en-US" altLang="zh-CN" sz="1200" b="0"/>
              <a:t>4</a:t>
            </a:r>
            <a:r>
              <a:rPr altLang="en-US" sz="1200" b="0"/>
              <a:t>：财政拨款收、支决算总计变动情况</a:t>
            </a:r>
            <a:endParaRPr lang="en-US" altLang="zh-CN" sz="1200" b="0"/>
          </a:p>
        </c:rich>
      </c:tx>
      <c:layout>
        <c:manualLayout>
          <c:xMode val="edge"/>
          <c:yMode val="edge"/>
          <c:x val="0.221997882992028"/>
          <c:y val="0.0646385587080072"/>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2024年</c:v>
                </c:pt>
              </c:strCache>
            </c:strRef>
          </c:tx>
          <c:spPr>
            <a:solidFill>
              <a:srgbClr val="4F81BD"/>
            </a:solidFill>
            <a:ln>
              <a:noFill/>
            </a:ln>
            <a:effectLst/>
          </c:spPr>
          <c:invertIfNegative val="0"/>
          <c:dLbls>
            <c:delete val="1"/>
          </c:dLbls>
          <c:cat>
            <c:strRef>
              <c:f>Sheet1!$A$2</c:f>
              <c:strCache>
                <c:ptCount val="1"/>
                <c:pt idx="0">
                  <c:v>财政拨款收支决算</c:v>
                </c:pt>
              </c:strCache>
            </c:strRef>
          </c:cat>
          <c:val>
            <c:numRef>
              <c:f>Sheet1!$B$2</c:f>
              <c:numCache>
                <c:formatCode>General</c:formatCode>
                <c:ptCount val="1"/>
                <c:pt idx="0">
                  <c:v>708.93</c:v>
                </c:pt>
              </c:numCache>
            </c:numRef>
          </c:val>
        </c:ser>
        <c:ser>
          <c:idx val="1"/>
          <c:order val="1"/>
          <c:tx>
            <c:strRef>
              <c:f>Sheet1!$C$1</c:f>
              <c:strCache>
                <c:ptCount val="1"/>
                <c:pt idx="0">
                  <c:v>2025年</c:v>
                </c:pt>
              </c:strCache>
            </c:strRef>
          </c:tx>
          <c:spPr>
            <a:solidFill>
              <a:srgbClr val="C0504D"/>
            </a:solidFill>
            <a:ln>
              <a:noFill/>
            </a:ln>
            <a:effectLst/>
          </c:spPr>
          <c:invertIfNegative val="0"/>
          <c:dLbls>
            <c:delete val="1"/>
          </c:dLbls>
          <c:cat>
            <c:strRef>
              <c:f>Sheet1!$A$2</c:f>
              <c:strCache>
                <c:ptCount val="1"/>
                <c:pt idx="0">
                  <c:v>财政拨款收支决算</c:v>
                </c:pt>
              </c:strCache>
            </c:strRef>
          </c:cat>
          <c:val>
            <c:numRef>
              <c:f>Sheet1!$C$2</c:f>
              <c:numCache>
                <c:formatCode>General</c:formatCode>
                <c:ptCount val="1"/>
                <c:pt idx="0">
                  <c:v>647.86</c:v>
                </c:pt>
              </c:numCache>
            </c:numRef>
          </c:val>
        </c:ser>
        <c:ser>
          <c:idx val="2"/>
          <c:order val="2"/>
          <c:tx>
            <c:strRef>
              <c:f>Sheet1!#REF!</c:f>
              <c:strCache>
                <c:ptCount val="1"/>
                <c:pt idx="0">
                  <c:v/>
                </c:pt>
              </c:strCache>
            </c:strRef>
          </c:tx>
          <c:spPr>
            <a:solidFill>
              <a:srgbClr val="9BBB59"/>
            </a:solidFill>
            <a:ln>
              <a:noFill/>
            </a:ln>
            <a:effectLst/>
          </c:spPr>
          <c:invertIfNegative val="0"/>
          <c:dLbls>
            <c:delete val="1"/>
          </c:dLbls>
          <c:cat>
            <c:strRef>
              <c:f>Sheet1!$A$2</c:f>
              <c:strCache>
                <c:ptCount val="1"/>
                <c:pt idx="0">
                  <c:v>财政拨款收支决算</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46"/>
        <c:overlap val="-28"/>
        <c:axId val="345678350"/>
        <c:axId val="946289502"/>
      </c:barChart>
      <c:catAx>
        <c:axId val="345678350"/>
        <c:scaling>
          <c:orientation val="minMax"/>
        </c:scaling>
        <c:delete val="0"/>
        <c:axPos val="b"/>
        <c:majorTickMark val="none"/>
        <c:minorTickMark val="none"/>
        <c:tickLblPos val="nextTo"/>
        <c:spPr>
          <a:noFill/>
          <a:ln w="9525" cap="flat" cmpd="sng" algn="ctr">
            <a:solidFill>
              <a:sysClr val="windowText" lastClr="000000">
                <a:lumMod val="15000"/>
                <a:lumOff val="85000"/>
              </a:sysClr>
            </a:solidFill>
            <a:round/>
          </a:ln>
          <a:effectLst/>
        </c:spPr>
        <c:txPr>
          <a:bodyPr rot="-60000000" spcFirstLastPara="0" vertOverflow="ellipsis" vert="horz" wrap="square" anchor="ctr" anchorCtr="1"/>
          <a:lstStyle/>
          <a:p>
            <a:pPr>
              <a:defRPr lang="zh-CN" sz="900" b="1" i="0" u="none" strike="noStrike" kern="1200" baseline="0">
                <a:solidFill>
                  <a:sysClr val="windowText" lastClr="000000">
                    <a:lumMod val="65000"/>
                    <a:lumOff val="35000"/>
                  </a:sysClr>
                </a:solidFill>
                <a:latin typeface="+mn-lt"/>
                <a:ea typeface="+mn-ea"/>
                <a:cs typeface="+mn-cs"/>
              </a:defRPr>
            </a:pPr>
          </a:p>
        </c:txPr>
        <c:crossAx val="946289502"/>
        <c:crosses val="autoZero"/>
        <c:auto val="1"/>
        <c:lblAlgn val="ctr"/>
        <c:lblOffset val="100"/>
        <c:noMultiLvlLbl val="0"/>
      </c:catAx>
      <c:valAx>
        <c:axId val="946289502"/>
        <c:scaling>
          <c:orientation val="minMax"/>
        </c:scaling>
        <c:delete val="0"/>
        <c:axPos val="l"/>
        <c:majorGridlines>
          <c:spPr>
            <a:ln w="9525" cap="flat" cmpd="sng" algn="ctr">
              <a:solidFill>
                <a:sysClr val="window" lastClr="FFFFFF">
                  <a:lumMod val="90200"/>
                </a:sys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1" i="0" u="none" strike="noStrike" kern="1200" baseline="0">
                <a:solidFill>
                  <a:sysClr val="windowText" lastClr="000000">
                    <a:lumMod val="65000"/>
                    <a:lumOff val="35000"/>
                  </a:sysClr>
                </a:solidFill>
                <a:latin typeface="+mn-lt"/>
                <a:ea typeface="+mn-ea"/>
                <a:cs typeface="+mn-cs"/>
              </a:defRPr>
            </a:pPr>
          </a:p>
        </c:txPr>
        <c:crossAx val="345678350"/>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zh-CN" sz="900" b="1" i="0" u="none" strike="noStrike" kern="1200" baseline="0">
                <a:solidFill>
                  <a:sysClr val="windowText" lastClr="000000">
                    <a:lumMod val="65000"/>
                    <a:lumOff val="35000"/>
                  </a:sysClr>
                </a:solidFill>
                <a:latin typeface="+mn-lt"/>
                <a:ea typeface="+mn-ea"/>
                <a:cs typeface="+mn-cs"/>
              </a:defRPr>
            </a:pPr>
          </a:p>
        </c:txPr>
      </c:legendEntry>
      <c:legendEntry>
        <c:idx val="1"/>
        <c:txPr>
          <a:bodyPr rot="0" spcFirstLastPara="0" vertOverflow="ellipsis" vert="horz" wrap="square" anchor="ctr" anchorCtr="1"/>
          <a:lstStyle/>
          <a:p>
            <a:pPr>
              <a:defRPr lang="zh-CN" sz="900" b="1" i="0" u="none" strike="noStrike" kern="1200" baseline="0">
                <a:solidFill>
                  <a:sysClr val="windowText" lastClr="000000">
                    <a:lumMod val="65000"/>
                    <a:lumOff val="35000"/>
                  </a:sysClr>
                </a:solidFill>
                <a:latin typeface="+mn-lt"/>
                <a:ea typeface="+mn-ea"/>
                <a:cs typeface="+mn-cs"/>
              </a:defRPr>
            </a:pPr>
          </a:p>
        </c:txPr>
      </c:legendEntry>
      <c:legendEntry>
        <c:idx val="2"/>
        <c:txPr>
          <a:bodyPr rot="0" spcFirstLastPara="0" vertOverflow="ellipsis" vert="horz" wrap="square" anchor="ctr" anchorCtr="1"/>
          <a:lstStyle/>
          <a:p>
            <a:pPr>
              <a:defRPr lang="zh-CN" sz="900" b="1" i="0" u="none" strike="noStrike" kern="1200" baseline="0">
                <a:solidFill>
                  <a:sysClr val="windowText" lastClr="000000">
                    <a:lumMod val="65000"/>
                    <a:lumOff val="35000"/>
                  </a:sysClr>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900" b="1" i="0" u="none" strike="noStrike" kern="1200" baseline="0">
              <a:solidFill>
                <a:sysClr val="windowText" lastClr="000000">
                  <a:lumMod val="65000"/>
                  <a:lumOff val="35000"/>
                </a:sysClr>
              </a:solidFill>
              <a:latin typeface="+mn-lt"/>
              <a:ea typeface="+mn-ea"/>
              <a:cs typeface="+mn-cs"/>
            </a:defRPr>
          </a:pPr>
        </a:p>
      </c:txPr>
    </c:legend>
    <c:plotVisOnly val="1"/>
    <c:dispBlanksAs val="gap"/>
    <c:showDLblsOverMax val="0"/>
    <c:extLst>
      <c:ext uri="{0b15fc19-7d7d-44ad-8c2d-2c3a37ce22c3}">
        <chartProps xmlns="https://web.wps.cn/et/2018/main" chartId="{09ddb14f-c93c-4fec-a36b-02573975e230}"/>
      </c:ext>
    </c:extLst>
  </c:chart>
  <c:spPr>
    <a:solidFill>
      <a:sysClr val="window" lastClr="FFFFFF"/>
    </a:solidFill>
    <a:ln w="9525" cap="flat" cmpd="sng" algn="ctr">
      <a:solidFill>
        <a:sysClr val="windowText" lastClr="000000">
          <a:lumMod val="15000"/>
          <a:lumOff val="85000"/>
        </a:sysClr>
      </a:solidFill>
      <a:round/>
    </a:ln>
    <a:effectLst/>
  </c:spPr>
  <c:txPr>
    <a:bodyPr/>
    <a:lstStyle/>
    <a:p>
      <a:pPr>
        <a:defRPr lang="zh-CN" b="1"/>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200" b="0" i="0" u="none" strike="noStrike" kern="1200" baseline="0">
                <a:solidFill>
                  <a:sysClr val="windowText" lastClr="000000">
                    <a:lumMod val="75000"/>
                    <a:lumOff val="25000"/>
                  </a:sysClr>
                </a:solidFill>
                <a:latin typeface="+mn-lt"/>
                <a:ea typeface="+mn-ea"/>
                <a:cs typeface="+mn-cs"/>
              </a:defRPr>
            </a:pPr>
            <a:r>
              <a:rPr altLang="en-US" sz="1200" b="0"/>
              <a:t>图</a:t>
            </a:r>
            <a:r>
              <a:rPr lang="en-US" altLang="zh-CN" sz="1200" b="0"/>
              <a:t>5</a:t>
            </a:r>
            <a:r>
              <a:rPr altLang="en-US" sz="1200" b="0"/>
              <a:t>：一般公共预算财政拨款支出决算变动情况</a:t>
            </a:r>
            <a:endParaRPr lang="en-US" altLang="zh-CN" sz="1200" b="0"/>
          </a:p>
        </c:rich>
      </c:tx>
      <c:layout>
        <c:manualLayout>
          <c:xMode val="edge"/>
          <c:yMode val="edge"/>
          <c:x val="0.188650654980356"/>
          <c:y val="0.0395570437845058"/>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2024年</c:v>
                </c:pt>
              </c:strCache>
            </c:strRef>
          </c:tx>
          <c:spPr>
            <a:solidFill>
              <a:srgbClr val="4F81BD"/>
            </a:solidFill>
            <a:ln>
              <a:noFill/>
            </a:ln>
            <a:effectLst/>
          </c:spPr>
          <c:invertIfNegative val="0"/>
          <c:dLbls>
            <c:delete val="1"/>
          </c:dLbls>
          <c:cat>
            <c:strRef>
              <c:f>Sheet1!$A$2</c:f>
              <c:strCache>
                <c:ptCount val="1"/>
                <c:pt idx="0">
                  <c:v>一般公共预算财政拨款支出</c:v>
                </c:pt>
              </c:strCache>
            </c:strRef>
          </c:cat>
          <c:val>
            <c:numRef>
              <c:f>Sheet1!$B$2</c:f>
              <c:numCache>
                <c:formatCode>General</c:formatCode>
                <c:ptCount val="1"/>
                <c:pt idx="0">
                  <c:v>708.93</c:v>
                </c:pt>
              </c:numCache>
            </c:numRef>
          </c:val>
        </c:ser>
        <c:ser>
          <c:idx val="1"/>
          <c:order val="1"/>
          <c:tx>
            <c:strRef>
              <c:f>Sheet1!$C$1</c:f>
              <c:strCache>
                <c:ptCount val="1"/>
                <c:pt idx="0">
                  <c:v>2025年</c:v>
                </c:pt>
              </c:strCache>
            </c:strRef>
          </c:tx>
          <c:spPr>
            <a:solidFill>
              <a:srgbClr val="C0504D"/>
            </a:solidFill>
            <a:ln>
              <a:noFill/>
            </a:ln>
            <a:effectLst/>
          </c:spPr>
          <c:invertIfNegative val="0"/>
          <c:dLbls>
            <c:delete val="1"/>
          </c:dLbls>
          <c:cat>
            <c:strRef>
              <c:f>Sheet1!$A$2</c:f>
              <c:strCache>
                <c:ptCount val="1"/>
                <c:pt idx="0">
                  <c:v>一般公共预算财政拨款支出</c:v>
                </c:pt>
              </c:strCache>
            </c:strRef>
          </c:cat>
          <c:val>
            <c:numRef>
              <c:f>Sheet1!$C$2</c:f>
              <c:numCache>
                <c:formatCode>General</c:formatCode>
                <c:ptCount val="1"/>
                <c:pt idx="0">
                  <c:v>647.86</c:v>
                </c:pt>
              </c:numCache>
            </c:numRef>
          </c:val>
        </c:ser>
        <c:ser>
          <c:idx val="2"/>
          <c:order val="2"/>
          <c:tx>
            <c:strRef>
              <c:f>Sheet1!#REF!</c:f>
              <c:strCache>
                <c:ptCount val="1"/>
                <c:pt idx="0">
                  <c:v/>
                </c:pt>
              </c:strCache>
            </c:strRef>
          </c:tx>
          <c:spPr>
            <a:solidFill>
              <a:srgbClr val="9BBB59"/>
            </a:solidFill>
            <a:ln>
              <a:noFill/>
            </a:ln>
            <a:effectLst/>
          </c:spPr>
          <c:invertIfNegative val="0"/>
          <c:dLbls>
            <c:delete val="1"/>
          </c:dLbls>
          <c:cat>
            <c:strRef>
              <c:f>Sheet1!$A$2</c:f>
              <c:strCache>
                <c:ptCount val="1"/>
                <c:pt idx="0">
                  <c:v>一般公共预算财政拨款支出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46"/>
        <c:overlap val="-28"/>
        <c:axId val="345678350"/>
        <c:axId val="946289502"/>
      </c:barChart>
      <c:catAx>
        <c:axId val="345678350"/>
        <c:scaling>
          <c:orientation val="minMax"/>
        </c:scaling>
        <c:delete val="0"/>
        <c:axPos val="b"/>
        <c:majorTickMark val="none"/>
        <c:minorTickMark val="none"/>
        <c:tickLblPos val="nextTo"/>
        <c:spPr>
          <a:noFill/>
          <a:ln w="9525" cap="flat" cmpd="sng" algn="ctr">
            <a:solidFill>
              <a:sysClr val="windowText" lastClr="000000">
                <a:lumMod val="15000"/>
                <a:lumOff val="85000"/>
              </a:sysClr>
            </a:solidFill>
            <a:round/>
          </a:ln>
          <a:effectLst/>
        </c:spPr>
        <c:txPr>
          <a:bodyPr rot="-60000000" spcFirstLastPara="0" vertOverflow="ellipsis" vert="horz" wrap="square" anchor="ctr" anchorCtr="1"/>
          <a:lstStyle/>
          <a:p>
            <a:pPr>
              <a:defRPr lang="zh-CN" sz="900" b="1" i="0" u="none" strike="noStrike" kern="1200" baseline="0">
                <a:solidFill>
                  <a:sysClr val="windowText" lastClr="000000">
                    <a:lumMod val="65000"/>
                    <a:lumOff val="35000"/>
                  </a:sysClr>
                </a:solidFill>
                <a:latin typeface="+mn-lt"/>
                <a:ea typeface="+mn-ea"/>
                <a:cs typeface="+mn-cs"/>
              </a:defRPr>
            </a:pPr>
          </a:p>
        </c:txPr>
        <c:crossAx val="946289502"/>
        <c:crosses val="autoZero"/>
        <c:auto val="1"/>
        <c:lblAlgn val="ctr"/>
        <c:lblOffset val="100"/>
        <c:noMultiLvlLbl val="0"/>
      </c:catAx>
      <c:valAx>
        <c:axId val="946289502"/>
        <c:scaling>
          <c:orientation val="minMax"/>
        </c:scaling>
        <c:delete val="0"/>
        <c:axPos val="l"/>
        <c:majorGridlines>
          <c:spPr>
            <a:ln w="9525" cap="flat" cmpd="sng" algn="ctr">
              <a:solidFill>
                <a:sysClr val="window" lastClr="FFFFFF">
                  <a:lumMod val="90200"/>
                </a:sys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1" i="0" u="none" strike="noStrike" kern="1200" baseline="0">
                <a:solidFill>
                  <a:sysClr val="windowText" lastClr="000000">
                    <a:lumMod val="65000"/>
                    <a:lumOff val="35000"/>
                  </a:sysClr>
                </a:solidFill>
                <a:latin typeface="+mn-lt"/>
                <a:ea typeface="+mn-ea"/>
                <a:cs typeface="+mn-cs"/>
              </a:defRPr>
            </a:pPr>
          </a:p>
        </c:txPr>
        <c:crossAx val="345678350"/>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zh-CN" sz="900" b="1" i="0" u="none" strike="noStrike" kern="1200" baseline="0">
                <a:solidFill>
                  <a:sysClr val="windowText" lastClr="000000">
                    <a:lumMod val="65000"/>
                    <a:lumOff val="35000"/>
                  </a:sysClr>
                </a:solidFill>
                <a:latin typeface="+mn-lt"/>
                <a:ea typeface="+mn-ea"/>
                <a:cs typeface="+mn-cs"/>
              </a:defRPr>
            </a:pPr>
          </a:p>
        </c:txPr>
      </c:legendEntry>
      <c:legendEntry>
        <c:idx val="1"/>
        <c:txPr>
          <a:bodyPr rot="0" spcFirstLastPara="0" vertOverflow="ellipsis" vert="horz" wrap="square" anchor="ctr" anchorCtr="1"/>
          <a:lstStyle/>
          <a:p>
            <a:pPr>
              <a:defRPr lang="zh-CN" sz="900" b="1" i="0" u="none" strike="noStrike" kern="1200" baseline="0">
                <a:solidFill>
                  <a:sysClr val="windowText" lastClr="000000">
                    <a:lumMod val="65000"/>
                    <a:lumOff val="35000"/>
                  </a:sysClr>
                </a:solidFill>
                <a:latin typeface="+mn-lt"/>
                <a:ea typeface="+mn-ea"/>
                <a:cs typeface="+mn-cs"/>
              </a:defRPr>
            </a:pPr>
          </a:p>
        </c:txPr>
      </c:legendEntry>
      <c:legendEntry>
        <c:idx val="2"/>
        <c:txPr>
          <a:bodyPr rot="0" spcFirstLastPara="0" vertOverflow="ellipsis" vert="horz" wrap="square" anchor="ctr" anchorCtr="1"/>
          <a:lstStyle/>
          <a:p>
            <a:pPr>
              <a:defRPr lang="zh-CN" sz="900" b="1" i="0" u="none" strike="noStrike" kern="1200" baseline="0">
                <a:solidFill>
                  <a:sysClr val="windowText" lastClr="000000">
                    <a:lumMod val="65000"/>
                    <a:lumOff val="35000"/>
                  </a:sysClr>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900" b="1" i="0" u="none" strike="noStrike" kern="1200" baseline="0">
              <a:solidFill>
                <a:sysClr val="windowText" lastClr="000000">
                  <a:lumMod val="65000"/>
                  <a:lumOff val="35000"/>
                </a:sysClr>
              </a:solidFill>
              <a:latin typeface="+mn-lt"/>
              <a:ea typeface="+mn-ea"/>
              <a:cs typeface="+mn-cs"/>
            </a:defRPr>
          </a:pPr>
        </a:p>
      </c:txPr>
    </c:legend>
    <c:plotVisOnly val="1"/>
    <c:dispBlanksAs val="gap"/>
    <c:showDLblsOverMax val="0"/>
    <c:extLst>
      <c:ext uri="{0b15fc19-7d7d-44ad-8c2d-2c3a37ce22c3}">
        <chartProps xmlns="https://web.wps.cn/et/2018/main" chartId="{2798bfa8-1d58-4675-8962-a4f7c537f9a8}"/>
      </c:ext>
    </c:extLst>
  </c:chart>
  <c:spPr>
    <a:solidFill>
      <a:sysClr val="window" lastClr="FFFFFF"/>
    </a:solidFill>
    <a:ln w="9525" cap="flat" cmpd="sng" algn="ctr">
      <a:solidFill>
        <a:sysClr val="windowText" lastClr="000000">
          <a:lumMod val="15000"/>
          <a:lumOff val="85000"/>
        </a:sysClr>
      </a:solidFill>
      <a:round/>
    </a:ln>
    <a:effectLst/>
  </c:spPr>
  <c:txPr>
    <a:bodyPr/>
    <a:lstStyle/>
    <a:p>
      <a:pPr>
        <a:defRPr lang="zh-CN" b="1"/>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图</a:t>
            </a:r>
            <a:r>
              <a:rPr lang="en-US" altLang="zh-CN"/>
              <a:t>6</a:t>
            </a:r>
            <a:r>
              <a:rPr altLang="en-US"/>
              <a:t>：一般公共预算财政拨款支出决算结构</a:t>
            </a:r>
            <a:endParaRPr altLang="en-US"/>
          </a:p>
        </c:rich>
      </c:tx>
      <c:layout/>
      <c:overlay val="0"/>
      <c:spPr>
        <a:noFill/>
        <a:ln>
          <a:noFill/>
        </a:ln>
        <a:effectLst/>
      </c:spPr>
    </c:title>
    <c:autoTitleDeleted val="0"/>
    <c:plotArea>
      <c:layout/>
      <c:pieChart>
        <c:varyColors val="1"/>
        <c:ser>
          <c:idx val="0"/>
          <c:order val="0"/>
          <c:tx>
            <c:strRef>
              <c:f>Sheet1!$B$1</c:f>
              <c:strCache>
                <c:ptCount val="1"/>
                <c:pt idx="0">
                  <c:v>一般公共预算财政拨款支出决算结构</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delete val="1"/>
          </c:dLbls>
          <c:cat>
            <c:strRef>
              <c:f>Sheet1!$A$2:$A$5</c:f>
              <c:strCache>
                <c:ptCount val="4"/>
                <c:pt idx="0">
                  <c:v>一般公共服务支出</c:v>
                </c:pt>
                <c:pt idx="1">
                  <c:v>社会保障和就业支出</c:v>
                </c:pt>
                <c:pt idx="2">
                  <c:v>卫生健康支出</c:v>
                </c:pt>
                <c:pt idx="3">
                  <c:v>住房保障支出</c:v>
                </c:pt>
              </c:strCache>
            </c:strRef>
          </c:cat>
          <c:val>
            <c:numRef>
              <c:f>Sheet1!$B$2:$B$5</c:f>
              <c:numCache>
                <c:formatCode>General</c:formatCode>
                <c:ptCount val="4"/>
                <c:pt idx="0">
                  <c:v>492.14</c:v>
                </c:pt>
                <c:pt idx="1">
                  <c:v>94.09</c:v>
                </c:pt>
                <c:pt idx="2">
                  <c:v>27.83</c:v>
                </c:pt>
                <c:pt idx="3">
                  <c:v>33.79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e3cd2bd-b054-4dca-aaf4-bc9da04d419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sz="1200" b="0"/>
              <a:t>图</a:t>
            </a:r>
            <a:r>
              <a:rPr lang="en-US" altLang="zh-CN" sz="1200" b="0"/>
              <a:t>7</a:t>
            </a:r>
            <a:r>
              <a:rPr altLang="zh-CN" sz="1200" b="0"/>
              <a:t>：</a:t>
            </a:r>
            <a:r>
              <a:rPr lang="en-US" altLang="zh-CN" sz="1200" b="0"/>
              <a:t>“</a:t>
            </a:r>
            <a:r>
              <a:rPr altLang="zh-CN" sz="1200" b="0"/>
              <a:t>三公</a:t>
            </a:r>
            <a:r>
              <a:rPr lang="en-US" altLang="zh-CN" sz="1200" b="0"/>
              <a:t>”</a:t>
            </a:r>
            <a:r>
              <a:rPr altLang="en-US" sz="1200" b="0"/>
              <a:t>经费财政拨款支出结构</a:t>
            </a:r>
            <a:endParaRPr altLang="en-US" sz="1200" b="0"/>
          </a:p>
        </c:rich>
      </c:tx>
      <c:layout/>
      <c:overlay val="0"/>
      <c:spPr>
        <a:noFill/>
        <a:ln>
          <a:noFill/>
        </a:ln>
        <a:effectLst/>
      </c:spPr>
    </c:title>
    <c:autoTitleDeleted val="0"/>
    <c:plotArea>
      <c:layout/>
      <c:pieChart>
        <c:varyColors val="1"/>
        <c:ser>
          <c:idx val="0"/>
          <c:order val="0"/>
          <c:tx>
            <c:strRef>
              <c:f>Sheet1!$B$1</c:f>
              <c:strCache>
                <c:ptCount val="1"/>
                <c:pt idx="0">
                  <c:v>“三公"经费财政拨款</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Lbls>
            <c:delete val="1"/>
          </c:dLbls>
          <c:cat>
            <c:strRef>
              <c:f>Sheet1!$A$2:$A$4</c:f>
              <c:strCache>
                <c:ptCount val="3"/>
                <c:pt idx="0">
                  <c:v>因公出国（境）经费</c:v>
                </c:pt>
                <c:pt idx="1">
                  <c:v>公务用车购置及运行维护费</c:v>
                </c:pt>
                <c:pt idx="2">
                  <c:v>公务接待费</c:v>
                </c:pt>
              </c:strCache>
            </c:strRef>
          </c:cat>
          <c:val>
            <c:numRef>
              <c:f>Sheet1!$B$2:$B$4</c:f>
              <c:numCache>
                <c:formatCode>General</c:formatCode>
                <c:ptCount val="3"/>
                <c:pt idx="0">
                  <c:v>0</c:v>
                </c:pt>
                <c:pt idx="1">
                  <c:v>0.28</c:v>
                </c:pt>
                <c:pt idx="2">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egendEntry>
        <c:idx val="0"/>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legendEntry>
      <c:legendEntry>
        <c:idx val="2"/>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3163f50-d8ac-4602-9d91-5ce58b10a9d5}"/>
      </c:ext>
    </c:extLst>
  </c:chart>
  <c:spPr>
    <a:solidFill>
      <a:schemeClr val="bg1"/>
    </a:solidFill>
    <a:ln w="9525" cap="flat" cmpd="sng" algn="ctr">
      <a:solidFill>
        <a:schemeClr val="tx1">
          <a:lumMod val="15000"/>
          <a:lumOff val="85000"/>
        </a:schemeClr>
      </a:solidFill>
      <a:round/>
    </a:ln>
    <a:effectLst/>
  </c:spPr>
  <c:txPr>
    <a:bodyPr/>
    <a:lstStyle/>
    <a:p>
      <a:pPr>
        <a:defRPr lang="zh-CN" b="1"/>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ysClr val="windowText" lastClr="000000">
        <a:lumMod val="65000"/>
        <a:lumOff val="35000"/>
      </a:sysClr>
    </cs:fontRef>
    <cs:defRPr sz="1000" kern="1200"/>
  </cs:axisTitle>
  <cs:categoryAxis>
    <cs:lnRef idx="0"/>
    <cs:fillRef idx="0"/>
    <cs:effectRef idx="0"/>
    <cs:fontRef idx="minor">
      <a:sysClr val="windowText" lastClr="000000">
        <a:lumMod val="65000"/>
        <a:lumOff val="35000"/>
      </a:sysClr>
    </cs:fontRef>
    <cs:spPr>
      <a:ln w="9525" cap="flat" cmpd="sng" algn="ctr">
        <a:solidFill>
          <a:sysClr val="windowText" lastClr="000000">
            <a:lumMod val="15000"/>
            <a:lumOff val="85000"/>
          </a:sysClr>
        </a:solidFill>
        <a:round/>
      </a:ln>
    </cs:spPr>
    <cs:defRPr sz="900" kern="1200"/>
  </cs:categoryAxis>
  <cs:chartArea mods="allowNoFillOverride allowNoLineOverride">
    <cs:lnRef idx="0"/>
    <cs:fillRef idx="0"/>
    <cs:effectRef idx="0"/>
    <cs:fontRef idx="minor">
      <a:sysClr val="windowText" lastClr="000000"/>
    </cs:fontRef>
    <cs:spPr>
      <a:solidFill>
        <a:sysClr val="window" lastClr="FFFFFF"/>
      </a:solidFill>
      <a:ln w="9525" cap="flat" cmpd="sng" algn="ctr">
        <a:solidFill>
          <a:sysClr val="windowText" lastClr="000000">
            <a:lumMod val="15000"/>
            <a:lumOff val="85000"/>
          </a:sysClr>
        </a:solidFill>
        <a:round/>
      </a:ln>
    </cs:spPr>
    <cs:defRPr sz="900" kern="1200"/>
  </cs:chartArea>
  <cs:dataLabel>
    <cs:lnRef idx="0"/>
    <cs:fillRef idx="0"/>
    <cs:effectRef idx="0"/>
    <cs:fontRef idx="minor">
      <a:sysClr val="windowText" lastClr="000000">
        <a:lumMod val="75000"/>
        <a:lumOff val="25000"/>
      </a:sysClr>
    </cs:fontRef>
    <cs:defRPr sz="1000" kern="1200"/>
  </cs:dataLabel>
  <cs:dataLabelCallout>
    <cs:lnRef idx="0"/>
    <cs:fillRef idx="0"/>
    <cs:effectRef idx="0"/>
    <cs:fontRef idx="minor">
      <a:sysClr val="windowText" lastClr="000000">
        <a:lumMod val="65000"/>
        <a:lumOff val="35000"/>
      </a:sysClr>
    </cs:fontRef>
    <cs:spPr>
      <a:solidFill>
        <a:sysClr val="window" lastClr="FFFFFF"/>
      </a:solidFill>
      <a:ln>
        <a:solidFill>
          <a:sysClr val="windowText" lastClr="000000">
            <a:lumMod val="25000"/>
            <a:lumOff val="75000"/>
          </a:sys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ysClr val="windowText" lastClr="000000"/>
    </cs:fontRef>
    <cs:spPr>
      <a:ln>
        <a:solidFill>
          <a:sysClr val="window" lastClr="FFFFFF"/>
        </a:solidFill>
      </a:ln>
      <a:effectLst/>
    </cs:spPr>
  </cs:dataPoint>
  <cs:dataPoint3D>
    <cs:lnRef idx="0"/>
    <cs:fillRef idx="1">
      <cs:styleClr val="auto"/>
    </cs:fillRef>
    <cs:effectRef idx="0"/>
    <cs:fontRef idx="minor">
      <a:sysClr val="windowText" lastClr="000000"/>
    </cs:fontRef>
    <cs:spPr>
      <a:ln w="25400">
        <a:solidFill>
          <a:sysClr val="window" lastClr="FFFFFF"/>
        </a:solidFill>
      </a:ln>
    </cs:spPr>
  </cs:dataPoint3D>
  <cs:dataPointLine>
    <cs:lnRef idx="0">
      <cs:styleClr val="auto"/>
    </cs:lnRef>
    <cs:fillRef idx="0"/>
    <cs:effectRef idx="0"/>
    <cs:fontRef idx="minor">
      <a:sysClr val="windowText" lastClr="000000"/>
    </cs:fontRef>
    <cs:spPr>
      <a:ln w="28575" cap="rnd">
        <a:solidFill>
          <a:schemeClr val="phClr"/>
        </a:solidFill>
        <a:round/>
      </a:ln>
    </cs:spPr>
  </cs:dataPointLine>
  <cs:dataPointMarker>
    <cs:lnRef idx="0">
      <cs:styleClr val="auto"/>
    </cs:lnRef>
    <cs:fillRef idx="1">
      <cs:styleClr val="auto"/>
    </cs:fillRef>
    <cs:effectRef idx="0"/>
    <cs:fontRef idx="minor">
      <a:sysClr val="windowText" lastClr="000000"/>
    </cs:fontRef>
    <cs:spPr>
      <a:ln w="9525">
        <a:solidFill>
          <a:schemeClr val="phClr"/>
        </a:solidFill>
      </a:ln>
    </cs:spPr>
  </cs:dataPointMarker>
  <cs:dataPointMarkerLayout symbol="circle" size="5"/>
  <cs:dataPointWireframe>
    <cs:lnRef idx="0">
      <cs:styleClr val="auto"/>
    </cs:lnRef>
    <cs:fillRef idx="0"/>
    <cs:effectRef idx="0"/>
    <cs:fontRef idx="minor">
      <a:sysClr val="windowText" lastClr="000000"/>
    </cs:fontRef>
    <cs:spPr>
      <a:ln w="9525" cap="rnd">
        <a:solidFill>
          <a:schemeClr val="phClr"/>
        </a:solidFill>
        <a:round/>
      </a:ln>
    </cs:spPr>
  </cs:dataPointWireframe>
  <cs:dataTable>
    <cs:lnRef idx="0"/>
    <cs:fillRef idx="0"/>
    <cs:effectRef idx="0"/>
    <cs:fontRef idx="minor">
      <a:sysClr val="windowText" lastClr="000000">
        <a:lumMod val="65000"/>
        <a:lumOff val="35000"/>
      </a:sysClr>
    </cs:fontRef>
    <cs:spPr>
      <a:noFill/>
      <a:ln w="9525" cap="flat" cmpd="sng" algn="ctr">
        <a:solidFill>
          <a:sysClr val="windowText" lastClr="000000">
            <a:lumMod val="15000"/>
            <a:lumOff val="85000"/>
          </a:sysClr>
        </a:solidFill>
        <a:round/>
      </a:ln>
    </cs:spPr>
    <cs:defRPr sz="900" kern="1200"/>
  </cs:dataTable>
  <cs:downBar>
    <cs:lnRef idx="0"/>
    <cs:fillRef idx="0"/>
    <cs:effectRef idx="0"/>
    <cs:fontRef idx="minor">
      <a:sysClr val="windowText" lastClr="000000"/>
    </cs:fontRef>
    <cs:spPr>
      <a:solidFill>
        <a:sysClr val="windowText" lastClr="000000">
          <a:lumMod val="75000"/>
          <a:lumOff val="25000"/>
        </a:sysClr>
      </a:solidFill>
      <a:ln w="9525" cap="flat" cmpd="sng" algn="ctr">
        <a:solidFill>
          <a:sysClr val="windowText" lastClr="000000">
            <a:lumMod val="65000"/>
            <a:lumOff val="35000"/>
          </a:sysClr>
        </a:solidFill>
        <a:round/>
      </a:ln>
    </cs:spPr>
  </cs:downBar>
  <cs:dropLine>
    <cs:lnRef idx="0"/>
    <cs:fillRef idx="0"/>
    <cs:effectRef idx="0"/>
    <cs:fontRef idx="minor">
      <a:sysClr val="windowText" lastClr="000000"/>
    </cs:fontRef>
    <cs:spPr>
      <a:ln w="9525" cap="flat" cmpd="sng" algn="ctr">
        <a:solidFill>
          <a:sysClr val="windowText" lastClr="000000">
            <a:lumMod val="35000"/>
            <a:lumOff val="65000"/>
          </a:sysClr>
        </a:solidFill>
        <a:round/>
      </a:ln>
    </cs:spPr>
  </cs:dropLine>
  <cs:errorBar>
    <cs:lnRef idx="0"/>
    <cs:fillRef idx="0"/>
    <cs:effectRef idx="0"/>
    <cs:fontRef idx="minor">
      <a:sysClr val="windowText" lastClr="000000"/>
    </cs:fontRef>
    <cs:spPr>
      <a:ln w="9525" cap="flat" cmpd="sng" algn="ctr">
        <a:solidFill>
          <a:sysClr val="windowText" lastClr="000000">
            <a:lumMod val="65000"/>
            <a:lumOff val="35000"/>
          </a:sysClr>
        </a:solidFill>
        <a:round/>
      </a:ln>
    </cs:spPr>
  </cs:errorBar>
  <cs:floor>
    <cs:lnRef idx="0"/>
    <cs:fillRef idx="0"/>
    <cs:effectRef idx="0"/>
    <cs:fontRef idx="minor">
      <a:sysClr val="windowText" lastClr="000000"/>
    </cs:fontRef>
    <cs:spPr>
      <a:noFill/>
      <a:ln>
        <a:noFill/>
      </a:ln>
    </cs:spPr>
  </cs:floor>
  <cs:gridlineMajor>
    <cs:lnRef idx="0"/>
    <cs:fillRef idx="0"/>
    <cs:effectRef idx="0"/>
    <cs:fontRef idx="minor">
      <a:sysClr val="windowText" lastClr="000000"/>
    </cs:fontRef>
    <cs:spPr>
      <a:ln w="9525" cap="flat" cmpd="sng" algn="ctr">
        <a:solidFill>
          <a:sysClr val="window" lastClr="FFFFFF">
            <a:lumMod val="90200"/>
          </a:sysClr>
        </a:solidFill>
        <a:round/>
      </a:ln>
    </cs:spPr>
  </cs:gridlineMajor>
  <cs:gridlineMinor>
    <cs:lnRef idx="0"/>
    <cs:fillRef idx="0"/>
    <cs:effectRef idx="0"/>
    <cs:fontRef idx="minor">
      <a:sysClr val="windowText" lastClr="000000"/>
    </cs:fontRef>
    <cs:spPr>
      <a:ln w="9525" cap="flat" cmpd="sng" algn="ctr">
        <a:solidFill>
          <a:sysClr val="windowText" lastClr="000000">
            <a:lumMod val="5000"/>
            <a:lumOff val="95000"/>
          </a:sysClr>
        </a:solidFill>
        <a:round/>
      </a:ln>
    </cs:spPr>
  </cs:gridlineMinor>
  <cs:hiLoLine>
    <cs:lnRef idx="0"/>
    <cs:fillRef idx="0"/>
    <cs:effectRef idx="0"/>
    <cs:fontRef idx="minor">
      <a:sysClr val="windowText" lastClr="000000"/>
    </cs:fontRef>
    <cs:spPr>
      <a:ln w="9525" cap="flat" cmpd="sng" algn="ctr">
        <a:solidFill>
          <a:sysClr val="windowText" lastClr="000000">
            <a:lumMod val="50000"/>
            <a:lumOff val="50000"/>
          </a:sysClr>
        </a:solidFill>
        <a:round/>
      </a:ln>
    </cs:spPr>
  </cs:hiLoLine>
  <cs:leaderLine>
    <cs:lnRef idx="0"/>
    <cs:fillRef idx="0"/>
    <cs:effectRef idx="0"/>
    <cs:fontRef idx="minor">
      <a:sysClr val="windowText" lastClr="000000"/>
    </cs:fontRef>
    <cs:spPr>
      <a:ln w="9525" cap="flat" cmpd="sng" algn="ctr">
        <a:solidFill>
          <a:sysClr val="windowText" lastClr="000000">
            <a:lumMod val="35000"/>
            <a:lumOff val="65000"/>
          </a:sysClr>
        </a:solidFill>
        <a:round/>
      </a:ln>
    </cs:spPr>
  </cs:leaderLine>
  <cs:legend>
    <cs:lnRef idx="0"/>
    <cs:fillRef idx="0"/>
    <cs:effectRef idx="0"/>
    <cs:fontRef idx="minor">
      <a:sysClr val="windowText" lastClr="000000">
        <a:lumMod val="65000"/>
        <a:lumOff val="35000"/>
      </a:sysClr>
    </cs:fontRef>
    <cs:defRPr sz="900" kern="1200"/>
  </cs:legend>
  <cs:plotArea mods="allowNoFillOverride allowNoLineOverride">
    <cs:lnRef idx="0"/>
    <cs:fillRef idx="0"/>
    <cs:effectRef idx="0"/>
    <cs:fontRef idx="minor">
      <a:sysClr val="windowText" lastClr="000000"/>
    </cs:fontRef>
  </cs:plotArea>
  <cs:plotArea3D mods="allowNoFillOverride allowNoLineOverride">
    <cs:lnRef idx="0"/>
    <cs:fillRef idx="0"/>
    <cs:effectRef idx="0"/>
    <cs:fontRef idx="minor">
      <a:sysClr val="windowText" lastClr="000000"/>
    </cs:fontRef>
  </cs:plotArea3D>
  <cs:seriesAxis>
    <cs:lnRef idx="0"/>
    <cs:fillRef idx="0"/>
    <cs:effectRef idx="0"/>
    <cs:fontRef idx="minor">
      <a:sysClr val="windowText" lastClr="000000">
        <a:lumMod val="65000"/>
        <a:lumOff val="35000"/>
      </a:sysClr>
    </cs:fontRef>
    <cs:defRPr sz="900" kern="1200"/>
  </cs:seriesAxis>
  <cs:seriesLine>
    <cs:lnRef idx="0"/>
    <cs:fillRef idx="0"/>
    <cs:effectRef idx="0"/>
    <cs:fontRef idx="minor">
      <a:sysClr val="windowText" lastClr="000000"/>
    </cs:fontRef>
    <cs:spPr>
      <a:ln w="9525" cap="flat" cmpd="sng" algn="ctr">
        <a:solidFill>
          <a:sysClr val="windowText" lastClr="000000">
            <a:lumMod val="35000"/>
            <a:lumOff val="65000"/>
          </a:sysClr>
        </a:solidFill>
        <a:round/>
      </a:ln>
    </cs:spPr>
  </cs:seriesLine>
  <cs:title>
    <cs:lnRef idx="0"/>
    <cs:fillRef idx="0"/>
    <cs:effectRef idx="0"/>
    <cs:fontRef idx="minor">
      <a:sysClr val="windowText" lastClr="000000">
        <a:lumMod val="75000"/>
        <a:lumOff val="25000"/>
      </a:sysClr>
    </cs:fontRef>
    <cs:defRPr sz="1400" b="1" kern="1200" baseline="0"/>
  </cs:title>
  <cs:trendline>
    <cs:lnRef idx="0">
      <cs:styleClr val="auto"/>
    </cs:lnRef>
    <cs:fillRef idx="0"/>
    <cs:effectRef idx="0"/>
    <cs:fontRef idx="minor">
      <a:sysClr val="windowText" lastClr="000000"/>
    </cs:fontRef>
    <cs:spPr>
      <a:ln w="19050" cap="rnd">
        <a:solidFill>
          <a:schemeClr val="phClr"/>
        </a:solidFill>
        <a:prstDash val="sysDot"/>
      </a:ln>
    </cs:spPr>
  </cs:trendline>
  <cs:trendlineLabel>
    <cs:lnRef idx="0"/>
    <cs:fillRef idx="0"/>
    <cs:effectRef idx="0"/>
    <cs:fontRef idx="minor">
      <a:sysClr val="windowText" lastClr="000000">
        <a:lumMod val="65000"/>
        <a:lumOff val="35000"/>
      </a:sysClr>
    </cs:fontRef>
    <cs:defRPr sz="900" kern="1200"/>
  </cs:trendlineLabel>
  <cs:upBar>
    <cs:lnRef idx="0"/>
    <cs:fillRef idx="0"/>
    <cs:effectRef idx="0"/>
    <cs:fontRef idx="minor">
      <a:sysClr val="windowText" lastClr="000000"/>
    </cs:fontRef>
    <cs:spPr>
      <a:solidFill>
        <a:sysClr val="window" lastClr="FFFFFF"/>
      </a:solidFill>
      <a:ln w="9525" cap="flat" cmpd="sng" algn="ctr">
        <a:solidFill>
          <a:sysClr val="windowText" lastClr="000000">
            <a:lumMod val="65000"/>
            <a:lumOff val="35000"/>
          </a:sysClr>
        </a:solidFill>
        <a:round/>
      </a:ln>
    </cs:spPr>
  </cs:upBar>
  <cs:valueAxis>
    <cs:lnRef idx="0"/>
    <cs:fillRef idx="0"/>
    <cs:effectRef idx="0"/>
    <cs:fontRef idx="minor">
      <a:sysClr val="windowText" lastClr="000000">
        <a:lumMod val="65000"/>
        <a:lumOff val="35000"/>
      </a:sysClr>
    </cs:fontRef>
    <cs:defRPr sz="900" kern="1200"/>
  </cs:valueAxis>
  <cs:wall>
    <cs:lnRef idx="0"/>
    <cs:fillRef idx="0"/>
    <cs:effectRef idx="0"/>
    <cs:fontRef idx="minor">
      <a:sysClr val="windowText" lastClr="000000"/>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ysClr val="windowText" lastClr="000000">
        <a:lumMod val="65000"/>
        <a:lumOff val="35000"/>
      </a:sysClr>
    </cs:fontRef>
    <cs:defRPr sz="1000" kern="1200"/>
  </cs:axisTitle>
  <cs:categoryAxis>
    <cs:lnRef idx="0"/>
    <cs:fillRef idx="0"/>
    <cs:effectRef idx="0"/>
    <cs:fontRef idx="minor">
      <a:sysClr val="windowText" lastClr="000000">
        <a:lumMod val="65000"/>
        <a:lumOff val="35000"/>
      </a:sysClr>
    </cs:fontRef>
    <cs:spPr>
      <a:ln w="9525" cap="flat" cmpd="sng" algn="ctr">
        <a:solidFill>
          <a:sysClr val="windowText" lastClr="000000">
            <a:lumMod val="15000"/>
            <a:lumOff val="85000"/>
          </a:sysClr>
        </a:solidFill>
        <a:round/>
      </a:ln>
    </cs:spPr>
    <cs:defRPr sz="900" kern="1200"/>
  </cs:categoryAxis>
  <cs:chartArea mods="allowNoFillOverride allowNoLineOverride">
    <cs:lnRef idx="0"/>
    <cs:fillRef idx="0"/>
    <cs:effectRef idx="0"/>
    <cs:fontRef idx="minor">
      <a:sysClr val="windowText" lastClr="000000"/>
    </cs:fontRef>
    <cs:spPr>
      <a:solidFill>
        <a:sysClr val="window" lastClr="FFFFFF"/>
      </a:solidFill>
      <a:ln w="9525" cap="flat" cmpd="sng" algn="ctr">
        <a:solidFill>
          <a:sysClr val="windowText" lastClr="000000">
            <a:lumMod val="15000"/>
            <a:lumOff val="85000"/>
          </a:sysClr>
        </a:solidFill>
        <a:round/>
      </a:ln>
    </cs:spPr>
    <cs:defRPr sz="1000" kern="1200"/>
  </cs:chartArea>
  <cs:dataLabel>
    <cs:lnRef idx="0"/>
    <cs:fillRef idx="0"/>
    <cs:effectRef idx="0"/>
    <cs:fontRef idx="minor">
      <a:sysClr val="windowText" lastClr="000000">
        <a:lumMod val="75000"/>
        <a:lumOff val="25000"/>
      </a:sysClr>
    </cs:fontRef>
    <cs:defRPr sz="1000" kern="1200"/>
  </cs:dataLabel>
  <cs:dataLabelCallout>
    <cs:lnRef idx="0"/>
    <cs:fillRef idx="0"/>
    <cs:effectRef idx="0"/>
    <cs:fontRef idx="minor">
      <a:sysClr val="windowText" lastClr="000000">
        <a:lumMod val="65000"/>
        <a:lumOff val="35000"/>
      </a:sysClr>
    </cs:fontRef>
    <cs:spPr>
      <a:solidFill>
        <a:sysClr val="window" lastClr="FFFFFF"/>
      </a:solidFill>
      <a:ln>
        <a:solidFill>
          <a:sysClr val="windowText" lastClr="000000">
            <a:lumMod val="25000"/>
            <a:lumOff val="75000"/>
          </a:sys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ysClr val="windowText" lastClr="000000"/>
    </cs:fontRef>
    <cs:spPr>
      <a:ln>
        <a:noFill/>
      </a:ln>
      <a:effectLst/>
    </cs:spPr>
  </cs:dataPoint>
  <cs:dataPoint3D>
    <cs:lnRef idx="0"/>
    <cs:fillRef idx="1">
      <cs:styleClr val="auto"/>
    </cs:fillRef>
    <cs:effectRef idx="0"/>
    <cs:fontRef idx="minor">
      <a:sysClr val="windowText" lastClr="000000"/>
    </cs:fontRef>
  </cs:dataPoint3D>
  <cs:dataPointLine>
    <cs:lnRef idx="0">
      <cs:styleClr val="auto"/>
    </cs:lnRef>
    <cs:fillRef idx="1"/>
    <cs:effectRef idx="0"/>
    <cs:fontRef idx="minor">
      <a:sysClr val="windowText" lastClr="000000"/>
    </cs:fontRef>
    <cs:spPr>
      <a:ln w="28575" cap="rnd">
        <a:solidFill>
          <a:schemeClr val="phClr"/>
        </a:solidFill>
        <a:round/>
      </a:ln>
    </cs:spPr>
  </cs:dataPointLine>
  <cs:dataPointMarker>
    <cs:lnRef idx="0">
      <cs:styleClr val="auto"/>
    </cs:lnRef>
    <cs:fillRef idx="1">
      <cs:styleClr val="auto"/>
    </cs:fillRef>
    <cs:effectRef idx="0"/>
    <cs:fontRef idx="minor">
      <a:sysClr val="windowText" lastClr="000000"/>
    </cs:fontRef>
    <cs:spPr>
      <a:ln w="9525">
        <a:solidFill>
          <a:schemeClr val="phClr"/>
        </a:solidFill>
      </a:ln>
    </cs:spPr>
  </cs:dataPointMarker>
  <cs:dataPointMarkerLayout symbol="circle" size="5"/>
  <cs:dataPointWireframe>
    <cs:lnRef idx="0">
      <cs:styleClr val="auto"/>
    </cs:lnRef>
    <cs:fillRef idx="1"/>
    <cs:effectRef idx="0"/>
    <cs:fontRef idx="minor">
      <a:sysClr val="windowText" lastClr="000000"/>
    </cs:fontRef>
    <cs:spPr>
      <a:ln w="9525" cap="rnd">
        <a:solidFill>
          <a:schemeClr val="phClr"/>
        </a:solidFill>
        <a:round/>
      </a:ln>
    </cs:spPr>
  </cs:dataPointWireframe>
  <cs:dataTable>
    <cs:lnRef idx="0"/>
    <cs:fillRef idx="0"/>
    <cs:effectRef idx="0"/>
    <cs:fontRef idx="minor">
      <a:sysClr val="windowText" lastClr="000000">
        <a:lumMod val="65000"/>
        <a:lumOff val="35000"/>
      </a:sysClr>
    </cs:fontRef>
    <cs:spPr>
      <a:noFill/>
      <a:ln w="9525" cap="flat" cmpd="sng" algn="ctr">
        <a:solidFill>
          <a:sysClr val="windowText" lastClr="000000">
            <a:lumMod val="15000"/>
            <a:lumOff val="85000"/>
          </a:sysClr>
        </a:solidFill>
        <a:round/>
      </a:ln>
    </cs:spPr>
    <cs:defRPr sz="900" kern="1200"/>
  </cs:dataTable>
  <cs:downBar>
    <cs:lnRef idx="0"/>
    <cs:fillRef idx="0"/>
    <cs:effectRef idx="0"/>
    <cs:fontRef idx="minor">
      <a:sysClr val="windowText" lastClr="000000"/>
    </cs:fontRef>
    <cs:spPr>
      <a:solidFill>
        <a:sysClr val="windowText" lastClr="000000">
          <a:lumMod val="65000"/>
          <a:lumOff val="35000"/>
        </a:sysClr>
      </a:solidFill>
      <a:ln w="9525">
        <a:solidFill>
          <a:sysClr val="windowText" lastClr="000000">
            <a:lumMod val="65000"/>
            <a:lumOff val="35000"/>
          </a:sysClr>
        </a:solidFill>
      </a:ln>
    </cs:spPr>
  </cs:downBar>
  <cs:dropLine>
    <cs:lnRef idx="0"/>
    <cs:fillRef idx="0"/>
    <cs:effectRef idx="0"/>
    <cs:fontRef idx="minor">
      <a:sysClr val="windowText" lastClr="000000"/>
    </cs:fontRef>
    <cs:spPr>
      <a:ln w="9525" cap="flat" cmpd="sng" algn="ctr">
        <a:solidFill>
          <a:sysClr val="windowText" lastClr="000000">
            <a:lumMod val="35000"/>
            <a:lumOff val="65000"/>
          </a:sysClr>
        </a:solidFill>
        <a:round/>
      </a:ln>
    </cs:spPr>
  </cs:dropLine>
  <cs:errorBar>
    <cs:lnRef idx="0"/>
    <cs:fillRef idx="0"/>
    <cs:effectRef idx="0"/>
    <cs:fontRef idx="minor">
      <a:sysClr val="windowText" lastClr="000000"/>
    </cs:fontRef>
    <cs:spPr>
      <a:ln w="9525" cap="flat" cmpd="sng" algn="ctr">
        <a:solidFill>
          <a:sysClr val="windowText" lastClr="000000">
            <a:lumMod val="65000"/>
            <a:lumOff val="35000"/>
          </a:sysClr>
        </a:solidFill>
        <a:round/>
      </a:ln>
    </cs:spPr>
  </cs:errorBar>
  <cs:floor>
    <cs:lnRef idx="0"/>
    <cs:fillRef idx="0"/>
    <cs:effectRef idx="0"/>
    <cs:fontRef idx="minor">
      <a:sysClr val="windowText" lastClr="000000"/>
    </cs:fontRef>
    <cs:spPr>
      <a:noFill/>
      <a:ln>
        <a:noFill/>
      </a:ln>
    </cs:spPr>
  </cs:floor>
  <cs:gridlineMajor>
    <cs:lnRef idx="0"/>
    <cs:fillRef idx="0"/>
    <cs:effectRef idx="0"/>
    <cs:fontRef idx="minor">
      <a:sysClr val="windowText" lastClr="000000"/>
    </cs:fontRef>
    <cs:spPr>
      <a:ln w="9525" cap="flat" cmpd="sng" algn="ctr">
        <a:solidFill>
          <a:sysClr val="window" lastClr="FFFFFF">
            <a:lumMod val="90200"/>
          </a:sysClr>
        </a:solidFill>
        <a:round/>
      </a:ln>
    </cs:spPr>
  </cs:gridlineMajor>
  <cs:gridlineMinor>
    <cs:lnRef idx="0"/>
    <cs:fillRef idx="0"/>
    <cs:effectRef idx="0"/>
    <cs:fontRef idx="minor">
      <a:sysClr val="windowText" lastClr="000000"/>
    </cs:fontRef>
    <cs:spPr>
      <a:ln w="9525" cap="flat" cmpd="sng" algn="ctr">
        <a:solidFill>
          <a:sysClr val="windowText" lastClr="000000">
            <a:lumMod val="5000"/>
            <a:lumOff val="95000"/>
          </a:sysClr>
        </a:solidFill>
        <a:round/>
      </a:ln>
    </cs:spPr>
  </cs:gridlineMinor>
  <cs:hiLoLine>
    <cs:lnRef idx="0"/>
    <cs:fillRef idx="0"/>
    <cs:effectRef idx="0"/>
    <cs:fontRef idx="minor">
      <a:sysClr val="windowText" lastClr="000000"/>
    </cs:fontRef>
    <cs:spPr>
      <a:ln w="9525" cap="flat" cmpd="sng" algn="ctr">
        <a:solidFill>
          <a:sysClr val="windowText" lastClr="000000">
            <a:lumMod val="75000"/>
            <a:lumOff val="25000"/>
          </a:sysClr>
        </a:solidFill>
        <a:round/>
      </a:ln>
    </cs:spPr>
  </cs:hiLoLine>
  <cs:leaderLine>
    <cs:lnRef idx="0"/>
    <cs:fillRef idx="0"/>
    <cs:effectRef idx="0"/>
    <cs:fontRef idx="minor">
      <a:sysClr val="windowText" lastClr="000000"/>
    </cs:fontRef>
    <cs:spPr>
      <a:ln w="9525" cap="flat" cmpd="sng" algn="ctr">
        <a:solidFill>
          <a:sysClr val="windowText" lastClr="000000">
            <a:lumMod val="35000"/>
            <a:lumOff val="65000"/>
          </a:sysClr>
        </a:solidFill>
        <a:round/>
      </a:ln>
    </cs:spPr>
  </cs:leaderLine>
  <cs:legend>
    <cs:lnRef idx="0"/>
    <cs:fillRef idx="0"/>
    <cs:effectRef idx="0"/>
    <cs:fontRef idx="minor">
      <a:sysClr val="windowText" lastClr="000000">
        <a:lumMod val="65000"/>
        <a:lumOff val="35000"/>
      </a:sysClr>
    </cs:fontRef>
    <cs:defRPr sz="900" kern="1200"/>
  </cs:legend>
  <cs:plotArea mods="allowNoFillOverride allowNoLineOverride">
    <cs:lnRef idx="0"/>
    <cs:fillRef idx="0"/>
    <cs:effectRef idx="0"/>
    <cs:fontRef idx="minor">
      <a:sysClr val="windowText" lastClr="000000"/>
    </cs:fontRef>
  </cs:plotArea>
  <cs:plotArea3D mods="allowNoFillOverride allowNoLineOverride">
    <cs:lnRef idx="0"/>
    <cs:fillRef idx="0"/>
    <cs:effectRef idx="0"/>
    <cs:fontRef idx="minor">
      <a:sysClr val="windowText" lastClr="000000"/>
    </cs:fontRef>
  </cs:plotArea3D>
  <cs:seriesAxis>
    <cs:lnRef idx="0"/>
    <cs:fillRef idx="0"/>
    <cs:effectRef idx="0"/>
    <cs:fontRef idx="minor">
      <a:sysClr val="windowText" lastClr="000000">
        <a:lumMod val="65000"/>
        <a:lumOff val="35000"/>
      </a:sysClr>
    </cs:fontRef>
    <cs:defRPr sz="900" kern="1200"/>
  </cs:seriesAxis>
  <cs:seriesLine>
    <cs:lnRef idx="0"/>
    <cs:fillRef idx="0"/>
    <cs:effectRef idx="0"/>
    <cs:fontRef idx="minor">
      <a:sysClr val="windowText" lastClr="000000"/>
    </cs:fontRef>
    <cs:spPr>
      <a:ln w="9525" cap="flat" cmpd="sng" algn="ctr">
        <a:solidFill>
          <a:sysClr val="windowText" lastClr="000000">
            <a:lumMod val="35000"/>
            <a:lumOff val="65000"/>
          </a:sysClr>
        </a:solidFill>
        <a:round/>
      </a:ln>
    </cs:spPr>
  </cs:seriesLine>
  <cs:title>
    <cs:lnRef idx="0"/>
    <cs:fillRef idx="0"/>
    <cs:effectRef idx="0"/>
    <cs:fontRef idx="minor">
      <a:sysClr val="windowText" lastClr="000000">
        <a:lumMod val="75000"/>
        <a:lumOff val="25000"/>
      </a:sysClr>
    </cs:fontRef>
    <cs:defRPr sz="1400" b="1" kern="1200" baseline="0"/>
  </cs:title>
  <cs:trendline>
    <cs:lnRef idx="0">
      <cs:styleClr val="auto"/>
    </cs:lnRef>
    <cs:fillRef idx="0"/>
    <cs:effectRef idx="0"/>
    <cs:fontRef idx="minor">
      <a:sysClr val="windowText" lastClr="000000"/>
    </cs:fontRef>
    <cs:spPr>
      <a:ln w="19050" cap="rnd">
        <a:solidFill>
          <a:schemeClr val="phClr"/>
        </a:solidFill>
        <a:prstDash val="sysDot"/>
      </a:ln>
    </cs:spPr>
  </cs:trendline>
  <cs:trendlineLabel>
    <cs:lnRef idx="0"/>
    <cs:fillRef idx="0"/>
    <cs:effectRef idx="0"/>
    <cs:fontRef idx="minor">
      <a:sysClr val="windowText" lastClr="000000">
        <a:lumMod val="65000"/>
        <a:lumOff val="35000"/>
      </a:sysClr>
    </cs:fontRef>
    <cs:defRPr sz="900" kern="1200"/>
  </cs:trendlineLabel>
  <cs:upBar>
    <cs:lnRef idx="0"/>
    <cs:fillRef idx="0"/>
    <cs:effectRef idx="0"/>
    <cs:fontRef idx="minor">
      <a:sysClr val="windowText" lastClr="000000"/>
    </cs:fontRef>
    <cs:spPr>
      <a:solidFill>
        <a:sysClr val="window" lastClr="FFFFFF"/>
      </a:solidFill>
      <a:ln w="9525">
        <a:solidFill>
          <a:sysClr val="windowText" lastClr="000000">
            <a:lumMod val="15000"/>
            <a:lumOff val="85000"/>
          </a:sysClr>
        </a:solidFill>
      </a:ln>
    </cs:spPr>
  </cs:upBar>
  <cs:valueAxis>
    <cs:lnRef idx="0"/>
    <cs:fillRef idx="0"/>
    <cs:effectRef idx="0"/>
    <cs:fontRef idx="minor">
      <a:sysClr val="windowText" lastClr="000000">
        <a:lumMod val="65000"/>
        <a:lumOff val="35000"/>
      </a:sysClr>
    </cs:fontRef>
    <cs:defRPr sz="900" kern="1200"/>
  </cs:valueAxis>
  <cs:wall>
    <cs:lnRef idx="0"/>
    <cs:fillRef idx="0"/>
    <cs:effectRef idx="0"/>
    <cs:fontRef idx="minor">
      <a:sysClr val="windowText" lastClr="000000"/>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ysClr val="windowText" lastClr="000000">
        <a:lumMod val="65000"/>
        <a:lumOff val="35000"/>
      </a:sysClr>
    </cs:fontRef>
    <cs:defRPr sz="1000" kern="1200"/>
  </cs:axisTitle>
  <cs:categoryAxis>
    <cs:lnRef idx="0"/>
    <cs:fillRef idx="0"/>
    <cs:effectRef idx="0"/>
    <cs:fontRef idx="minor">
      <a:sysClr val="windowText" lastClr="000000">
        <a:lumMod val="65000"/>
        <a:lumOff val="35000"/>
      </a:sysClr>
    </cs:fontRef>
    <cs:spPr>
      <a:ln w="9525" cap="flat" cmpd="sng" algn="ctr">
        <a:solidFill>
          <a:sysClr val="windowText" lastClr="000000">
            <a:lumMod val="15000"/>
            <a:lumOff val="85000"/>
          </a:sysClr>
        </a:solidFill>
        <a:round/>
      </a:ln>
    </cs:spPr>
    <cs:defRPr sz="900" kern="1200"/>
  </cs:categoryAxis>
  <cs:chartArea mods="allowNoFillOverride allowNoLineOverride">
    <cs:lnRef idx="0"/>
    <cs:fillRef idx="0"/>
    <cs:effectRef idx="0"/>
    <cs:fontRef idx="minor">
      <a:sysClr val="windowText" lastClr="000000"/>
    </cs:fontRef>
    <cs:spPr>
      <a:solidFill>
        <a:sysClr val="window" lastClr="FFFFFF"/>
      </a:solidFill>
      <a:ln w="9525" cap="flat" cmpd="sng" algn="ctr">
        <a:solidFill>
          <a:sysClr val="windowText" lastClr="000000">
            <a:lumMod val="15000"/>
            <a:lumOff val="85000"/>
          </a:sysClr>
        </a:solidFill>
        <a:round/>
      </a:ln>
    </cs:spPr>
    <cs:defRPr sz="1000" kern="1200"/>
  </cs:chartArea>
  <cs:dataLabel>
    <cs:lnRef idx="0"/>
    <cs:fillRef idx="0"/>
    <cs:effectRef idx="0"/>
    <cs:fontRef idx="minor">
      <a:sysClr val="windowText" lastClr="000000">
        <a:lumMod val="75000"/>
        <a:lumOff val="25000"/>
      </a:sysClr>
    </cs:fontRef>
    <cs:defRPr sz="1000" kern="1200"/>
  </cs:dataLabel>
  <cs:dataLabelCallout>
    <cs:lnRef idx="0"/>
    <cs:fillRef idx="0"/>
    <cs:effectRef idx="0"/>
    <cs:fontRef idx="minor">
      <a:sysClr val="windowText" lastClr="000000">
        <a:lumMod val="65000"/>
        <a:lumOff val="35000"/>
      </a:sysClr>
    </cs:fontRef>
    <cs:spPr>
      <a:solidFill>
        <a:sysClr val="window" lastClr="FFFFFF"/>
      </a:solidFill>
      <a:ln>
        <a:solidFill>
          <a:sysClr val="windowText" lastClr="000000">
            <a:lumMod val="25000"/>
            <a:lumOff val="75000"/>
          </a:sys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ysClr val="windowText" lastClr="000000"/>
    </cs:fontRef>
    <cs:spPr>
      <a:ln>
        <a:noFill/>
      </a:ln>
      <a:effectLst/>
    </cs:spPr>
  </cs:dataPoint>
  <cs:dataPoint3D>
    <cs:lnRef idx="0"/>
    <cs:fillRef idx="1">
      <cs:styleClr val="auto"/>
    </cs:fillRef>
    <cs:effectRef idx="0"/>
    <cs:fontRef idx="minor">
      <a:sysClr val="windowText" lastClr="000000"/>
    </cs:fontRef>
  </cs:dataPoint3D>
  <cs:dataPointLine>
    <cs:lnRef idx="0">
      <cs:styleClr val="auto"/>
    </cs:lnRef>
    <cs:fillRef idx="1"/>
    <cs:effectRef idx="0"/>
    <cs:fontRef idx="minor">
      <a:sysClr val="windowText" lastClr="000000"/>
    </cs:fontRef>
    <cs:spPr>
      <a:ln w="28575" cap="rnd">
        <a:solidFill>
          <a:schemeClr val="phClr"/>
        </a:solidFill>
        <a:round/>
      </a:ln>
    </cs:spPr>
  </cs:dataPointLine>
  <cs:dataPointMarker>
    <cs:lnRef idx="0">
      <cs:styleClr val="auto"/>
    </cs:lnRef>
    <cs:fillRef idx="1">
      <cs:styleClr val="auto"/>
    </cs:fillRef>
    <cs:effectRef idx="0"/>
    <cs:fontRef idx="minor">
      <a:sysClr val="windowText" lastClr="000000"/>
    </cs:fontRef>
    <cs:spPr>
      <a:ln w="9525">
        <a:solidFill>
          <a:schemeClr val="phClr"/>
        </a:solidFill>
      </a:ln>
    </cs:spPr>
  </cs:dataPointMarker>
  <cs:dataPointMarkerLayout symbol="circle" size="5"/>
  <cs:dataPointWireframe>
    <cs:lnRef idx="0">
      <cs:styleClr val="auto"/>
    </cs:lnRef>
    <cs:fillRef idx="1"/>
    <cs:effectRef idx="0"/>
    <cs:fontRef idx="minor">
      <a:sysClr val="windowText" lastClr="000000"/>
    </cs:fontRef>
    <cs:spPr>
      <a:ln w="9525" cap="rnd">
        <a:solidFill>
          <a:schemeClr val="phClr"/>
        </a:solidFill>
        <a:round/>
      </a:ln>
    </cs:spPr>
  </cs:dataPointWireframe>
  <cs:dataTable>
    <cs:lnRef idx="0"/>
    <cs:fillRef idx="0"/>
    <cs:effectRef idx="0"/>
    <cs:fontRef idx="minor">
      <a:sysClr val="windowText" lastClr="000000">
        <a:lumMod val="65000"/>
        <a:lumOff val="35000"/>
      </a:sysClr>
    </cs:fontRef>
    <cs:spPr>
      <a:noFill/>
      <a:ln w="9525" cap="flat" cmpd="sng" algn="ctr">
        <a:solidFill>
          <a:sysClr val="windowText" lastClr="000000">
            <a:lumMod val="15000"/>
            <a:lumOff val="85000"/>
          </a:sysClr>
        </a:solidFill>
        <a:round/>
      </a:ln>
    </cs:spPr>
    <cs:defRPr sz="900" kern="1200"/>
  </cs:dataTable>
  <cs:downBar>
    <cs:lnRef idx="0"/>
    <cs:fillRef idx="0"/>
    <cs:effectRef idx="0"/>
    <cs:fontRef idx="minor">
      <a:sysClr val="windowText" lastClr="000000"/>
    </cs:fontRef>
    <cs:spPr>
      <a:solidFill>
        <a:sysClr val="windowText" lastClr="000000">
          <a:lumMod val="65000"/>
          <a:lumOff val="35000"/>
        </a:sysClr>
      </a:solidFill>
      <a:ln w="9525">
        <a:solidFill>
          <a:sysClr val="windowText" lastClr="000000">
            <a:lumMod val="65000"/>
            <a:lumOff val="35000"/>
          </a:sysClr>
        </a:solidFill>
      </a:ln>
    </cs:spPr>
  </cs:downBar>
  <cs:dropLine>
    <cs:lnRef idx="0"/>
    <cs:fillRef idx="0"/>
    <cs:effectRef idx="0"/>
    <cs:fontRef idx="minor">
      <a:sysClr val="windowText" lastClr="000000"/>
    </cs:fontRef>
    <cs:spPr>
      <a:ln w="9525" cap="flat" cmpd="sng" algn="ctr">
        <a:solidFill>
          <a:sysClr val="windowText" lastClr="000000">
            <a:lumMod val="35000"/>
            <a:lumOff val="65000"/>
          </a:sysClr>
        </a:solidFill>
        <a:round/>
      </a:ln>
    </cs:spPr>
  </cs:dropLine>
  <cs:errorBar>
    <cs:lnRef idx="0"/>
    <cs:fillRef idx="0"/>
    <cs:effectRef idx="0"/>
    <cs:fontRef idx="minor">
      <a:sysClr val="windowText" lastClr="000000"/>
    </cs:fontRef>
    <cs:spPr>
      <a:ln w="9525" cap="flat" cmpd="sng" algn="ctr">
        <a:solidFill>
          <a:sysClr val="windowText" lastClr="000000">
            <a:lumMod val="65000"/>
            <a:lumOff val="35000"/>
          </a:sysClr>
        </a:solidFill>
        <a:round/>
      </a:ln>
    </cs:spPr>
  </cs:errorBar>
  <cs:floor>
    <cs:lnRef idx="0"/>
    <cs:fillRef idx="0"/>
    <cs:effectRef idx="0"/>
    <cs:fontRef idx="minor">
      <a:sysClr val="windowText" lastClr="000000"/>
    </cs:fontRef>
    <cs:spPr>
      <a:noFill/>
      <a:ln>
        <a:noFill/>
      </a:ln>
    </cs:spPr>
  </cs:floor>
  <cs:gridlineMajor>
    <cs:lnRef idx="0"/>
    <cs:fillRef idx="0"/>
    <cs:effectRef idx="0"/>
    <cs:fontRef idx="minor">
      <a:sysClr val="windowText" lastClr="000000"/>
    </cs:fontRef>
    <cs:spPr>
      <a:ln w="9525" cap="flat" cmpd="sng" algn="ctr">
        <a:solidFill>
          <a:sysClr val="window" lastClr="FFFFFF">
            <a:lumMod val="90200"/>
          </a:sysClr>
        </a:solidFill>
        <a:round/>
      </a:ln>
    </cs:spPr>
  </cs:gridlineMajor>
  <cs:gridlineMinor>
    <cs:lnRef idx="0"/>
    <cs:fillRef idx="0"/>
    <cs:effectRef idx="0"/>
    <cs:fontRef idx="minor">
      <a:sysClr val="windowText" lastClr="000000"/>
    </cs:fontRef>
    <cs:spPr>
      <a:ln w="9525" cap="flat" cmpd="sng" algn="ctr">
        <a:solidFill>
          <a:sysClr val="windowText" lastClr="000000">
            <a:lumMod val="5000"/>
            <a:lumOff val="95000"/>
          </a:sysClr>
        </a:solidFill>
        <a:round/>
      </a:ln>
    </cs:spPr>
  </cs:gridlineMinor>
  <cs:hiLoLine>
    <cs:lnRef idx="0"/>
    <cs:fillRef idx="0"/>
    <cs:effectRef idx="0"/>
    <cs:fontRef idx="minor">
      <a:sysClr val="windowText" lastClr="000000"/>
    </cs:fontRef>
    <cs:spPr>
      <a:ln w="9525" cap="flat" cmpd="sng" algn="ctr">
        <a:solidFill>
          <a:sysClr val="windowText" lastClr="000000">
            <a:lumMod val="75000"/>
            <a:lumOff val="25000"/>
          </a:sysClr>
        </a:solidFill>
        <a:round/>
      </a:ln>
    </cs:spPr>
  </cs:hiLoLine>
  <cs:leaderLine>
    <cs:lnRef idx="0"/>
    <cs:fillRef idx="0"/>
    <cs:effectRef idx="0"/>
    <cs:fontRef idx="minor">
      <a:sysClr val="windowText" lastClr="000000"/>
    </cs:fontRef>
    <cs:spPr>
      <a:ln w="9525" cap="flat" cmpd="sng" algn="ctr">
        <a:solidFill>
          <a:sysClr val="windowText" lastClr="000000">
            <a:lumMod val="35000"/>
            <a:lumOff val="65000"/>
          </a:sysClr>
        </a:solidFill>
        <a:round/>
      </a:ln>
    </cs:spPr>
  </cs:leaderLine>
  <cs:legend>
    <cs:lnRef idx="0"/>
    <cs:fillRef idx="0"/>
    <cs:effectRef idx="0"/>
    <cs:fontRef idx="minor">
      <a:sysClr val="windowText" lastClr="000000">
        <a:lumMod val="65000"/>
        <a:lumOff val="35000"/>
      </a:sysClr>
    </cs:fontRef>
    <cs:defRPr sz="900" kern="1200"/>
  </cs:legend>
  <cs:plotArea mods="allowNoFillOverride allowNoLineOverride">
    <cs:lnRef idx="0"/>
    <cs:fillRef idx="0"/>
    <cs:effectRef idx="0"/>
    <cs:fontRef idx="minor">
      <a:sysClr val="windowText" lastClr="000000"/>
    </cs:fontRef>
  </cs:plotArea>
  <cs:plotArea3D mods="allowNoFillOverride allowNoLineOverride">
    <cs:lnRef idx="0"/>
    <cs:fillRef idx="0"/>
    <cs:effectRef idx="0"/>
    <cs:fontRef idx="minor">
      <a:sysClr val="windowText" lastClr="000000"/>
    </cs:fontRef>
  </cs:plotArea3D>
  <cs:seriesAxis>
    <cs:lnRef idx="0"/>
    <cs:fillRef idx="0"/>
    <cs:effectRef idx="0"/>
    <cs:fontRef idx="minor">
      <a:sysClr val="windowText" lastClr="000000">
        <a:lumMod val="65000"/>
        <a:lumOff val="35000"/>
      </a:sysClr>
    </cs:fontRef>
    <cs:defRPr sz="900" kern="1200"/>
  </cs:seriesAxis>
  <cs:seriesLine>
    <cs:lnRef idx="0"/>
    <cs:fillRef idx="0"/>
    <cs:effectRef idx="0"/>
    <cs:fontRef idx="minor">
      <a:sysClr val="windowText" lastClr="000000"/>
    </cs:fontRef>
    <cs:spPr>
      <a:ln w="9525" cap="flat" cmpd="sng" algn="ctr">
        <a:solidFill>
          <a:sysClr val="windowText" lastClr="000000">
            <a:lumMod val="35000"/>
            <a:lumOff val="65000"/>
          </a:sysClr>
        </a:solidFill>
        <a:round/>
      </a:ln>
    </cs:spPr>
  </cs:seriesLine>
  <cs:title>
    <cs:lnRef idx="0"/>
    <cs:fillRef idx="0"/>
    <cs:effectRef idx="0"/>
    <cs:fontRef idx="minor">
      <a:sysClr val="windowText" lastClr="000000">
        <a:lumMod val="75000"/>
        <a:lumOff val="25000"/>
      </a:sysClr>
    </cs:fontRef>
    <cs:defRPr sz="1400" b="1" kern="1200" baseline="0"/>
  </cs:title>
  <cs:trendline>
    <cs:lnRef idx="0">
      <cs:styleClr val="auto"/>
    </cs:lnRef>
    <cs:fillRef idx="0"/>
    <cs:effectRef idx="0"/>
    <cs:fontRef idx="minor">
      <a:sysClr val="windowText" lastClr="000000"/>
    </cs:fontRef>
    <cs:spPr>
      <a:ln w="19050" cap="rnd">
        <a:solidFill>
          <a:schemeClr val="phClr"/>
        </a:solidFill>
        <a:prstDash val="sysDot"/>
      </a:ln>
    </cs:spPr>
  </cs:trendline>
  <cs:trendlineLabel>
    <cs:lnRef idx="0"/>
    <cs:fillRef idx="0"/>
    <cs:effectRef idx="0"/>
    <cs:fontRef idx="minor">
      <a:sysClr val="windowText" lastClr="000000">
        <a:lumMod val="65000"/>
        <a:lumOff val="35000"/>
      </a:sysClr>
    </cs:fontRef>
    <cs:defRPr sz="900" kern="1200"/>
  </cs:trendlineLabel>
  <cs:upBar>
    <cs:lnRef idx="0"/>
    <cs:fillRef idx="0"/>
    <cs:effectRef idx="0"/>
    <cs:fontRef idx="minor">
      <a:sysClr val="windowText" lastClr="000000"/>
    </cs:fontRef>
    <cs:spPr>
      <a:solidFill>
        <a:sysClr val="window" lastClr="FFFFFF"/>
      </a:solidFill>
      <a:ln w="9525">
        <a:solidFill>
          <a:sysClr val="windowText" lastClr="000000">
            <a:lumMod val="15000"/>
            <a:lumOff val="85000"/>
          </a:sysClr>
        </a:solidFill>
      </a:ln>
    </cs:spPr>
  </cs:upBar>
  <cs:valueAxis>
    <cs:lnRef idx="0"/>
    <cs:fillRef idx="0"/>
    <cs:effectRef idx="0"/>
    <cs:fontRef idx="minor">
      <a:sysClr val="windowText" lastClr="000000">
        <a:lumMod val="65000"/>
        <a:lumOff val="35000"/>
      </a:sysClr>
    </cs:fontRef>
    <cs:defRPr sz="900" kern="1200"/>
  </cs:valueAxis>
  <cs:wall>
    <cs:lnRef idx="0"/>
    <cs:fillRef idx="0"/>
    <cs:effectRef idx="0"/>
    <cs:fontRef idx="minor">
      <a:sysClr val="windowText" lastClr="000000"/>
    </cs:fontRef>
    <cs:spPr>
      <a:noFill/>
      <a:ln>
        <a:noFill/>
      </a:ln>
    </cs:spPr>
  </cs:wall>
</cs:chartStyle>
</file>

<file path=word/charts/style5.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23</Pages>
  <Words>7658</Words>
  <Characters>8276</Characters>
  <Lines>63</Lines>
  <Paragraphs>17</Paragraphs>
  <TotalTime>6</TotalTime>
  <ScaleCrop>false</ScaleCrop>
  <LinksUpToDate>false</LinksUpToDate>
  <CharactersWithSpaces>8332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2020-08-09T17:49:00Z</dcterms:created>
  <dc:creator>曹颖</dc:creator>
  <cp:lastModifiedBy>金灿灿</cp:lastModifiedBy>
  <cp:lastPrinted>2026-08-30T01:53:00Z</cp:lastPrinted>
  <dcterms:modified xsi:type="dcterms:W3CDTF">2026-09-09T07:46:45Z</dcterms:modified>
  <dc:title>四川省***</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3BF536824C220DA3E40E8B68BA118B1C_42</vt:lpwstr>
  </property>
  <property fmtid="{D5CDD505-2E9C-101B-9397-08002B2CF9AE}" pid="4" name="KSOTemplateDocerSaveRecord">
    <vt:lpwstr>eyJoZGlkIjoiYTEwYmQ0ZWQwODBkOWIwODdmM2QxNjE2YTg3ZWE5N2YiLCJ1c2VySWQiOiI0ODIwOTY3MDkifQ==</vt:lpwstr>
  </property>
</Properties>
</file>