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06082">
      <w:pPr>
        <w:widowControl w:val="0"/>
        <w:spacing w:before="93" w:beforeLines="30"/>
        <w:jc w:val="both"/>
        <w:rPr>
          <w:rFonts w:hint="eastAsia" w:ascii="Times New Roman" w:hAnsi="Times New Roman" w:eastAsia="方正小标宋简体" w:cs="Times New Roman"/>
          <w:kern w:val="2"/>
          <w:sz w:val="72"/>
          <w:szCs w:val="72"/>
          <w:lang w:val="en-US" w:eastAsia="zh-CN" w:bidi="ar-SA"/>
        </w:rPr>
      </w:pPr>
      <w:bookmarkStart w:id="0" w:name="_Toc15377425"/>
      <w:bookmarkStart w:id="1" w:name="_Toc15378441"/>
      <w:bookmarkStart w:id="2" w:name="_Toc15396597"/>
      <w:bookmarkStart w:id="3" w:name="_Toc15377193"/>
      <w:bookmarkStart w:id="4" w:name="_Toc15306267"/>
      <w:bookmarkStart w:id="5" w:name="_Toc15396475"/>
    </w:p>
    <w:p w14:paraId="2478E2CE">
      <w:pPr>
        <w:widowControl w:val="0"/>
        <w:spacing w:before="93" w:beforeLines="30"/>
        <w:jc w:val="both"/>
        <w:rPr>
          <w:rFonts w:ascii="Times New Roman" w:hAnsi="Times New Roman" w:eastAsia="方正小标宋简体" w:cs="Times New Roman"/>
          <w:kern w:val="2"/>
          <w:sz w:val="72"/>
          <w:szCs w:val="72"/>
          <w:lang w:val="en-US" w:eastAsia="zh-CN" w:bidi="ar-SA"/>
        </w:rPr>
      </w:pPr>
    </w:p>
    <w:p w14:paraId="7A8CDD51">
      <w:pPr>
        <w:widowControl w:val="0"/>
        <w:spacing w:before="93" w:beforeLines="30"/>
        <w:jc w:val="both"/>
        <w:rPr>
          <w:rFonts w:hint="eastAsia" w:ascii="Times New Roman" w:hAnsi="Times New Roman" w:eastAsia="方正小标宋简体" w:cs="Times New Roman"/>
          <w:kern w:val="2"/>
          <w:sz w:val="72"/>
          <w:szCs w:val="72"/>
          <w:lang w:val="en-US" w:eastAsia="zh-CN" w:bidi="ar-SA"/>
        </w:rPr>
      </w:pPr>
    </w:p>
    <w:p w14:paraId="67029DAA">
      <w:pPr>
        <w:widowControl w:val="0"/>
        <w:spacing w:before="93" w:beforeLines="30"/>
        <w:jc w:val="center"/>
        <w:rPr>
          <w:rFonts w:ascii="Times New Roman" w:hAnsi="Times New Roman" w:eastAsia="方正小标宋简体" w:cs="Times New Roman"/>
          <w:kern w:val="2"/>
          <w:sz w:val="44"/>
          <w:szCs w:val="44"/>
          <w:lang w:val="en-US" w:eastAsia="zh-CN" w:bidi="ar-SA"/>
        </w:rPr>
      </w:pPr>
      <w:r>
        <w:rPr>
          <w:rFonts w:hint="eastAsia" w:ascii="Times New Roman" w:hAnsi="Times New Roman" w:eastAsia="方正小标宋简体" w:cs="Times New Roman"/>
          <w:kern w:val="2"/>
          <w:sz w:val="44"/>
          <w:szCs w:val="44"/>
          <w:lang w:val="en-US" w:eastAsia="zh-CN" w:bidi="ar-SA"/>
        </w:rPr>
        <w:t>2025年度市级单位决算</w:t>
      </w:r>
    </w:p>
    <w:p w14:paraId="2321BE26">
      <w:pPr>
        <w:widowControl w:val="0"/>
        <w:spacing w:before="93" w:beforeLines="30"/>
        <w:jc w:val="center"/>
        <w:rPr>
          <w:rFonts w:ascii="Times New Roman" w:hAnsi="Times New Roman" w:eastAsia="方正小标宋简体" w:cs="Times New Roman"/>
          <w:kern w:val="2"/>
          <w:sz w:val="44"/>
          <w:szCs w:val="44"/>
          <w:lang w:val="en-US" w:eastAsia="zh-CN" w:bidi="ar-SA"/>
        </w:rPr>
      </w:pPr>
      <w:r>
        <w:rPr>
          <w:rFonts w:hint="eastAsia" w:ascii="Times New Roman" w:hAnsi="Times New Roman" w:eastAsia="方正小标宋简体" w:cs="Times New Roman"/>
          <w:kern w:val="2"/>
          <w:sz w:val="44"/>
          <w:szCs w:val="44"/>
          <w:lang w:val="en-US" w:eastAsia="zh-CN" w:bidi="ar-SA"/>
        </w:rPr>
        <w:t>公开编制说明</w:t>
      </w:r>
    </w:p>
    <w:p w14:paraId="512BAA94">
      <w:pPr>
        <w:spacing w:line="600" w:lineRule="exact"/>
        <w:jc w:val="center"/>
        <w:outlineLvl w:val="0"/>
        <w:rPr>
          <w:rFonts w:ascii="Times New Roman" w:hAnsi="Times New Roman" w:eastAsia="方正小标宋简体" w:cs="Times New Roman"/>
          <w:sz w:val="72"/>
          <w:szCs w:val="72"/>
        </w:rPr>
      </w:pPr>
    </w:p>
    <w:p w14:paraId="2B82C30E">
      <w:pPr>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070FA9E3">
      <w:pPr>
        <w:rPr>
          <w:rFonts w:ascii="Times New Roman" w:hAnsi="Times New Roman" w:eastAsia="宋体" w:cs="Times New Roman"/>
        </w:rPr>
      </w:pPr>
    </w:p>
    <w:bookmarkEnd w:id="0"/>
    <w:bookmarkEnd w:id="1"/>
    <w:bookmarkEnd w:id="2"/>
    <w:bookmarkEnd w:id="3"/>
    <w:bookmarkEnd w:id="4"/>
    <w:bookmarkEnd w:id="5"/>
    <w:p w14:paraId="3040E3AE">
      <w:pPr>
        <w:widowControl/>
        <w:jc w:val="center"/>
        <w:rPr>
          <w:rFonts w:eastAsia="黑体"/>
          <w:sz w:val="48"/>
          <w:szCs w:val="48"/>
        </w:rPr>
      </w:pPr>
      <w:r>
        <w:rPr>
          <w:rFonts w:hint="eastAsia" w:eastAsia="黑体"/>
          <w:sz w:val="48"/>
          <w:szCs w:val="48"/>
        </w:rPr>
        <w:t>目录</w:t>
      </w:r>
    </w:p>
    <w:p w14:paraId="02EE8648">
      <w:pPr>
        <w:widowControl/>
        <w:jc w:val="center"/>
        <w:rPr>
          <w:rFonts w:eastAsia="黑体" w:cstheme="minorBidi"/>
          <w:sz w:val="28"/>
          <w:szCs w:val="28"/>
        </w:rPr>
      </w:pPr>
    </w:p>
    <w:p w14:paraId="385F01C0">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日</w:t>
      </w:r>
    </w:p>
    <w:p w14:paraId="79002365"/>
    <w:p w14:paraId="07BD68DE">
      <w:pPr>
        <w:pStyle w:val="12"/>
        <w:adjustRightInd w:val="0"/>
        <w:snapToGrid w:val="0"/>
        <w:spacing w:before="0" w:line="440" w:lineRule="exact"/>
        <w:jc w:val="left"/>
        <w:rPr>
          <w:rFonts w:hint="eastAsia" w:ascii="Times New Roman" w:hAnsi="Times New Roman" w:eastAsia="仿宋" w:cs="黑体"/>
          <w:sz w:val="32"/>
          <w:szCs w:val="32"/>
          <w:lang w:val="en-US" w:eastAsia="zh-CN"/>
        </w:rPr>
      </w:pPr>
      <w:bookmarkStart w:id="6" w:name="_Toc15396599"/>
      <w:bookmarkStart w:id="7" w:name="_Toc15377196"/>
      <w:r>
        <w:rPr>
          <w:rFonts w:hint="eastAsia" w:ascii="Times New Roman" w:hAnsi="Times New Roman" w:eastAsia="黑体" w:cs="黑体"/>
          <w:sz w:val="32"/>
          <w:szCs w:val="32"/>
        </w:rPr>
        <w:t xml:space="preserve">第一部分 </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概况</w:t>
      </w:r>
      <w:r>
        <w:rPr>
          <w:rFonts w:cs="Times New Roman"/>
          <w:sz w:val="24"/>
          <w:szCs w:val="24"/>
        </w:rPr>
        <w:tab/>
      </w:r>
      <w:r>
        <w:rPr>
          <w:rFonts w:hint="eastAsia" w:cs="Times New Roman"/>
          <w:sz w:val="24"/>
          <w:szCs w:val="24"/>
          <w:lang w:val="en-US" w:eastAsia="zh-CN"/>
        </w:rPr>
        <w:t>4</w:t>
      </w:r>
    </w:p>
    <w:p w14:paraId="053F97B9">
      <w:pPr>
        <w:pStyle w:val="12"/>
        <w:adjustRightInd w:val="0"/>
        <w:snapToGrid w:val="0"/>
        <w:spacing w:before="0" w:line="440" w:lineRule="exact"/>
        <w:ind w:firstLine="640" w:firstLineChars="200"/>
        <w:jc w:val="left"/>
        <w:rPr>
          <w:rFonts w:hint="eastAsia" w:eastAsia="仿宋" w:cs="Times New Roman"/>
          <w:sz w:val="24"/>
          <w:szCs w:val="24"/>
          <w:lang w:val="en-US" w:eastAsia="zh-CN"/>
        </w:rPr>
      </w:pPr>
      <w:r>
        <w:rPr>
          <w:rFonts w:hint="eastAsia" w:eastAsia="仿宋_GB2312" w:cs="仿宋_GB2312"/>
          <w:sz w:val="32"/>
          <w:szCs w:val="32"/>
        </w:rPr>
        <w:t>一、</w:t>
      </w:r>
      <w:r>
        <w:rPr>
          <w:rFonts w:hint="eastAsia" w:eastAsia="仿宋_GB2312" w:cs="仿宋_GB2312"/>
          <w:sz w:val="32"/>
          <w:szCs w:val="32"/>
          <w:lang w:eastAsia="zh-CN"/>
        </w:rPr>
        <w:t>单位</w:t>
      </w:r>
      <w:r>
        <w:rPr>
          <w:rFonts w:hint="eastAsia" w:eastAsia="仿宋_GB2312" w:cs="仿宋_GB2312"/>
          <w:sz w:val="32"/>
          <w:szCs w:val="32"/>
        </w:rPr>
        <w:t>职责</w:t>
      </w:r>
      <w:r>
        <w:rPr>
          <w:rFonts w:cs="Times New Roman"/>
          <w:sz w:val="24"/>
          <w:szCs w:val="24"/>
        </w:rPr>
        <w:tab/>
      </w:r>
      <w:r>
        <w:rPr>
          <w:rFonts w:hint="eastAsia" w:cs="Times New Roman"/>
          <w:sz w:val="24"/>
          <w:szCs w:val="24"/>
          <w:lang w:val="en-US" w:eastAsia="zh-CN"/>
        </w:rPr>
        <w:t>4</w:t>
      </w:r>
    </w:p>
    <w:p w14:paraId="2A232E51">
      <w:pPr>
        <w:pStyle w:val="12"/>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二、机构设置</w:t>
      </w:r>
      <w:r>
        <w:rPr>
          <w:rFonts w:cs="Times New Roman"/>
          <w:sz w:val="24"/>
          <w:szCs w:val="24"/>
        </w:rPr>
        <w:tab/>
      </w:r>
      <w:r>
        <w:rPr>
          <w:rFonts w:hint="eastAsia" w:cs="Times New Roman"/>
          <w:sz w:val="24"/>
          <w:szCs w:val="24"/>
          <w:lang w:val="en-US" w:eastAsia="zh-CN"/>
        </w:rPr>
        <w:t>4</w:t>
      </w:r>
    </w:p>
    <w:p w14:paraId="080A8334">
      <w:pPr>
        <w:numPr>
          <w:ilvl w:val="0"/>
          <w:numId w:val="0"/>
        </w:numPr>
        <w:rPr>
          <w:rFonts w:hint="eastAsia" w:eastAsia="宋体"/>
          <w:lang w:val="en-US" w:eastAsia="zh-CN"/>
        </w:rPr>
      </w:pPr>
      <w:r>
        <w:rPr>
          <w:rFonts w:hint="eastAsia"/>
          <w:lang w:val="en-US" w:eastAsia="zh-CN"/>
        </w:rPr>
        <w:t xml:space="preserve"> </w:t>
      </w:r>
    </w:p>
    <w:p w14:paraId="1F9AEA7C">
      <w:pPr>
        <w:pStyle w:val="12"/>
        <w:adjustRightInd w:val="0"/>
        <w:snapToGrid w:val="0"/>
        <w:spacing w:before="0" w:line="440" w:lineRule="exact"/>
        <w:jc w:val="left"/>
        <w:rPr>
          <w:rFonts w:hint="eastAsia" w:ascii="Times New Roman" w:hAnsi="Times New Roman" w:eastAsia="仿宋" w:cs="黑体"/>
          <w:sz w:val="32"/>
          <w:szCs w:val="32"/>
          <w:lang w:val="en-US" w:eastAsia="zh-CN"/>
        </w:rPr>
      </w:pPr>
      <w:r>
        <w:rPr>
          <w:rFonts w:hint="eastAsia" w:ascii="Times New Roman" w:hAnsi="Times New Roman" w:eastAsia="黑体" w:cs="黑体"/>
          <w:sz w:val="32"/>
          <w:szCs w:val="32"/>
        </w:rPr>
        <w:t>第二部分 202</w:t>
      </w:r>
      <w:r>
        <w:rPr>
          <w:rFonts w:hint="eastAsia" w:ascii="Times New Roman" w:hAnsi="Times New Roman" w:eastAsia="黑体" w:cs="黑体"/>
          <w:sz w:val="32"/>
          <w:szCs w:val="32"/>
          <w:lang w:val="en-US" w:eastAsia="zh-CN"/>
        </w:rPr>
        <w:t>5</w:t>
      </w:r>
      <w:r>
        <w:rPr>
          <w:rFonts w:hint="eastAsia" w:ascii="Times New Roman" w:hAnsi="Times New Roman" w:eastAsia="黑体" w:cs="黑体"/>
          <w:sz w:val="32"/>
          <w:szCs w:val="32"/>
        </w:rPr>
        <w:t>年度</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决算情况说明</w:t>
      </w:r>
      <w:r>
        <w:rPr>
          <w:rFonts w:cs="Times New Roman"/>
          <w:sz w:val="24"/>
          <w:szCs w:val="24"/>
        </w:rPr>
        <w:tab/>
      </w:r>
      <w:r>
        <w:rPr>
          <w:rFonts w:hint="eastAsia" w:cs="Times New Roman"/>
          <w:sz w:val="24"/>
          <w:szCs w:val="24"/>
          <w:lang w:val="en-US" w:eastAsia="zh-CN"/>
        </w:rPr>
        <w:t>5</w:t>
      </w:r>
    </w:p>
    <w:p w14:paraId="6E162F33">
      <w:pPr>
        <w:pStyle w:val="12"/>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一、收入支出决算总体情况说明</w:t>
      </w:r>
      <w:r>
        <w:rPr>
          <w:rFonts w:cs="Times New Roman"/>
          <w:sz w:val="24"/>
          <w:szCs w:val="24"/>
        </w:rPr>
        <w:tab/>
      </w:r>
      <w:r>
        <w:rPr>
          <w:rFonts w:hint="eastAsia" w:cs="Times New Roman"/>
          <w:sz w:val="24"/>
          <w:szCs w:val="24"/>
          <w:lang w:val="en-US" w:eastAsia="zh-CN"/>
        </w:rPr>
        <w:t>5</w:t>
      </w:r>
    </w:p>
    <w:p w14:paraId="54F4BD67">
      <w:pPr>
        <w:pStyle w:val="12"/>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二、收入决算情况说明</w:t>
      </w:r>
      <w:r>
        <w:rPr>
          <w:rFonts w:cs="Times New Roman"/>
          <w:sz w:val="24"/>
          <w:szCs w:val="24"/>
        </w:rPr>
        <w:tab/>
      </w:r>
      <w:r>
        <w:rPr>
          <w:rFonts w:hint="eastAsia" w:cs="Times New Roman"/>
          <w:sz w:val="24"/>
          <w:szCs w:val="24"/>
          <w:lang w:val="en-US" w:eastAsia="zh-CN"/>
        </w:rPr>
        <w:t>5</w:t>
      </w:r>
    </w:p>
    <w:p w14:paraId="49C505E9">
      <w:pPr>
        <w:pStyle w:val="12"/>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三、支出决算情况说明</w:t>
      </w:r>
      <w:r>
        <w:rPr>
          <w:rFonts w:cs="Times New Roman"/>
          <w:sz w:val="24"/>
          <w:szCs w:val="24"/>
        </w:rPr>
        <w:tab/>
      </w:r>
      <w:r>
        <w:rPr>
          <w:rFonts w:hint="eastAsia" w:cs="Times New Roman"/>
          <w:sz w:val="24"/>
          <w:szCs w:val="24"/>
          <w:lang w:val="en-US" w:eastAsia="zh-CN"/>
        </w:rPr>
        <w:t>6</w:t>
      </w:r>
    </w:p>
    <w:p w14:paraId="0A6B88CB">
      <w:pPr>
        <w:pStyle w:val="12"/>
        <w:adjustRightInd w:val="0"/>
        <w:snapToGrid w:val="0"/>
        <w:spacing w:before="0" w:line="440" w:lineRule="exact"/>
        <w:ind w:firstLine="640" w:firstLineChars="200"/>
        <w:jc w:val="left"/>
        <w:rPr>
          <w:rFonts w:hint="eastAsia" w:ascii="Times New Roman" w:hAnsi="Times New Roman" w:eastAsia="仿宋" w:cs="黑体"/>
          <w:sz w:val="32"/>
          <w:szCs w:val="32"/>
          <w:lang w:val="en-US" w:eastAsia="zh-CN"/>
        </w:rPr>
      </w:pPr>
      <w:r>
        <w:rPr>
          <w:rFonts w:hint="eastAsia" w:eastAsia="仿宋_GB2312" w:cs="仿宋_GB2312"/>
          <w:sz w:val="32"/>
          <w:szCs w:val="32"/>
        </w:rPr>
        <w:t>四、财政拨款收入支出决算总体情况说明</w:t>
      </w:r>
      <w:r>
        <w:rPr>
          <w:rFonts w:cs="Times New Roman"/>
          <w:sz w:val="24"/>
          <w:szCs w:val="24"/>
        </w:rPr>
        <w:tab/>
      </w:r>
      <w:r>
        <w:rPr>
          <w:rFonts w:hint="eastAsia" w:cs="Times New Roman"/>
          <w:sz w:val="24"/>
          <w:szCs w:val="24"/>
          <w:lang w:val="en-US" w:eastAsia="zh-CN"/>
        </w:rPr>
        <w:t>6</w:t>
      </w:r>
    </w:p>
    <w:p w14:paraId="65746D78">
      <w:pPr>
        <w:pStyle w:val="12"/>
        <w:adjustRightInd w:val="0"/>
        <w:snapToGrid w:val="0"/>
        <w:spacing w:before="0" w:line="440" w:lineRule="exact"/>
        <w:ind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cs="Times New Roman"/>
          <w:sz w:val="24"/>
          <w:szCs w:val="24"/>
        </w:rPr>
        <w:tab/>
      </w:r>
      <w:r>
        <w:rPr>
          <w:rFonts w:hint="eastAsia" w:cs="Times New Roman"/>
          <w:sz w:val="24"/>
          <w:szCs w:val="24"/>
          <w:lang w:val="en-US" w:eastAsia="zh-CN"/>
        </w:rPr>
        <w:t>7</w:t>
      </w:r>
    </w:p>
    <w:p w14:paraId="78FAD506">
      <w:pPr>
        <w:pStyle w:val="12"/>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六、一般公共预算财政拨款基本支出决算情况说明</w:t>
      </w:r>
      <w:r>
        <w:rPr>
          <w:rFonts w:cs="Times New Roman"/>
          <w:sz w:val="24"/>
          <w:szCs w:val="24"/>
        </w:rPr>
        <w:tab/>
      </w:r>
      <w:r>
        <w:rPr>
          <w:rFonts w:hint="eastAsia" w:cs="Times New Roman"/>
          <w:sz w:val="24"/>
          <w:szCs w:val="24"/>
          <w:lang w:val="en-US" w:eastAsia="zh-CN"/>
        </w:rPr>
        <w:t>9</w:t>
      </w:r>
    </w:p>
    <w:p w14:paraId="4D55C2A4">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七、财政拨款“三公”经费支出决算情况说明</w:t>
      </w:r>
      <w:r>
        <w:rPr>
          <w:rFonts w:cs="Times New Roman"/>
          <w:sz w:val="24"/>
          <w:szCs w:val="24"/>
        </w:rPr>
        <w:tab/>
      </w:r>
      <w:r>
        <w:rPr>
          <w:rFonts w:hint="eastAsia" w:cs="Times New Roman"/>
          <w:sz w:val="24"/>
          <w:szCs w:val="24"/>
          <w:lang w:val="en-US" w:eastAsia="zh-CN"/>
        </w:rPr>
        <w:t>10</w:t>
      </w:r>
    </w:p>
    <w:p w14:paraId="57E77ACC">
      <w:pPr>
        <w:pStyle w:val="12"/>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cs="Times New Roman"/>
          <w:sz w:val="24"/>
          <w:szCs w:val="24"/>
        </w:rPr>
        <w:tab/>
      </w:r>
      <w:r>
        <w:rPr>
          <w:rFonts w:hint="eastAsia" w:cs="Times New Roman"/>
          <w:sz w:val="24"/>
          <w:szCs w:val="24"/>
          <w:lang w:val="en-US" w:eastAsia="zh-CN"/>
        </w:rPr>
        <w:t>11</w:t>
      </w:r>
    </w:p>
    <w:p w14:paraId="1452BA8E">
      <w:pPr>
        <w:pStyle w:val="12"/>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九、国有资本经营预算支出决算情况说明</w:t>
      </w:r>
      <w:r>
        <w:rPr>
          <w:rFonts w:cs="Times New Roman"/>
          <w:sz w:val="24"/>
          <w:szCs w:val="24"/>
        </w:rPr>
        <w:tab/>
      </w:r>
      <w:r>
        <w:rPr>
          <w:rFonts w:hint="eastAsia" w:cs="Times New Roman"/>
          <w:sz w:val="24"/>
          <w:szCs w:val="24"/>
          <w:lang w:val="en-US" w:eastAsia="zh-CN"/>
        </w:rPr>
        <w:t>11</w:t>
      </w:r>
    </w:p>
    <w:p w14:paraId="373176F3">
      <w:pPr>
        <w:pStyle w:val="12"/>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十、其他重要事项的情况说明</w:t>
      </w:r>
      <w:r>
        <w:rPr>
          <w:rFonts w:cs="Times New Roman"/>
          <w:sz w:val="24"/>
          <w:szCs w:val="24"/>
        </w:rPr>
        <w:tab/>
      </w:r>
      <w:r>
        <w:rPr>
          <w:rFonts w:hint="eastAsia" w:cs="Times New Roman"/>
          <w:sz w:val="24"/>
          <w:szCs w:val="24"/>
          <w:lang w:val="en-US" w:eastAsia="zh-CN"/>
        </w:rPr>
        <w:t>11</w:t>
      </w:r>
    </w:p>
    <w:p w14:paraId="0E05EC1B">
      <w:pPr>
        <w:pStyle w:val="12"/>
        <w:adjustRightInd w:val="0"/>
        <w:snapToGrid w:val="0"/>
        <w:spacing w:before="0" w:line="44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第三部分 名词解释</w:t>
      </w:r>
      <w:r>
        <w:rPr>
          <w:rFonts w:cs="Times New Roman"/>
          <w:sz w:val="24"/>
          <w:szCs w:val="24"/>
        </w:rPr>
        <w:tab/>
      </w:r>
      <w:r>
        <w:rPr>
          <w:rFonts w:hint="eastAsia" w:cs="Times New Roman"/>
          <w:sz w:val="24"/>
          <w:szCs w:val="24"/>
          <w:lang w:val="en-US" w:eastAsia="zh-CN"/>
        </w:rPr>
        <w:t>13</w:t>
      </w:r>
    </w:p>
    <w:p w14:paraId="24AD209F">
      <w:pPr>
        <w:pStyle w:val="12"/>
        <w:adjustRightInd w:val="0"/>
        <w:snapToGrid w:val="0"/>
        <w:spacing w:before="0" w:line="44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第四部分 附件</w:t>
      </w:r>
      <w:r>
        <w:rPr>
          <w:rFonts w:cs="Times New Roman"/>
          <w:sz w:val="24"/>
          <w:szCs w:val="24"/>
        </w:rPr>
        <w:tab/>
      </w:r>
      <w:r>
        <w:rPr>
          <w:rFonts w:hint="eastAsia" w:cs="Times New Roman"/>
          <w:sz w:val="24"/>
          <w:szCs w:val="24"/>
          <w:lang w:val="en-US" w:eastAsia="zh-CN"/>
        </w:rPr>
        <w:t>14</w:t>
      </w:r>
    </w:p>
    <w:p w14:paraId="2E1B6A81">
      <w:pPr>
        <w:pStyle w:val="12"/>
        <w:adjustRightInd w:val="0"/>
        <w:snapToGrid w:val="0"/>
        <w:spacing w:before="0" w:line="440" w:lineRule="exact"/>
        <w:jc w:val="left"/>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第五部分 附表</w:t>
      </w:r>
      <w:r>
        <w:rPr>
          <w:rFonts w:cs="Times New Roman"/>
          <w:sz w:val="24"/>
          <w:szCs w:val="24"/>
        </w:rPr>
        <w:tab/>
      </w:r>
      <w:r>
        <w:rPr>
          <w:rFonts w:hint="eastAsia" w:cs="Times New Roman"/>
          <w:sz w:val="24"/>
          <w:szCs w:val="24"/>
          <w:lang w:val="en-US" w:eastAsia="zh-CN"/>
        </w:rPr>
        <w:t>17</w:t>
      </w:r>
    </w:p>
    <w:p w14:paraId="74B6E622">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一、收入支出决算总表</w:t>
      </w:r>
      <w:r>
        <w:rPr>
          <w:rFonts w:cs="Times New Roman"/>
          <w:sz w:val="24"/>
          <w:szCs w:val="24"/>
        </w:rPr>
        <w:tab/>
      </w:r>
      <w:r>
        <w:rPr>
          <w:rFonts w:hint="eastAsia" w:cs="Times New Roman"/>
          <w:sz w:val="24"/>
          <w:szCs w:val="24"/>
          <w:lang w:val="en-US" w:eastAsia="zh-CN"/>
        </w:rPr>
        <w:t>17</w:t>
      </w:r>
    </w:p>
    <w:p w14:paraId="34900CE4">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二、收入决算表</w:t>
      </w:r>
      <w:r>
        <w:rPr>
          <w:rFonts w:cs="Times New Roman"/>
          <w:sz w:val="24"/>
          <w:szCs w:val="24"/>
        </w:rPr>
        <w:tab/>
      </w:r>
      <w:r>
        <w:rPr>
          <w:rFonts w:hint="eastAsia" w:cs="Times New Roman"/>
          <w:sz w:val="24"/>
          <w:szCs w:val="24"/>
          <w:lang w:val="en-US" w:eastAsia="zh-CN"/>
        </w:rPr>
        <w:t>17</w:t>
      </w:r>
    </w:p>
    <w:p w14:paraId="51C8004A">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三、支出决算表</w:t>
      </w:r>
      <w:r>
        <w:rPr>
          <w:rFonts w:cs="Times New Roman"/>
          <w:sz w:val="24"/>
          <w:szCs w:val="24"/>
        </w:rPr>
        <w:tab/>
      </w:r>
      <w:r>
        <w:rPr>
          <w:rFonts w:hint="eastAsia" w:cs="Times New Roman"/>
          <w:sz w:val="24"/>
          <w:szCs w:val="24"/>
          <w:lang w:val="en-US" w:eastAsia="zh-CN"/>
        </w:rPr>
        <w:t>17</w:t>
      </w:r>
    </w:p>
    <w:p w14:paraId="3C994571">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四、财政拨款收入支出决算总表</w:t>
      </w:r>
      <w:r>
        <w:rPr>
          <w:rFonts w:cs="Times New Roman"/>
          <w:sz w:val="24"/>
          <w:szCs w:val="24"/>
        </w:rPr>
        <w:tab/>
      </w:r>
      <w:r>
        <w:rPr>
          <w:rFonts w:hint="eastAsia" w:cs="Times New Roman"/>
          <w:sz w:val="24"/>
          <w:szCs w:val="24"/>
          <w:lang w:val="en-US" w:eastAsia="zh-CN"/>
        </w:rPr>
        <w:t>17</w:t>
      </w:r>
    </w:p>
    <w:p w14:paraId="79603AEC">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五、财政拨款支出决算明细表</w:t>
      </w:r>
      <w:r>
        <w:rPr>
          <w:rFonts w:cs="Times New Roman"/>
          <w:sz w:val="24"/>
          <w:szCs w:val="24"/>
        </w:rPr>
        <w:tab/>
      </w:r>
      <w:r>
        <w:rPr>
          <w:rFonts w:hint="eastAsia" w:cs="Times New Roman"/>
          <w:sz w:val="24"/>
          <w:szCs w:val="24"/>
          <w:lang w:val="en-US" w:eastAsia="zh-CN"/>
        </w:rPr>
        <w:t>17</w:t>
      </w:r>
    </w:p>
    <w:p w14:paraId="4D51A68C">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六、一般公共预算财政拨款支出决算表</w:t>
      </w:r>
      <w:r>
        <w:rPr>
          <w:rFonts w:cs="Times New Roman"/>
          <w:sz w:val="24"/>
          <w:szCs w:val="24"/>
        </w:rPr>
        <w:tab/>
      </w:r>
      <w:r>
        <w:rPr>
          <w:rFonts w:hint="eastAsia" w:cs="Times New Roman"/>
          <w:sz w:val="24"/>
          <w:szCs w:val="24"/>
          <w:lang w:val="en-US" w:eastAsia="zh-CN"/>
        </w:rPr>
        <w:t>17</w:t>
      </w:r>
    </w:p>
    <w:p w14:paraId="21AD481F">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七、一般公共预算财政拨款支出决算明细表</w:t>
      </w:r>
      <w:r>
        <w:rPr>
          <w:rFonts w:cs="Times New Roman"/>
          <w:sz w:val="24"/>
          <w:szCs w:val="24"/>
        </w:rPr>
        <w:tab/>
      </w:r>
      <w:r>
        <w:rPr>
          <w:rFonts w:hint="eastAsia" w:cs="Times New Roman"/>
          <w:sz w:val="24"/>
          <w:szCs w:val="24"/>
          <w:lang w:val="en-US" w:eastAsia="zh-CN"/>
        </w:rPr>
        <w:t>17</w:t>
      </w:r>
    </w:p>
    <w:p w14:paraId="3554DB21">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八、一般公共预算财政拨款基本支出决算明细表</w:t>
      </w:r>
      <w:r>
        <w:rPr>
          <w:rFonts w:cs="Times New Roman"/>
          <w:sz w:val="24"/>
          <w:szCs w:val="24"/>
        </w:rPr>
        <w:tab/>
      </w:r>
      <w:r>
        <w:rPr>
          <w:rFonts w:hint="eastAsia" w:cs="Times New Roman"/>
          <w:sz w:val="24"/>
          <w:szCs w:val="24"/>
          <w:lang w:val="en-US" w:eastAsia="zh-CN"/>
        </w:rPr>
        <w:t>17</w:t>
      </w:r>
    </w:p>
    <w:p w14:paraId="2C12A523">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九、一般公共预算财政拨款项目支出决算表</w:t>
      </w:r>
      <w:r>
        <w:rPr>
          <w:rFonts w:cs="Times New Roman"/>
          <w:sz w:val="24"/>
          <w:szCs w:val="24"/>
        </w:rPr>
        <w:tab/>
      </w:r>
      <w:r>
        <w:rPr>
          <w:rFonts w:hint="eastAsia" w:cs="Times New Roman"/>
          <w:sz w:val="24"/>
          <w:szCs w:val="24"/>
          <w:lang w:val="en-US" w:eastAsia="zh-CN"/>
        </w:rPr>
        <w:t>17</w:t>
      </w:r>
    </w:p>
    <w:p w14:paraId="3CE726F5">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十、政府性基金预算财政拨款收入支出决算表</w:t>
      </w:r>
      <w:r>
        <w:rPr>
          <w:rFonts w:cs="Times New Roman"/>
          <w:sz w:val="24"/>
          <w:szCs w:val="24"/>
        </w:rPr>
        <w:tab/>
      </w:r>
      <w:r>
        <w:rPr>
          <w:rFonts w:hint="eastAsia" w:cs="Times New Roman"/>
          <w:sz w:val="24"/>
          <w:szCs w:val="24"/>
          <w:lang w:val="en-US" w:eastAsia="zh-CN"/>
        </w:rPr>
        <w:t>17</w:t>
      </w:r>
    </w:p>
    <w:p w14:paraId="259ACE6D">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十一、国有资本经营预算财政拨款收入支出决算表</w:t>
      </w:r>
      <w:r>
        <w:rPr>
          <w:rFonts w:cs="Times New Roman"/>
          <w:sz w:val="24"/>
          <w:szCs w:val="24"/>
        </w:rPr>
        <w:tab/>
      </w:r>
      <w:r>
        <w:rPr>
          <w:rFonts w:hint="eastAsia" w:cs="Times New Roman"/>
          <w:sz w:val="24"/>
          <w:szCs w:val="24"/>
          <w:lang w:val="en-US" w:eastAsia="zh-CN"/>
        </w:rPr>
        <w:t>17</w:t>
      </w:r>
    </w:p>
    <w:p w14:paraId="47FB8430">
      <w:pPr>
        <w:pStyle w:val="12"/>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十二、国有资本经营预算财政拨款支出决算表</w:t>
      </w:r>
      <w:r>
        <w:rPr>
          <w:rFonts w:cs="Times New Roman"/>
          <w:sz w:val="24"/>
          <w:szCs w:val="24"/>
        </w:rPr>
        <w:tab/>
      </w:r>
      <w:r>
        <w:rPr>
          <w:rFonts w:hint="eastAsia" w:cs="Times New Roman"/>
          <w:sz w:val="24"/>
          <w:szCs w:val="24"/>
          <w:lang w:val="en-US" w:eastAsia="zh-CN"/>
        </w:rPr>
        <w:t>17</w:t>
      </w:r>
    </w:p>
    <w:p w14:paraId="33C95A86">
      <w:pPr>
        <w:pStyle w:val="12"/>
        <w:adjustRightInd w:val="0"/>
        <w:snapToGrid w:val="0"/>
        <w:spacing w:before="0" w:line="440" w:lineRule="exact"/>
        <w:ind w:firstLine="640" w:firstLineChars="200"/>
        <w:jc w:val="left"/>
        <w:rPr>
          <w:rFonts w:hint="default" w:ascii="Times New Roman" w:hAnsi="Times New Roman" w:eastAsia="仿宋" w:cs="黑体"/>
          <w:sz w:val="32"/>
          <w:szCs w:val="32"/>
          <w:lang w:val="en-US" w:eastAsia="zh-CN"/>
        </w:rPr>
      </w:pPr>
      <w:r>
        <w:rPr>
          <w:rFonts w:hint="eastAsia" w:eastAsia="仿宋_GB2312" w:cs="仿宋_GB2312"/>
          <w:sz w:val="32"/>
          <w:szCs w:val="32"/>
        </w:rPr>
        <w:t>十三、财政拨款“三公”经费支出决算表</w:t>
      </w:r>
      <w:r>
        <w:rPr>
          <w:rFonts w:cs="Times New Roman"/>
          <w:sz w:val="24"/>
          <w:szCs w:val="24"/>
        </w:rPr>
        <w:tab/>
      </w:r>
      <w:r>
        <w:rPr>
          <w:rFonts w:hint="eastAsia" w:cs="Times New Roman"/>
          <w:sz w:val="24"/>
          <w:szCs w:val="24"/>
          <w:lang w:val="en-US" w:eastAsia="zh-CN"/>
        </w:rPr>
        <w:t>17</w:t>
      </w:r>
    </w:p>
    <w:p w14:paraId="4A520B76">
      <w:pPr>
        <w:widowControl/>
        <w:spacing w:line="560" w:lineRule="exact"/>
        <w:jc w:val="left"/>
        <w:rPr>
          <w:rFonts w:eastAsia="仿宋_GB2312" w:cs="仿宋_GB2312"/>
          <w:bCs/>
          <w:kern w:val="44"/>
          <w:sz w:val="32"/>
          <w:szCs w:val="32"/>
        </w:rPr>
      </w:pPr>
      <w:r>
        <w:rPr>
          <w:rFonts w:hint="eastAsia" w:eastAsia="仿宋_GB2312" w:cs="仿宋_GB2312"/>
          <w:b/>
          <w:sz w:val="32"/>
          <w:szCs w:val="32"/>
        </w:rPr>
        <w:br w:type="page"/>
      </w:r>
    </w:p>
    <w:p w14:paraId="4FAE92EE">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eastAsia="zh-CN"/>
        </w:rPr>
        <w:t>单位</w:t>
      </w:r>
      <w:r>
        <w:rPr>
          <w:rStyle w:val="28"/>
          <w:rFonts w:hint="eastAsia" w:eastAsia="方正小标宋简体" w:cs="方正小标宋简体"/>
          <w:b w:val="0"/>
          <w:bCs w:val="0"/>
        </w:rPr>
        <w:t>概况</w:t>
      </w:r>
      <w:bookmarkEnd w:id="6"/>
      <w:bookmarkEnd w:id="7"/>
    </w:p>
    <w:p w14:paraId="4586A571">
      <w:pPr>
        <w:pStyle w:val="3"/>
        <w:numPr>
          <w:ilvl w:val="0"/>
          <w:numId w:val="1"/>
        </w:numPr>
      </w:pPr>
      <w:r>
        <w:rPr>
          <w:rFonts w:hint="eastAsia" w:ascii="Times New Roman" w:hAnsi="Times New Roman" w:eastAsia="黑体"/>
          <w:b w:val="0"/>
          <w:lang w:eastAsia="zh-CN"/>
        </w:rPr>
        <w:t>单位</w:t>
      </w:r>
      <w:r>
        <w:rPr>
          <w:rFonts w:hint="eastAsia" w:ascii="Times New Roman" w:hAnsi="Times New Roman" w:eastAsia="黑体"/>
          <w:b w:val="0"/>
        </w:rPr>
        <w:t>职责</w:t>
      </w:r>
    </w:p>
    <w:p w14:paraId="06F9959D">
      <w:pPr>
        <w:pStyle w:val="3"/>
        <w:numPr>
          <w:ilvl w:val="0"/>
          <w:numId w:val="0"/>
        </w:numPr>
        <w:ind w:firstLine="640" w:firstLineChars="200"/>
      </w:pPr>
      <w:r>
        <w:rPr>
          <w:rFonts w:hint="eastAsia" w:ascii="Times New Roman" w:hAnsi="Times New Roman" w:eastAsia="仿宋_GB2312" w:cs="Times New Roman"/>
          <w:b w:val="0"/>
          <w:bCs w:val="0"/>
          <w:kern w:val="2"/>
          <w:sz w:val="32"/>
          <w:szCs w:val="32"/>
          <w:lang w:val="en-US" w:eastAsia="zh-CN" w:bidi="ar-SA"/>
        </w:rPr>
        <w:t>攀枝花市少年宫是全额拨款事业单位，秉承“公益办宫，服务青少年”的宗旨，牢牢把握青少年社会教育这一工作主线，推动校外教育阵地建设大发展，夯实培训和活动两个根本，突出公益性、服务性和体验性三大特点，立足本宫，通过丰富多彩的主题教育兴趣培养等途径，常年开展各类艺术培训活动。</w:t>
      </w:r>
    </w:p>
    <w:p w14:paraId="55C8867B">
      <w:pPr>
        <w:pStyle w:val="3"/>
        <w:rPr>
          <w:rStyle w:val="29"/>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4C2FCDB2">
      <w:pPr>
        <w:ind w:firstLine="640" w:firstLineChars="20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攀枝花市少年宫是一级预算单位，无下属二级预算单位。</w:t>
      </w:r>
    </w:p>
    <w:p w14:paraId="119A9191">
      <w:pPr>
        <w:ind w:firstLine="800" w:firstLineChars="250"/>
        <w:rPr>
          <w:rFonts w:eastAsia="仿宋_GB2312" w:cs="仿宋_GB2312"/>
          <w:sz w:val="32"/>
          <w:szCs w:val="32"/>
        </w:rPr>
      </w:pPr>
    </w:p>
    <w:p w14:paraId="0B65F18B">
      <w:pPr>
        <w:widowControl/>
        <w:jc w:val="left"/>
        <w:rPr>
          <w:rFonts w:eastAsia="仿宋"/>
          <w:kern w:val="0"/>
          <w:sz w:val="32"/>
          <w:szCs w:val="32"/>
        </w:rPr>
      </w:pPr>
      <w:r>
        <w:rPr>
          <w:rFonts w:eastAsia="仿宋"/>
          <w:sz w:val="32"/>
          <w:szCs w:val="32"/>
        </w:rPr>
        <w:br w:type="page"/>
      </w:r>
    </w:p>
    <w:p w14:paraId="73BD97BC">
      <w:pPr>
        <w:pStyle w:val="2"/>
        <w:jc w:val="center"/>
        <w:rPr>
          <w:rFonts w:eastAsia="方正小标宋简体" w:cs="方正小标宋简体"/>
          <w:b w:val="0"/>
        </w:rPr>
      </w:pPr>
      <w:bookmarkStart w:id="10" w:name="_Toc15396602"/>
      <w:bookmarkStart w:id="11" w:name="_Toc15377204"/>
      <w:r>
        <w:rPr>
          <w:rFonts w:hint="eastAsia" w:eastAsia="方正小标宋简体" w:cs="方正小标宋简体"/>
          <w:b w:val="0"/>
        </w:rPr>
        <w:t>第二部分  2025年度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0"/>
      <w:bookmarkEnd w:id="11"/>
    </w:p>
    <w:p w14:paraId="3936D3ED"/>
    <w:p w14:paraId="31DA00E1">
      <w:pPr>
        <w:pStyle w:val="27"/>
        <w:spacing w:line="600" w:lineRule="exact"/>
        <w:ind w:firstLine="640"/>
        <w:outlineLvl w:val="1"/>
        <w:rPr>
          <w:rStyle w:val="29"/>
          <w:rFonts w:ascii="Times New Roman" w:hAnsi="Times New Roman" w:eastAsia="黑体"/>
          <w:b w:val="0"/>
        </w:rPr>
      </w:pPr>
      <w:bookmarkStart w:id="12" w:name="_Toc15396603"/>
      <w:bookmarkStart w:id="1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0F45A0A2">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647.86</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61.07</w:t>
      </w:r>
      <w:r>
        <w:rPr>
          <w:rFonts w:hint="eastAsia" w:eastAsia="仿宋_GB2312" w:cs="仿宋_GB2312"/>
          <w:sz w:val="32"/>
          <w:szCs w:val="32"/>
        </w:rPr>
        <w:t>万元，下降</w:t>
      </w:r>
      <w:r>
        <w:rPr>
          <w:rFonts w:hint="eastAsia" w:eastAsia="仿宋_GB2312" w:cs="仿宋_GB2312"/>
          <w:sz w:val="32"/>
          <w:szCs w:val="32"/>
          <w:lang w:val="en-US" w:eastAsia="zh-CN"/>
        </w:rPr>
        <w:t>8.6</w:t>
      </w:r>
      <w:r>
        <w:rPr>
          <w:rFonts w:hint="eastAsia" w:eastAsia="仿宋_GB2312" w:cs="仿宋_GB2312"/>
          <w:sz w:val="32"/>
          <w:szCs w:val="32"/>
        </w:rPr>
        <w:t>%。主要变动原因是</w:t>
      </w:r>
      <w:r>
        <w:rPr>
          <w:rFonts w:hint="eastAsia" w:eastAsia="仿宋_GB2312" w:cs="仿宋_GB2312"/>
          <w:sz w:val="32"/>
          <w:szCs w:val="32"/>
          <w:lang w:eastAsia="zh-CN"/>
        </w:rPr>
        <w:t>按照全市预算安排，</w:t>
      </w:r>
      <w:r>
        <w:rPr>
          <w:rFonts w:hint="eastAsia" w:eastAsia="仿宋_GB2312" w:cs="仿宋_GB2312"/>
          <w:sz w:val="32"/>
          <w:szCs w:val="32"/>
          <w:lang w:val="en-US" w:eastAsia="zh-CN"/>
        </w:rPr>
        <w:t>2025年</w:t>
      </w:r>
      <w:r>
        <w:rPr>
          <w:rFonts w:hint="eastAsia" w:eastAsia="仿宋_GB2312" w:cs="仿宋_GB2312"/>
          <w:sz w:val="32"/>
          <w:szCs w:val="32"/>
          <w:lang w:eastAsia="zh-CN"/>
        </w:rPr>
        <w:t>缩减了用于保障日常培训活动开展的项目经费。</w:t>
      </w:r>
    </w:p>
    <w:p w14:paraId="5BDE26B3">
      <w:pPr>
        <w:ind w:firstLine="420" w:firstLineChars="200"/>
        <w:rPr>
          <w:rFonts w:eastAsia="仿宋_GB2312" w:cs="仿宋_GB2312"/>
          <w:sz w:val="32"/>
          <w:szCs w:val="32"/>
        </w:rPr>
      </w:pPr>
      <w:r>
        <w:rPr>
          <w:rFonts w:hint="eastAsia" w:eastAsia="宋体"/>
          <w:lang w:eastAsia="zh-CN"/>
        </w:rPr>
        <w:object>
          <v:shape id="_x0000_i1025" o:spt="75" type="#_x0000_t75" style="height:170.55pt;width:372.45pt;" o:ole="t" filled="f" o:preferrelative="t" stroked="f" coordsize="21600,21600">
            <v:path/>
            <v:fill on="f" focussize="0,0"/>
            <v:stroke on="f"/>
            <v:imagedata r:id="rId9" o:title=""/>
            <o:lock v:ext="edit" aspectratio="t"/>
            <w10:wrap type="none"/>
            <w10:anchorlock/>
          </v:shape>
          <o:OLEObject Type="Embed" ProgID="Excel.Chart.8" ShapeID="_x0000_i1025" DrawAspect="Content" ObjectID="_1468075725" r:id="rId8">
            <o:LockedField>false</o:LockedField>
          </o:OLEObject>
        </w:object>
      </w:r>
    </w:p>
    <w:p w14:paraId="1F9E6492">
      <w:pPr>
        <w:pStyle w:val="27"/>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3A6179A3">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647.86</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647.86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万元；上级补助收入</w:t>
      </w:r>
      <w:r>
        <w:rPr>
          <w:rFonts w:hint="eastAsia" w:eastAsia="仿宋_GB2312" w:cs="仿宋_GB2312"/>
          <w:sz w:val="32"/>
          <w:szCs w:val="32"/>
          <w:lang w:val="en-US" w:eastAsia="zh-CN"/>
        </w:rPr>
        <w:t>0</w:t>
      </w:r>
      <w:r>
        <w:rPr>
          <w:rFonts w:hint="eastAsia" w:eastAsia="仿宋_GB2312" w:cs="仿宋_GB2312"/>
          <w:sz w:val="32"/>
          <w:szCs w:val="32"/>
        </w:rPr>
        <w:t>万元；事业收入</w:t>
      </w:r>
      <w:r>
        <w:rPr>
          <w:rFonts w:hint="eastAsia" w:eastAsia="仿宋_GB2312" w:cs="仿宋_GB2312"/>
          <w:sz w:val="32"/>
          <w:szCs w:val="32"/>
          <w:lang w:val="en-US" w:eastAsia="zh-CN"/>
        </w:rPr>
        <w:t>0</w:t>
      </w:r>
      <w:r>
        <w:rPr>
          <w:rFonts w:hint="eastAsia" w:eastAsia="仿宋_GB2312" w:cs="仿宋_GB2312"/>
          <w:sz w:val="32"/>
          <w:szCs w:val="32"/>
        </w:rPr>
        <w:t>万元；经营收入</w:t>
      </w:r>
      <w:r>
        <w:rPr>
          <w:rFonts w:hint="eastAsia" w:eastAsia="仿宋_GB2312" w:cs="仿宋_GB2312"/>
          <w:sz w:val="32"/>
          <w:szCs w:val="32"/>
          <w:lang w:val="en-US" w:eastAsia="zh-CN"/>
        </w:rPr>
        <w:t>0</w:t>
      </w:r>
      <w:r>
        <w:rPr>
          <w:rFonts w:hint="eastAsia" w:eastAsia="仿宋_GB2312" w:cs="仿宋_GB2312"/>
          <w:sz w:val="32"/>
          <w:szCs w:val="32"/>
        </w:rPr>
        <w:t>万元；附属单位上缴收入</w:t>
      </w:r>
      <w:r>
        <w:rPr>
          <w:rFonts w:hint="eastAsia" w:eastAsia="仿宋_GB2312" w:cs="仿宋_GB2312"/>
          <w:sz w:val="32"/>
          <w:szCs w:val="32"/>
          <w:lang w:val="en-US" w:eastAsia="zh-CN"/>
        </w:rPr>
        <w:t>0</w:t>
      </w:r>
      <w:r>
        <w:rPr>
          <w:rFonts w:hint="eastAsia" w:eastAsia="仿宋_GB2312" w:cs="仿宋_GB2312"/>
          <w:sz w:val="32"/>
          <w:szCs w:val="32"/>
        </w:rPr>
        <w:t>万元；其他收入</w:t>
      </w:r>
      <w:r>
        <w:rPr>
          <w:rFonts w:hint="eastAsia" w:eastAsia="仿宋_GB2312" w:cs="仿宋_GB2312"/>
          <w:sz w:val="32"/>
          <w:szCs w:val="32"/>
          <w:lang w:val="en-US" w:eastAsia="zh-CN"/>
        </w:rPr>
        <w:t>0</w:t>
      </w:r>
      <w:r>
        <w:rPr>
          <w:rFonts w:hint="eastAsia" w:eastAsia="仿宋_GB2312" w:cs="仿宋_GB2312"/>
          <w:sz w:val="32"/>
          <w:szCs w:val="32"/>
        </w:rPr>
        <w:t>万元。</w:t>
      </w:r>
    </w:p>
    <w:p w14:paraId="57828575">
      <w:pPr>
        <w:pStyle w:val="27"/>
        <w:spacing w:line="600" w:lineRule="exact"/>
        <w:ind w:firstLine="640"/>
        <w:jc w:val="distribute"/>
        <w:outlineLvl w:val="1"/>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207645</wp:posOffset>
            </wp:positionV>
            <wp:extent cx="4551680" cy="2273935"/>
            <wp:effectExtent l="4445" t="4445" r="15875" b="762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BBA34C0">
      <w:pPr>
        <w:pStyle w:val="27"/>
        <w:spacing w:line="600" w:lineRule="exact"/>
        <w:ind w:firstLine="640"/>
        <w:outlineLvl w:val="1"/>
        <w:rPr>
          <w:rStyle w:val="29"/>
          <w:rFonts w:ascii="Times New Roman" w:hAnsi="Times New Roman" w:eastAsia="黑体"/>
          <w:b w:val="0"/>
        </w:rPr>
      </w:pPr>
      <w:bookmarkStart w:id="16" w:name="_Toc15377207"/>
      <w:bookmarkStart w:id="17" w:name="_Toc15396605"/>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65BF7B9F">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647.86</w:t>
      </w:r>
      <w:r>
        <w:rPr>
          <w:rFonts w:hint="eastAsia" w:eastAsia="仿宋_GB2312" w:cs="仿宋_GB2312"/>
          <w:sz w:val="32"/>
          <w:szCs w:val="32"/>
        </w:rPr>
        <w:t>万元，其中：基本支出</w:t>
      </w:r>
      <w:r>
        <w:rPr>
          <w:rFonts w:hint="eastAsia" w:eastAsia="仿宋_GB2312" w:cs="仿宋_GB2312"/>
          <w:sz w:val="32"/>
          <w:szCs w:val="32"/>
          <w:lang w:val="en-US" w:eastAsia="zh-CN"/>
        </w:rPr>
        <w:t>486.53</w:t>
      </w:r>
      <w:r>
        <w:rPr>
          <w:rFonts w:hint="eastAsia" w:eastAsia="仿宋_GB2312" w:cs="仿宋_GB2312"/>
          <w:sz w:val="32"/>
          <w:szCs w:val="32"/>
        </w:rPr>
        <w:t>万元，占</w:t>
      </w:r>
      <w:r>
        <w:rPr>
          <w:rFonts w:hint="eastAsia" w:eastAsia="仿宋_GB2312" w:cs="仿宋_GB2312"/>
          <w:sz w:val="32"/>
          <w:szCs w:val="32"/>
          <w:lang w:val="en-US" w:eastAsia="zh-CN"/>
        </w:rPr>
        <w:t>75.1</w:t>
      </w:r>
      <w:r>
        <w:rPr>
          <w:rFonts w:hint="eastAsia" w:eastAsia="仿宋_GB2312" w:cs="仿宋_GB2312"/>
          <w:sz w:val="32"/>
          <w:szCs w:val="32"/>
        </w:rPr>
        <w:t>%；项目支出</w:t>
      </w:r>
      <w:r>
        <w:rPr>
          <w:rFonts w:hint="eastAsia" w:eastAsia="仿宋_GB2312" w:cs="仿宋_GB2312"/>
          <w:sz w:val="32"/>
          <w:szCs w:val="32"/>
          <w:lang w:val="en-US" w:eastAsia="zh-CN"/>
        </w:rPr>
        <w:t>161.33</w:t>
      </w:r>
      <w:r>
        <w:rPr>
          <w:rFonts w:hint="eastAsia" w:eastAsia="仿宋_GB2312" w:cs="仿宋_GB2312"/>
          <w:sz w:val="32"/>
          <w:szCs w:val="32"/>
        </w:rPr>
        <w:t>万元，占</w:t>
      </w:r>
      <w:r>
        <w:rPr>
          <w:rFonts w:hint="eastAsia" w:eastAsia="仿宋_GB2312" w:cs="仿宋_GB2312"/>
          <w:sz w:val="32"/>
          <w:szCs w:val="32"/>
          <w:lang w:val="en-US" w:eastAsia="zh-CN"/>
        </w:rPr>
        <w:t>24.9</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万元；经营支出</w:t>
      </w:r>
      <w:r>
        <w:rPr>
          <w:rFonts w:hint="eastAsia" w:eastAsia="仿宋_GB2312" w:cs="仿宋_GB2312"/>
          <w:sz w:val="32"/>
          <w:szCs w:val="32"/>
          <w:lang w:val="en-US" w:eastAsia="zh-CN"/>
        </w:rPr>
        <w:t>0</w:t>
      </w:r>
      <w:r>
        <w:rPr>
          <w:rFonts w:hint="eastAsia" w:eastAsia="仿宋_GB2312" w:cs="仿宋_GB2312"/>
          <w:sz w:val="32"/>
          <w:szCs w:val="32"/>
        </w:rPr>
        <w:t>万元；对附属单位补助支出</w:t>
      </w:r>
      <w:r>
        <w:rPr>
          <w:rFonts w:hint="eastAsia" w:eastAsia="仿宋_GB2312" w:cs="仿宋_GB2312"/>
          <w:sz w:val="32"/>
          <w:szCs w:val="32"/>
          <w:lang w:val="en-US" w:eastAsia="zh-CN"/>
        </w:rPr>
        <w:t>0</w:t>
      </w:r>
      <w:r>
        <w:rPr>
          <w:rFonts w:hint="eastAsia" w:eastAsia="仿宋_GB2312" w:cs="仿宋_GB2312"/>
          <w:sz w:val="32"/>
          <w:szCs w:val="32"/>
        </w:rPr>
        <w:t>万元。</w:t>
      </w:r>
    </w:p>
    <w:p w14:paraId="04311528">
      <w:pPr>
        <w:ind w:firstLine="800" w:firstLineChars="25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420370</wp:posOffset>
            </wp:positionH>
            <wp:positionV relativeFrom="paragraph">
              <wp:posOffset>280035</wp:posOffset>
            </wp:positionV>
            <wp:extent cx="4513580" cy="2052955"/>
            <wp:effectExtent l="4445" t="4445" r="15875" b="1905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C1D1A24">
      <w:pPr>
        <w:spacing w:line="600" w:lineRule="exact"/>
        <w:ind w:firstLine="640" w:firstLineChars="200"/>
        <w:outlineLvl w:val="1"/>
        <w:rPr>
          <w:rStyle w:val="29"/>
          <w:rFonts w:ascii="Times New Roman" w:hAnsi="Times New Roman" w:eastAsia="黑体"/>
          <w:b w:val="0"/>
        </w:rPr>
      </w:pPr>
      <w:bookmarkStart w:id="18" w:name="_Toc15377208"/>
      <w:bookmarkStart w:id="19"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5412DEAB">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647.86</w:t>
      </w:r>
      <w:r>
        <w:rPr>
          <w:rFonts w:hint="eastAsia" w:eastAsia="仿宋_GB2312" w:cs="仿宋_GB2312"/>
          <w:sz w:val="32"/>
          <w:szCs w:val="32"/>
        </w:rPr>
        <w:t>万元。与上年度相比，财政拨款收入、支出总计各减少</w:t>
      </w:r>
      <w:r>
        <w:rPr>
          <w:rFonts w:hint="eastAsia" w:eastAsia="仿宋_GB2312" w:cs="仿宋_GB2312"/>
          <w:sz w:val="32"/>
          <w:szCs w:val="32"/>
          <w:lang w:val="en-US" w:eastAsia="zh-CN"/>
        </w:rPr>
        <w:t>61.07</w:t>
      </w:r>
      <w:r>
        <w:rPr>
          <w:rFonts w:hint="eastAsia" w:eastAsia="仿宋_GB2312" w:cs="仿宋_GB2312"/>
          <w:sz w:val="32"/>
          <w:szCs w:val="32"/>
        </w:rPr>
        <w:t>万元，下降</w:t>
      </w:r>
      <w:r>
        <w:rPr>
          <w:rFonts w:hint="eastAsia" w:eastAsia="仿宋_GB2312" w:cs="仿宋_GB2312"/>
          <w:sz w:val="32"/>
          <w:szCs w:val="32"/>
          <w:lang w:val="en-US" w:eastAsia="zh-CN"/>
        </w:rPr>
        <w:t>8.6</w:t>
      </w:r>
      <w:r>
        <w:rPr>
          <w:rFonts w:hint="eastAsia" w:eastAsia="仿宋_GB2312" w:cs="仿宋_GB2312"/>
          <w:sz w:val="32"/>
          <w:szCs w:val="32"/>
        </w:rPr>
        <w:t>%。主要变动原因是</w:t>
      </w:r>
      <w:r>
        <w:rPr>
          <w:rFonts w:hint="eastAsia" w:eastAsia="仿宋_GB2312" w:cs="仿宋_GB2312"/>
          <w:sz w:val="32"/>
          <w:szCs w:val="32"/>
          <w:lang w:eastAsia="zh-CN"/>
        </w:rPr>
        <w:t>按照全市预算安排，</w:t>
      </w:r>
      <w:r>
        <w:rPr>
          <w:rFonts w:hint="eastAsia" w:eastAsia="仿宋_GB2312" w:cs="仿宋_GB2312"/>
          <w:sz w:val="32"/>
          <w:szCs w:val="32"/>
          <w:lang w:val="en-US" w:eastAsia="zh-CN"/>
        </w:rPr>
        <w:t>2025年</w:t>
      </w:r>
      <w:r>
        <w:rPr>
          <w:rFonts w:hint="eastAsia" w:eastAsia="仿宋_GB2312" w:cs="仿宋_GB2312"/>
          <w:sz w:val="32"/>
          <w:szCs w:val="32"/>
          <w:lang w:eastAsia="zh-CN"/>
        </w:rPr>
        <w:t>缩减了用于保障日常培训活动开展的项目经费。</w:t>
      </w:r>
    </w:p>
    <w:p w14:paraId="1BA223E8">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167005</wp:posOffset>
            </wp:positionH>
            <wp:positionV relativeFrom="paragraph">
              <wp:posOffset>314960</wp:posOffset>
            </wp:positionV>
            <wp:extent cx="4731385" cy="1938655"/>
            <wp:effectExtent l="4445" t="4445" r="7620" b="1905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20" w:name="_Toc15396607"/>
      <w:bookmarkStart w:id="21" w:name="_Toc15377209"/>
    </w:p>
    <w:p w14:paraId="7D060834">
      <w:pPr>
        <w:spacing w:line="600" w:lineRule="exact"/>
        <w:ind w:firstLine="640"/>
        <w:rPr>
          <w:rStyle w:val="29"/>
          <w:rFonts w:ascii="Times New Roman" w:hAnsi="Times New Roman" w:eastAsia="黑体"/>
          <w:b w:val="0"/>
        </w:rPr>
      </w:pPr>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51892FCC">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799EBAFC">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647.86</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61.07</w:t>
      </w:r>
      <w:r>
        <w:rPr>
          <w:rFonts w:hint="eastAsia" w:eastAsia="仿宋_GB2312" w:cs="仿宋_GB2312"/>
          <w:sz w:val="32"/>
          <w:szCs w:val="32"/>
        </w:rPr>
        <w:t>万元，下降</w:t>
      </w:r>
      <w:r>
        <w:rPr>
          <w:rFonts w:hint="eastAsia" w:eastAsia="仿宋_GB2312" w:cs="仿宋_GB2312"/>
          <w:sz w:val="32"/>
          <w:szCs w:val="32"/>
          <w:lang w:val="en-US" w:eastAsia="zh-CN"/>
        </w:rPr>
        <w:t>8.6</w:t>
      </w:r>
      <w:r>
        <w:rPr>
          <w:rFonts w:hint="eastAsia" w:eastAsia="仿宋_GB2312" w:cs="仿宋_GB2312"/>
          <w:sz w:val="32"/>
          <w:szCs w:val="32"/>
        </w:rPr>
        <w:t>%。主要变动原因是</w:t>
      </w:r>
      <w:r>
        <w:rPr>
          <w:rFonts w:hint="eastAsia" w:eastAsia="仿宋_GB2312" w:cs="仿宋_GB2312"/>
          <w:sz w:val="32"/>
          <w:szCs w:val="32"/>
          <w:lang w:val="en-US" w:eastAsia="zh-CN"/>
        </w:rPr>
        <w:t>2025年</w:t>
      </w:r>
      <w:r>
        <w:rPr>
          <w:rFonts w:hint="eastAsia" w:eastAsia="仿宋_GB2312" w:cs="仿宋_GB2312"/>
          <w:sz w:val="32"/>
          <w:szCs w:val="32"/>
          <w:lang w:eastAsia="zh-CN"/>
        </w:rPr>
        <w:t>缩减了用于保障日常培训活动开展的项目经费。</w:t>
      </w:r>
    </w:p>
    <w:p w14:paraId="065D233D">
      <w:pPr>
        <w:spacing w:line="600" w:lineRule="exact"/>
        <w:ind w:firstLine="64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318770</wp:posOffset>
            </wp:positionH>
            <wp:positionV relativeFrom="paragraph">
              <wp:posOffset>265430</wp:posOffset>
            </wp:positionV>
            <wp:extent cx="4608195" cy="1969770"/>
            <wp:effectExtent l="5080" t="4445" r="15875" b="698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2485D18">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0BB92A99">
      <w:pPr>
        <w:spacing w:line="600" w:lineRule="exact"/>
        <w:ind w:firstLine="640"/>
        <w:rPr>
          <w:rFonts w:hint="eastAsia"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647.86</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492.14</w:t>
      </w:r>
      <w:r>
        <w:rPr>
          <w:rFonts w:hint="eastAsia" w:eastAsia="仿宋_GB2312" w:cs="仿宋_GB2312"/>
          <w:sz w:val="32"/>
          <w:szCs w:val="32"/>
        </w:rPr>
        <w:t>万元，占</w:t>
      </w:r>
      <w:r>
        <w:rPr>
          <w:rFonts w:hint="eastAsia" w:eastAsia="仿宋_GB2312" w:cs="仿宋_GB2312"/>
          <w:sz w:val="32"/>
          <w:szCs w:val="32"/>
          <w:lang w:val="en-US" w:eastAsia="zh-CN"/>
        </w:rPr>
        <w:t>76</w:t>
      </w:r>
      <w:r>
        <w:rPr>
          <w:rFonts w:hint="eastAsia" w:eastAsia="仿宋_GB2312" w:cs="仿宋_GB2312"/>
          <w:sz w:val="32"/>
          <w:szCs w:val="32"/>
        </w:rPr>
        <w:t>%；社会保障和就业支出</w:t>
      </w:r>
      <w:r>
        <w:rPr>
          <w:rFonts w:hint="eastAsia" w:eastAsia="仿宋_GB2312" w:cs="仿宋_GB2312"/>
          <w:sz w:val="32"/>
          <w:szCs w:val="32"/>
          <w:lang w:val="en-US" w:eastAsia="zh-CN"/>
        </w:rPr>
        <w:t>94.09</w:t>
      </w:r>
      <w:r>
        <w:rPr>
          <w:rFonts w:hint="eastAsia" w:eastAsia="仿宋_GB2312" w:cs="仿宋_GB2312"/>
          <w:sz w:val="32"/>
          <w:szCs w:val="32"/>
        </w:rPr>
        <w:t>万元，占</w:t>
      </w:r>
      <w:r>
        <w:rPr>
          <w:rFonts w:hint="eastAsia" w:eastAsia="仿宋_GB2312" w:cs="仿宋_GB2312"/>
          <w:sz w:val="32"/>
          <w:szCs w:val="32"/>
          <w:lang w:val="en-US" w:eastAsia="zh-CN"/>
        </w:rPr>
        <w:t>14.5</w:t>
      </w:r>
      <w:r>
        <w:rPr>
          <w:rFonts w:hint="eastAsia" w:eastAsia="仿宋_GB2312" w:cs="仿宋_GB2312"/>
          <w:sz w:val="32"/>
          <w:szCs w:val="32"/>
        </w:rPr>
        <w:t>%；卫生健康支出</w:t>
      </w:r>
      <w:r>
        <w:rPr>
          <w:rFonts w:hint="eastAsia" w:eastAsia="仿宋_GB2312" w:cs="仿宋_GB2312"/>
          <w:sz w:val="32"/>
          <w:szCs w:val="32"/>
          <w:lang w:val="en-US" w:eastAsia="zh-CN"/>
        </w:rPr>
        <w:t>27.83</w:t>
      </w:r>
      <w:r>
        <w:rPr>
          <w:rFonts w:hint="eastAsia" w:eastAsia="仿宋_GB2312" w:cs="仿宋_GB2312"/>
          <w:sz w:val="32"/>
          <w:szCs w:val="32"/>
        </w:rPr>
        <w:t>万元，占</w:t>
      </w:r>
      <w:r>
        <w:rPr>
          <w:rFonts w:hint="eastAsia" w:eastAsia="仿宋_GB2312" w:cs="仿宋_GB2312"/>
          <w:sz w:val="32"/>
          <w:szCs w:val="32"/>
          <w:lang w:val="en-US" w:eastAsia="zh-CN"/>
        </w:rPr>
        <w:t>4.3</w:t>
      </w:r>
      <w:r>
        <w:rPr>
          <w:rFonts w:hint="eastAsia" w:eastAsia="仿宋_GB2312" w:cs="仿宋_GB2312"/>
          <w:sz w:val="32"/>
          <w:szCs w:val="32"/>
        </w:rPr>
        <w:t>%；住房保障支出</w:t>
      </w:r>
      <w:r>
        <w:rPr>
          <w:rFonts w:hint="eastAsia" w:eastAsia="仿宋_GB2312" w:cs="仿宋_GB2312"/>
          <w:sz w:val="32"/>
          <w:szCs w:val="32"/>
          <w:lang w:val="en-US" w:eastAsia="zh-CN"/>
        </w:rPr>
        <w:t>33.79</w:t>
      </w:r>
      <w:r>
        <w:rPr>
          <w:rFonts w:hint="eastAsia" w:eastAsia="仿宋_GB2312" w:cs="仿宋_GB2312"/>
          <w:sz w:val="32"/>
          <w:szCs w:val="32"/>
        </w:rPr>
        <w:t>万元，占</w:t>
      </w:r>
      <w:r>
        <w:rPr>
          <w:rFonts w:hint="eastAsia" w:eastAsia="仿宋_GB2312" w:cs="仿宋_GB2312"/>
          <w:sz w:val="32"/>
          <w:szCs w:val="32"/>
          <w:lang w:val="en-US" w:eastAsia="zh-CN"/>
        </w:rPr>
        <w:t>5.2</w:t>
      </w:r>
      <w:r>
        <w:rPr>
          <w:rFonts w:hint="eastAsia" w:eastAsia="仿宋_GB2312" w:cs="仿宋_GB2312"/>
          <w:sz w:val="32"/>
          <w:szCs w:val="32"/>
        </w:rPr>
        <w:t>%；</w:t>
      </w:r>
    </w:p>
    <w:p w14:paraId="2374D08B">
      <w:pPr>
        <w:spacing w:line="600" w:lineRule="exact"/>
        <w:ind w:firstLine="64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224790</wp:posOffset>
            </wp:positionH>
            <wp:positionV relativeFrom="paragraph">
              <wp:posOffset>327025</wp:posOffset>
            </wp:positionV>
            <wp:extent cx="4913630" cy="2116455"/>
            <wp:effectExtent l="4445" t="4445" r="15875" b="1270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1AB2A7F">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14EAE116">
      <w:pPr>
        <w:spacing w:line="600" w:lineRule="exact"/>
        <w:ind w:firstLine="640"/>
        <w:rPr>
          <w:rFonts w:eastAsia="仿宋_GB2312" w:cs="仿宋_GB2312"/>
          <w:sz w:val="32"/>
          <w:szCs w:val="32"/>
        </w:rPr>
      </w:pPr>
      <w:bookmarkStart w:id="25" w:name="_Toc15378460"/>
      <w:bookmarkStart w:id="26" w:name="_Toc15377444"/>
      <w:bookmarkStart w:id="27" w:name="_Toc15377213"/>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647.86万元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08B0D5BB">
      <w:pPr>
        <w:spacing w:line="600" w:lineRule="exact"/>
        <w:ind w:firstLine="643" w:firstLineChars="200"/>
        <w:rPr>
          <w:rFonts w:ascii="仿宋" w:hAnsi="仿宋" w:eastAsia="仿宋"/>
          <w:b/>
          <w:color w:val="auto"/>
          <w:sz w:val="32"/>
          <w:szCs w:val="32"/>
          <w:highlight w:val="none"/>
        </w:rPr>
      </w:pPr>
      <w:bookmarkStart w:id="28" w:name="_Toc15396608"/>
      <w:bookmarkStart w:id="29" w:name="_Toc15377214"/>
      <w:r>
        <w:rPr>
          <w:rStyle w:val="17"/>
          <w:rFonts w:ascii="仿宋" w:hAnsi="仿宋" w:eastAsia="仿宋"/>
          <w:bCs/>
          <w:sz w:val="32"/>
          <w:szCs w:val="32"/>
        </w:rPr>
        <w:t>1.</w:t>
      </w:r>
      <w:r>
        <w:rPr>
          <w:rStyle w:val="17"/>
          <w:rFonts w:hint="eastAsia" w:ascii="仿宋" w:hAnsi="仿宋" w:eastAsia="仿宋"/>
          <w:bCs/>
          <w:sz w:val="32"/>
          <w:szCs w:val="32"/>
        </w:rPr>
        <w:t>一般公共服务（类）</w:t>
      </w:r>
      <w:r>
        <w:rPr>
          <w:rStyle w:val="17"/>
          <w:rFonts w:hint="eastAsia" w:ascii="仿宋" w:hAnsi="仿宋" w:eastAsia="仿宋"/>
          <w:bCs/>
          <w:sz w:val="32"/>
          <w:szCs w:val="32"/>
          <w:lang w:eastAsia="zh-CN"/>
        </w:rPr>
        <w:t>群众团体事务</w:t>
      </w:r>
      <w:r>
        <w:rPr>
          <w:rStyle w:val="17"/>
          <w:rFonts w:hint="eastAsia" w:ascii="仿宋" w:hAnsi="仿宋" w:eastAsia="仿宋"/>
          <w:bCs/>
          <w:sz w:val="32"/>
          <w:szCs w:val="32"/>
        </w:rPr>
        <w:t>（款）</w:t>
      </w:r>
      <w:r>
        <w:rPr>
          <w:rStyle w:val="17"/>
          <w:rFonts w:hint="eastAsia" w:ascii="仿宋" w:hAnsi="仿宋" w:eastAsia="仿宋"/>
          <w:bCs/>
          <w:sz w:val="32"/>
          <w:szCs w:val="32"/>
          <w:lang w:eastAsia="zh-CN"/>
        </w:rPr>
        <w:t>事业运行</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328.4</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1804939C">
      <w:pPr>
        <w:spacing w:line="600" w:lineRule="exact"/>
        <w:ind w:firstLine="643" w:firstLineChars="200"/>
        <w:rPr>
          <w:rFonts w:ascii="仿宋" w:hAnsi="仿宋" w:eastAsia="仿宋"/>
          <w:b/>
          <w:color w:val="auto"/>
          <w:sz w:val="32"/>
          <w:szCs w:val="32"/>
          <w:highlight w:val="none"/>
        </w:rPr>
      </w:pPr>
      <w:r>
        <w:rPr>
          <w:rStyle w:val="17"/>
          <w:rFonts w:ascii="仿宋" w:hAnsi="仿宋" w:eastAsia="仿宋"/>
          <w:bCs/>
          <w:sz w:val="32"/>
          <w:szCs w:val="32"/>
        </w:rPr>
        <w:t>2.</w:t>
      </w:r>
      <w:r>
        <w:rPr>
          <w:rStyle w:val="17"/>
          <w:rFonts w:hint="eastAsia" w:ascii="仿宋" w:hAnsi="仿宋" w:eastAsia="仿宋"/>
          <w:bCs/>
          <w:sz w:val="32"/>
          <w:szCs w:val="32"/>
        </w:rPr>
        <w:t>一般公共服务（类）</w:t>
      </w:r>
      <w:r>
        <w:rPr>
          <w:rStyle w:val="17"/>
          <w:rFonts w:hint="eastAsia" w:ascii="仿宋" w:hAnsi="仿宋" w:eastAsia="仿宋"/>
          <w:bCs/>
          <w:sz w:val="32"/>
          <w:szCs w:val="32"/>
          <w:lang w:eastAsia="zh-CN"/>
        </w:rPr>
        <w:t>群众团体事务</w:t>
      </w:r>
      <w:r>
        <w:rPr>
          <w:rStyle w:val="17"/>
          <w:rFonts w:hint="eastAsia" w:ascii="仿宋" w:hAnsi="仿宋" w:eastAsia="仿宋"/>
          <w:bCs/>
          <w:sz w:val="32"/>
          <w:szCs w:val="32"/>
        </w:rPr>
        <w:t>（款）</w:t>
      </w:r>
      <w:r>
        <w:rPr>
          <w:rStyle w:val="17"/>
          <w:rFonts w:hint="eastAsia" w:ascii="仿宋" w:hAnsi="仿宋" w:eastAsia="仿宋"/>
          <w:bCs/>
          <w:sz w:val="32"/>
          <w:szCs w:val="32"/>
          <w:lang w:eastAsia="zh-CN"/>
        </w:rPr>
        <w:t>其他群众团体事务支出</w:t>
      </w:r>
      <w:r>
        <w:rPr>
          <w:rStyle w:val="17"/>
          <w:rFonts w:hint="eastAsia" w:ascii="仿宋" w:hAnsi="仿宋" w:eastAsia="仿宋"/>
          <w:bCs/>
          <w:sz w:val="32"/>
          <w:szCs w:val="32"/>
        </w:rPr>
        <w:t>（项）</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161.33</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lang w:eastAsia="zh-CN"/>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679C4763">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sz w:val="32"/>
          <w:szCs w:val="32"/>
          <w:lang w:val="en-US" w:eastAsia="zh-CN"/>
        </w:rPr>
        <w:t>3</w:t>
      </w:r>
      <w:r>
        <w:rPr>
          <w:rStyle w:val="17"/>
          <w:rFonts w:ascii="仿宋" w:hAnsi="仿宋" w:eastAsia="仿宋"/>
          <w:bCs/>
          <w:sz w:val="32"/>
          <w:szCs w:val="32"/>
        </w:rPr>
        <w:t>.</w:t>
      </w:r>
      <w:r>
        <w:rPr>
          <w:rStyle w:val="17"/>
          <w:rFonts w:hint="eastAsia" w:ascii="仿宋" w:hAnsi="仿宋" w:eastAsia="仿宋"/>
          <w:bCs/>
          <w:sz w:val="32"/>
          <w:szCs w:val="32"/>
        </w:rPr>
        <w:t>一般公共服务（类）</w:t>
      </w:r>
      <w:r>
        <w:rPr>
          <w:rStyle w:val="17"/>
          <w:rFonts w:hint="eastAsia" w:ascii="仿宋" w:hAnsi="仿宋" w:eastAsia="仿宋"/>
          <w:bCs/>
          <w:sz w:val="32"/>
          <w:szCs w:val="32"/>
          <w:lang w:eastAsia="zh-CN"/>
        </w:rPr>
        <w:t>群众团体事务</w:t>
      </w:r>
      <w:r>
        <w:rPr>
          <w:rStyle w:val="17"/>
          <w:rFonts w:hint="eastAsia" w:ascii="仿宋" w:hAnsi="仿宋" w:eastAsia="仿宋"/>
          <w:bCs/>
          <w:sz w:val="32"/>
          <w:szCs w:val="32"/>
        </w:rPr>
        <w:t>（款）</w:t>
      </w:r>
      <w:r>
        <w:rPr>
          <w:rStyle w:val="17"/>
          <w:rFonts w:hint="eastAsia" w:ascii="仿宋" w:hAnsi="仿宋" w:eastAsia="仿宋"/>
          <w:bCs/>
          <w:sz w:val="32"/>
          <w:szCs w:val="32"/>
          <w:lang w:eastAsia="zh-CN"/>
        </w:rPr>
        <w:t>其他组织事务支出</w:t>
      </w:r>
      <w:r>
        <w:rPr>
          <w:rStyle w:val="17"/>
          <w:rFonts w:hint="eastAsia" w:ascii="仿宋" w:hAnsi="仿宋" w:eastAsia="仿宋"/>
          <w:bCs/>
          <w:sz w:val="32"/>
          <w:szCs w:val="32"/>
        </w:rPr>
        <w:t>（项）</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2.42</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1B64C09C">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sz w:val="32"/>
          <w:szCs w:val="32"/>
          <w:lang w:val="en-US" w:eastAsia="zh-CN"/>
        </w:rPr>
        <w:t>4</w:t>
      </w:r>
      <w:r>
        <w:rPr>
          <w:rStyle w:val="17"/>
          <w:rFonts w:ascii="仿宋" w:hAnsi="仿宋" w:eastAsia="仿宋"/>
          <w:bCs/>
          <w:sz w:val="32"/>
          <w:szCs w:val="32"/>
        </w:rPr>
        <w:t>.</w:t>
      </w:r>
      <w:r>
        <w:rPr>
          <w:rStyle w:val="17"/>
          <w:rFonts w:hint="eastAsia" w:ascii="仿宋" w:hAnsi="仿宋" w:eastAsia="仿宋"/>
          <w:bCs/>
          <w:sz w:val="32"/>
          <w:szCs w:val="32"/>
        </w:rPr>
        <w:t>社会保障和就业（类）</w:t>
      </w:r>
      <w:r>
        <w:rPr>
          <w:rStyle w:val="17"/>
          <w:rFonts w:hint="eastAsia" w:ascii="仿宋" w:hAnsi="仿宋" w:eastAsia="仿宋"/>
          <w:bCs/>
          <w:sz w:val="32"/>
          <w:szCs w:val="32"/>
          <w:lang w:eastAsia="zh-CN"/>
        </w:rPr>
        <w:t>行政事业单位养老支出</w:t>
      </w:r>
      <w:r>
        <w:rPr>
          <w:rStyle w:val="17"/>
          <w:rFonts w:hint="eastAsia" w:ascii="仿宋" w:hAnsi="仿宋" w:eastAsia="仿宋"/>
          <w:bCs/>
          <w:sz w:val="32"/>
          <w:szCs w:val="32"/>
        </w:rPr>
        <w:t>（款）</w:t>
      </w:r>
      <w:r>
        <w:rPr>
          <w:rStyle w:val="17"/>
          <w:rFonts w:hint="eastAsia" w:ascii="仿宋" w:hAnsi="仿宋" w:eastAsia="仿宋"/>
          <w:bCs/>
          <w:sz w:val="32"/>
          <w:szCs w:val="32"/>
          <w:lang w:eastAsia="zh-CN"/>
        </w:rPr>
        <w:t>事业单位离退休</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47.85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3E807B7A">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sz w:val="32"/>
          <w:szCs w:val="32"/>
          <w:lang w:val="en-US" w:eastAsia="zh-CN"/>
        </w:rPr>
        <w:t>5</w:t>
      </w:r>
      <w:r>
        <w:rPr>
          <w:rStyle w:val="17"/>
          <w:rFonts w:ascii="仿宋" w:hAnsi="仿宋" w:eastAsia="仿宋"/>
          <w:bCs/>
          <w:sz w:val="32"/>
          <w:szCs w:val="32"/>
        </w:rPr>
        <w:t>.</w:t>
      </w:r>
      <w:r>
        <w:rPr>
          <w:rStyle w:val="17"/>
          <w:rFonts w:hint="eastAsia" w:ascii="仿宋" w:hAnsi="仿宋" w:eastAsia="仿宋"/>
          <w:bCs/>
          <w:sz w:val="32"/>
          <w:szCs w:val="32"/>
        </w:rPr>
        <w:t>社会保障和就业（类）</w:t>
      </w:r>
      <w:r>
        <w:rPr>
          <w:rStyle w:val="17"/>
          <w:rFonts w:hint="eastAsia" w:ascii="仿宋" w:hAnsi="仿宋" w:eastAsia="仿宋"/>
          <w:bCs/>
          <w:sz w:val="32"/>
          <w:szCs w:val="32"/>
          <w:lang w:eastAsia="zh-CN"/>
        </w:rPr>
        <w:t>行政事业单位养老支出</w:t>
      </w:r>
      <w:r>
        <w:rPr>
          <w:rStyle w:val="17"/>
          <w:rFonts w:hint="eastAsia" w:ascii="仿宋" w:hAnsi="仿宋" w:eastAsia="仿宋"/>
          <w:bCs/>
          <w:sz w:val="32"/>
          <w:szCs w:val="32"/>
        </w:rPr>
        <w:t>（款）</w:t>
      </w:r>
      <w:r>
        <w:rPr>
          <w:rStyle w:val="17"/>
          <w:rFonts w:hint="eastAsia" w:ascii="仿宋" w:hAnsi="仿宋" w:eastAsia="仿宋"/>
          <w:bCs/>
          <w:sz w:val="32"/>
          <w:szCs w:val="32"/>
          <w:lang w:eastAsia="zh-CN"/>
        </w:rPr>
        <w:t>机关事业单位基本养老保险缴费支出</w:t>
      </w:r>
      <w:r>
        <w:rPr>
          <w:rStyle w:val="17"/>
          <w:rFonts w:hint="eastAsia" w:ascii="仿宋" w:hAnsi="仿宋" w:eastAsia="仿宋"/>
          <w:bCs/>
          <w:sz w:val="32"/>
          <w:szCs w:val="32"/>
        </w:rPr>
        <w:t>（项）</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46.25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0B113B46">
      <w:pPr>
        <w:spacing w:line="600" w:lineRule="exact"/>
        <w:ind w:firstLine="643" w:firstLineChars="200"/>
        <w:rPr>
          <w:rStyle w:val="17"/>
          <w:rFonts w:hint="eastAsia" w:ascii="仿宋" w:hAnsi="仿宋" w:eastAsia="仿宋"/>
          <w:b w:val="0"/>
          <w:bCs/>
          <w:color w:val="auto"/>
          <w:sz w:val="32"/>
          <w:szCs w:val="32"/>
          <w:highlight w:val="none"/>
          <w:lang w:eastAsia="zh-CN"/>
        </w:rPr>
      </w:pPr>
      <w:r>
        <w:rPr>
          <w:rStyle w:val="17"/>
          <w:rFonts w:hint="eastAsia" w:ascii="仿宋" w:hAnsi="仿宋" w:eastAsia="仿宋"/>
          <w:bCs/>
          <w:color w:val="auto"/>
          <w:sz w:val="32"/>
          <w:szCs w:val="32"/>
          <w:highlight w:val="none"/>
          <w:lang w:val="en-US" w:eastAsia="zh-CN"/>
        </w:rPr>
        <w:t>6</w:t>
      </w:r>
      <w:r>
        <w:rPr>
          <w:rStyle w:val="17"/>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7"/>
          <w:rFonts w:hint="eastAsia" w:ascii="仿宋" w:hAnsi="仿宋" w:eastAsia="仿宋"/>
          <w:bCs/>
          <w:color w:val="auto"/>
          <w:sz w:val="32"/>
          <w:szCs w:val="32"/>
          <w:highlight w:val="none"/>
        </w:rPr>
        <w:t>（类）行政事业单位医疗（款）事业单位医疗（项）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22.25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07A8E9D5">
      <w:pPr>
        <w:spacing w:line="600" w:lineRule="exact"/>
        <w:ind w:firstLine="643" w:firstLineChars="200"/>
        <w:rPr>
          <w:rStyle w:val="17"/>
          <w:rFonts w:hint="eastAsia" w:ascii="仿宋" w:hAnsi="仿宋" w:eastAsia="仿宋"/>
          <w:b w:val="0"/>
          <w:bCs/>
          <w:color w:val="auto"/>
          <w:sz w:val="32"/>
          <w:szCs w:val="32"/>
          <w:highlight w:val="none"/>
          <w:lang w:eastAsia="zh-CN"/>
        </w:rPr>
      </w:pPr>
      <w:r>
        <w:rPr>
          <w:rStyle w:val="17"/>
          <w:rFonts w:hint="eastAsia" w:ascii="仿宋" w:hAnsi="仿宋" w:eastAsia="仿宋"/>
          <w:bCs/>
          <w:color w:val="auto"/>
          <w:sz w:val="32"/>
          <w:szCs w:val="32"/>
          <w:highlight w:val="none"/>
          <w:lang w:val="en-US" w:eastAsia="zh-CN"/>
        </w:rPr>
        <w:t>7</w:t>
      </w:r>
      <w:r>
        <w:rPr>
          <w:rStyle w:val="17"/>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7"/>
          <w:rFonts w:hint="eastAsia" w:ascii="仿宋" w:hAnsi="仿宋" w:eastAsia="仿宋"/>
          <w:bCs/>
          <w:color w:val="auto"/>
          <w:sz w:val="32"/>
          <w:szCs w:val="32"/>
          <w:highlight w:val="none"/>
        </w:rPr>
        <w:t>（类）行政事业单位医疗（款）公务员医疗补助（项）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2.75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77E88437">
      <w:pPr>
        <w:spacing w:line="600" w:lineRule="exact"/>
        <w:ind w:firstLine="643" w:firstLineChars="200"/>
        <w:rPr>
          <w:rStyle w:val="17"/>
          <w:rFonts w:hint="eastAsia" w:ascii="仿宋" w:hAnsi="仿宋" w:eastAsia="仿宋"/>
          <w:b w:val="0"/>
          <w:bCs/>
          <w:color w:val="auto"/>
          <w:sz w:val="32"/>
          <w:szCs w:val="32"/>
          <w:highlight w:val="none"/>
          <w:lang w:eastAsia="zh-CN"/>
        </w:rPr>
      </w:pPr>
      <w:r>
        <w:rPr>
          <w:rStyle w:val="17"/>
          <w:rFonts w:hint="eastAsia" w:ascii="仿宋" w:hAnsi="仿宋" w:eastAsia="仿宋"/>
          <w:bCs/>
          <w:color w:val="auto"/>
          <w:sz w:val="32"/>
          <w:szCs w:val="32"/>
          <w:highlight w:val="none"/>
          <w:lang w:val="en-US" w:eastAsia="zh-CN"/>
        </w:rPr>
        <w:t>8</w:t>
      </w:r>
      <w:r>
        <w:rPr>
          <w:rStyle w:val="17"/>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7"/>
          <w:rFonts w:hint="eastAsia" w:ascii="仿宋" w:hAnsi="仿宋" w:eastAsia="仿宋"/>
          <w:bCs/>
          <w:color w:val="auto"/>
          <w:sz w:val="32"/>
          <w:szCs w:val="32"/>
          <w:highlight w:val="none"/>
        </w:rPr>
        <w:t>（类）行政事业单位医疗（款）其他行政事业单位医疗支出（项）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2.82</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777D3CA0">
      <w:pPr>
        <w:spacing w:line="600" w:lineRule="exact"/>
        <w:ind w:firstLine="643" w:firstLineChars="200"/>
        <w:rPr>
          <w:rFonts w:eastAsia="仿宋_GB2312" w:cs="仿宋_GB2312"/>
          <w:sz w:val="32"/>
          <w:szCs w:val="32"/>
        </w:rPr>
      </w:pPr>
      <w:r>
        <w:rPr>
          <w:rStyle w:val="17"/>
          <w:rFonts w:hint="eastAsia" w:ascii="仿宋" w:hAnsi="仿宋" w:eastAsia="仿宋"/>
          <w:bCs/>
          <w:color w:val="auto"/>
          <w:sz w:val="32"/>
          <w:szCs w:val="32"/>
          <w:lang w:val="en-US" w:eastAsia="zh-CN"/>
        </w:rPr>
        <w:t>9</w:t>
      </w:r>
      <w:r>
        <w:rPr>
          <w:rStyle w:val="17"/>
          <w:rFonts w:ascii="仿宋" w:hAnsi="仿宋" w:eastAsia="仿宋"/>
          <w:bCs/>
          <w:color w:val="auto"/>
          <w:sz w:val="32"/>
          <w:szCs w:val="32"/>
        </w:rPr>
        <w:t>.</w:t>
      </w:r>
      <w:r>
        <w:rPr>
          <w:rFonts w:hint="eastAsia" w:ascii="仿宋" w:hAnsi="仿宋" w:eastAsia="仿宋"/>
          <w:b/>
          <w:bCs/>
          <w:color w:val="auto"/>
          <w:sz w:val="32"/>
          <w:szCs w:val="32"/>
          <w:lang w:eastAsia="zh-CN"/>
        </w:rPr>
        <w:t>住房保障支出</w:t>
      </w:r>
      <w:r>
        <w:rPr>
          <w:rStyle w:val="17"/>
          <w:rFonts w:hint="eastAsia" w:ascii="仿宋" w:hAnsi="仿宋" w:eastAsia="仿宋"/>
          <w:bCs/>
          <w:color w:val="auto"/>
          <w:sz w:val="32"/>
          <w:szCs w:val="32"/>
        </w:rPr>
        <w:t>（类）住房改革支出（款）住房公积金（项）</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33.79</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w:t>
      </w:r>
      <w:r>
        <w:rPr>
          <w:rStyle w:val="17"/>
          <w:rFonts w:hint="eastAsia" w:ascii="仿宋" w:hAnsi="仿宋" w:eastAsia="仿宋"/>
          <w:b w:val="0"/>
          <w:bCs/>
          <w:color w:val="auto"/>
          <w:sz w:val="32"/>
          <w:szCs w:val="32"/>
          <w:highlight w:val="none"/>
          <w:lang w:eastAsia="zh-CN"/>
        </w:rPr>
        <w:t>与</w:t>
      </w:r>
      <w:r>
        <w:rPr>
          <w:rStyle w:val="17"/>
          <w:rFonts w:hint="eastAsia" w:ascii="仿宋" w:hAnsi="仿宋" w:eastAsia="仿宋"/>
          <w:b w:val="0"/>
          <w:bCs/>
          <w:color w:val="auto"/>
          <w:sz w:val="32"/>
          <w:szCs w:val="32"/>
          <w:highlight w:val="none"/>
        </w:rPr>
        <w:t>预算数</w:t>
      </w:r>
      <w:r>
        <w:rPr>
          <w:rStyle w:val="17"/>
          <w:rFonts w:hint="eastAsia" w:ascii="仿宋" w:hAnsi="仿宋" w:eastAsia="仿宋"/>
          <w:b w:val="0"/>
          <w:bCs/>
          <w:color w:val="auto"/>
          <w:sz w:val="32"/>
          <w:szCs w:val="32"/>
          <w:highlight w:val="none"/>
          <w:lang w:eastAsia="zh-CN"/>
        </w:rPr>
        <w:t>持平。</w:t>
      </w:r>
    </w:p>
    <w:p w14:paraId="26CC7ACC">
      <w:pPr>
        <w:tabs>
          <w:tab w:val="right" w:pos="8306"/>
        </w:tabs>
        <w:spacing w:line="600" w:lineRule="exact"/>
        <w:ind w:firstLine="640"/>
        <w:outlineLvl w:val="1"/>
        <w:rPr>
          <w:rStyle w:val="29"/>
          <w:rFonts w:ascii="Times New Roman" w:hAnsi="Times New Roman"/>
        </w:rPr>
      </w:pPr>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21ABD237">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484.11</w:t>
      </w:r>
      <w:r>
        <w:rPr>
          <w:rFonts w:hint="eastAsia" w:eastAsia="仿宋_GB2312" w:cs="仿宋_GB2312"/>
          <w:sz w:val="32"/>
          <w:szCs w:val="32"/>
        </w:rPr>
        <w:t>万元，其中：</w:t>
      </w:r>
    </w:p>
    <w:p w14:paraId="35A8A86E">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467.54</w:t>
      </w:r>
      <w:r>
        <w:rPr>
          <w:rFonts w:hint="eastAsia" w:eastAsia="仿宋_GB2312" w:cs="仿宋_GB2312"/>
          <w:sz w:val="32"/>
          <w:szCs w:val="32"/>
        </w:rPr>
        <w:t>万元，主要包括：基本工资、津贴补贴、奖金、绩效工资、机关事业单位基本养老保险缴费、职业年金缴费、其他社会保障缴费、其他工资福利支出、退休费、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16.57</w:t>
      </w:r>
      <w:r>
        <w:rPr>
          <w:rFonts w:hint="eastAsia" w:eastAsia="仿宋_GB2312" w:cs="仿宋_GB2312"/>
          <w:sz w:val="32"/>
          <w:szCs w:val="32"/>
        </w:rPr>
        <w:t>万元，办公费、水费、电费、邮电费、差旅费、维修（护）费、工会经费、公务用车运行维护费等。</w:t>
      </w:r>
    </w:p>
    <w:p w14:paraId="2629A8DA">
      <w:pPr>
        <w:spacing w:line="600" w:lineRule="exact"/>
        <w:ind w:firstLine="640"/>
        <w:outlineLvl w:val="1"/>
        <w:rPr>
          <w:rStyle w:val="29"/>
          <w:rFonts w:ascii="Times New Roman" w:hAnsi="Times New Roman" w:eastAsia="黑体"/>
          <w:b w:val="0"/>
        </w:rPr>
      </w:pPr>
      <w:bookmarkStart w:id="30" w:name="_Toc15396609"/>
      <w:bookmarkStart w:id="31"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6BB1A427">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（一）财政拨款“三公”经费支出决算总体情况说明</w:t>
      </w:r>
      <w:bookmarkEnd w:id="32"/>
    </w:p>
    <w:p w14:paraId="5C7209A0">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0.23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0.05</w:t>
      </w:r>
      <w:r>
        <w:rPr>
          <w:rFonts w:hint="eastAsia" w:eastAsia="仿宋_GB2312" w:cs="仿宋_GB2312"/>
          <w:sz w:val="32"/>
          <w:szCs w:val="32"/>
        </w:rPr>
        <w:t>万元，下降</w:t>
      </w:r>
      <w:r>
        <w:rPr>
          <w:rFonts w:hint="eastAsia" w:eastAsia="仿宋_GB2312" w:cs="仿宋_GB2312"/>
          <w:sz w:val="32"/>
          <w:szCs w:val="32"/>
          <w:lang w:val="en-US" w:eastAsia="zh-CN"/>
        </w:rPr>
        <w:t>17.9</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7B2349B8">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（二）财政拨款“三公”经费支出决算具体情况说明</w:t>
      </w:r>
      <w:bookmarkEnd w:id="33"/>
    </w:p>
    <w:p w14:paraId="5E16764D">
      <w:pPr>
        <w:spacing w:line="600" w:lineRule="exact"/>
        <w:ind w:firstLine="640"/>
        <w:rPr>
          <w:rFonts w:hint="eastAsia"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342265</wp:posOffset>
            </wp:positionH>
            <wp:positionV relativeFrom="paragraph">
              <wp:posOffset>1663700</wp:posOffset>
            </wp:positionV>
            <wp:extent cx="4761230" cy="2026285"/>
            <wp:effectExtent l="4445" t="5080" r="15875" b="698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万元；公务用车购置及运行维护费支出决算</w:t>
      </w:r>
      <w:r>
        <w:rPr>
          <w:rFonts w:hint="eastAsia" w:eastAsia="仿宋_GB2312" w:cs="仿宋_GB2312"/>
          <w:sz w:val="32"/>
          <w:szCs w:val="32"/>
          <w:lang w:val="en-US" w:eastAsia="zh-CN"/>
        </w:rPr>
        <w:t>0.23</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万元。具体情况如下：</w:t>
      </w:r>
    </w:p>
    <w:p w14:paraId="3586BA78">
      <w:pPr>
        <w:numPr>
          <w:ilvl w:val="0"/>
          <w:numId w:val="2"/>
        </w:num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人。因公出国（境）支出决算比2023年</w:t>
      </w:r>
      <w:r>
        <w:rPr>
          <w:rFonts w:hint="eastAsia" w:eastAsia="仿宋_GB2312" w:cs="仿宋_GB2312"/>
          <w:sz w:val="32"/>
          <w:szCs w:val="32"/>
          <w:lang w:eastAsia="zh-CN"/>
        </w:rPr>
        <w:t>持平。</w:t>
      </w:r>
    </w:p>
    <w:p w14:paraId="0A5996BE">
      <w:pPr>
        <w:numPr>
          <w:ilvl w:val="0"/>
          <w:numId w:val="2"/>
        </w:numPr>
        <w:spacing w:line="600" w:lineRule="exact"/>
        <w:ind w:left="0" w:leftChars="0" w:firstLine="640" w:firstLineChars="0"/>
        <w:rPr>
          <w:rFonts w:hint="eastAsia" w:eastAsia="仿宋_GB2312" w:cs="仿宋_GB2312"/>
          <w:sz w:val="32"/>
          <w:szCs w:val="32"/>
          <w:lang w:eastAsia="zh-CN"/>
        </w:rPr>
      </w:pPr>
      <w:r>
        <w:rPr>
          <w:rFonts w:hint="eastAsia" w:eastAsia="仿宋_GB2312" w:cs="仿宋_GB2312"/>
          <w:b/>
          <w:bCs/>
          <w:sz w:val="32"/>
          <w:szCs w:val="32"/>
        </w:rPr>
        <w:t>公务用车购置及运行维护费支出</w:t>
      </w:r>
      <w:r>
        <w:rPr>
          <w:rFonts w:hint="eastAsia" w:eastAsia="仿宋_GB2312" w:cs="仿宋_GB2312"/>
          <w:b/>
          <w:bCs/>
          <w:sz w:val="32"/>
          <w:szCs w:val="32"/>
          <w:lang w:val="en-US" w:eastAsia="zh-CN"/>
        </w:rPr>
        <w:t>0.23</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0.05</w:t>
      </w:r>
      <w:r>
        <w:rPr>
          <w:rFonts w:hint="eastAsia" w:eastAsia="仿宋_GB2312" w:cs="仿宋_GB2312"/>
          <w:sz w:val="32"/>
          <w:szCs w:val="32"/>
        </w:rPr>
        <w:t>万元，下降</w:t>
      </w:r>
      <w:r>
        <w:rPr>
          <w:rFonts w:hint="eastAsia" w:eastAsia="仿宋_GB2312" w:cs="仿宋_GB2312"/>
          <w:sz w:val="32"/>
          <w:szCs w:val="32"/>
          <w:lang w:val="en-US" w:eastAsia="zh-CN"/>
        </w:rPr>
        <w:t>17.9</w:t>
      </w:r>
      <w:r>
        <w:rPr>
          <w:rFonts w:hint="eastAsia" w:eastAsia="仿宋_GB2312" w:cs="仿宋_GB2312"/>
          <w:sz w:val="32"/>
          <w:szCs w:val="32"/>
        </w:rPr>
        <w:t>%。主要原因是</w:t>
      </w:r>
      <w:r>
        <w:rPr>
          <w:rFonts w:hint="eastAsia" w:eastAsia="仿宋_GB2312" w:cs="仿宋_GB2312"/>
          <w:sz w:val="32"/>
          <w:szCs w:val="32"/>
          <w:lang w:eastAsia="zh-CN"/>
        </w:rPr>
        <w:t>公务车保险费下降。</w:t>
      </w:r>
    </w:p>
    <w:p w14:paraId="70EB4498">
      <w:pPr>
        <w:numPr>
          <w:ilvl w:val="0"/>
          <w:numId w:val="2"/>
        </w:numPr>
        <w:spacing w:line="600" w:lineRule="exact"/>
        <w:ind w:left="0" w:leftChars="0" w:firstLine="640" w:firstLineChars="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1467D167">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0.23</w:t>
      </w:r>
      <w:r>
        <w:rPr>
          <w:rFonts w:hint="eastAsia" w:eastAsia="仿宋_GB2312" w:cs="仿宋_GB2312"/>
          <w:sz w:val="32"/>
          <w:szCs w:val="32"/>
        </w:rPr>
        <w:t>万元。主要用于主要用于公务用车</w:t>
      </w:r>
      <w:r>
        <w:rPr>
          <w:rFonts w:hint="eastAsia" w:eastAsia="仿宋_GB2312" w:cs="仿宋_GB2312"/>
          <w:sz w:val="32"/>
          <w:szCs w:val="32"/>
          <w:lang w:eastAsia="zh-CN"/>
        </w:rPr>
        <w:t>基本</w:t>
      </w:r>
      <w:r>
        <w:rPr>
          <w:rFonts w:hint="eastAsia" w:eastAsia="仿宋_GB2312" w:cs="仿宋_GB2312"/>
          <w:sz w:val="32"/>
          <w:szCs w:val="32"/>
        </w:rPr>
        <w:t>保险费</w:t>
      </w:r>
      <w:r>
        <w:rPr>
          <w:rFonts w:hint="eastAsia" w:eastAsia="仿宋_GB2312" w:cs="仿宋_GB2312"/>
          <w:sz w:val="32"/>
          <w:szCs w:val="32"/>
          <w:lang w:eastAsia="zh-CN"/>
        </w:rPr>
        <w:t>和维修费</w:t>
      </w:r>
      <w:r>
        <w:rPr>
          <w:rFonts w:hint="eastAsia" w:eastAsia="仿宋_GB2312" w:cs="仿宋_GB2312"/>
          <w:sz w:val="32"/>
          <w:szCs w:val="32"/>
        </w:rPr>
        <w:t>支出。</w:t>
      </w:r>
    </w:p>
    <w:p w14:paraId="5BDF95EB">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sz w:val="32"/>
          <w:szCs w:val="32"/>
        </w:rPr>
        <w:t>公务接待费支出决算</w:t>
      </w:r>
      <w:r>
        <w:rPr>
          <w:rFonts w:hint="eastAsia" w:eastAsia="仿宋_GB2312" w:cs="仿宋_GB2312"/>
          <w:sz w:val="32"/>
          <w:szCs w:val="32"/>
          <w:lang w:eastAsia="zh-CN"/>
        </w:rPr>
        <w:t>与</w:t>
      </w:r>
      <w:r>
        <w:rPr>
          <w:rFonts w:hint="eastAsia" w:eastAsia="仿宋_GB2312" w:cs="仿宋_GB2312"/>
          <w:sz w:val="32"/>
          <w:szCs w:val="32"/>
        </w:rPr>
        <w:t>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eastAsia="zh-CN"/>
        </w:rPr>
        <w:t>持平。</w:t>
      </w:r>
      <w:bookmarkStart w:id="34" w:name="_Toc15396610"/>
      <w:bookmarkStart w:id="35" w:name="_Toc15377218"/>
    </w:p>
    <w:p w14:paraId="4FC6C866">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5EA5B3EC">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万元，与202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val="en-US" w:eastAsia="zh-CN"/>
        </w:rPr>
        <w:t>持平。</w:t>
      </w:r>
    </w:p>
    <w:p w14:paraId="210A3E7D">
      <w:pPr>
        <w:spacing w:line="600" w:lineRule="exact"/>
        <w:ind w:left="630"/>
        <w:outlineLvl w:val="1"/>
        <w:rPr>
          <w:rStyle w:val="29"/>
          <w:rFonts w:ascii="Times New Roman" w:hAnsi="Times New Roman" w:eastAsia="黑体"/>
          <w:b w:val="0"/>
        </w:rPr>
      </w:pPr>
      <w:bookmarkStart w:id="36" w:name="_Toc15396611"/>
      <w:bookmarkStart w:id="37" w:name="_Toc15377219"/>
      <w:r>
        <w:rPr>
          <w:rStyle w:val="29"/>
          <w:rFonts w:hint="eastAsia" w:ascii="Times New Roman" w:hAnsi="Times New Roman" w:eastAsia="黑体"/>
          <w:b w:val="0"/>
        </w:rPr>
        <w:t>九、国有资本经营预算支出决算情况说明</w:t>
      </w:r>
      <w:bookmarkEnd w:id="36"/>
      <w:bookmarkEnd w:id="37"/>
    </w:p>
    <w:p w14:paraId="74D259F3">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万元，与202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eastAsia="zh-CN"/>
        </w:rPr>
        <w:t>持平。</w:t>
      </w:r>
    </w:p>
    <w:p w14:paraId="1C849152">
      <w:pPr>
        <w:spacing w:line="600" w:lineRule="exact"/>
        <w:ind w:left="630"/>
        <w:outlineLvl w:val="1"/>
        <w:rPr>
          <w:rStyle w:val="29"/>
          <w:rFonts w:ascii="Times New Roman" w:hAnsi="Times New Roman" w:eastAsia="黑体"/>
          <w:b w:val="0"/>
        </w:rPr>
      </w:pPr>
      <w:bookmarkStart w:id="38" w:name="_Toc15396612"/>
      <w:bookmarkStart w:id="39" w:name="_Toc15377221"/>
      <w:r>
        <w:rPr>
          <w:rStyle w:val="29"/>
          <w:rFonts w:hint="eastAsia" w:ascii="Times New Roman" w:hAnsi="Times New Roman" w:eastAsia="黑体"/>
          <w:b w:val="0"/>
        </w:rPr>
        <w:t>十、其他重要事项的情况说明</w:t>
      </w:r>
      <w:bookmarkEnd w:id="38"/>
      <w:bookmarkEnd w:id="39"/>
    </w:p>
    <w:p w14:paraId="0FDF156C">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B2D1932">
      <w:pPr>
        <w:spacing w:line="600" w:lineRule="exact"/>
        <w:ind w:firstLine="640"/>
        <w:rPr>
          <w:rFonts w:eastAsia="仿宋_GB2312" w:cs="仿宋_GB2312"/>
          <w:sz w:val="32"/>
          <w:szCs w:val="32"/>
        </w:rPr>
      </w:pPr>
      <w:r>
        <w:rPr>
          <w:rFonts w:hint="eastAsia" w:eastAsia="仿宋_GB2312" w:cs="仿宋_GB2312"/>
          <w:sz w:val="32"/>
          <w:szCs w:val="32"/>
        </w:rPr>
        <w:t>202</w:t>
      </w:r>
      <w:r>
        <w:rPr>
          <w:rFonts w:hint="eastAsia" w:eastAsia="仿宋_GB2312" w:cs="仿宋_GB2312"/>
          <w:sz w:val="32"/>
          <w:szCs w:val="32"/>
          <w:lang w:val="en-US" w:eastAsia="zh-CN"/>
        </w:rPr>
        <w:t>5</w:t>
      </w:r>
      <w:r>
        <w:rPr>
          <w:rFonts w:hint="eastAsia" w:eastAsia="仿宋_GB2312" w:cs="仿宋_GB2312"/>
          <w:sz w:val="32"/>
          <w:szCs w:val="32"/>
        </w:rPr>
        <w:t>年度</w:t>
      </w:r>
      <w:r>
        <w:rPr>
          <w:rFonts w:hint="eastAsia" w:ascii="仿宋_GB2312" w:hAnsi="仿宋_GB2312" w:eastAsia="仿宋_GB2312" w:cs="仿宋_GB2312"/>
          <w:sz w:val="32"/>
          <w:szCs w:val="32"/>
        </w:rPr>
        <w:t>，四川省攀枝花市少年宫机关运行经费支出0万</w:t>
      </w:r>
      <w:r>
        <w:rPr>
          <w:rFonts w:hint="eastAsia" w:eastAsia="仿宋_GB2312" w:cs="仿宋_GB2312"/>
          <w:sz w:val="32"/>
          <w:szCs w:val="32"/>
        </w:rPr>
        <w:t>元，与202</w:t>
      </w:r>
      <w:r>
        <w:rPr>
          <w:rFonts w:hint="eastAsia" w:eastAsia="仿宋_GB2312" w:cs="仿宋_GB2312"/>
          <w:sz w:val="32"/>
          <w:szCs w:val="32"/>
          <w:lang w:val="en-US" w:eastAsia="zh-CN"/>
        </w:rPr>
        <w:t>4</w:t>
      </w:r>
      <w:r>
        <w:rPr>
          <w:rFonts w:hint="eastAsia" w:eastAsia="仿宋_GB2312" w:cs="仿宋_GB2312"/>
          <w:sz w:val="32"/>
          <w:szCs w:val="32"/>
        </w:rPr>
        <w:t>年度决算数持平。</w:t>
      </w:r>
    </w:p>
    <w:p w14:paraId="71A0D6BD">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26DAB3C5">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四川省攀枝花市少年宫</w:t>
      </w:r>
      <w:r>
        <w:rPr>
          <w:rFonts w:hint="eastAsia" w:eastAsia="仿宋_GB2312" w:cs="仿宋_GB2312"/>
          <w:sz w:val="32"/>
          <w:szCs w:val="32"/>
        </w:rPr>
        <w:t>政府采购支出总额</w:t>
      </w:r>
      <w:r>
        <w:rPr>
          <w:rFonts w:hint="eastAsia" w:eastAsia="仿宋_GB2312" w:cs="仿宋_GB2312"/>
          <w:sz w:val="32"/>
          <w:szCs w:val="32"/>
          <w:lang w:val="en-US" w:eastAsia="zh-CN"/>
        </w:rPr>
        <w:t>0.23</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0.23</w:t>
      </w:r>
      <w:r>
        <w:rPr>
          <w:rFonts w:hint="eastAsia" w:eastAsia="仿宋_GB2312" w:cs="仿宋_GB2312"/>
          <w:sz w:val="32"/>
          <w:szCs w:val="32"/>
        </w:rPr>
        <w:t>万元。主要用于</w:t>
      </w:r>
      <w:r>
        <w:rPr>
          <w:rFonts w:hint="eastAsia" w:ascii="仿宋_GB2312" w:hAnsi="仿宋_GB2312" w:eastAsia="仿宋_GB2312" w:cs="仿宋_GB2312"/>
          <w:sz w:val="32"/>
          <w:szCs w:val="32"/>
          <w:lang w:eastAsia="zh-CN"/>
        </w:rPr>
        <w:t>公务车辆保险缴费和维修费</w:t>
      </w:r>
      <w:r>
        <w:rPr>
          <w:rFonts w:hint="eastAsia" w:eastAsia="仿宋_GB2312" w:cs="仿宋_GB2312"/>
          <w:sz w:val="32"/>
          <w:szCs w:val="32"/>
        </w:rPr>
        <w:t>。授予中小企业合同金额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w:t>
      </w:r>
    </w:p>
    <w:p w14:paraId="0C6FE294">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4DD811C1">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四川省攀枝花市少年宫</w:t>
      </w:r>
      <w:r>
        <w:rPr>
          <w:rFonts w:hint="eastAsia" w:eastAsia="仿宋_GB2312" w:cs="仿宋_GB2312"/>
          <w:sz w:val="32"/>
          <w:szCs w:val="32"/>
        </w:rPr>
        <w:t>共有车辆</w:t>
      </w:r>
      <w:r>
        <w:rPr>
          <w:rFonts w:hint="eastAsia" w:eastAsia="仿宋_GB2312" w:cs="仿宋_GB2312"/>
          <w:sz w:val="32"/>
          <w:szCs w:val="32"/>
          <w:lang w:val="en-US" w:eastAsia="zh-CN"/>
        </w:rPr>
        <w:t>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w:t>
      </w:r>
      <w:r>
        <w:rPr>
          <w:rFonts w:hint="eastAsia" w:ascii="仿宋_GB2312" w:eastAsia="仿宋_GB2312"/>
          <w:sz w:val="32"/>
          <w:szCs w:val="32"/>
        </w:rPr>
        <w:t>用于</w:t>
      </w:r>
      <w:r>
        <w:rPr>
          <w:rFonts w:hint="eastAsia" w:ascii="仿宋_GB2312" w:eastAsia="仿宋_GB2312"/>
          <w:sz w:val="32"/>
          <w:szCs w:val="32"/>
          <w:lang w:eastAsia="zh-CN"/>
        </w:rPr>
        <w:t>保障日常培训活动</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4FA6D3A0">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0BCF4016">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市少年宫</w:t>
      </w:r>
      <w:r>
        <w:rPr>
          <w:rFonts w:hint="eastAsia" w:eastAsia="仿宋_GB2312" w:cs="仿宋_GB2312"/>
          <w:sz w:val="32"/>
          <w:szCs w:val="32"/>
        </w:rPr>
        <w:t>在202</w:t>
      </w:r>
      <w:r>
        <w:rPr>
          <w:rFonts w:hint="eastAsia" w:eastAsia="仿宋_GB2312" w:cs="仿宋_GB2312"/>
          <w:sz w:val="32"/>
          <w:szCs w:val="32"/>
          <w:lang w:val="en-US" w:eastAsia="zh-CN"/>
        </w:rPr>
        <w:t>5</w:t>
      </w:r>
      <w:r>
        <w:rPr>
          <w:rFonts w:hint="eastAsia" w:eastAsia="仿宋_GB2312" w:cs="仿宋_GB2312"/>
          <w:sz w:val="32"/>
          <w:szCs w:val="32"/>
        </w:rPr>
        <w:t>年度预算编制阶段，组织对</w:t>
      </w:r>
      <w:r>
        <w:rPr>
          <w:rFonts w:hint="eastAsia" w:ascii="仿宋_GB2312" w:eastAsia="仿宋_GB2312" w:cs="Times New Roman"/>
          <w:color w:val="auto"/>
          <w:sz w:val="32"/>
          <w:szCs w:val="32"/>
          <w:highlight w:val="none"/>
          <w:lang w:val="en-US" w:eastAsia="zh-CN"/>
        </w:rPr>
        <w:t>市少年宫办学经费</w:t>
      </w:r>
      <w:r>
        <w:rPr>
          <w:rFonts w:hint="eastAsia" w:ascii="仿宋_GB2312" w:eastAsia="仿宋_GB2312" w:cs="Times New Roman"/>
          <w:color w:val="auto"/>
          <w:sz w:val="32"/>
          <w:szCs w:val="32"/>
          <w:highlight w:val="none"/>
          <w:lang w:eastAsia="zh-CN"/>
        </w:rPr>
        <w:t>项目</w:t>
      </w:r>
      <w:r>
        <w:rPr>
          <w:rFonts w:hint="eastAsia" w:eastAsia="仿宋_GB2312" w:cs="仿宋_GB2312"/>
          <w:sz w:val="32"/>
          <w:szCs w:val="32"/>
        </w:rPr>
        <w:t>等</w:t>
      </w:r>
      <w:r>
        <w:rPr>
          <w:rFonts w:hint="eastAsia" w:eastAsia="仿宋_GB2312" w:cs="仿宋_GB2312"/>
          <w:sz w:val="32"/>
          <w:szCs w:val="32"/>
          <w:lang w:val="en-US" w:eastAsia="zh-CN"/>
        </w:rPr>
        <w:t>1</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14:paraId="35DBE111">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组织对202</w:t>
      </w:r>
      <w:r>
        <w:rPr>
          <w:rFonts w:hint="eastAsia" w:eastAsia="仿宋_GB2312" w:cs="仿宋_GB2312"/>
          <w:sz w:val="32"/>
          <w:szCs w:val="32"/>
          <w:lang w:val="en-US" w:eastAsia="zh-CN"/>
        </w:rPr>
        <w:t>5</w:t>
      </w:r>
      <w:r>
        <w:rPr>
          <w:rFonts w:hint="eastAsia" w:eastAsia="仿宋_GB2312" w:cs="仿宋_GB2312"/>
          <w:sz w:val="32"/>
          <w:szCs w:val="32"/>
        </w:rPr>
        <w:t>年度一般公共预算全面开展绩效自评，形成</w:t>
      </w:r>
      <w:r>
        <w:rPr>
          <w:rFonts w:hint="eastAsia" w:ascii="仿宋_GB2312" w:eastAsia="仿宋_GB2312" w:cs="Times New Roman"/>
          <w:color w:val="auto"/>
          <w:sz w:val="32"/>
          <w:szCs w:val="32"/>
          <w:highlight w:val="none"/>
          <w:lang w:val="en-US" w:eastAsia="zh-CN"/>
        </w:rPr>
        <w:t>市少年宫专项预算绩效自评报告。其中：办学经费专项预算绩效自评</w:t>
      </w:r>
      <w:r>
        <w:rPr>
          <w:rFonts w:hint="eastAsia" w:eastAsia="仿宋_GB2312" w:cs="仿宋_GB2312"/>
          <w:sz w:val="32"/>
          <w:szCs w:val="32"/>
        </w:rPr>
        <w:t>得分为</w:t>
      </w:r>
      <w:r>
        <w:rPr>
          <w:rFonts w:hint="eastAsia" w:eastAsia="仿宋_GB2312" w:cs="仿宋_GB2312"/>
          <w:sz w:val="32"/>
          <w:szCs w:val="32"/>
          <w:lang w:val="en-US" w:eastAsia="zh-CN"/>
        </w:rPr>
        <w:t>98</w:t>
      </w:r>
      <w:r>
        <w:rPr>
          <w:rFonts w:hint="eastAsia" w:eastAsia="仿宋_GB2312" w:cs="仿宋_GB2312"/>
          <w:sz w:val="32"/>
          <w:szCs w:val="32"/>
        </w:rPr>
        <w:t>分</w:t>
      </w:r>
      <w:r>
        <w:rPr>
          <w:rFonts w:hint="eastAsia" w:eastAsia="仿宋_GB2312" w:cs="仿宋_GB2312"/>
          <w:sz w:val="32"/>
          <w:szCs w:val="32"/>
          <w:lang w:eastAsia="zh-CN"/>
        </w:rPr>
        <w:t>。</w:t>
      </w:r>
    </w:p>
    <w:p w14:paraId="095264F8">
      <w:pPr>
        <w:spacing w:line="600" w:lineRule="exact"/>
        <w:jc w:val="center"/>
        <w:outlineLvl w:val="0"/>
        <w:rPr>
          <w:rFonts w:eastAsia="黑体"/>
          <w:sz w:val="44"/>
          <w:szCs w:val="44"/>
        </w:rPr>
      </w:pPr>
      <w:bookmarkStart w:id="43" w:name="_Toc15396613"/>
      <w:bookmarkStart w:id="44" w:name="_Toc15377225"/>
      <w:r>
        <w:rPr>
          <w:rFonts w:hint="eastAsia" w:eastAsia="黑体"/>
          <w:sz w:val="44"/>
          <w:szCs w:val="44"/>
        </w:rPr>
        <w:t>第三部分  名词解释</w:t>
      </w:r>
      <w:bookmarkEnd w:id="43"/>
      <w:bookmarkEnd w:id="44"/>
    </w:p>
    <w:p w14:paraId="26EF729B">
      <w:pPr>
        <w:spacing w:line="600" w:lineRule="exact"/>
        <w:jc w:val="left"/>
        <w:rPr>
          <w:b/>
          <w:sz w:val="44"/>
          <w:szCs w:val="44"/>
        </w:rPr>
      </w:pPr>
    </w:p>
    <w:p w14:paraId="7A56579D">
      <w:pPr>
        <w:pStyle w:val="26"/>
        <w:spacing w:line="560" w:lineRule="exact"/>
        <w:ind w:firstLine="640" w:firstLineChars="200"/>
        <w:rPr>
          <w:rFonts w:ascii="仿宋_GB2312" w:eastAsia="仿宋_GB2312"/>
          <w:color w:val="auto"/>
          <w:sz w:val="32"/>
          <w:szCs w:val="32"/>
        </w:rPr>
      </w:pPr>
      <w:bookmarkStart w:id="45" w:name="_Toc15396614"/>
      <w:bookmarkStart w:id="46"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03A03D8F">
      <w:pPr>
        <w:pStyle w:val="26"/>
        <w:spacing w:line="560" w:lineRule="exact"/>
        <w:ind w:firstLine="640" w:firstLineChars="200"/>
        <w:rPr>
          <w:rFonts w:ascii="仿宋_GB2312" w:eastAsia="仿宋_GB2312"/>
          <w:color w:val="333333"/>
          <w:sz w:val="32"/>
          <w:szCs w:val="32"/>
          <w:shd w:val="clear" w:color="auto" w:fill="FFFFFF"/>
        </w:rPr>
      </w:pPr>
      <w:r>
        <w:rPr>
          <w:rFonts w:ascii="仿宋_GB2312" w:eastAsia="仿宋_GB2312"/>
          <w:b w:val="0"/>
          <w:bCs w:val="0"/>
          <w:color w:val="auto"/>
          <w:sz w:val="32"/>
          <w:szCs w:val="32"/>
        </w:rPr>
        <w:t>2.</w:t>
      </w:r>
      <w:bookmarkStart w:id="47" w:name="_Hlk113266409"/>
      <w:r>
        <w:rPr>
          <w:rFonts w:hint="eastAsia" w:ascii="仿宋_GB2312" w:eastAsia="仿宋_GB2312"/>
          <w:sz w:val="32"/>
          <w:szCs w:val="32"/>
        </w:rPr>
        <w:t>一般公共服务（类）</w:t>
      </w:r>
      <w:r>
        <w:rPr>
          <w:rStyle w:val="17"/>
          <w:rFonts w:hint="eastAsia" w:ascii="仿宋_GB2312" w:hAnsi="仿宋" w:eastAsia="仿宋_GB2312"/>
          <w:b w:val="0"/>
          <w:bCs/>
          <w:sz w:val="32"/>
          <w:szCs w:val="32"/>
        </w:rPr>
        <w:t>群众团体事务（款）事业运行（项）：指</w:t>
      </w:r>
      <w:r>
        <w:rPr>
          <w:rFonts w:hint="eastAsia" w:ascii="仿宋_GB2312" w:eastAsia="仿宋_GB2312"/>
          <w:color w:val="333333"/>
          <w:sz w:val="32"/>
          <w:szCs w:val="32"/>
          <w:shd w:val="clear" w:color="auto" w:fill="FFFFFF"/>
        </w:rPr>
        <w:t>事业单位的基本支出</w:t>
      </w:r>
      <w:bookmarkEnd w:id="47"/>
      <w:r>
        <w:rPr>
          <w:rFonts w:hint="eastAsia" w:ascii="仿宋_GB2312" w:eastAsia="仿宋_GB2312"/>
          <w:color w:val="333333"/>
          <w:sz w:val="32"/>
          <w:szCs w:val="32"/>
          <w:shd w:val="clear" w:color="auto" w:fill="FFFFFF"/>
        </w:rPr>
        <w:t>，不包括行政单位（包括实行公务员管理的事业单位）后勤服务中心，医务室等附属事业单位。</w:t>
      </w:r>
    </w:p>
    <w:p w14:paraId="2C89F8ED">
      <w:pPr>
        <w:pStyle w:val="26"/>
        <w:spacing w:line="560" w:lineRule="exact"/>
        <w:ind w:firstLine="640" w:firstLineChars="200"/>
        <w:rPr>
          <w:rFonts w:ascii="仿宋_GB2312" w:eastAsia="仿宋_GB2312"/>
          <w:sz w:val="32"/>
          <w:szCs w:val="32"/>
        </w:rPr>
      </w:pPr>
      <w:r>
        <w:rPr>
          <w:rFonts w:ascii="仿宋_GB2312" w:eastAsia="仿宋_GB2312"/>
          <w:color w:val="auto"/>
          <w:sz w:val="32"/>
          <w:szCs w:val="32"/>
        </w:rPr>
        <w:t>3.</w:t>
      </w:r>
      <w:r>
        <w:rPr>
          <w:rFonts w:hint="eastAsia" w:ascii="仿宋_GB2312" w:eastAsia="仿宋_GB2312"/>
          <w:sz w:val="32"/>
          <w:szCs w:val="32"/>
        </w:rPr>
        <w:t>一般公共服务（类）</w:t>
      </w:r>
      <w:r>
        <w:rPr>
          <w:rStyle w:val="17"/>
          <w:rFonts w:hint="eastAsia" w:ascii="仿宋_GB2312" w:hAnsi="仿宋" w:eastAsia="仿宋_GB2312"/>
          <w:b w:val="0"/>
          <w:bCs/>
          <w:sz w:val="32"/>
          <w:szCs w:val="32"/>
        </w:rPr>
        <w:t>群众团体事务（款）其他群众团体事务支出（项）：指除上述项目以外其他用于群众团体事务方面的支出。</w:t>
      </w:r>
    </w:p>
    <w:p w14:paraId="7E45B73C">
      <w:pPr>
        <w:pStyle w:val="26"/>
        <w:spacing w:line="560" w:lineRule="exact"/>
        <w:ind w:firstLine="640" w:firstLineChars="200"/>
        <w:rPr>
          <w:rFonts w:ascii="仿宋_GB2312" w:eastAsia="仿宋_GB2312"/>
          <w:b w:val="0"/>
          <w:bCs w:val="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住房保障（类）</w:t>
      </w:r>
      <w:r>
        <w:rPr>
          <w:rFonts w:hint="eastAsia" w:ascii="仿宋_GB2312" w:hAnsi="仿宋" w:eastAsia="仿宋_GB2312"/>
          <w:color w:val="000000"/>
          <w:sz w:val="32"/>
          <w:szCs w:val="32"/>
          <w:shd w:val="clear" w:color="auto" w:fill="FFFFFF"/>
        </w:rPr>
        <w:t>住房改革支出（款）住房公积金（项）：</w:t>
      </w:r>
      <w:r>
        <w:rPr>
          <w:rFonts w:hint="eastAsia" w:ascii="仿宋_GB2312" w:eastAsia="仿宋_GB2312"/>
          <w:color w:val="333333"/>
          <w:sz w:val="32"/>
          <w:szCs w:val="32"/>
          <w:shd w:val="clear" w:color="auto" w:fill="FFFFFF"/>
        </w:rPr>
        <w:t>指主要用于机关及下属事业单位按照规定标准为职工缴纳住房公积金等支出。</w:t>
      </w:r>
    </w:p>
    <w:p w14:paraId="1CAA317E">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社会保障和就业支出（类）行政事业单位养老支出（款）事业单位离退休（项）：指</w:t>
      </w:r>
      <w:r>
        <w:rPr>
          <w:rFonts w:hint="eastAsia" w:ascii="仿宋_GB2312" w:eastAsia="仿宋_GB2312"/>
          <w:sz w:val="32"/>
          <w:szCs w:val="32"/>
          <w:lang w:eastAsia="zh-CN"/>
        </w:rPr>
        <w:t>反映事业单位开支的离退休经费</w:t>
      </w:r>
      <w:r>
        <w:rPr>
          <w:rFonts w:hint="eastAsia" w:ascii="仿宋_GB2312" w:eastAsia="仿宋_GB2312"/>
          <w:sz w:val="32"/>
          <w:szCs w:val="32"/>
        </w:rPr>
        <w:t>。</w:t>
      </w:r>
    </w:p>
    <w:p w14:paraId="631292C4">
      <w:pPr>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社会保障和就业支出（类）行政事业单位养老支出（款）机关事业单位基本养老保险缴费支出（项）：指</w:t>
      </w:r>
      <w:r>
        <w:rPr>
          <w:rFonts w:hint="eastAsia" w:ascii="仿宋_GB2312" w:eastAsia="仿宋_GB2312"/>
          <w:sz w:val="32"/>
          <w:szCs w:val="32"/>
          <w:lang w:eastAsia="zh-CN"/>
        </w:rPr>
        <w:t>反映机关事业单位实施养老保险制度由单位缴纳的基本养老保险费支出。</w:t>
      </w:r>
    </w:p>
    <w:p w14:paraId="34D03B16">
      <w:pPr>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住房保障支出（类）住房改革支出（款）住房公积金（项）：指</w:t>
      </w:r>
      <w:r>
        <w:rPr>
          <w:rFonts w:hint="eastAsia" w:ascii="仿宋_GB2312" w:eastAsia="仿宋_GB2312"/>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sz w:val="32"/>
          <w:szCs w:val="32"/>
        </w:rPr>
        <w:t>。</w:t>
      </w:r>
    </w:p>
    <w:p w14:paraId="42A89652">
      <w:pPr>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3F57B7C9">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044D92CB">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7C995F3">
      <w:pPr>
        <w:ind w:firstLine="640" w:firstLineChars="200"/>
        <w:rPr>
          <w:rFonts w:hint="eastAsia" w:ascii="仿宋_GB2312" w:eastAsia="仿宋_GB2312"/>
          <w:color w:val="auto"/>
          <w:sz w:val="32"/>
          <w:szCs w:val="32"/>
        </w:rPr>
      </w:pPr>
    </w:p>
    <w:p w14:paraId="75F85D72">
      <w:pPr>
        <w:spacing w:line="600" w:lineRule="exact"/>
        <w:jc w:val="center"/>
        <w:rPr>
          <w:rFonts w:hint="eastAsia" w:eastAsia="黑体"/>
          <w:sz w:val="44"/>
          <w:szCs w:val="44"/>
        </w:rPr>
      </w:pPr>
      <w:r>
        <w:rPr>
          <w:rFonts w:hint="eastAsia" w:eastAsia="黑体"/>
          <w:sz w:val="44"/>
          <w:szCs w:val="44"/>
        </w:rPr>
        <w:t>第四部分  附件</w:t>
      </w:r>
      <w:bookmarkEnd w:id="45"/>
    </w:p>
    <w:p w14:paraId="33DA35C8">
      <w:pPr>
        <w:spacing w:line="600" w:lineRule="exact"/>
        <w:jc w:val="center"/>
        <w:rPr>
          <w:rFonts w:hint="eastAsia" w:eastAsia="黑体"/>
          <w:sz w:val="44"/>
          <w:szCs w:val="44"/>
        </w:rPr>
      </w:pPr>
    </w:p>
    <w:tbl>
      <w:tblPr>
        <w:tblStyle w:val="15"/>
        <w:tblpPr w:leftFromText="180" w:rightFromText="180" w:vertAnchor="text" w:horzAnchor="page" w:tblpX="2368" w:tblpY="83"/>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647"/>
        <w:gridCol w:w="837"/>
        <w:gridCol w:w="1185"/>
        <w:gridCol w:w="437"/>
        <w:gridCol w:w="784"/>
        <w:gridCol w:w="437"/>
        <w:gridCol w:w="1192"/>
        <w:gridCol w:w="490"/>
        <w:gridCol w:w="442"/>
        <w:gridCol w:w="1437"/>
      </w:tblGrid>
      <w:tr w14:paraId="4D39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7B265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9F2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945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C114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51040025T000012905208-市少年宫办学成本性支出</w:t>
            </w:r>
          </w:p>
        </w:tc>
      </w:tr>
      <w:tr w14:paraId="00CF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754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85DD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攀枝花市少年宫部门</w:t>
            </w:r>
          </w:p>
        </w:tc>
        <w:tc>
          <w:tcPr>
            <w:tcW w:w="0" w:type="auto"/>
            <w:tcBorders>
              <w:top w:val="nil"/>
              <w:left w:val="nil"/>
              <w:bottom w:val="nil"/>
              <w:right w:val="nil"/>
            </w:tcBorders>
            <w:shd w:val="clear" w:color="auto" w:fill="auto"/>
            <w:vAlign w:val="center"/>
          </w:tcPr>
          <w:p w14:paraId="5732197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5A2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攀枝花市少年宫</w:t>
            </w:r>
          </w:p>
        </w:tc>
      </w:tr>
      <w:tr w14:paraId="7CAE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D3C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15D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C20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6E4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1952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11F61">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A155">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0C0A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秉承“公益办中心，服务青少年”为宗旨，牢牢把握青少年社会教育这一工作主线，推动校外教育阵地建设大发展，夯实培训和活动两个根本，突出公益性、服务性和体验性三大特点，立足本宫，通过丰富多彩的主题教育兴趣培养等途径，面向全市青少年宫儿童开展各类校外艺术培训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C7EE2F">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市少年宫在市委、市政府的关怀领导下，在团市委的大力支持下，切实提升校外教育工作实绩。引导广大少年儿童从小听党话、跟党走，团结、教育和引领青少年儿童努力成为堪当民族复兴重任的时代新人</w:t>
            </w:r>
          </w:p>
        </w:tc>
      </w:tr>
      <w:tr w14:paraId="6062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C9BA">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0EA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E2AD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全年开设美术、书法、声乐、语言艺术、拉丁舞、中国舞、篮球、乒乓球、机器人编程、围棋、象棋等非学科类项目，共4622人次青少年儿童参与兴趣培训。</w:t>
            </w:r>
          </w:p>
        </w:tc>
      </w:tr>
      <w:tr w14:paraId="61E3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A7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BC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C3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3C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96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D0D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87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8E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AA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40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690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7B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EB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52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C5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0A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85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AA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4E975">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0DC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A7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C3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FD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8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50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D9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A5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EA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2002B">
            <w:pPr>
              <w:rPr>
                <w:rFonts w:hint="default" w:ascii="黑体" w:hAnsi="黑体" w:eastAsia="黑体" w:cs="黑体"/>
                <w:i w:val="0"/>
                <w:iCs w:val="0"/>
                <w:color w:val="000000"/>
                <w:sz w:val="18"/>
                <w:szCs w:val="18"/>
                <w:u w:val="none"/>
              </w:rPr>
            </w:pPr>
          </w:p>
        </w:tc>
      </w:tr>
      <w:tr w14:paraId="5523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B1EB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2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6D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21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7E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94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20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B2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9822">
            <w:pPr>
              <w:rPr>
                <w:rFonts w:hint="default" w:ascii="黑体" w:hAnsi="黑体" w:eastAsia="黑体" w:cs="黑体"/>
                <w:i w:val="0"/>
                <w:iCs w:val="0"/>
                <w:color w:val="000000"/>
                <w:sz w:val="18"/>
                <w:szCs w:val="18"/>
                <w:u w:val="none"/>
              </w:rPr>
            </w:pPr>
          </w:p>
        </w:tc>
      </w:tr>
      <w:tr w14:paraId="3D92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B4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CA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F5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02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76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71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F1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64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1399">
            <w:pPr>
              <w:rPr>
                <w:rFonts w:hint="default" w:ascii="黑体" w:hAnsi="黑体" w:eastAsia="黑体" w:cs="黑体"/>
                <w:i w:val="0"/>
                <w:iCs w:val="0"/>
                <w:color w:val="000000"/>
                <w:sz w:val="18"/>
                <w:szCs w:val="18"/>
                <w:u w:val="none"/>
              </w:rPr>
            </w:pPr>
          </w:p>
        </w:tc>
      </w:tr>
      <w:tr w14:paraId="3C6A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25E5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28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BD3EC">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C7D2E">
            <w:pPr>
              <w:jc w:val="center"/>
              <w:rPr>
                <w:rFonts w:hint="default"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AA309">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2C5AF">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19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4D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4FD5">
            <w:pPr>
              <w:rPr>
                <w:rFonts w:hint="default" w:ascii="黑体" w:hAnsi="黑体" w:eastAsia="黑体" w:cs="黑体"/>
                <w:i w:val="0"/>
                <w:iCs w:val="0"/>
                <w:color w:val="000000"/>
                <w:sz w:val="18"/>
                <w:szCs w:val="18"/>
                <w:u w:val="none"/>
              </w:rPr>
            </w:pPr>
          </w:p>
        </w:tc>
      </w:tr>
      <w:tr w14:paraId="1417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E4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1F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5B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6C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E4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C0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52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87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61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79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DE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10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22D67">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0A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0D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0B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全年计划培训学员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B4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7C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71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CE9C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4622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28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nil"/>
              <w:left w:val="nil"/>
              <w:bottom w:val="nil"/>
              <w:right w:val="nil"/>
            </w:tcBorders>
            <w:shd w:val="clear" w:color="auto" w:fill="auto"/>
            <w:noWrap/>
            <w:vAlign w:val="center"/>
          </w:tcPr>
          <w:p w14:paraId="66BB6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AE692">
            <w:pPr>
              <w:jc w:val="center"/>
              <w:rPr>
                <w:rFonts w:hint="default" w:ascii="微软雅黑" w:hAnsi="微软雅黑" w:eastAsia="微软雅黑" w:cs="微软雅黑"/>
                <w:i/>
                <w:iCs/>
                <w:color w:val="000000"/>
                <w:sz w:val="16"/>
                <w:szCs w:val="16"/>
                <w:u w:val="none"/>
              </w:rPr>
            </w:pPr>
          </w:p>
        </w:tc>
      </w:tr>
      <w:tr w14:paraId="26E6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8AC7">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934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4B4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5A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开展公益类学生活动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99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8D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45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3F86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4C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8D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357B2">
            <w:pPr>
              <w:jc w:val="center"/>
              <w:rPr>
                <w:rFonts w:hint="default" w:ascii="微软雅黑" w:hAnsi="微软雅黑" w:eastAsia="微软雅黑" w:cs="微软雅黑"/>
                <w:i/>
                <w:iCs/>
                <w:color w:val="000000"/>
                <w:sz w:val="16"/>
                <w:szCs w:val="16"/>
                <w:u w:val="none"/>
              </w:rPr>
            </w:pPr>
          </w:p>
        </w:tc>
      </w:tr>
      <w:tr w14:paraId="32100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8D39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7D8C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1C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3A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艺术类校外培训完成率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DB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C9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扎实开展艺术类学员培训工作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D478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615B7">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通过丰富多彩的主题教育兴趣培养等途径，面向全市青少年宫儿童开展各类校外艺术培训活动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38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18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581A4">
            <w:pPr>
              <w:jc w:val="center"/>
              <w:rPr>
                <w:rFonts w:hint="default" w:ascii="微软雅黑" w:hAnsi="微软雅黑" w:eastAsia="微软雅黑" w:cs="微软雅黑"/>
                <w:i/>
                <w:iCs/>
                <w:color w:val="000000"/>
                <w:sz w:val="16"/>
                <w:szCs w:val="16"/>
                <w:u w:val="none"/>
              </w:rPr>
            </w:pPr>
          </w:p>
        </w:tc>
      </w:tr>
      <w:tr w14:paraId="571B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2ED5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84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A0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C3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D6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DC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开展寒假、春季、暑假、秋季培训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D63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2AC4E">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全年开设美术、书法、声乐、语言艺术、拉丁舞、中国舞、篮球、乒乓球、机器人编程、围棋、象棋、武术散打等非学科类项目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19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1F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F7262">
            <w:pPr>
              <w:jc w:val="center"/>
              <w:rPr>
                <w:rFonts w:hint="default" w:ascii="微软雅黑" w:hAnsi="微软雅黑" w:eastAsia="微软雅黑" w:cs="微软雅黑"/>
                <w:i/>
                <w:iCs/>
                <w:color w:val="000000"/>
                <w:sz w:val="16"/>
                <w:szCs w:val="16"/>
                <w:u w:val="none"/>
              </w:rPr>
            </w:pPr>
          </w:p>
        </w:tc>
      </w:tr>
      <w:tr w14:paraId="501C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EC7B4">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EF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7A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D9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实现上缴非税收入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AB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0B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25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A49B7">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333.98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E7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F4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6B6E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受市场环境影响，培训人数较往年有所下降</w:t>
            </w:r>
          </w:p>
        </w:tc>
      </w:tr>
      <w:tr w14:paraId="7EC8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FA2D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F520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92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20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通过丰富多彩的主题教育兴趣培养等途径，面向全市青少年宫儿童开展各类校外艺术培训活动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E0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33A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发挥实践育人作用，搭建校外教育活动平台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2383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147CA">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市少年宫发挥青少年儿童校外教育专业的特色，突出活动实践教育，结合少年宫各类活动的特点和优势发挥少先队组织的实践育人作用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38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1B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BD2D4">
            <w:pPr>
              <w:jc w:val="center"/>
              <w:rPr>
                <w:rFonts w:hint="default" w:ascii="微软雅黑" w:hAnsi="微软雅黑" w:eastAsia="微软雅黑" w:cs="微软雅黑"/>
                <w:i/>
                <w:iCs/>
                <w:color w:val="000000"/>
                <w:sz w:val="16"/>
                <w:szCs w:val="16"/>
                <w:u w:val="none"/>
              </w:rPr>
            </w:pPr>
          </w:p>
        </w:tc>
      </w:tr>
      <w:tr w14:paraId="2515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814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551F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04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32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B81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E9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发挥实践育人作用，搭建校外教育活动平台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E9B4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DE69D">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建宫40年以来持续开展校外艺术培训活动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11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EE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E8138">
            <w:pPr>
              <w:jc w:val="center"/>
              <w:rPr>
                <w:rFonts w:hint="default" w:ascii="微软雅黑" w:hAnsi="微软雅黑" w:eastAsia="微软雅黑" w:cs="微软雅黑"/>
                <w:i/>
                <w:iCs/>
                <w:color w:val="000000"/>
                <w:sz w:val="16"/>
                <w:szCs w:val="16"/>
                <w:u w:val="none"/>
              </w:rPr>
            </w:pPr>
          </w:p>
        </w:tc>
      </w:tr>
      <w:tr w14:paraId="0BCE9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001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6F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A1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48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02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B6D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面向全市青少年开展培训活动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2A97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DF5E9">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面向全市青少年开展培训活动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ED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F4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EA2D5">
            <w:pPr>
              <w:jc w:val="center"/>
              <w:rPr>
                <w:rFonts w:hint="default" w:ascii="微软雅黑" w:hAnsi="微软雅黑" w:eastAsia="微软雅黑" w:cs="微软雅黑"/>
                <w:i/>
                <w:iCs/>
                <w:color w:val="000000"/>
                <w:sz w:val="16"/>
                <w:szCs w:val="16"/>
                <w:u w:val="none"/>
              </w:rPr>
            </w:pPr>
          </w:p>
        </w:tc>
      </w:tr>
      <w:tr w14:paraId="799A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7E8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63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BA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43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社会公众或服务对象满意度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54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AE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得到学生及家长信任，满意度良好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27F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E4A82">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深受家长和小朋友的喜爱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25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79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9C700">
            <w:pPr>
              <w:jc w:val="center"/>
              <w:rPr>
                <w:rFonts w:hint="default" w:ascii="微软雅黑" w:hAnsi="微软雅黑" w:eastAsia="微软雅黑" w:cs="微软雅黑"/>
                <w:i/>
                <w:iCs/>
                <w:color w:val="000000"/>
                <w:sz w:val="16"/>
                <w:szCs w:val="16"/>
                <w:u w:val="none"/>
              </w:rPr>
            </w:pPr>
          </w:p>
        </w:tc>
      </w:tr>
      <w:tr w14:paraId="7149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D30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8C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FD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13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成本节约率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56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856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计划成本300万元，实际成本控制在280万元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0B11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DF58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计划成本280万元，实际成本161.33万元，成本节约率42.38%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95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0E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7A1FE">
            <w:pPr>
              <w:jc w:val="center"/>
              <w:rPr>
                <w:rFonts w:hint="default" w:ascii="微软雅黑" w:hAnsi="微软雅黑" w:eastAsia="微软雅黑" w:cs="微软雅黑"/>
                <w:i/>
                <w:iCs/>
                <w:color w:val="000000"/>
                <w:sz w:val="16"/>
                <w:szCs w:val="16"/>
                <w:u w:val="none"/>
              </w:rPr>
            </w:pPr>
          </w:p>
        </w:tc>
      </w:tr>
      <w:tr w14:paraId="1DF6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8B3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98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411C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07694">
            <w:pPr>
              <w:rPr>
                <w:rFonts w:hint="eastAsia" w:ascii="宋体" w:hAnsi="宋体" w:eastAsia="宋体" w:cs="宋体"/>
                <w:i w:val="0"/>
                <w:iCs w:val="0"/>
                <w:color w:val="000000"/>
                <w:sz w:val="18"/>
                <w:szCs w:val="18"/>
                <w:u w:val="none"/>
              </w:rPr>
            </w:pPr>
          </w:p>
        </w:tc>
      </w:tr>
      <w:tr w14:paraId="106C0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FC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DBE06B">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2025市少年宫在上级部门的领导下，认真贯彻落实市委、市政府以及团市委的决策部署，以全面推进攀枝花市青少年儿童校外教育为主线，坚持公益性原则，拓宽工作思路，扎扎实实开展了各项工作。市少年宫继续坚持春、秋和暑假开展培训工作，开设了科、艺、体三大类课程，分别是：美术、书法、舞蹈、器乐、声乐、语言、跆拳道、国韵诵读、幼少儿编程、中国象棋、围棋、国际象棋、乒乓球、武术、模特等20余个专业特色培训课程，深受家长和小朋友的喜爱，年培训学员达4622人次，圆满完成全年项目任务。</w:t>
            </w:r>
          </w:p>
        </w:tc>
      </w:tr>
      <w:tr w14:paraId="1152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89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1F5387">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在项目实施过程中确实存在阻碍，主要表现在市少年宫项目资金严重不足，无法</w:t>
            </w:r>
            <w:r>
              <w:rPr>
                <w:rFonts w:hint="eastAsia" w:ascii="微软雅黑" w:hAnsi="微软雅黑" w:eastAsia="微软雅黑" w:cs="微软雅黑"/>
                <w:i w:val="0"/>
                <w:iCs w:val="0"/>
                <w:color w:val="000000"/>
                <w:kern w:val="0"/>
                <w:sz w:val="16"/>
                <w:szCs w:val="16"/>
                <w:u w:val="none"/>
                <w:lang w:val="en-US" w:eastAsia="zh-CN" w:bidi="ar"/>
              </w:rPr>
              <w:t>彻底</w:t>
            </w:r>
            <w:r>
              <w:rPr>
                <w:rFonts w:hint="default" w:ascii="微软雅黑" w:hAnsi="微软雅黑" w:eastAsia="微软雅黑" w:cs="微软雅黑"/>
                <w:i w:val="0"/>
                <w:iCs w:val="0"/>
                <w:color w:val="000000"/>
                <w:kern w:val="0"/>
                <w:sz w:val="16"/>
                <w:szCs w:val="16"/>
                <w:u w:val="none"/>
                <w:lang w:val="en-US" w:eastAsia="zh-CN" w:bidi="ar"/>
              </w:rPr>
              <w:t>解决安全隐患，交通安全隐患日渐突出，教学楼安全通道狭窄，学生家长进出高峰期间</w:t>
            </w:r>
            <w:r>
              <w:rPr>
                <w:rFonts w:hint="eastAsia" w:ascii="微软雅黑" w:hAnsi="微软雅黑" w:eastAsia="微软雅黑" w:cs="微软雅黑"/>
                <w:i w:val="0"/>
                <w:iCs w:val="0"/>
                <w:color w:val="000000"/>
                <w:kern w:val="0"/>
                <w:sz w:val="16"/>
                <w:szCs w:val="16"/>
                <w:u w:val="none"/>
                <w:lang w:val="en-US" w:eastAsia="zh-CN" w:bidi="ar"/>
              </w:rPr>
              <w:t>易出现</w:t>
            </w:r>
            <w:r>
              <w:rPr>
                <w:rFonts w:hint="default" w:ascii="微软雅黑" w:hAnsi="微软雅黑" w:eastAsia="微软雅黑" w:cs="微软雅黑"/>
                <w:i w:val="0"/>
                <w:iCs w:val="0"/>
                <w:color w:val="000000"/>
                <w:kern w:val="0"/>
                <w:sz w:val="16"/>
                <w:szCs w:val="16"/>
                <w:u w:val="none"/>
                <w:lang w:val="en-US" w:eastAsia="zh-CN" w:bidi="ar"/>
              </w:rPr>
              <w:t>踩踏</w:t>
            </w:r>
            <w:r>
              <w:rPr>
                <w:rFonts w:hint="eastAsia" w:ascii="微软雅黑" w:hAnsi="微软雅黑" w:eastAsia="微软雅黑" w:cs="微软雅黑"/>
                <w:i w:val="0"/>
                <w:iCs w:val="0"/>
                <w:color w:val="000000"/>
                <w:kern w:val="0"/>
                <w:sz w:val="16"/>
                <w:szCs w:val="16"/>
                <w:u w:val="none"/>
                <w:lang w:val="en-US" w:eastAsia="zh-CN" w:bidi="ar"/>
              </w:rPr>
              <w:t>事故</w:t>
            </w:r>
            <w:r>
              <w:rPr>
                <w:rFonts w:hint="default" w:ascii="微软雅黑" w:hAnsi="微软雅黑" w:eastAsia="微软雅黑" w:cs="微软雅黑"/>
                <w:i w:val="0"/>
                <w:iCs w:val="0"/>
                <w:color w:val="000000"/>
                <w:kern w:val="0"/>
                <w:sz w:val="16"/>
                <w:szCs w:val="16"/>
                <w:u w:val="none"/>
                <w:lang w:val="en-US" w:eastAsia="zh-CN" w:bidi="ar"/>
              </w:rPr>
              <w:t>。日常培训活动产生的零星维修及办公用品</w:t>
            </w:r>
            <w:bookmarkStart w:id="62" w:name="_GoBack"/>
            <w:bookmarkEnd w:id="62"/>
            <w:r>
              <w:rPr>
                <w:rFonts w:hint="default" w:ascii="微软雅黑" w:hAnsi="微软雅黑" w:eastAsia="微软雅黑" w:cs="微软雅黑"/>
                <w:i w:val="0"/>
                <w:iCs w:val="0"/>
                <w:color w:val="000000"/>
                <w:kern w:val="0"/>
                <w:sz w:val="16"/>
                <w:szCs w:val="16"/>
                <w:u w:val="none"/>
                <w:lang w:val="en-US" w:eastAsia="zh-CN" w:bidi="ar"/>
              </w:rPr>
              <w:t>等经费不足，对公益性学生活动的开展造成了阻碍。</w:t>
            </w:r>
          </w:p>
        </w:tc>
      </w:tr>
      <w:tr w14:paraId="731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9D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42AEE">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在今后的绩效管理工作中，通过考核激励，充分调动全体工作人员工作积极性，强化考核结果分析，找出问题，究其原因，并针对问题开展专题调研，寻求解决问题的方法和途径，推动工作的全面发展。</w:t>
            </w:r>
          </w:p>
        </w:tc>
      </w:tr>
      <w:tr w14:paraId="19EB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3B053">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项目负责人：杨书通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1E5064">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财务负责人：胡瑶</w:t>
            </w:r>
          </w:p>
        </w:tc>
      </w:tr>
    </w:tbl>
    <w:p w14:paraId="399EB9C0">
      <w:pPr>
        <w:pStyle w:val="13"/>
      </w:pPr>
    </w:p>
    <w:p w14:paraId="2EBD9F35">
      <w:pPr>
        <w:pStyle w:val="5"/>
        <w:spacing w:before="93"/>
        <w:rPr>
          <w:rFonts w:hint="eastAsia" w:ascii="Times New Roman" w:eastAsia="黑体" w:cs="黑体"/>
          <w:sz w:val="32"/>
          <w:szCs w:val="32"/>
          <w:shd w:val="clear" w:color="auto" w:fill="FFFFFF"/>
          <w:lang w:val="zh-CN"/>
        </w:rPr>
      </w:pPr>
    </w:p>
    <w:p w14:paraId="0D13D604">
      <w:pPr>
        <w:widowControl/>
        <w:jc w:val="center"/>
        <w:rPr>
          <w:rFonts w:eastAsia="仿宋"/>
        </w:rPr>
      </w:pPr>
      <w:bookmarkStart w:id="48" w:name="_Toc15396618"/>
      <w:r>
        <w:rPr>
          <w:rFonts w:hint="eastAsia" w:eastAsia="黑体"/>
          <w:sz w:val="44"/>
          <w:szCs w:val="44"/>
        </w:rPr>
        <w:t>第</w:t>
      </w:r>
      <w:r>
        <w:rPr>
          <w:rStyle w:val="28"/>
          <w:rFonts w:hint="eastAsia" w:eastAsia="黑体"/>
          <w:b w:val="0"/>
        </w:rPr>
        <w:t>五部分 附表</w:t>
      </w:r>
      <w:bookmarkEnd w:id="46"/>
      <w:bookmarkEnd w:id="48"/>
      <w:bookmarkStart w:id="49" w:name="_Toc15396619"/>
    </w:p>
    <w:p w14:paraId="2BD9FC5E">
      <w:pPr>
        <w:pStyle w:val="14"/>
        <w:adjustRightInd w:val="0"/>
        <w:snapToGrid w:val="0"/>
        <w:spacing w:line="560" w:lineRule="exact"/>
        <w:jc w:val="left"/>
        <w:rPr>
          <w:rFonts w:eastAsia="仿宋_GB2312" w:cs="仿宋_GB2312"/>
          <w:sz w:val="32"/>
          <w:szCs w:val="32"/>
        </w:rPr>
      </w:pPr>
    </w:p>
    <w:p w14:paraId="2C73D340">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9"/>
    </w:p>
    <w:p w14:paraId="5FBB576E">
      <w:pPr>
        <w:pStyle w:val="14"/>
        <w:adjustRightInd w:val="0"/>
        <w:snapToGrid w:val="0"/>
        <w:spacing w:line="560" w:lineRule="exact"/>
        <w:jc w:val="left"/>
        <w:rPr>
          <w:rFonts w:eastAsia="仿宋_GB2312" w:cs="仿宋_GB2312"/>
          <w:sz w:val="32"/>
          <w:szCs w:val="32"/>
        </w:rPr>
      </w:pPr>
      <w:bookmarkStart w:id="50" w:name="_Toc15396620"/>
      <w:r>
        <w:rPr>
          <w:rFonts w:hint="eastAsia" w:eastAsia="仿宋_GB2312" w:cs="仿宋_GB2312"/>
          <w:sz w:val="32"/>
          <w:szCs w:val="32"/>
        </w:rPr>
        <w:t>二、收入决算表</w:t>
      </w:r>
      <w:bookmarkEnd w:id="50"/>
    </w:p>
    <w:p w14:paraId="7531ACCB">
      <w:pPr>
        <w:pStyle w:val="14"/>
        <w:adjustRightInd w:val="0"/>
        <w:snapToGrid w:val="0"/>
        <w:spacing w:line="560" w:lineRule="exact"/>
        <w:jc w:val="left"/>
        <w:rPr>
          <w:rFonts w:eastAsia="仿宋_GB2312" w:cs="仿宋_GB2312"/>
          <w:sz w:val="32"/>
          <w:szCs w:val="32"/>
        </w:rPr>
      </w:pPr>
      <w:bookmarkStart w:id="51" w:name="_Toc15396621"/>
      <w:r>
        <w:rPr>
          <w:rFonts w:hint="eastAsia" w:eastAsia="仿宋_GB2312" w:cs="仿宋_GB2312"/>
          <w:sz w:val="32"/>
          <w:szCs w:val="32"/>
        </w:rPr>
        <w:t>三、支出决算表</w:t>
      </w:r>
      <w:bookmarkEnd w:id="51"/>
    </w:p>
    <w:p w14:paraId="676C6525">
      <w:pPr>
        <w:pStyle w:val="14"/>
        <w:adjustRightInd w:val="0"/>
        <w:snapToGrid w:val="0"/>
        <w:spacing w:line="560" w:lineRule="exact"/>
        <w:jc w:val="left"/>
        <w:rPr>
          <w:rFonts w:eastAsia="仿宋_GB2312" w:cs="仿宋_GB2312"/>
          <w:sz w:val="32"/>
          <w:szCs w:val="32"/>
        </w:rPr>
      </w:pPr>
      <w:bookmarkStart w:id="52" w:name="_Toc15396622"/>
      <w:r>
        <w:rPr>
          <w:rFonts w:hint="eastAsia" w:eastAsia="仿宋_GB2312" w:cs="仿宋_GB2312"/>
          <w:sz w:val="32"/>
          <w:szCs w:val="32"/>
        </w:rPr>
        <w:t>四、财政拨款收入支出决算总表</w:t>
      </w:r>
      <w:bookmarkEnd w:id="52"/>
    </w:p>
    <w:p w14:paraId="74F40633">
      <w:pPr>
        <w:pStyle w:val="14"/>
        <w:adjustRightInd w:val="0"/>
        <w:snapToGrid w:val="0"/>
        <w:spacing w:line="560" w:lineRule="exact"/>
        <w:jc w:val="left"/>
        <w:rPr>
          <w:rFonts w:eastAsia="仿宋_GB2312" w:cs="仿宋_GB2312"/>
          <w:sz w:val="32"/>
          <w:szCs w:val="32"/>
        </w:rPr>
      </w:pPr>
      <w:bookmarkStart w:id="53" w:name="_Toc15396623"/>
      <w:r>
        <w:rPr>
          <w:rFonts w:hint="eastAsia" w:eastAsia="仿宋_GB2312" w:cs="仿宋_GB2312"/>
          <w:sz w:val="32"/>
          <w:szCs w:val="32"/>
        </w:rPr>
        <w:t>五、财政拨款支出决算明细表</w:t>
      </w:r>
      <w:bookmarkEnd w:id="53"/>
      <w:bookmarkStart w:id="54" w:name="_Toc15396624"/>
    </w:p>
    <w:p w14:paraId="69355935">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4"/>
    </w:p>
    <w:p w14:paraId="2AD7698A">
      <w:pPr>
        <w:pStyle w:val="14"/>
        <w:adjustRightInd w:val="0"/>
        <w:snapToGrid w:val="0"/>
        <w:spacing w:line="560" w:lineRule="exact"/>
        <w:jc w:val="left"/>
        <w:rPr>
          <w:rFonts w:eastAsia="仿宋_GB2312" w:cs="仿宋_GB2312"/>
          <w:sz w:val="32"/>
          <w:szCs w:val="32"/>
        </w:rPr>
      </w:pPr>
      <w:bookmarkStart w:id="55" w:name="_Toc15396625"/>
      <w:r>
        <w:rPr>
          <w:rFonts w:hint="eastAsia" w:eastAsia="仿宋_GB2312" w:cs="仿宋_GB2312"/>
          <w:sz w:val="32"/>
          <w:szCs w:val="32"/>
        </w:rPr>
        <w:t>七、一般公共预算财政拨款支出决算明细表</w:t>
      </w:r>
      <w:bookmarkEnd w:id="55"/>
    </w:p>
    <w:p w14:paraId="5F05DD81">
      <w:pPr>
        <w:pStyle w:val="14"/>
        <w:adjustRightInd w:val="0"/>
        <w:snapToGrid w:val="0"/>
        <w:spacing w:line="560" w:lineRule="exact"/>
        <w:jc w:val="left"/>
        <w:rPr>
          <w:rFonts w:eastAsia="仿宋_GB2312" w:cs="仿宋_GB2312"/>
          <w:sz w:val="32"/>
          <w:szCs w:val="32"/>
        </w:rPr>
      </w:pPr>
      <w:bookmarkStart w:id="56" w:name="_Toc15396626"/>
      <w:r>
        <w:rPr>
          <w:rFonts w:hint="eastAsia" w:eastAsia="仿宋_GB2312" w:cs="仿宋_GB2312"/>
          <w:sz w:val="32"/>
          <w:szCs w:val="32"/>
        </w:rPr>
        <w:t>八、一般公共预算财政拨款基本支出决算表</w:t>
      </w:r>
      <w:bookmarkEnd w:id="56"/>
    </w:p>
    <w:p w14:paraId="0298E7CD">
      <w:pPr>
        <w:pStyle w:val="14"/>
        <w:adjustRightInd w:val="0"/>
        <w:snapToGrid w:val="0"/>
        <w:spacing w:line="560" w:lineRule="exact"/>
        <w:jc w:val="left"/>
        <w:rPr>
          <w:rFonts w:eastAsia="仿宋_GB2312" w:cs="仿宋_GB2312"/>
          <w:sz w:val="32"/>
          <w:szCs w:val="32"/>
        </w:rPr>
      </w:pPr>
      <w:bookmarkStart w:id="57" w:name="_Toc15396627"/>
      <w:r>
        <w:rPr>
          <w:rFonts w:hint="eastAsia" w:eastAsia="仿宋_GB2312" w:cs="仿宋_GB2312"/>
          <w:sz w:val="32"/>
          <w:szCs w:val="32"/>
        </w:rPr>
        <w:t>九、一般公共预算财政拨款项目支出决算表</w:t>
      </w:r>
      <w:bookmarkEnd w:id="57"/>
    </w:p>
    <w:p w14:paraId="6BF1E26C">
      <w:pPr>
        <w:pStyle w:val="14"/>
        <w:adjustRightInd w:val="0"/>
        <w:snapToGrid w:val="0"/>
        <w:spacing w:line="560" w:lineRule="exact"/>
        <w:jc w:val="left"/>
        <w:rPr>
          <w:rFonts w:eastAsia="仿宋_GB2312" w:cs="仿宋_GB2312"/>
          <w:sz w:val="32"/>
          <w:szCs w:val="32"/>
        </w:rPr>
      </w:pPr>
      <w:bookmarkStart w:id="58" w:name="_Toc15396628"/>
      <w:r>
        <w:rPr>
          <w:rFonts w:hint="eastAsia" w:eastAsia="仿宋_GB2312" w:cs="仿宋_GB2312"/>
          <w:sz w:val="32"/>
          <w:szCs w:val="32"/>
        </w:rPr>
        <w:t>十、</w:t>
      </w:r>
      <w:bookmarkEnd w:id="58"/>
      <w:r>
        <w:rPr>
          <w:rFonts w:hint="eastAsia" w:eastAsia="仿宋_GB2312" w:cs="仿宋_GB2312"/>
          <w:sz w:val="32"/>
          <w:szCs w:val="32"/>
        </w:rPr>
        <w:t>政府性基金预算财政拨款收入支出决算表</w:t>
      </w:r>
    </w:p>
    <w:p w14:paraId="6D8950F6">
      <w:pPr>
        <w:pStyle w:val="14"/>
        <w:adjustRightInd w:val="0"/>
        <w:snapToGrid w:val="0"/>
        <w:spacing w:line="560" w:lineRule="exact"/>
        <w:jc w:val="left"/>
        <w:rPr>
          <w:rFonts w:eastAsia="仿宋_GB2312" w:cs="仿宋_GB2312"/>
          <w:sz w:val="32"/>
          <w:szCs w:val="32"/>
        </w:rPr>
      </w:pPr>
      <w:bookmarkStart w:id="59" w:name="_Toc15396629"/>
      <w:r>
        <w:rPr>
          <w:rFonts w:hint="eastAsia" w:eastAsia="仿宋_GB2312" w:cs="仿宋_GB2312"/>
          <w:sz w:val="32"/>
          <w:szCs w:val="32"/>
        </w:rPr>
        <w:t>十一、</w:t>
      </w:r>
      <w:bookmarkEnd w:id="59"/>
      <w:r>
        <w:rPr>
          <w:rFonts w:hint="eastAsia" w:eastAsia="仿宋_GB2312" w:cs="仿宋_GB2312"/>
          <w:sz w:val="32"/>
          <w:szCs w:val="32"/>
        </w:rPr>
        <w:t>国有资本经营预算财政拨款收入支出决算表</w:t>
      </w:r>
    </w:p>
    <w:p w14:paraId="7B145249">
      <w:pPr>
        <w:pStyle w:val="14"/>
        <w:adjustRightInd w:val="0"/>
        <w:snapToGrid w:val="0"/>
        <w:spacing w:line="560" w:lineRule="exact"/>
        <w:jc w:val="left"/>
        <w:rPr>
          <w:rFonts w:eastAsia="仿宋_GB2312" w:cs="仿宋_GB2312"/>
          <w:sz w:val="32"/>
          <w:szCs w:val="32"/>
        </w:rPr>
      </w:pPr>
      <w:bookmarkStart w:id="60" w:name="_Toc15396630"/>
      <w:r>
        <w:rPr>
          <w:rFonts w:hint="eastAsia" w:eastAsia="仿宋_GB2312" w:cs="仿宋_GB2312"/>
          <w:sz w:val="32"/>
          <w:szCs w:val="32"/>
        </w:rPr>
        <w:t>十二、</w:t>
      </w:r>
      <w:bookmarkEnd w:id="60"/>
      <w:r>
        <w:rPr>
          <w:rFonts w:hint="eastAsia" w:eastAsia="仿宋_GB2312" w:cs="仿宋_GB2312"/>
          <w:sz w:val="32"/>
          <w:szCs w:val="32"/>
        </w:rPr>
        <w:t>国有资本经营预算财政拨款支出决算表</w:t>
      </w:r>
    </w:p>
    <w:p w14:paraId="3FD2735E">
      <w:pPr>
        <w:pStyle w:val="14"/>
        <w:adjustRightInd w:val="0"/>
        <w:snapToGrid w:val="0"/>
        <w:spacing w:line="560" w:lineRule="exact"/>
        <w:jc w:val="left"/>
        <w:rPr>
          <w:rFonts w:eastAsia="仿宋_GB2312" w:cs="仿宋_GB2312"/>
          <w:sz w:val="32"/>
          <w:szCs w:val="32"/>
        </w:rPr>
      </w:pPr>
      <w:bookmarkStart w:id="61" w:name="_Toc15396631"/>
      <w:r>
        <w:rPr>
          <w:rFonts w:hint="eastAsia" w:eastAsia="仿宋_GB2312" w:cs="仿宋_GB2312"/>
          <w:sz w:val="32"/>
          <w:szCs w:val="32"/>
        </w:rPr>
        <w:t>十三、</w:t>
      </w:r>
      <w:bookmarkEnd w:id="61"/>
      <w:r>
        <w:rPr>
          <w:rFonts w:hint="eastAsia" w:eastAsia="仿宋_GB2312" w:cs="仿宋_GB2312"/>
          <w:sz w:val="32"/>
          <w:szCs w:val="32"/>
        </w:rPr>
        <w:t>财政拨款“三公”经费支出决算表</w:t>
      </w:r>
    </w:p>
    <w:p w14:paraId="67681764"/>
    <w:sectPr>
      <w:footerReference r:id="rId6" w:type="firs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8CA9C1-6AD1-4C86-9C1D-73B3C0941F9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7508402-13BC-4648-82F3-EE0F37DF591F}"/>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13934926-182E-429E-BB2C-4FF53179806C}"/>
  </w:font>
  <w:font w:name="仿宋">
    <w:panose1 w:val="02010609060101010101"/>
    <w:charset w:val="86"/>
    <w:family w:val="modern"/>
    <w:pitch w:val="default"/>
    <w:sig w:usb0="800002BF" w:usb1="38CF7CFA" w:usb2="00000016" w:usb3="00000000" w:csb0="00040001" w:csb1="00000000"/>
    <w:embedRegular r:id="rId4" w:fontKey="{BDA2A8DA-E3D0-4FAF-9137-BF2E23DA938F}"/>
  </w:font>
  <w:font w:name="??">
    <w:altName w:val="Segoe Print"/>
    <w:panose1 w:val="00000000000000000000"/>
    <w:charset w:val="00"/>
    <w:family w:val="roman"/>
    <w:pitch w:val="default"/>
    <w:sig w:usb0="00000000" w:usb1="00000000" w:usb2="00000000" w:usb3="00000000" w:csb0="00000000" w:csb1="00000000"/>
  </w:font>
  <w:font w:name="C059">
    <w:altName w:val="Segoe Print"/>
    <w:panose1 w:val="00000500000000000000"/>
    <w:charset w:val="00"/>
    <w:family w:val="auto"/>
    <w:pitch w:val="default"/>
    <w:sig w:usb0="00000000" w:usb1="00000000" w:usb2="00000000" w:usb3="00000000" w:csb0="6000009F" w:csb1="00000000"/>
  </w:font>
  <w:font w:name="方正小标宋简体">
    <w:altName w:val="Arial Unicode MS"/>
    <w:panose1 w:val="02000000000000000000"/>
    <w:charset w:val="86"/>
    <w:family w:val="script"/>
    <w:pitch w:val="default"/>
    <w:sig w:usb0="00000000" w:usb1="00000000" w:usb2="00000012" w:usb3="00000000" w:csb0="00040001" w:csb1="00000000"/>
    <w:embedRegular r:id="rId5" w:fontKey="{AEE5D96C-93A4-43F6-B555-08130F506481}"/>
  </w:font>
  <w:font w:name="楷体_GB2312">
    <w:altName w:val="楷体"/>
    <w:panose1 w:val="02010609030101010101"/>
    <w:charset w:val="86"/>
    <w:family w:val="modern"/>
    <w:pitch w:val="default"/>
    <w:sig w:usb0="00000000" w:usb1="00000000" w:usb2="00000000" w:usb3="00000000" w:csb0="00040000" w:csb1="00000000"/>
    <w:embedRegular r:id="rId6" w:fontKey="{FEDD4F37-CF1F-4F82-9684-487D8DFE8D05}"/>
  </w:font>
  <w:font w:name="微软雅黑">
    <w:panose1 w:val="020B0503020204020204"/>
    <w:charset w:val="86"/>
    <w:family w:val="auto"/>
    <w:pitch w:val="default"/>
    <w:sig w:usb0="80000287" w:usb1="280F3C52" w:usb2="00000016" w:usb3="00000000" w:csb0="0004001F" w:csb1="00000000"/>
    <w:embedRegular r:id="rId7" w:fontKey="{EF9E08CB-7705-49D5-B2C7-1D98FB708959}"/>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5B9C7">
    <w:pPr>
      <w:widowControl w:val="0"/>
      <w:snapToGrid w:val="0"/>
      <w:jc w:val="center"/>
      <w:rPr>
        <w:rFonts w:ascii="Calibri" w:hAnsi="Calibri" w:eastAsia="宋体" w:cs="Times New Roman"/>
        <w:kern w:val="0"/>
        <w:sz w:val="18"/>
        <w:szCs w:val="18"/>
        <w:lang w:val="en-US" w:eastAsia="zh-CN" w:bidi="ar-SA"/>
      </w:rPr>
    </w:pPr>
  </w:p>
  <w:p w14:paraId="0CEC8A55">
    <w:pPr>
      <w:widowControl w:val="0"/>
      <w:snapToGrid w:val="0"/>
      <w:jc w:val="left"/>
      <w:rPr>
        <w:rFonts w:ascii="Calibri" w:hAnsi="Calibri"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585BC">
    <w:pPr>
      <w:pStyle w:val="1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403A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BB403AA">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5C410D6F">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D937">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712D3">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D3712D3">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7CBD1">
    <w:pPr>
      <w:widowControl w:val="0"/>
      <w:pBdr>
        <w:bottom w:val="none" w:color="auto" w:sz="0" w:space="0"/>
      </w:pBdr>
      <w:snapToGrid w:val="0"/>
      <w:jc w:val="center"/>
      <w:rPr>
        <w:rFonts w:ascii="Calibri" w:hAnsi="Calibri"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3B048"/>
    <w:multiLevelType w:val="singleLevel"/>
    <w:tmpl w:val="BEB3B048"/>
    <w:lvl w:ilvl="0" w:tentative="0">
      <w:start w:val="1"/>
      <w:numFmt w:val="chineseCounting"/>
      <w:suff w:val="nothing"/>
      <w:lvlText w:val="%1、"/>
      <w:lvlJc w:val="left"/>
      <w:rPr>
        <w:rFonts w:hint="eastAsia"/>
      </w:rPr>
    </w:lvl>
  </w:abstractNum>
  <w:abstractNum w:abstractNumId="1">
    <w:nsid w:val="32540B35"/>
    <w:multiLevelType w:val="singleLevel"/>
    <w:tmpl w:val="32540B35"/>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2DE15D3"/>
    <w:rsid w:val="139541EA"/>
    <w:rsid w:val="13D50BC4"/>
    <w:rsid w:val="13F9BDD0"/>
    <w:rsid w:val="14022904"/>
    <w:rsid w:val="152F2A07"/>
    <w:rsid w:val="16201F02"/>
    <w:rsid w:val="165E0673"/>
    <w:rsid w:val="16705DD5"/>
    <w:rsid w:val="16BB723D"/>
    <w:rsid w:val="16C26219"/>
    <w:rsid w:val="17BD9B07"/>
    <w:rsid w:val="186504BB"/>
    <w:rsid w:val="1938089F"/>
    <w:rsid w:val="19A445FC"/>
    <w:rsid w:val="1B5B0F98"/>
    <w:rsid w:val="1B7D550C"/>
    <w:rsid w:val="1BE8440E"/>
    <w:rsid w:val="1C8651B5"/>
    <w:rsid w:val="1D155CEE"/>
    <w:rsid w:val="1E740ACF"/>
    <w:rsid w:val="1FF35744"/>
    <w:rsid w:val="1FF6BC77"/>
    <w:rsid w:val="21962A9E"/>
    <w:rsid w:val="21AE7C77"/>
    <w:rsid w:val="22BC3C41"/>
    <w:rsid w:val="23860B96"/>
    <w:rsid w:val="240371BF"/>
    <w:rsid w:val="248144B4"/>
    <w:rsid w:val="24BC193D"/>
    <w:rsid w:val="2551425D"/>
    <w:rsid w:val="258B7398"/>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97F15BE"/>
    <w:rsid w:val="3AB79AF3"/>
    <w:rsid w:val="3B3BBDE8"/>
    <w:rsid w:val="3B7EF35A"/>
    <w:rsid w:val="3B9FDB6C"/>
    <w:rsid w:val="3BF5BC2F"/>
    <w:rsid w:val="3CEBA265"/>
    <w:rsid w:val="3D98207C"/>
    <w:rsid w:val="3D9B0D99"/>
    <w:rsid w:val="3DEE7CF3"/>
    <w:rsid w:val="3DF02244"/>
    <w:rsid w:val="3E09759C"/>
    <w:rsid w:val="3E734A16"/>
    <w:rsid w:val="3E78745D"/>
    <w:rsid w:val="3E7FBBFD"/>
    <w:rsid w:val="3EF76782"/>
    <w:rsid w:val="3FB7BF7A"/>
    <w:rsid w:val="3FF4CAE0"/>
    <w:rsid w:val="3FF7B227"/>
    <w:rsid w:val="40E54C45"/>
    <w:rsid w:val="43A407DF"/>
    <w:rsid w:val="44515BEA"/>
    <w:rsid w:val="44E268DA"/>
    <w:rsid w:val="453F7E5B"/>
    <w:rsid w:val="465D5E6F"/>
    <w:rsid w:val="47E2915F"/>
    <w:rsid w:val="486A6C7A"/>
    <w:rsid w:val="49176D9B"/>
    <w:rsid w:val="493E61CA"/>
    <w:rsid w:val="4A627F82"/>
    <w:rsid w:val="4B0E749A"/>
    <w:rsid w:val="4B4F25DA"/>
    <w:rsid w:val="4BC60A62"/>
    <w:rsid w:val="4BDA0CFB"/>
    <w:rsid w:val="4BE068DB"/>
    <w:rsid w:val="4C26756B"/>
    <w:rsid w:val="4D3C0CCC"/>
    <w:rsid w:val="4D577224"/>
    <w:rsid w:val="4DBF1CEB"/>
    <w:rsid w:val="4EAB630A"/>
    <w:rsid w:val="4ECE2238"/>
    <w:rsid w:val="4F833267"/>
    <w:rsid w:val="4FE9BD67"/>
    <w:rsid w:val="4FFB052F"/>
    <w:rsid w:val="50087712"/>
    <w:rsid w:val="53083A92"/>
    <w:rsid w:val="537E6D0A"/>
    <w:rsid w:val="53AF27A2"/>
    <w:rsid w:val="53F74C96"/>
    <w:rsid w:val="54B6C1F4"/>
    <w:rsid w:val="56E47B74"/>
    <w:rsid w:val="57BD3DD4"/>
    <w:rsid w:val="5AF92295"/>
    <w:rsid w:val="5BDD79E6"/>
    <w:rsid w:val="5BF561CA"/>
    <w:rsid w:val="5BFF5DFC"/>
    <w:rsid w:val="5CD71FC4"/>
    <w:rsid w:val="5D1F11B5"/>
    <w:rsid w:val="5D777AC6"/>
    <w:rsid w:val="5DAE1B18"/>
    <w:rsid w:val="5DE7D9E5"/>
    <w:rsid w:val="5ECEC941"/>
    <w:rsid w:val="5ED76EC2"/>
    <w:rsid w:val="5EFEE5E1"/>
    <w:rsid w:val="5F493CB7"/>
    <w:rsid w:val="5F9B3AAD"/>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BF7BA08"/>
    <w:rsid w:val="6C4A05C8"/>
    <w:rsid w:val="6C8742B8"/>
    <w:rsid w:val="6C8A170F"/>
    <w:rsid w:val="6CB54609"/>
    <w:rsid w:val="6DBF5E93"/>
    <w:rsid w:val="6DFF077E"/>
    <w:rsid w:val="6E7E3605"/>
    <w:rsid w:val="6E7FDCC7"/>
    <w:rsid w:val="6ED6A62E"/>
    <w:rsid w:val="6EE00B15"/>
    <w:rsid w:val="6F544B20"/>
    <w:rsid w:val="6F6FB3EB"/>
    <w:rsid w:val="6F784160"/>
    <w:rsid w:val="6F8731EA"/>
    <w:rsid w:val="6FBB8017"/>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45DAE"/>
    <w:rsid w:val="73FA497D"/>
    <w:rsid w:val="744731E5"/>
    <w:rsid w:val="74527205"/>
    <w:rsid w:val="74BBD01D"/>
    <w:rsid w:val="74ED5379"/>
    <w:rsid w:val="74FC2395"/>
    <w:rsid w:val="75DEEEC2"/>
    <w:rsid w:val="76D7F53E"/>
    <w:rsid w:val="76E3355F"/>
    <w:rsid w:val="76FD6F97"/>
    <w:rsid w:val="76FF5125"/>
    <w:rsid w:val="776F6FFA"/>
    <w:rsid w:val="778769C8"/>
    <w:rsid w:val="77DC22F5"/>
    <w:rsid w:val="79086DAD"/>
    <w:rsid w:val="79974F09"/>
    <w:rsid w:val="799DF915"/>
    <w:rsid w:val="79AAC946"/>
    <w:rsid w:val="79D7FD79"/>
    <w:rsid w:val="79EE5BA4"/>
    <w:rsid w:val="79F7941F"/>
    <w:rsid w:val="79FAE844"/>
    <w:rsid w:val="7A894339"/>
    <w:rsid w:val="7AFF7572"/>
    <w:rsid w:val="7B674D1D"/>
    <w:rsid w:val="7B6C7DFB"/>
    <w:rsid w:val="7BBFBED0"/>
    <w:rsid w:val="7BC3E394"/>
    <w:rsid w:val="7C1F3737"/>
    <w:rsid w:val="7CBFC87B"/>
    <w:rsid w:val="7CFE0F48"/>
    <w:rsid w:val="7D7EC23E"/>
    <w:rsid w:val="7D916348"/>
    <w:rsid w:val="7DCBEF6E"/>
    <w:rsid w:val="7DEF82AF"/>
    <w:rsid w:val="7DFCD8E6"/>
    <w:rsid w:val="7E8ADEBF"/>
    <w:rsid w:val="7EEF11D3"/>
    <w:rsid w:val="7F0971A6"/>
    <w:rsid w:val="7F3F679B"/>
    <w:rsid w:val="7F4FC4EF"/>
    <w:rsid w:val="7F5904ED"/>
    <w:rsid w:val="7F5E4D54"/>
    <w:rsid w:val="7F6E0135"/>
    <w:rsid w:val="7F779227"/>
    <w:rsid w:val="7FA30C79"/>
    <w:rsid w:val="7FAF8ABF"/>
    <w:rsid w:val="7FB30710"/>
    <w:rsid w:val="7FB7269E"/>
    <w:rsid w:val="7FBFDBD4"/>
    <w:rsid w:val="7FC96657"/>
    <w:rsid w:val="7FDA9588"/>
    <w:rsid w:val="7FDF220F"/>
    <w:rsid w:val="7FEDC5F7"/>
    <w:rsid w:val="7FEDD9DE"/>
    <w:rsid w:val="7FF5890D"/>
    <w:rsid w:val="7FF93490"/>
    <w:rsid w:val="966FD50B"/>
    <w:rsid w:val="99FF2014"/>
    <w:rsid w:val="A6DD0D7F"/>
    <w:rsid w:val="ADC6F725"/>
    <w:rsid w:val="AFE6F160"/>
    <w:rsid w:val="B7CF06AB"/>
    <w:rsid w:val="B7CFA926"/>
    <w:rsid w:val="B7DF82BA"/>
    <w:rsid w:val="B7EBB73D"/>
    <w:rsid w:val="B7F8786B"/>
    <w:rsid w:val="BABB6AA1"/>
    <w:rsid w:val="BB2F4199"/>
    <w:rsid w:val="BD079C78"/>
    <w:rsid w:val="BD5F99BB"/>
    <w:rsid w:val="BD733540"/>
    <w:rsid w:val="BDFF598F"/>
    <w:rsid w:val="BF3735D5"/>
    <w:rsid w:val="BF7F09AC"/>
    <w:rsid w:val="BFD475C3"/>
    <w:rsid w:val="BFDE5EA6"/>
    <w:rsid w:val="BFF40E99"/>
    <w:rsid w:val="BFFB26AF"/>
    <w:rsid w:val="C79E8EA6"/>
    <w:rsid w:val="CF6FC6F3"/>
    <w:rsid w:val="CFD3D3D7"/>
    <w:rsid w:val="CFDF1009"/>
    <w:rsid w:val="D7D7B16A"/>
    <w:rsid w:val="D8D6DB89"/>
    <w:rsid w:val="DB6F4CAB"/>
    <w:rsid w:val="DB777682"/>
    <w:rsid w:val="DD1FB521"/>
    <w:rsid w:val="DDDED1A9"/>
    <w:rsid w:val="DDE1603F"/>
    <w:rsid w:val="DEFBFEAE"/>
    <w:rsid w:val="DF1F3B80"/>
    <w:rsid w:val="DF6F9789"/>
    <w:rsid w:val="DFEC92B6"/>
    <w:rsid w:val="DFF370CD"/>
    <w:rsid w:val="DFFFA9E8"/>
    <w:rsid w:val="E5F4E9DC"/>
    <w:rsid w:val="E70FE695"/>
    <w:rsid w:val="ECFED1BC"/>
    <w:rsid w:val="ED1D69BB"/>
    <w:rsid w:val="ED7FD312"/>
    <w:rsid w:val="EE7A698E"/>
    <w:rsid w:val="EF53993F"/>
    <w:rsid w:val="EF6FD633"/>
    <w:rsid w:val="EFAB4167"/>
    <w:rsid w:val="EFBF65A2"/>
    <w:rsid w:val="EFBFB2F4"/>
    <w:rsid w:val="EFBFFA21"/>
    <w:rsid w:val="F2BEBCB8"/>
    <w:rsid w:val="F36FB518"/>
    <w:rsid w:val="F3DE1A04"/>
    <w:rsid w:val="F3F722E5"/>
    <w:rsid w:val="F7FBA00E"/>
    <w:rsid w:val="F9F3571F"/>
    <w:rsid w:val="F9FFC6B3"/>
    <w:rsid w:val="FA5F1E70"/>
    <w:rsid w:val="FA5FDB97"/>
    <w:rsid w:val="FA7B721D"/>
    <w:rsid w:val="FB7F486A"/>
    <w:rsid w:val="FBFF5B2E"/>
    <w:rsid w:val="FD4DE281"/>
    <w:rsid w:val="FD7FFE2B"/>
    <w:rsid w:val="FDBF54AD"/>
    <w:rsid w:val="FDC8C3F4"/>
    <w:rsid w:val="FDEB1D09"/>
    <w:rsid w:val="FDEE196B"/>
    <w:rsid w:val="FDFE6575"/>
    <w:rsid w:val="FE7B593D"/>
    <w:rsid w:val="FEABDEB6"/>
    <w:rsid w:val="FEDFDDC2"/>
    <w:rsid w:val="FEED32F6"/>
    <w:rsid w:val="FEF781DD"/>
    <w:rsid w:val="FF3F7E3F"/>
    <w:rsid w:val="FFBA12D7"/>
    <w:rsid w:val="FFCD572A"/>
    <w:rsid w:val="FFDFFAEE"/>
    <w:rsid w:val="FFEF496B"/>
    <w:rsid w:val="FFF702C0"/>
    <w:rsid w:val="FFF9B57B"/>
    <w:rsid w:val="FFFD61D9"/>
    <w:rsid w:val="FFFD6523"/>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647.86</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48fbc3-2d8a-4d36-ac5d-080318ca2f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baseline="0">
                <a:solidFill>
                  <a:sysClr val="windowText" lastClr="000000">
                    <a:lumMod val="75000"/>
                    <a:lumOff val="25000"/>
                  </a:sys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rgbClr val="4F81BD"/>
              </a:solidFill>
              <a:ln>
                <a:solidFill>
                  <a:sysClr val="window" lastClr="FFFFFF"/>
                </a:solidFill>
              </a:ln>
              <a:effectLst/>
            </c:spPr>
          </c:dPt>
          <c:dPt>
            <c:idx val="1"/>
            <c:bubble3D val="0"/>
            <c:spPr>
              <a:solidFill>
                <a:srgbClr val="C0504D"/>
              </a:solidFill>
              <a:ln>
                <a:solidFill>
                  <a:sysClr val="window" lastClr="FFFFFF"/>
                </a:solidFill>
              </a:ln>
              <a:effectLst/>
            </c:spPr>
          </c:dPt>
          <c:dPt>
            <c:idx val="2"/>
            <c:bubble3D val="0"/>
            <c:spPr>
              <a:solidFill>
                <a:srgbClr val="9BBB59"/>
              </a:solidFill>
              <a:ln>
                <a:solidFill>
                  <a:sysClr val="window" lastClr="FFFFFF"/>
                </a:solidFill>
              </a:ln>
              <a:effectLst/>
            </c:spPr>
          </c:dPt>
          <c:dPt>
            <c:idx val="3"/>
            <c:bubble3D val="0"/>
            <c:spPr>
              <a:solidFill>
                <a:srgbClr val="8064A2"/>
              </a:solidFill>
              <a:ln>
                <a:solidFill>
                  <a:sysClr val="window" lastClr="FFFFFF"/>
                </a:solidFill>
              </a:ln>
              <a:effectLst/>
            </c:spPr>
          </c:dPt>
          <c:dPt>
            <c:idx val="4"/>
            <c:bubble3D val="0"/>
            <c:spPr>
              <a:solidFill>
                <a:schemeClr val="accent5"/>
              </a:solidFill>
              <a:ln>
                <a:solidFill>
                  <a:sysClr val="window" lastClr="FFFFFF"/>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486.53</c:v>
                </c:pt>
                <c:pt idx="1">
                  <c:v>161.33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0175949016348"/>
          <c:y val="0.16927297668038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bfb90fd1-341a-49e6-b96c-68f3892177fc}"/>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0" i="0" u="none" strike="noStrike" kern="1200" baseline="0">
                <a:solidFill>
                  <a:sysClr val="windowText" lastClr="000000">
                    <a:lumMod val="75000"/>
                    <a:lumOff val="25000"/>
                  </a:sysClr>
                </a:solidFill>
                <a:latin typeface="+mn-lt"/>
                <a:ea typeface="+mn-ea"/>
                <a:cs typeface="+mn-cs"/>
              </a:defRPr>
            </a:pPr>
            <a:r>
              <a:rPr altLang="en-US" sz="1200" b="0"/>
              <a:t>图</a:t>
            </a:r>
            <a:r>
              <a:rPr lang="en-US" altLang="zh-CN" sz="1200" b="0"/>
              <a:t>4</a:t>
            </a:r>
            <a:r>
              <a:rPr altLang="en-US" sz="1200" b="0"/>
              <a:t>：财政拨款收、支决算总计变动情况</a:t>
            </a:r>
            <a:endParaRPr lang="en-US" altLang="zh-CN" sz="1200" b="0"/>
          </a:p>
        </c:rich>
      </c:tx>
      <c:layout>
        <c:manualLayout>
          <c:xMode val="edge"/>
          <c:yMode val="edge"/>
          <c:x val="0.221997882992028"/>
          <c:y val="0.064638558708007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rgbClr val="4F81BD"/>
            </a:solidFill>
            <a:ln>
              <a:noFill/>
            </a:ln>
            <a:effectLst/>
          </c:spPr>
          <c:invertIfNegative val="0"/>
          <c:dLbls>
            <c:delete val="1"/>
          </c:dLbls>
          <c:cat>
            <c:strRef>
              <c:f>Sheet1!$A$2</c:f>
              <c:strCache>
                <c:ptCount val="1"/>
                <c:pt idx="0">
                  <c:v>财政拨款收支决算</c:v>
                </c:pt>
              </c:strCache>
            </c:strRef>
          </c:cat>
          <c:val>
            <c:numRef>
              <c:f>Sheet1!$B$2</c:f>
              <c:numCache>
                <c:formatCode>General</c:formatCode>
                <c:ptCount val="1"/>
                <c:pt idx="0">
                  <c:v>708.93</c:v>
                </c:pt>
              </c:numCache>
            </c:numRef>
          </c:val>
        </c:ser>
        <c:ser>
          <c:idx val="1"/>
          <c:order val="1"/>
          <c:tx>
            <c:strRef>
              <c:f>Sheet1!$C$1</c:f>
              <c:strCache>
                <c:ptCount val="1"/>
                <c:pt idx="0">
                  <c:v>2025年</c:v>
                </c:pt>
              </c:strCache>
            </c:strRef>
          </c:tx>
          <c:spPr>
            <a:solidFill>
              <a:srgbClr val="C0504D"/>
            </a:solidFill>
            <a:ln>
              <a:noFill/>
            </a:ln>
            <a:effectLst/>
          </c:spPr>
          <c:invertIfNegative val="0"/>
          <c:dLbls>
            <c:delete val="1"/>
          </c:dLbls>
          <c:cat>
            <c:strRef>
              <c:f>Sheet1!$A$2</c:f>
              <c:strCache>
                <c:ptCount val="1"/>
                <c:pt idx="0">
                  <c:v>财政拨款收支决算</c:v>
                </c:pt>
              </c:strCache>
            </c:strRef>
          </c:cat>
          <c:val>
            <c:numRef>
              <c:f>Sheet1!$C$2</c:f>
              <c:numCache>
                <c:formatCode>General</c:formatCode>
                <c:ptCount val="1"/>
                <c:pt idx="0">
                  <c:v>647.86</c:v>
                </c:pt>
              </c:numCache>
            </c:numRef>
          </c:val>
        </c:ser>
        <c:ser>
          <c:idx val="2"/>
          <c:order val="2"/>
          <c:tx>
            <c:strRef>
              <c:f>Sheet1!#REF!</c:f>
              <c:strCache>
                <c:ptCount val="1"/>
                <c:pt idx="0">
                  <c:v/>
                </c:pt>
              </c:strCache>
            </c:strRef>
          </c:tx>
          <c:spPr>
            <a:solidFill>
              <a:srgbClr val="9BBB59"/>
            </a:solidFill>
            <a:ln>
              <a:noFill/>
            </a:ln>
            <a:effectLst/>
          </c:spPr>
          <c:invertIfNegative val="0"/>
          <c:dLbls>
            <c:delete val="1"/>
          </c:dLbls>
          <c:cat>
            <c:strRef>
              <c:f>Sheet1!$A$2</c:f>
              <c:strCache>
                <c:ptCount val="1"/>
                <c:pt idx="0">
                  <c:v>财政拨款收支决算</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45678350"/>
        <c:axId val="946289502"/>
      </c:barChart>
      <c:catAx>
        <c:axId val="34567835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946289502"/>
        <c:crosses val="autoZero"/>
        <c:auto val="1"/>
        <c:lblAlgn val="ctr"/>
        <c:lblOffset val="100"/>
        <c:noMultiLvlLbl val="0"/>
      </c:catAx>
      <c:valAx>
        <c:axId val="946289502"/>
        <c:scaling>
          <c:orientation val="minMax"/>
        </c:scaling>
        <c:delete val="0"/>
        <c:axPos val="l"/>
        <c:majorGridlines>
          <c:spPr>
            <a:ln w="9525" cap="flat" cmpd="sng" algn="ctr">
              <a:solidFill>
                <a:sysClr val="window" lastClr="FFFFFF">
                  <a:lumMod val="902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34567835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09ddb14f-c93c-4fec-a36b-02573975e230}"/>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b="1"/>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0" i="0" u="none" strike="noStrike" kern="1200" baseline="0">
                <a:solidFill>
                  <a:sysClr val="windowText" lastClr="000000">
                    <a:lumMod val="75000"/>
                    <a:lumOff val="25000"/>
                  </a:sysClr>
                </a:solidFill>
                <a:latin typeface="+mn-lt"/>
                <a:ea typeface="+mn-ea"/>
                <a:cs typeface="+mn-cs"/>
              </a:defRPr>
            </a:pPr>
            <a:r>
              <a:rPr altLang="en-US" sz="1200" b="0"/>
              <a:t>图</a:t>
            </a:r>
            <a:r>
              <a:rPr lang="en-US" altLang="zh-CN" sz="1200" b="0"/>
              <a:t>5</a:t>
            </a:r>
            <a:r>
              <a:rPr altLang="en-US" sz="1200" b="0"/>
              <a:t>：一般公共预算财政拨款支出决算变动情况</a:t>
            </a:r>
            <a:endParaRPr lang="en-US" altLang="zh-CN" sz="1200" b="0"/>
          </a:p>
        </c:rich>
      </c:tx>
      <c:layout>
        <c:manualLayout>
          <c:xMode val="edge"/>
          <c:yMode val="edge"/>
          <c:x val="0.188650654980356"/>
          <c:y val="0.039557043784505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rgbClr val="4F81BD"/>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708.93</c:v>
                </c:pt>
              </c:numCache>
            </c:numRef>
          </c:val>
        </c:ser>
        <c:ser>
          <c:idx val="1"/>
          <c:order val="1"/>
          <c:tx>
            <c:strRef>
              <c:f>Sheet1!$C$1</c:f>
              <c:strCache>
                <c:ptCount val="1"/>
                <c:pt idx="0">
                  <c:v>2025年</c:v>
                </c:pt>
              </c:strCache>
            </c:strRef>
          </c:tx>
          <c:spPr>
            <a:solidFill>
              <a:srgbClr val="C0504D"/>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647.86</c:v>
                </c:pt>
              </c:numCache>
            </c:numRef>
          </c:val>
        </c:ser>
        <c:ser>
          <c:idx val="2"/>
          <c:order val="2"/>
          <c:tx>
            <c:strRef>
              <c:f>Sheet1!#REF!</c:f>
              <c:strCache>
                <c:ptCount val="1"/>
                <c:pt idx="0">
                  <c:v/>
                </c:pt>
              </c:strCache>
            </c:strRef>
          </c:tx>
          <c:spPr>
            <a:solidFill>
              <a:srgbClr val="9BBB59"/>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45678350"/>
        <c:axId val="946289502"/>
      </c:barChart>
      <c:catAx>
        <c:axId val="34567835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946289502"/>
        <c:crosses val="autoZero"/>
        <c:auto val="1"/>
        <c:lblAlgn val="ctr"/>
        <c:lblOffset val="100"/>
        <c:noMultiLvlLbl val="0"/>
      </c:catAx>
      <c:valAx>
        <c:axId val="946289502"/>
        <c:scaling>
          <c:orientation val="minMax"/>
        </c:scaling>
        <c:delete val="0"/>
        <c:axPos val="l"/>
        <c:majorGridlines>
          <c:spPr>
            <a:ln w="9525" cap="flat" cmpd="sng" algn="ctr">
              <a:solidFill>
                <a:sysClr val="window" lastClr="FFFFFF">
                  <a:lumMod val="902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34567835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2798bfa8-1d58-4675-8962-a4f7c537f9a8}"/>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6</a:t>
            </a: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492.14</c:v>
                </c:pt>
                <c:pt idx="1">
                  <c:v>94.09</c:v>
                </c:pt>
                <c:pt idx="2">
                  <c:v>27.83</c:v>
                </c:pt>
                <c:pt idx="3">
                  <c:v>33.79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91f307-54e1-413a-911e-453d6686f5d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b="0"/>
              <a:t>图</a:t>
            </a:r>
            <a:r>
              <a:rPr lang="en-US" altLang="zh-CN" sz="1200" b="0"/>
              <a:t>7</a:t>
            </a:r>
            <a:r>
              <a:rPr altLang="zh-CN" sz="1200" b="0"/>
              <a:t>：</a:t>
            </a:r>
            <a:r>
              <a:rPr lang="en-US" altLang="zh-CN" sz="1200" b="0"/>
              <a:t>“</a:t>
            </a:r>
            <a:r>
              <a:rPr altLang="zh-CN" sz="1200" b="0"/>
              <a:t>三公</a:t>
            </a:r>
            <a:r>
              <a:rPr lang="en-US" altLang="zh-CN" sz="1200" b="0"/>
              <a:t>”</a:t>
            </a:r>
            <a:r>
              <a:rPr altLang="en-US" sz="1200" b="0"/>
              <a:t>经费财政拨款支出结构</a:t>
            </a:r>
            <a:endParaRPr altLang="en-US" sz="1200" b="0"/>
          </a:p>
        </c:rich>
      </c:tx>
      <c:layout/>
      <c:overlay val="0"/>
      <c:spPr>
        <a:noFill/>
        <a:ln>
          <a:noFill/>
        </a:ln>
        <a:effectLst/>
      </c:spPr>
    </c:title>
    <c:autoTitleDeleted val="0"/>
    <c:plotArea>
      <c:layout/>
      <c:pieChart>
        <c:varyColors val="1"/>
        <c:ser>
          <c:idx val="0"/>
          <c:order val="0"/>
          <c:tx>
            <c:strRef>
              <c:f>Sheet1!$B$1</c:f>
              <c:strCache>
                <c:ptCount val="1"/>
                <c:pt idx="0">
                  <c:v>“三公"经费财政拨款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Sheet1!$A$2:$A$4</c:f>
              <c:strCache>
                <c:ptCount val="3"/>
                <c:pt idx="0">
                  <c:v>因公出国（境）经费</c:v>
                </c:pt>
                <c:pt idx="1">
                  <c:v>公务用车购置及运行维护费</c:v>
                </c:pt>
                <c:pt idx="2">
                  <c:v>公务接待费</c:v>
                </c:pt>
              </c:strCache>
            </c:strRef>
          </c:cat>
          <c:val>
            <c:numRef>
              <c:f>Sheet1!$B$2:$B$4</c:f>
              <c:numCache>
                <c:formatCode>General</c:formatCode>
                <c:ptCount val="3"/>
                <c:pt idx="0">
                  <c:v>0</c:v>
                </c:pt>
                <c:pt idx="1">
                  <c:v>0.28</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163f50-d8ac-4602-9d91-5ce58b10a9d5}"/>
      </c:ext>
    </c:extLst>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5793</Words>
  <Characters>6320</Characters>
  <Lines>63</Lines>
  <Paragraphs>17</Paragraphs>
  <TotalTime>24</TotalTime>
  <ScaleCrop>false</ScaleCrop>
  <LinksUpToDate>false</LinksUpToDate>
  <CharactersWithSpaces>6376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金灿灿</cp:lastModifiedBy>
  <cp:lastPrinted>2026-08-31T09:53:00Z</cp:lastPrinted>
  <dcterms:modified xsi:type="dcterms:W3CDTF">2026-09-09T07:50:55Z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eyJoZGlkIjoiYTEwYmQ0ZWQwODBkOWIwODdmM2QxNjE2YTg3ZWE5N2YiLCJ1c2VySWQiOiI0ODIwOTY3MDkifQ==</vt:lpwstr>
  </property>
</Properties>
</file>