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3F960">
      <w:pPr>
        <w:pStyle w:val="2"/>
        <w:spacing w:before="93"/>
        <w:rPr>
          <w:rFonts w:hint="eastAsia" w:ascii="Times New Roman" w:eastAsia="方正小标宋简体"/>
          <w:kern w:val="2"/>
          <w:sz w:val="72"/>
          <w:szCs w:val="72"/>
        </w:rPr>
      </w:pPr>
      <w:bookmarkStart w:id="0" w:name="_Toc15396597"/>
      <w:bookmarkStart w:id="1" w:name="_Toc15377425"/>
      <w:bookmarkStart w:id="2" w:name="_Toc15377193"/>
      <w:bookmarkStart w:id="3" w:name="_Toc15378441"/>
      <w:bookmarkStart w:id="4" w:name="_Toc15396475"/>
      <w:bookmarkStart w:id="5" w:name="_Toc15306267"/>
    </w:p>
    <w:p w14:paraId="7DFD5277">
      <w:pPr>
        <w:adjustRightInd w:val="0"/>
        <w:snapToGrid w:val="0"/>
        <w:spacing w:line="400" w:lineRule="exact"/>
        <w:rPr>
          <w:rFonts w:ascii="黑体" w:hAnsi="黑体" w:eastAsia="黑体" w:cs="黑体"/>
          <w:snapToGrid w:val="0"/>
          <w:kern w:val="0"/>
          <w:sz w:val="32"/>
          <w:szCs w:val="32"/>
        </w:rPr>
      </w:pPr>
    </w:p>
    <w:p w14:paraId="2B27CD28">
      <w:pPr>
        <w:pStyle w:val="2"/>
        <w:spacing w:before="93"/>
        <w:rPr>
          <w:rFonts w:ascii="Times New Roman" w:eastAsia="方正小标宋简体"/>
          <w:kern w:val="2"/>
          <w:sz w:val="72"/>
          <w:szCs w:val="72"/>
        </w:rPr>
      </w:pPr>
    </w:p>
    <w:p w14:paraId="2C860E74">
      <w:pPr>
        <w:pStyle w:val="2"/>
        <w:spacing w:before="93"/>
        <w:rPr>
          <w:rFonts w:hint="eastAsia" w:ascii="Times New Roman" w:eastAsia="方正小标宋简体"/>
          <w:kern w:val="2"/>
          <w:sz w:val="72"/>
          <w:szCs w:val="72"/>
        </w:rPr>
      </w:pPr>
    </w:p>
    <w:p w14:paraId="11D7861C">
      <w:pPr>
        <w:pStyle w:val="2"/>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2025年度市级单位决算</w:t>
      </w:r>
    </w:p>
    <w:p w14:paraId="411DC96B">
      <w:pPr>
        <w:pStyle w:val="2"/>
        <w:spacing w:before="93"/>
        <w:jc w:val="center"/>
        <w:rPr>
          <w:rFonts w:ascii="Times New Roman" w:eastAsia="方正小标宋简体"/>
          <w:kern w:val="2"/>
          <w:sz w:val="44"/>
          <w:szCs w:val="44"/>
        </w:rPr>
      </w:pPr>
      <w:r>
        <w:rPr>
          <w:rFonts w:hint="eastAsia" w:ascii="Times New Roman" w:eastAsia="方正小标宋简体"/>
          <w:kern w:val="2"/>
          <w:sz w:val="44"/>
          <w:szCs w:val="44"/>
        </w:rPr>
        <w:t>公开编制说明</w:t>
      </w:r>
    </w:p>
    <w:p w14:paraId="616A24B5">
      <w:pPr>
        <w:spacing w:line="600" w:lineRule="exact"/>
        <w:jc w:val="center"/>
        <w:outlineLvl w:val="0"/>
        <w:rPr>
          <w:rFonts w:eastAsia="方正小标宋简体"/>
          <w:sz w:val="72"/>
          <w:szCs w:val="72"/>
        </w:rPr>
      </w:pPr>
    </w:p>
    <w:p w14:paraId="025176F8">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13A37CAE"/>
    <w:p w14:paraId="6E79E7D5">
      <w:pPr>
        <w:pStyle w:val="2"/>
        <w:spacing w:before="93"/>
        <w:jc w:val="center"/>
        <w:rPr>
          <w:rFonts w:ascii="Times New Roman" w:eastAsia="方正小标宋简体"/>
          <w:kern w:val="2"/>
          <w:sz w:val="44"/>
          <w:szCs w:val="44"/>
        </w:rPr>
      </w:pPr>
    </w:p>
    <w:p w14:paraId="54A3BEDD">
      <w:pPr>
        <w:pStyle w:val="2"/>
        <w:spacing w:before="93"/>
        <w:jc w:val="center"/>
        <w:rPr>
          <w:rFonts w:ascii="Times New Roman" w:eastAsia="方正小标宋简体"/>
          <w:kern w:val="2"/>
          <w:sz w:val="44"/>
          <w:szCs w:val="44"/>
        </w:rPr>
      </w:pPr>
    </w:p>
    <w:p w14:paraId="1E1EF63D">
      <w:pPr>
        <w:pStyle w:val="2"/>
        <w:spacing w:before="93"/>
        <w:jc w:val="center"/>
        <w:rPr>
          <w:rFonts w:ascii="Times New Roman" w:eastAsia="方正小标宋简体"/>
          <w:kern w:val="2"/>
          <w:sz w:val="44"/>
          <w:szCs w:val="44"/>
        </w:rPr>
      </w:pPr>
    </w:p>
    <w:p w14:paraId="4A69C605">
      <w:pPr>
        <w:pStyle w:val="2"/>
        <w:spacing w:before="93"/>
        <w:jc w:val="center"/>
        <w:rPr>
          <w:rFonts w:ascii="Times New Roman" w:eastAsia="方正小标宋简体"/>
          <w:kern w:val="2"/>
          <w:sz w:val="44"/>
          <w:szCs w:val="44"/>
        </w:rPr>
      </w:pPr>
    </w:p>
    <w:bookmarkEnd w:id="0"/>
    <w:bookmarkEnd w:id="1"/>
    <w:bookmarkEnd w:id="2"/>
    <w:bookmarkEnd w:id="3"/>
    <w:bookmarkEnd w:id="4"/>
    <w:p w14:paraId="714487CB">
      <w:pPr>
        <w:pStyle w:val="2"/>
        <w:spacing w:before="93"/>
        <w:jc w:val="center"/>
        <w:rPr>
          <w:rFonts w:ascii="Times New Roman" w:eastAsia="方正小标宋简体"/>
          <w:kern w:val="2"/>
          <w:sz w:val="44"/>
          <w:szCs w:val="44"/>
        </w:rPr>
      </w:pPr>
      <w:bookmarkStart w:id="6" w:name="_Toc15396476"/>
      <w:bookmarkStart w:id="7" w:name="_Toc15377426"/>
      <w:bookmarkStart w:id="8" w:name="_Toc15396598"/>
      <w:bookmarkStart w:id="9" w:name="_Toc15377194"/>
      <w:bookmarkStart w:id="10" w:name="_Toc15378442"/>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中共</w:t>
      </w:r>
      <w:r>
        <w:rPr>
          <w:rFonts w:hint="eastAsia" w:ascii="Times New Roman" w:eastAsia="方正小标宋简体"/>
          <w:kern w:val="2"/>
          <w:sz w:val="44"/>
          <w:szCs w:val="44"/>
        </w:rPr>
        <w:t>攀枝花</w:t>
      </w:r>
      <w:bookmarkEnd w:id="5"/>
      <w:bookmarkStart w:id="11" w:name="_Toc15306268"/>
      <w:r>
        <w:rPr>
          <w:rFonts w:hint="eastAsia" w:ascii="Times New Roman" w:eastAsia="方正小标宋简体"/>
          <w:kern w:val="2"/>
          <w:sz w:val="44"/>
          <w:szCs w:val="44"/>
          <w:lang w:eastAsia="zh-CN"/>
        </w:rPr>
        <w:t>市委共同富裕试验区建设办公室单位</w:t>
      </w:r>
      <w:r>
        <w:rPr>
          <w:rFonts w:hint="eastAsia" w:ascii="Times New Roman" w:eastAsia="方正小标宋简体"/>
          <w:kern w:val="2"/>
          <w:sz w:val="44"/>
          <w:szCs w:val="44"/>
        </w:rPr>
        <w:t>决算</w:t>
      </w:r>
      <w:bookmarkEnd w:id="6"/>
      <w:bookmarkEnd w:id="7"/>
      <w:bookmarkEnd w:id="8"/>
      <w:bookmarkEnd w:id="9"/>
      <w:bookmarkEnd w:id="10"/>
      <w:bookmarkEnd w:id="11"/>
    </w:p>
    <w:p w14:paraId="25459B2F">
      <w:pPr>
        <w:pStyle w:val="14"/>
        <w:adjustRightInd w:val="0"/>
        <w:snapToGrid w:val="0"/>
        <w:spacing w:line="560" w:lineRule="exact"/>
        <w:jc w:val="left"/>
        <w:rPr>
          <w:rFonts w:eastAsia="仿宋_GB2312" w:cs="仿宋_GB2312"/>
          <w:sz w:val="32"/>
          <w:szCs w:val="32"/>
        </w:rPr>
      </w:pPr>
    </w:p>
    <w:p w14:paraId="6E06FFA8">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153AE9C6">
      <w:pPr>
        <w:widowControl/>
        <w:jc w:val="center"/>
        <w:rPr>
          <w:rFonts w:eastAsia="黑体"/>
          <w:sz w:val="48"/>
          <w:szCs w:val="48"/>
        </w:rPr>
      </w:pPr>
      <w:r>
        <w:rPr>
          <w:rFonts w:hint="eastAsia" w:eastAsia="黑体"/>
          <w:sz w:val="48"/>
          <w:szCs w:val="48"/>
        </w:rPr>
        <w:t>目录</w:t>
      </w:r>
    </w:p>
    <w:p w14:paraId="0568ACF7">
      <w:pPr>
        <w:widowControl/>
        <w:jc w:val="center"/>
        <w:rPr>
          <w:rFonts w:eastAsia="黑体" w:cstheme="minorBidi"/>
          <w:sz w:val="28"/>
          <w:szCs w:val="28"/>
        </w:rPr>
      </w:pPr>
    </w:p>
    <w:p w14:paraId="5839CEAE">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日</w:t>
      </w:r>
    </w:p>
    <w:p w14:paraId="425C6935"/>
    <w:p w14:paraId="60DEFF38">
      <w:pPr>
        <w:pStyle w:val="12"/>
        <w:adjustRightInd w:val="0"/>
        <w:snapToGrid w:val="0"/>
        <w:spacing w:before="0" w:beforeLines="0" w:afterLines="0" w:line="560" w:lineRule="exact"/>
        <w:jc w:val="distribute"/>
        <w:rPr>
          <w:rFonts w:hint="eastAsia" w:ascii="Times New Roman" w:hAnsi="Times New Roman" w:cs="黑体"/>
          <w:color w:val="auto"/>
          <w:sz w:val="32"/>
          <w:szCs w:val="32"/>
        </w:rPr>
      </w:pPr>
      <w:bookmarkStart w:id="12" w:name="_Toc15377196"/>
      <w:bookmarkStart w:id="13" w:name="_Toc15396599"/>
      <w:r>
        <w:rPr>
          <w:rFonts w:hint="eastAsia" w:ascii="Times New Roman" w:hAnsi="Times New Roman" w:eastAsia="黑体" w:cs="黑体"/>
          <w:color w:val="auto"/>
          <w:sz w:val="32"/>
          <w:szCs w:val="32"/>
        </w:rPr>
        <w:t>第一部分 单位概况</w:t>
      </w:r>
      <w:r>
        <w:rPr>
          <w:rFonts w:hint="default" w:ascii="Times New Roman" w:hAnsi="Times New Roman" w:eastAsia="宋体"/>
          <w:sz w:val="21"/>
          <w:szCs w:val="21"/>
        </w:rPr>
        <w:t>…………………………………………………………………</w:t>
      </w:r>
      <w:r>
        <w:rPr>
          <w:rFonts w:hint="eastAsia" w:ascii="Times New Roman" w:hAnsi="Times New Roman" w:eastAsia="仿宋_GB2312" w:cs="仿宋_GB2312"/>
          <w:color w:val="auto"/>
          <w:sz w:val="32"/>
          <w:szCs w:val="32"/>
        </w:rPr>
        <w:t>1</w:t>
      </w:r>
    </w:p>
    <w:p w14:paraId="4FF23E54">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rPr>
      </w:pPr>
      <w:r>
        <w:rPr>
          <w:rFonts w:hint="eastAsia" w:eastAsia="仿宋_GB2312" w:cs="仿宋_GB2312"/>
          <w:color w:val="auto"/>
          <w:sz w:val="32"/>
          <w:szCs w:val="32"/>
        </w:rPr>
        <w:t>一、单位职责</w:t>
      </w:r>
      <w:r>
        <w:rPr>
          <w:rFonts w:hint="default"/>
          <w:sz w:val="21"/>
          <w:szCs w:val="21"/>
        </w:rPr>
        <w:t>……………………………………………………………………</w:t>
      </w:r>
      <w:r>
        <w:rPr>
          <w:rFonts w:hint="eastAsia" w:eastAsia="仿宋_GB2312" w:cs="仿宋_GB2312"/>
          <w:color w:val="auto"/>
          <w:sz w:val="32"/>
          <w:szCs w:val="32"/>
        </w:rPr>
        <w:t>1</w:t>
      </w:r>
    </w:p>
    <w:p w14:paraId="3D9877BF">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val="en-US" w:eastAsia="zh-CN"/>
        </w:rPr>
      </w:pPr>
      <w:r>
        <w:rPr>
          <w:rFonts w:hint="eastAsia" w:eastAsia="仿宋_GB2312" w:cs="仿宋_GB2312"/>
          <w:color w:val="auto"/>
          <w:sz w:val="32"/>
          <w:szCs w:val="32"/>
        </w:rPr>
        <w:t>二、机构设置</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2</w:t>
      </w:r>
    </w:p>
    <w:p w14:paraId="0E213F3E">
      <w:pPr>
        <w:pStyle w:val="12"/>
        <w:adjustRightInd w:val="0"/>
        <w:snapToGrid w:val="0"/>
        <w:spacing w:before="0" w:beforeLines="0" w:afterLines="0" w:line="560" w:lineRule="exact"/>
        <w:jc w:val="distribute"/>
        <w:rPr>
          <w:rFonts w:hint="eastAsia" w:ascii="Times New Roman" w:hAnsi="Times New Roman" w:eastAsia="宋体" w:cs="黑体"/>
          <w:color w:val="auto"/>
          <w:sz w:val="32"/>
          <w:szCs w:val="32"/>
          <w:lang w:eastAsia="zh-CN"/>
        </w:rPr>
      </w:pPr>
      <w:r>
        <w:rPr>
          <w:rFonts w:hint="eastAsia" w:ascii="Times New Roman" w:hAnsi="Times New Roman" w:eastAsia="黑体" w:cs="黑体"/>
          <w:color w:val="auto"/>
          <w:sz w:val="32"/>
          <w:szCs w:val="32"/>
        </w:rPr>
        <w:t>第二部分 202</w:t>
      </w:r>
      <w:r>
        <w:rPr>
          <w:rFonts w:hint="eastAsia" w:ascii="Times New Roman" w:hAnsi="Times New Roman" w:eastAsia="黑体" w:cs="黑体"/>
          <w:color w:val="auto"/>
          <w:sz w:val="32"/>
          <w:szCs w:val="32"/>
          <w:lang w:val="en-US" w:eastAsia="zh-CN"/>
        </w:rPr>
        <w:t>5</w:t>
      </w:r>
      <w:r>
        <w:rPr>
          <w:rFonts w:hint="eastAsia" w:ascii="Times New Roman" w:hAnsi="Times New Roman" w:eastAsia="黑体" w:cs="黑体"/>
          <w:color w:val="auto"/>
          <w:sz w:val="32"/>
          <w:szCs w:val="32"/>
        </w:rPr>
        <w:t>年度单位决算情况说明</w:t>
      </w:r>
      <w:r>
        <w:rPr>
          <w:rFonts w:hint="default" w:ascii="Times New Roman" w:hAnsi="Times New Roman" w:eastAsia="宋体"/>
          <w:sz w:val="21"/>
          <w:szCs w:val="21"/>
        </w:rPr>
        <w:t>…………………………………</w:t>
      </w:r>
      <w:r>
        <w:rPr>
          <w:rFonts w:hint="eastAsia" w:ascii="Times New Roman" w:hAnsi="Times New Roman" w:eastAsia="仿宋_GB2312" w:cs="仿宋_GB2312"/>
          <w:color w:val="auto"/>
          <w:sz w:val="32"/>
          <w:szCs w:val="32"/>
          <w:lang w:val="en-US" w:eastAsia="zh-CN"/>
        </w:rPr>
        <w:t>3</w:t>
      </w:r>
    </w:p>
    <w:p w14:paraId="746ADA15">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一、收入支出决算总体情况说明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3</w:t>
      </w:r>
    </w:p>
    <w:p w14:paraId="3E7B8780">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二、收入决算情况说明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3</w:t>
      </w:r>
    </w:p>
    <w:p w14:paraId="7D87EAB6">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三、支出决算情况说明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4</w:t>
      </w:r>
    </w:p>
    <w:p w14:paraId="341D7592">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四、财政拨款收入支出决算总体情况说明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5</w:t>
      </w:r>
    </w:p>
    <w:p w14:paraId="772CAE0E">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五、一般公共预算财政拨款支出决算情况说明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5</w:t>
      </w:r>
    </w:p>
    <w:p w14:paraId="52C320D8">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六、一般公共预算财政拨款基本支出决算情况说明</w:t>
      </w:r>
      <w:r>
        <w:rPr>
          <w:rFonts w:hint="default"/>
          <w:sz w:val="21"/>
          <w:szCs w:val="21"/>
        </w:rPr>
        <w:t>……</w:t>
      </w:r>
      <w:r>
        <w:rPr>
          <w:rFonts w:hint="eastAsia" w:eastAsia="仿宋_GB2312" w:cs="仿宋_GB2312"/>
          <w:color w:val="auto"/>
          <w:sz w:val="32"/>
          <w:szCs w:val="32"/>
          <w:lang w:val="en-US" w:eastAsia="zh-CN"/>
        </w:rPr>
        <w:t>8</w:t>
      </w:r>
    </w:p>
    <w:p w14:paraId="5CB3D30E">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七、财政拨款“三公”经费支出决算情况说明</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9</w:t>
      </w:r>
    </w:p>
    <w:p w14:paraId="2ECC918C">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八、政府性基金预算支出决算情况说明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11</w:t>
      </w:r>
    </w:p>
    <w:p w14:paraId="0E1F4862">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九、国有资本经营预算支出决算情况说明</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11</w:t>
      </w:r>
    </w:p>
    <w:p w14:paraId="01018A4E">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十、其他重要事项的情况说明</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11</w:t>
      </w:r>
    </w:p>
    <w:p w14:paraId="436C2931">
      <w:pPr>
        <w:pStyle w:val="12"/>
        <w:adjustRightInd w:val="0"/>
        <w:snapToGrid w:val="0"/>
        <w:spacing w:before="0" w:beforeLines="0" w:afterLines="0" w:line="560" w:lineRule="exact"/>
        <w:jc w:val="distribute"/>
        <w:rPr>
          <w:rFonts w:hint="eastAsia" w:ascii="Times New Roman" w:hAnsi="Times New Roman" w:eastAsia="仿宋_GB2312" w:cs="黑体"/>
          <w:color w:val="auto"/>
          <w:sz w:val="32"/>
          <w:szCs w:val="32"/>
          <w:lang w:val="en-US" w:eastAsia="zh-CN"/>
        </w:rPr>
      </w:pPr>
      <w:r>
        <w:rPr>
          <w:rFonts w:hint="eastAsia" w:ascii="Times New Roman" w:hAnsi="Times New Roman" w:eastAsia="黑体" w:cs="黑体"/>
          <w:color w:val="auto"/>
          <w:sz w:val="32"/>
          <w:szCs w:val="32"/>
        </w:rPr>
        <w:t>第三部分 名词解释</w:t>
      </w:r>
      <w:r>
        <w:rPr>
          <w:rFonts w:hint="default" w:ascii="Times New Roman" w:hAnsi="Times New Roman"/>
          <w:sz w:val="21"/>
          <w:szCs w:val="21"/>
        </w:rPr>
        <w:t>…………………………………………………………………</w:t>
      </w: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val="en-US" w:eastAsia="zh-CN"/>
        </w:rPr>
        <w:t>4</w:t>
      </w:r>
    </w:p>
    <w:p w14:paraId="6748141A">
      <w:pPr>
        <w:pStyle w:val="12"/>
        <w:adjustRightInd w:val="0"/>
        <w:snapToGrid w:val="0"/>
        <w:spacing w:before="0" w:beforeLines="0" w:afterLines="0" w:line="560" w:lineRule="exact"/>
        <w:jc w:val="distribute"/>
        <w:rPr>
          <w:rFonts w:hint="eastAsia" w:ascii="Times New Roman" w:hAnsi="Times New Roman" w:eastAsia="仿宋_GB2312" w:cs="黑体"/>
          <w:color w:val="auto"/>
          <w:sz w:val="32"/>
          <w:szCs w:val="32"/>
          <w:lang w:val="en-US" w:eastAsia="zh-CN"/>
        </w:rPr>
      </w:pPr>
      <w:r>
        <w:rPr>
          <w:rFonts w:hint="eastAsia" w:ascii="Times New Roman" w:hAnsi="Times New Roman" w:eastAsia="黑体" w:cs="黑体"/>
          <w:color w:val="auto"/>
          <w:sz w:val="32"/>
          <w:szCs w:val="32"/>
        </w:rPr>
        <w:t>第四部分 附件</w:t>
      </w:r>
      <w:r>
        <w:rPr>
          <w:rFonts w:hint="default" w:ascii="Times New Roman" w:hAnsi="Times New Roman"/>
          <w:sz w:val="21"/>
          <w:szCs w:val="21"/>
        </w:rPr>
        <w:t>…………………………………………………………………………</w:t>
      </w: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val="en-US" w:eastAsia="zh-CN"/>
        </w:rPr>
        <w:t>7</w:t>
      </w:r>
    </w:p>
    <w:p w14:paraId="28642170">
      <w:pPr>
        <w:pStyle w:val="12"/>
        <w:adjustRightInd w:val="0"/>
        <w:snapToGrid w:val="0"/>
        <w:spacing w:before="0" w:beforeLines="0" w:afterLines="0" w:line="560" w:lineRule="exact"/>
        <w:jc w:val="distribute"/>
        <w:rPr>
          <w:rFonts w:hint="eastAsia" w:ascii="Times New Roman" w:hAnsi="Times New Roman" w:eastAsia="仿宋_GB2312" w:cs="黑体"/>
          <w:color w:val="auto"/>
          <w:sz w:val="32"/>
          <w:szCs w:val="32"/>
          <w:lang w:val="en-US" w:eastAsia="zh-CN"/>
        </w:rPr>
      </w:pPr>
      <w:r>
        <w:rPr>
          <w:rFonts w:hint="eastAsia" w:ascii="Times New Roman" w:hAnsi="Times New Roman" w:eastAsia="黑体" w:cs="黑体"/>
          <w:color w:val="auto"/>
          <w:sz w:val="32"/>
          <w:szCs w:val="32"/>
        </w:rPr>
        <w:t>第五部分 附表</w:t>
      </w:r>
      <w:r>
        <w:rPr>
          <w:rFonts w:hint="default" w:ascii="Times New Roman" w:hAnsi="Times New Roman"/>
          <w:sz w:val="21"/>
          <w:szCs w:val="21"/>
        </w:rPr>
        <w:t>…………………………………………………………………………</w:t>
      </w: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val="en-US" w:eastAsia="zh-CN"/>
        </w:rPr>
        <w:t>8</w:t>
      </w:r>
    </w:p>
    <w:p w14:paraId="5811D404">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一、收入支出决算总表</w:t>
      </w:r>
      <w:r>
        <w:rPr>
          <w:rFonts w:hint="default"/>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597C2437">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二、收入决算表</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2BD1743E">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三、支出决算表</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03BEAA93">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四、财政拨款收入支出决算总表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41A83D41">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五、财政拨款支出决算明细表</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2621BB69">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六、一般公共预算财政拨款支出决算表</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6585DA32">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七、一般公共预算财政拨款支出决算明细表</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7B7ACC52">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val="en-US" w:eastAsia="zh-CN"/>
        </w:rPr>
      </w:pPr>
      <w:r>
        <w:rPr>
          <w:rFonts w:hint="eastAsia" w:eastAsia="仿宋_GB2312" w:cs="仿宋_GB2312"/>
          <w:color w:val="auto"/>
          <w:sz w:val="32"/>
          <w:szCs w:val="32"/>
        </w:rPr>
        <w:t>八、</w:t>
      </w:r>
      <w:r>
        <w:rPr>
          <w:rFonts w:hint="eastAsia" w:eastAsia="仿宋_GB2312" w:cs="仿宋_GB2312"/>
          <w:color w:val="auto"/>
          <w:spacing w:val="-20"/>
          <w:sz w:val="32"/>
          <w:szCs w:val="32"/>
        </w:rPr>
        <w:t>一般公共预算财政拨款基本支出决算明细表</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 xml:space="preserve">8   </w:t>
      </w:r>
    </w:p>
    <w:p w14:paraId="112700BF">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九、一般公共预算财政拨款项目支出决算表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54DFC075">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eastAsia="zh-CN"/>
        </w:rPr>
      </w:pPr>
      <w:r>
        <w:rPr>
          <w:rFonts w:hint="eastAsia" w:eastAsia="仿宋_GB2312" w:cs="仿宋_GB2312"/>
          <w:color w:val="auto"/>
          <w:sz w:val="32"/>
          <w:szCs w:val="32"/>
        </w:rPr>
        <w:t>十、政府性基金预算财政拨款收入支出决算表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16AB7456">
      <w:pPr>
        <w:pStyle w:val="14"/>
        <w:adjustRightInd w:val="0"/>
        <w:snapToGrid w:val="0"/>
        <w:spacing w:beforeLines="0" w:afterLines="0" w:line="560" w:lineRule="exact"/>
        <w:ind w:left="0" w:leftChars="0" w:firstLine="640" w:firstLineChars="200"/>
        <w:jc w:val="distribute"/>
        <w:rPr>
          <w:rFonts w:hint="default" w:cs="仿宋_GB2312"/>
          <w:color w:val="auto"/>
          <w:sz w:val="32"/>
          <w:szCs w:val="32"/>
        </w:rPr>
      </w:pPr>
      <w:r>
        <w:rPr>
          <w:rFonts w:hint="eastAsia" w:eastAsia="仿宋_GB2312" w:cs="仿宋_GB2312"/>
          <w:color w:val="auto"/>
          <w:sz w:val="32"/>
          <w:szCs w:val="32"/>
        </w:rPr>
        <w:t>十一、</w:t>
      </w:r>
      <w:r>
        <w:rPr>
          <w:rFonts w:hint="eastAsia" w:eastAsia="仿宋_GB2312" w:cs="仿宋_GB2312"/>
          <w:color w:val="auto"/>
          <w:spacing w:val="-20"/>
          <w:sz w:val="32"/>
          <w:szCs w:val="32"/>
        </w:rPr>
        <w:t>国有资本经营预算财政拨款收入支出决算表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5C04D7BF">
      <w:pPr>
        <w:pStyle w:val="14"/>
        <w:adjustRightInd w:val="0"/>
        <w:snapToGrid w:val="0"/>
        <w:spacing w:beforeLines="0" w:afterLines="0" w:line="560" w:lineRule="exact"/>
        <w:ind w:left="0" w:leftChars="0" w:firstLine="640" w:firstLineChars="200"/>
        <w:jc w:val="distribute"/>
        <w:rPr>
          <w:rFonts w:hint="default" w:cs="仿宋_GB2312"/>
          <w:color w:val="auto"/>
          <w:sz w:val="32"/>
          <w:szCs w:val="32"/>
        </w:rPr>
      </w:pPr>
      <w:r>
        <w:rPr>
          <w:rFonts w:hint="eastAsia" w:eastAsia="仿宋_GB2312" w:cs="仿宋_GB2312"/>
          <w:color w:val="auto"/>
          <w:sz w:val="32"/>
          <w:szCs w:val="32"/>
        </w:rPr>
        <w:t>十二、国有资本经营预算财政拨款支出决算表</w:t>
      </w:r>
      <w:r>
        <w:rPr>
          <w:rFonts w:hint="default"/>
          <w:sz w:val="21"/>
          <w:szCs w:val="21"/>
        </w:rPr>
        <w:t>…………</w:t>
      </w:r>
      <w:r>
        <w:rPr>
          <w:rFonts w:hint="eastAsia"/>
          <w:sz w:val="21"/>
          <w:szCs w:val="21"/>
        </w:rPr>
        <w:t xml:space="preserve">. </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p>
    <w:p w14:paraId="501A6852">
      <w:pPr>
        <w:pStyle w:val="14"/>
        <w:adjustRightInd w:val="0"/>
        <w:snapToGrid w:val="0"/>
        <w:spacing w:beforeLines="0" w:afterLines="0" w:line="560" w:lineRule="exact"/>
        <w:ind w:left="0" w:leftChars="0" w:firstLine="640" w:firstLineChars="200"/>
        <w:jc w:val="distribute"/>
        <w:rPr>
          <w:rFonts w:hint="default" w:cs="仿宋_GB2312"/>
          <w:color w:val="auto"/>
          <w:sz w:val="32"/>
          <w:szCs w:val="32"/>
        </w:rPr>
      </w:pPr>
      <w:r>
        <w:rPr>
          <w:rFonts w:hint="eastAsia" w:eastAsia="仿宋_GB2312" w:cs="仿宋_GB2312"/>
          <w:color w:val="auto"/>
          <w:sz w:val="32"/>
          <w:szCs w:val="32"/>
        </w:rPr>
        <w:t>十三、财政拨款“三公”经费支出决算表</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rPr>
        <w:t>1</w:t>
      </w:r>
      <w:r>
        <w:rPr>
          <w:rFonts w:hint="eastAsia" w:eastAsia="仿宋_GB2312" w:cs="仿宋_GB2312"/>
          <w:color w:val="auto"/>
          <w:sz w:val="32"/>
          <w:szCs w:val="32"/>
          <w:lang w:val="en-US" w:eastAsia="zh-CN"/>
        </w:rPr>
        <w:t>8</w:t>
      </w:r>
      <w:bookmarkStart w:id="67" w:name="_GoBack"/>
      <w:bookmarkEnd w:id="67"/>
    </w:p>
    <w:p w14:paraId="418AFB4A">
      <w:pPr>
        <w:pStyle w:val="3"/>
        <w:jc w:val="center"/>
        <w:rPr>
          <w:rFonts w:hint="eastAsia" w:eastAsia="方正小标宋简体" w:cs="方正小标宋简体"/>
          <w:b w:val="0"/>
        </w:rPr>
        <w:sectPr>
          <w:footerReference r:id="rId7" w:type="default"/>
          <w:pgSz w:w="11906" w:h="16838"/>
          <w:pgMar w:top="1440" w:right="1800" w:bottom="1440" w:left="1800" w:header="851" w:footer="992" w:gutter="0"/>
          <w:pgNumType w:start="1"/>
          <w:cols w:space="425" w:num="1"/>
          <w:docGrid w:type="lines" w:linePitch="312" w:charSpace="0"/>
        </w:sectPr>
      </w:pPr>
    </w:p>
    <w:p w14:paraId="2488D277">
      <w:pPr>
        <w:pStyle w:val="3"/>
        <w:jc w:val="center"/>
        <w:rPr>
          <w:rStyle w:val="29"/>
          <w:rFonts w:eastAsia="方正小标宋简体" w:cs="方正小标宋简体"/>
          <w:b/>
          <w:bCs w:val="0"/>
        </w:rPr>
      </w:pPr>
      <w:r>
        <w:rPr>
          <w:rFonts w:hint="eastAsia" w:eastAsia="方正小标宋简体" w:cs="方正小标宋简体"/>
          <w:b w:val="0"/>
        </w:rPr>
        <w:t xml:space="preserve">第一部分  </w:t>
      </w:r>
      <w:r>
        <w:rPr>
          <w:rFonts w:hint="eastAsia" w:eastAsia="方正小标宋简体" w:cs="方正小标宋简体"/>
          <w:b w:val="0"/>
          <w:lang w:eastAsia="zh-CN"/>
        </w:rPr>
        <w:t>单位</w:t>
      </w:r>
      <w:r>
        <w:rPr>
          <w:rStyle w:val="29"/>
          <w:rFonts w:hint="eastAsia" w:eastAsia="方正小标宋简体" w:cs="方正小标宋简体"/>
          <w:b w:val="0"/>
          <w:bCs w:val="0"/>
        </w:rPr>
        <w:t>概况</w:t>
      </w:r>
      <w:bookmarkEnd w:id="12"/>
      <w:bookmarkEnd w:id="13"/>
    </w:p>
    <w:p w14:paraId="626A1F02">
      <w:pPr>
        <w:pStyle w:val="4"/>
        <w:keepNext/>
        <w:keepLines/>
        <w:pageBreakBefore w:val="0"/>
        <w:widowControl w:val="0"/>
        <w:numPr>
          <w:ilvl w:val="0"/>
          <w:numId w:val="1"/>
        </w:numPr>
        <w:kinsoku/>
        <w:wordWrap/>
        <w:overflowPunct/>
        <w:topLinePunct w:val="0"/>
        <w:autoSpaceDE/>
        <w:autoSpaceDN/>
        <w:bidi w:val="0"/>
        <w:adjustRightInd/>
        <w:snapToGrid/>
        <w:spacing w:before="0" w:after="0" w:line="600" w:lineRule="exact"/>
        <w:ind w:firstLine="640" w:firstLineChars="200"/>
        <w:textAlignment w:val="auto"/>
        <w:rPr>
          <w:rFonts w:hint="eastAsia" w:ascii="Times New Roman" w:hAnsi="Times New Roman" w:eastAsia="黑体"/>
          <w:b w:val="0"/>
        </w:rPr>
      </w:pPr>
      <w:r>
        <w:rPr>
          <w:rFonts w:hint="eastAsia" w:ascii="Times New Roman" w:hAnsi="Times New Roman" w:eastAsia="黑体"/>
          <w:b w:val="0"/>
          <w:lang w:eastAsia="zh-CN"/>
        </w:rPr>
        <w:t>单位</w:t>
      </w:r>
      <w:r>
        <w:rPr>
          <w:rFonts w:hint="eastAsia" w:ascii="Times New Roman" w:hAnsi="Times New Roman" w:eastAsia="黑体"/>
          <w:b w:val="0"/>
        </w:rPr>
        <w:t>职责</w:t>
      </w:r>
    </w:p>
    <w:p w14:paraId="22F4351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kern w:val="2"/>
          <w:sz w:val="32"/>
          <w:szCs w:val="32"/>
          <w:highlight w:val="none"/>
          <w:lang w:val="en-US" w:eastAsia="zh-CN" w:bidi="ar-SA"/>
        </w:rPr>
      </w:pPr>
      <w:r>
        <w:rPr>
          <w:rFonts w:hint="eastAsia" w:ascii="仿宋_GB2312" w:hAnsi="仿宋" w:eastAsia="仿宋_GB2312" w:cs="Times New Roman"/>
          <w:kern w:val="2"/>
          <w:sz w:val="32"/>
          <w:szCs w:val="32"/>
          <w:highlight w:val="none"/>
          <w:lang w:val="en-US" w:eastAsia="zh-CN" w:bidi="ar-SA"/>
        </w:rPr>
        <w:t>深入学习贯彻习近平总书记关于共同富裕系列重要论述，落实省委、省政府关于支持攀枝花高质量发展建设共同富裕试验区的决策部署，研究提出攀枝花高质量发展建设共同富裕试验区实践意见并组织实施；负责共同富裕试验区建设重大政策、重大规划、重大改革研究，计划编制并组织实施；负责协调推进共同富裕试验区建设重大项目、重要活动和重点工作；负责组织指导、统筹协调全市各级各部门共同富裕试验区建设相关工作；负责共同富裕试验区建设重大事项和重要政策的督查工作；负责共同富裕试验区建设成果分析评估；负责总结交流、宣传推广共同富裕试验区建设经验成果；负责全市目标绩效管理工作；负责上级党委、政府交办的督查工作。负责上级党委、政府和市委、市政府重大决策部署落实情况的督查督办工作。负责上级党委、政府领导和市委、市政府主要领导指示批示办理的督查督办工作。负责市委、市政府授权的督查督办工作；负责全市民生实事实施及人大代表建议、政协提案办理的组织协调、督查督办、考核评价和情况报告工作；负责全市整治形式主义为基层减负统筹协调和推进落实工作；完成市委、市政府交办的其他任务。</w:t>
      </w:r>
    </w:p>
    <w:p w14:paraId="5D2BE06E">
      <w:pPr>
        <w:pStyle w:val="4"/>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Style w:val="30"/>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14"/>
      <w:bookmarkEnd w:id="15"/>
    </w:p>
    <w:p w14:paraId="4CDD9D8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kern w:val="2"/>
          <w:sz w:val="32"/>
          <w:szCs w:val="32"/>
          <w:highlight w:val="none"/>
          <w:lang w:val="en-US" w:eastAsia="zh-CN" w:bidi="ar-SA"/>
        </w:rPr>
      </w:pPr>
      <w:r>
        <w:rPr>
          <w:rFonts w:hint="eastAsia" w:ascii="仿宋_GB2312" w:hAnsi="仿宋" w:eastAsia="仿宋_GB2312" w:cs="Times New Roman"/>
          <w:kern w:val="2"/>
          <w:sz w:val="32"/>
          <w:szCs w:val="32"/>
          <w:highlight w:val="none"/>
          <w:lang w:val="en-US" w:eastAsia="zh-CN" w:bidi="ar-SA"/>
        </w:rPr>
        <w:t>中共攀枝花市委共同富裕试验区建设办公室成立于</w:t>
      </w:r>
      <w:r>
        <w:rPr>
          <w:rFonts w:hint="default" w:ascii="Times New Roman" w:hAnsi="Times New Roman" w:eastAsia="仿宋_GB2312" w:cs="Times New Roman"/>
          <w:kern w:val="2"/>
          <w:sz w:val="32"/>
          <w:szCs w:val="32"/>
          <w:highlight w:val="none"/>
          <w:lang w:val="en-US" w:eastAsia="zh-CN" w:bidi="ar-SA"/>
        </w:rPr>
        <w:t>2024</w:t>
      </w:r>
      <w:r>
        <w:rPr>
          <w:rFonts w:hint="eastAsia" w:ascii="仿宋_GB2312" w:hAnsi="仿宋" w:eastAsia="仿宋_GB2312" w:cs="Times New Roman"/>
          <w:kern w:val="2"/>
          <w:sz w:val="32"/>
          <w:szCs w:val="32"/>
          <w:highlight w:val="none"/>
          <w:lang w:val="en-US" w:eastAsia="zh-CN" w:bidi="ar-SA"/>
        </w:rPr>
        <w:t>年</w:t>
      </w:r>
      <w:r>
        <w:rPr>
          <w:rFonts w:hint="eastAsia" w:ascii="Times New Roman" w:hAnsi="Times New Roman" w:eastAsia="仿宋_GB2312" w:cs="Times New Roman"/>
          <w:kern w:val="2"/>
          <w:sz w:val="32"/>
          <w:szCs w:val="32"/>
          <w:highlight w:val="none"/>
          <w:lang w:val="en-US" w:eastAsia="zh-CN" w:bidi="ar-SA"/>
        </w:rPr>
        <w:t>6</w:t>
      </w:r>
      <w:r>
        <w:rPr>
          <w:rFonts w:hint="eastAsia" w:ascii="仿宋_GB2312" w:hAnsi="仿宋"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11</w:t>
      </w:r>
      <w:r>
        <w:rPr>
          <w:rFonts w:hint="eastAsia" w:ascii="仿宋_GB2312" w:hAnsi="仿宋" w:eastAsia="仿宋_GB2312" w:cs="Times New Roman"/>
          <w:kern w:val="2"/>
          <w:sz w:val="32"/>
          <w:szCs w:val="32"/>
          <w:highlight w:val="none"/>
          <w:lang w:val="en-US" w:eastAsia="zh-CN" w:bidi="ar-SA"/>
        </w:rPr>
        <w:t>日，</w:t>
      </w:r>
      <w:r>
        <w:rPr>
          <w:rFonts w:hint="eastAsia" w:ascii="Times New Roman" w:hAnsi="Times New Roman" w:eastAsia="仿宋_GB2312" w:cs="Times New Roman"/>
          <w:kern w:val="2"/>
          <w:sz w:val="32"/>
          <w:szCs w:val="32"/>
          <w:highlight w:val="none"/>
          <w:lang w:val="en-US" w:eastAsia="zh-CN" w:bidi="ar-SA"/>
        </w:rPr>
        <w:t>2025</w:t>
      </w:r>
      <w:r>
        <w:rPr>
          <w:rFonts w:hint="eastAsia" w:ascii="仿宋_GB2312" w:hAnsi="仿宋" w:eastAsia="仿宋_GB2312" w:cs="Times New Roman"/>
          <w:kern w:val="2"/>
          <w:sz w:val="32"/>
          <w:szCs w:val="32"/>
          <w:highlight w:val="none"/>
          <w:lang w:val="en-US" w:eastAsia="zh-CN" w:bidi="ar-SA"/>
        </w:rPr>
        <w:t>年</w:t>
      </w:r>
      <w:r>
        <w:rPr>
          <w:rFonts w:hint="eastAsia" w:ascii="仿宋_GB2312" w:hAnsi="仿宋_GB2312" w:eastAsia="仿宋_GB2312" w:cs="仿宋_GB2312"/>
          <w:color w:val="auto"/>
          <w:sz w:val="32"/>
          <w:szCs w:val="32"/>
        </w:rPr>
        <w:t>为一级预算管理独立核算单位。</w:t>
      </w:r>
      <w:r>
        <w:rPr>
          <w:rFonts w:hint="eastAsia" w:ascii="仿宋_GB2312" w:hAnsi="仿宋" w:eastAsia="仿宋_GB2312" w:cs="Times New Roman"/>
          <w:kern w:val="2"/>
          <w:sz w:val="32"/>
          <w:szCs w:val="32"/>
          <w:highlight w:val="none"/>
          <w:lang w:val="en-US" w:eastAsia="zh-CN" w:bidi="ar-SA"/>
        </w:rPr>
        <w:t>设置内设机构</w:t>
      </w:r>
      <w:r>
        <w:rPr>
          <w:rFonts w:hint="eastAsia" w:ascii="Times New Roman" w:hAnsi="Times New Roman" w:eastAsia="仿宋_GB2312" w:cs="Times New Roman"/>
          <w:kern w:val="2"/>
          <w:sz w:val="32"/>
          <w:szCs w:val="32"/>
          <w:highlight w:val="none"/>
          <w:lang w:val="en-US" w:eastAsia="zh-CN" w:bidi="ar-SA"/>
        </w:rPr>
        <w:t>5</w:t>
      </w:r>
      <w:r>
        <w:rPr>
          <w:rFonts w:hint="eastAsia" w:ascii="仿宋_GB2312" w:hAnsi="仿宋" w:eastAsia="仿宋_GB2312" w:cs="Times New Roman"/>
          <w:kern w:val="2"/>
          <w:sz w:val="32"/>
          <w:szCs w:val="32"/>
          <w:highlight w:val="none"/>
          <w:lang w:val="en-US" w:eastAsia="zh-CN" w:bidi="ar-SA"/>
        </w:rPr>
        <w:t>个，具体为：改革试验科、社会建设科、督查一科、督查二科、绩效管理科。代管</w:t>
      </w:r>
      <w:r>
        <w:rPr>
          <w:rFonts w:hint="eastAsia" w:ascii="Times New Roman" w:hAnsi="Times New Roman" w:eastAsia="仿宋_GB2312" w:cs="Times New Roman"/>
          <w:kern w:val="2"/>
          <w:sz w:val="32"/>
          <w:szCs w:val="32"/>
          <w:highlight w:val="none"/>
          <w:lang w:val="en-US" w:eastAsia="zh-CN" w:bidi="ar-SA"/>
        </w:rPr>
        <w:t>1</w:t>
      </w:r>
      <w:r>
        <w:rPr>
          <w:rFonts w:hint="eastAsia" w:ascii="仿宋_GB2312" w:hAnsi="仿宋" w:eastAsia="仿宋_GB2312" w:cs="Times New Roman"/>
          <w:kern w:val="2"/>
          <w:sz w:val="32"/>
          <w:szCs w:val="32"/>
          <w:highlight w:val="none"/>
          <w:lang w:val="en-US" w:eastAsia="zh-CN" w:bidi="ar-SA"/>
        </w:rPr>
        <w:t>个市委直属正县级事业单位攀枝花市社会建设事务中心，中心设置内设机构</w:t>
      </w:r>
      <w:r>
        <w:rPr>
          <w:rFonts w:hint="eastAsia" w:ascii="Times New Roman" w:hAnsi="Times New Roman" w:eastAsia="仿宋_GB2312" w:cs="Times New Roman"/>
          <w:kern w:val="2"/>
          <w:sz w:val="32"/>
          <w:szCs w:val="32"/>
          <w:highlight w:val="none"/>
          <w:lang w:val="en-US" w:eastAsia="zh-CN" w:bidi="ar-SA"/>
        </w:rPr>
        <w:t>6</w:t>
      </w:r>
      <w:r>
        <w:rPr>
          <w:rFonts w:hint="eastAsia" w:ascii="仿宋_GB2312" w:hAnsi="仿宋" w:eastAsia="仿宋_GB2312" w:cs="Times New Roman"/>
          <w:kern w:val="2"/>
          <w:sz w:val="32"/>
          <w:szCs w:val="32"/>
          <w:highlight w:val="none"/>
          <w:lang w:val="en-US" w:eastAsia="zh-CN" w:bidi="ar-SA"/>
        </w:rPr>
        <w:t>个，</w:t>
      </w:r>
      <w:r>
        <w:rPr>
          <w:rFonts w:hint="eastAsia" w:ascii="仿宋_GB2312" w:hAnsi="仿宋_GB2312" w:eastAsia="仿宋_GB2312" w:cs="仿宋_GB2312"/>
          <w:color w:val="auto"/>
          <w:sz w:val="32"/>
          <w:szCs w:val="32"/>
        </w:rPr>
        <w:t>具体为：综合科、共富一科、共富二科、共富三科、共富四科、共富五科。无</w:t>
      </w:r>
      <w:r>
        <w:rPr>
          <w:rFonts w:hint="eastAsia" w:eastAsia="仿宋_GB2312" w:cs="仿宋_GB2312"/>
          <w:color w:val="auto"/>
          <w:sz w:val="32"/>
          <w:szCs w:val="32"/>
        </w:rPr>
        <w:t>下属二级预算单位</w:t>
      </w:r>
      <w:r>
        <w:rPr>
          <w:rFonts w:hint="eastAsia" w:ascii="仿宋_GB2312" w:hAnsi="仿宋" w:eastAsia="仿宋_GB2312" w:cs="Times New Roman"/>
          <w:kern w:val="2"/>
          <w:sz w:val="32"/>
          <w:szCs w:val="32"/>
          <w:highlight w:val="none"/>
          <w:lang w:val="en-US" w:eastAsia="zh-CN" w:bidi="ar-SA"/>
        </w:rPr>
        <w:t>。</w:t>
      </w:r>
    </w:p>
    <w:p w14:paraId="74757181">
      <w:pPr>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
          <w:kern w:val="0"/>
          <w:sz w:val="32"/>
          <w:szCs w:val="32"/>
        </w:rPr>
      </w:pPr>
      <w:r>
        <w:rPr>
          <w:rFonts w:hint="eastAsia" w:ascii="仿宋_GB2312" w:hAnsi="仿宋" w:eastAsia="仿宋_GB2312" w:cs="Times New Roman"/>
          <w:kern w:val="2"/>
          <w:sz w:val="32"/>
          <w:szCs w:val="32"/>
          <w:highlight w:val="none"/>
          <w:lang w:val="en-US" w:eastAsia="zh-CN" w:bidi="ar-SA"/>
        </w:rPr>
        <w:t>无纳入中共攀枝花市委共同富裕试验区建设办公室</w:t>
      </w:r>
      <w:r>
        <w:rPr>
          <w:rFonts w:hint="eastAsia" w:ascii="Times New Roman" w:hAnsi="Times New Roman" w:eastAsia="仿宋_GB2312" w:cs="Times New Roman"/>
          <w:kern w:val="2"/>
          <w:sz w:val="32"/>
          <w:szCs w:val="32"/>
          <w:highlight w:val="none"/>
          <w:lang w:val="en-US" w:eastAsia="zh-CN" w:bidi="ar-SA"/>
        </w:rPr>
        <w:t>2025</w:t>
      </w:r>
      <w:r>
        <w:rPr>
          <w:rFonts w:hint="eastAsia" w:ascii="仿宋_GB2312" w:hAnsi="仿宋" w:eastAsia="仿宋_GB2312" w:cs="Times New Roman"/>
          <w:kern w:val="2"/>
          <w:sz w:val="32"/>
          <w:szCs w:val="32"/>
          <w:highlight w:val="none"/>
          <w:lang w:val="en-US" w:eastAsia="zh-CN" w:bidi="ar-SA"/>
        </w:rPr>
        <w:t>年度单位决算编制范围的二级预算单位。</w:t>
      </w:r>
      <w:r>
        <w:rPr>
          <w:rFonts w:eastAsia="仿宋"/>
          <w:sz w:val="32"/>
          <w:szCs w:val="32"/>
        </w:rPr>
        <w:br w:type="page"/>
      </w:r>
    </w:p>
    <w:p w14:paraId="50AC8C5D">
      <w:pPr>
        <w:pStyle w:val="3"/>
        <w:jc w:val="center"/>
      </w:pPr>
      <w:bookmarkStart w:id="16" w:name="_Toc15377204"/>
      <w:bookmarkStart w:id="17" w:name="_Toc15396602"/>
      <w:r>
        <w:rPr>
          <w:rFonts w:hint="eastAsia" w:eastAsia="方正小标宋简体" w:cs="方正小标宋简体"/>
          <w:b w:val="0"/>
        </w:rPr>
        <w:t>第二部分  2025年度</w:t>
      </w:r>
      <w:r>
        <w:rPr>
          <w:rFonts w:hint="eastAsia" w:eastAsia="方正小标宋简体" w:cs="方正小标宋简体"/>
          <w:b w:val="0"/>
          <w:lang w:val="en-US" w:eastAsia="zh-CN"/>
        </w:rPr>
        <w:t>单位</w:t>
      </w:r>
      <w:r>
        <w:rPr>
          <w:rFonts w:hint="eastAsia" w:eastAsia="方正小标宋简体" w:cs="方正小标宋简体"/>
          <w:b w:val="0"/>
        </w:rPr>
        <w:t>决算情况说明</w:t>
      </w:r>
      <w:bookmarkEnd w:id="16"/>
      <w:bookmarkEnd w:id="17"/>
    </w:p>
    <w:p w14:paraId="034D0800">
      <w:pPr>
        <w:pStyle w:val="28"/>
        <w:spacing w:line="600" w:lineRule="exact"/>
        <w:ind w:firstLine="640"/>
        <w:outlineLvl w:val="1"/>
        <w:rPr>
          <w:rStyle w:val="30"/>
          <w:rFonts w:ascii="Times New Roman" w:hAnsi="Times New Roman" w:eastAsia="黑体"/>
          <w:b w:val="0"/>
        </w:rPr>
      </w:pPr>
      <w:bookmarkStart w:id="18" w:name="_Toc15377205"/>
      <w:bookmarkStart w:id="19" w:name="_Toc15396603"/>
      <w:r>
        <w:rPr>
          <w:rFonts w:hint="eastAsia" w:eastAsia="黑体"/>
          <w:sz w:val="32"/>
          <w:szCs w:val="32"/>
        </w:rPr>
        <w:t>一、收</w:t>
      </w:r>
      <w:r>
        <w:rPr>
          <w:rStyle w:val="30"/>
          <w:rFonts w:hint="eastAsia" w:ascii="Times New Roman" w:hAnsi="Times New Roman" w:eastAsia="黑体"/>
          <w:b w:val="0"/>
        </w:rPr>
        <w:t>入支出决算总体情况说明</w:t>
      </w:r>
      <w:bookmarkEnd w:id="18"/>
      <w:bookmarkEnd w:id="19"/>
    </w:p>
    <w:p w14:paraId="66E8A212">
      <w:pPr>
        <w:pStyle w:val="28"/>
        <w:keepNext w:val="0"/>
        <w:keepLines w:val="0"/>
        <w:pageBreakBefore w:val="0"/>
        <w:widowControl w:val="0"/>
        <w:kinsoku/>
        <w:wordWrap/>
        <w:overflowPunct/>
        <w:topLinePunct w:val="0"/>
        <w:autoSpaceDE/>
        <w:autoSpaceDN/>
        <w:bidi w:val="0"/>
        <w:adjustRightInd/>
        <w:snapToGrid/>
        <w:spacing w:line="620" w:lineRule="exact"/>
        <w:ind w:firstLine="640"/>
        <w:textAlignment w:val="auto"/>
        <w:outlineLvl w:val="1"/>
        <w:rPr>
          <w:rFonts w:hint="eastAsia" w:eastAsia="仿宋_GB2312" w:cs="仿宋_GB2312"/>
          <w:sz w:val="32"/>
          <w:szCs w:val="32"/>
          <w:lang w:val="en-US"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1293.96</w:t>
      </w:r>
      <w:r>
        <w:rPr>
          <w:rFonts w:hint="eastAsia" w:eastAsia="仿宋_GB2312" w:cs="仿宋_GB2312"/>
          <w:sz w:val="32"/>
          <w:szCs w:val="32"/>
        </w:rPr>
        <w:t>万元。与上年度相比，收入、支出总计各增加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5FD9D7EB">
      <w:pPr>
        <w:pStyle w:val="28"/>
        <w:spacing w:line="600" w:lineRule="exact"/>
        <w:outlineLvl w:val="1"/>
        <w:rPr>
          <w:rFonts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292100</wp:posOffset>
            </wp:positionH>
            <wp:positionV relativeFrom="paragraph">
              <wp:posOffset>158115</wp:posOffset>
            </wp:positionV>
            <wp:extent cx="4777740" cy="2966720"/>
            <wp:effectExtent l="4445" t="4445" r="18415" b="19685"/>
            <wp:wrapNone/>
            <wp:docPr id="3" name="图表 3"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2757D04">
      <w:pPr>
        <w:ind w:firstLine="640" w:firstLineChars="200"/>
        <w:rPr>
          <w:rFonts w:eastAsia="仿宋_GB2312" w:cs="仿宋_GB2312"/>
          <w:sz w:val="32"/>
          <w:szCs w:val="32"/>
        </w:rPr>
      </w:pPr>
    </w:p>
    <w:p w14:paraId="3CE57B2F">
      <w:pPr>
        <w:ind w:firstLine="640" w:firstLineChars="200"/>
        <w:rPr>
          <w:rFonts w:eastAsia="仿宋_GB2312" w:cs="仿宋_GB2312"/>
          <w:sz w:val="32"/>
          <w:szCs w:val="32"/>
        </w:rPr>
      </w:pPr>
    </w:p>
    <w:p w14:paraId="437FB9AF">
      <w:pPr>
        <w:ind w:firstLine="640" w:firstLineChars="200"/>
        <w:rPr>
          <w:rFonts w:eastAsia="仿宋_GB2312" w:cs="仿宋_GB2312"/>
          <w:sz w:val="32"/>
          <w:szCs w:val="32"/>
        </w:rPr>
      </w:pPr>
    </w:p>
    <w:p w14:paraId="70C17D26">
      <w:pPr>
        <w:ind w:firstLine="640" w:firstLineChars="200"/>
        <w:rPr>
          <w:rFonts w:eastAsia="仿宋_GB2312" w:cs="仿宋_GB2312"/>
          <w:sz w:val="32"/>
          <w:szCs w:val="32"/>
        </w:rPr>
      </w:pPr>
    </w:p>
    <w:p w14:paraId="155E79BC">
      <w:pPr>
        <w:ind w:firstLine="640" w:firstLineChars="200"/>
        <w:rPr>
          <w:rFonts w:eastAsia="仿宋_GB2312" w:cs="仿宋_GB2312"/>
          <w:sz w:val="32"/>
          <w:szCs w:val="32"/>
        </w:rPr>
      </w:pPr>
    </w:p>
    <w:p w14:paraId="32458BCE">
      <w:pPr>
        <w:ind w:firstLine="640" w:firstLineChars="200"/>
        <w:rPr>
          <w:rFonts w:eastAsia="仿宋_GB2312" w:cs="仿宋_GB2312"/>
          <w:sz w:val="32"/>
          <w:szCs w:val="32"/>
        </w:rPr>
      </w:pPr>
    </w:p>
    <w:p w14:paraId="36CFFB09">
      <w:pPr>
        <w:rPr>
          <w:rFonts w:eastAsia="仿宋_GB2312" w:cs="仿宋_GB2312"/>
          <w:sz w:val="32"/>
          <w:szCs w:val="32"/>
        </w:rPr>
      </w:pPr>
    </w:p>
    <w:p w14:paraId="73DA2D5F">
      <w:pPr>
        <w:jc w:val="center"/>
        <w:rPr>
          <w:rFonts w:eastAsia="仿宋_GB2312" w:cs="仿宋_GB2312"/>
          <w:sz w:val="32"/>
          <w:szCs w:val="32"/>
        </w:rPr>
      </w:pPr>
      <w:r>
        <w:rPr>
          <w:rFonts w:hint="eastAsia" w:eastAsia="仿宋_GB2312" w:cs="仿宋_GB2312"/>
          <w:sz w:val="32"/>
          <w:szCs w:val="32"/>
        </w:rPr>
        <w:t>图1：收入、支出决算总计变动情况图</w:t>
      </w:r>
    </w:p>
    <w:p w14:paraId="78451624">
      <w:pPr>
        <w:pStyle w:val="28"/>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14:paraId="77283434">
      <w:pPr>
        <w:pStyle w:val="28"/>
        <w:keepNext w:val="0"/>
        <w:keepLines w:val="0"/>
        <w:pageBreakBefore w:val="0"/>
        <w:widowControl w:val="0"/>
        <w:kinsoku/>
        <w:wordWrap/>
        <w:overflowPunct/>
        <w:topLinePunct w:val="0"/>
        <w:autoSpaceDE/>
        <w:autoSpaceDN/>
        <w:bidi w:val="0"/>
        <w:adjustRightInd/>
        <w:snapToGrid/>
        <w:spacing w:line="620" w:lineRule="exact"/>
        <w:ind w:firstLine="640"/>
        <w:textAlignment w:val="auto"/>
        <w:outlineLvl w:val="1"/>
        <w:rPr>
          <w:rFonts w:eastAsia="仿宋_GB2312" w:cs="仿宋_GB2312"/>
          <w:b/>
          <w:bCs/>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1293.96</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1293.96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344E133C">
      <w:pPr>
        <w:pStyle w:val="28"/>
        <w:spacing w:line="600" w:lineRule="exact"/>
        <w:ind w:firstLine="640"/>
        <w:outlineLvl w:val="1"/>
        <w:rPr>
          <w:rFonts w:hint="eastAsia"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226695</wp:posOffset>
            </wp:positionH>
            <wp:positionV relativeFrom="paragraph">
              <wp:posOffset>193040</wp:posOffset>
            </wp:positionV>
            <wp:extent cx="4805680" cy="3237230"/>
            <wp:effectExtent l="4445" t="4445" r="9525" b="1587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FE9E5A">
      <w:pPr>
        <w:pStyle w:val="28"/>
        <w:spacing w:line="600" w:lineRule="exact"/>
        <w:ind w:firstLine="640"/>
        <w:outlineLvl w:val="1"/>
        <w:rPr>
          <w:rFonts w:hint="eastAsia" w:eastAsia="仿宋_GB2312" w:cs="仿宋_GB2312"/>
          <w:sz w:val="32"/>
          <w:szCs w:val="32"/>
        </w:rPr>
      </w:pPr>
    </w:p>
    <w:p w14:paraId="5A37CCC1">
      <w:pPr>
        <w:pStyle w:val="28"/>
        <w:spacing w:line="600" w:lineRule="exact"/>
        <w:ind w:firstLine="640"/>
        <w:outlineLvl w:val="1"/>
        <w:rPr>
          <w:rFonts w:hint="eastAsia" w:eastAsia="仿宋_GB2312" w:cs="仿宋_GB2312"/>
          <w:sz w:val="32"/>
          <w:szCs w:val="32"/>
        </w:rPr>
      </w:pPr>
    </w:p>
    <w:p w14:paraId="56885C3D">
      <w:pPr>
        <w:pStyle w:val="28"/>
        <w:spacing w:line="600" w:lineRule="exact"/>
        <w:ind w:firstLine="640"/>
        <w:outlineLvl w:val="1"/>
        <w:rPr>
          <w:rFonts w:hint="eastAsia" w:eastAsia="仿宋_GB2312" w:cs="仿宋_GB2312"/>
          <w:sz w:val="32"/>
          <w:szCs w:val="32"/>
        </w:rPr>
      </w:pPr>
    </w:p>
    <w:p w14:paraId="4D7EA84B">
      <w:pPr>
        <w:pStyle w:val="28"/>
        <w:spacing w:line="600" w:lineRule="exact"/>
        <w:ind w:firstLine="640"/>
        <w:outlineLvl w:val="1"/>
        <w:rPr>
          <w:rFonts w:hint="eastAsia" w:eastAsia="仿宋_GB2312" w:cs="仿宋_GB2312"/>
          <w:sz w:val="32"/>
          <w:szCs w:val="32"/>
        </w:rPr>
      </w:pPr>
    </w:p>
    <w:p w14:paraId="371A71D8">
      <w:pPr>
        <w:pStyle w:val="28"/>
        <w:spacing w:line="600" w:lineRule="exact"/>
        <w:ind w:firstLine="640"/>
        <w:outlineLvl w:val="1"/>
        <w:rPr>
          <w:rFonts w:hint="eastAsia" w:eastAsia="仿宋_GB2312" w:cs="仿宋_GB2312"/>
          <w:sz w:val="32"/>
          <w:szCs w:val="32"/>
        </w:rPr>
      </w:pPr>
    </w:p>
    <w:p w14:paraId="0C861239">
      <w:pPr>
        <w:pStyle w:val="28"/>
        <w:spacing w:line="600" w:lineRule="exact"/>
        <w:ind w:firstLine="640"/>
        <w:outlineLvl w:val="1"/>
        <w:rPr>
          <w:rFonts w:hint="eastAsia" w:eastAsia="仿宋_GB2312" w:cs="仿宋_GB2312"/>
          <w:sz w:val="32"/>
          <w:szCs w:val="32"/>
        </w:rPr>
      </w:pPr>
    </w:p>
    <w:p w14:paraId="05C738E8">
      <w:pPr>
        <w:pStyle w:val="28"/>
        <w:spacing w:line="600" w:lineRule="exact"/>
        <w:ind w:left="0" w:leftChars="0" w:firstLine="0" w:firstLineChars="0"/>
        <w:outlineLvl w:val="1"/>
        <w:rPr>
          <w:rFonts w:hint="eastAsia" w:eastAsia="仿宋_GB2312" w:cs="仿宋_GB2312"/>
          <w:sz w:val="32"/>
          <w:szCs w:val="32"/>
        </w:rPr>
      </w:pPr>
    </w:p>
    <w:p w14:paraId="00D81E30">
      <w:pPr>
        <w:pStyle w:val="28"/>
        <w:spacing w:line="600" w:lineRule="exact"/>
        <w:ind w:left="0" w:leftChars="0" w:firstLine="0" w:firstLineChars="0"/>
        <w:jc w:val="center"/>
        <w:outlineLvl w:val="1"/>
        <w:rPr>
          <w:rFonts w:hint="eastAsia" w:eastAsia="仿宋_GB2312" w:cs="仿宋_GB2312"/>
          <w:sz w:val="32"/>
          <w:szCs w:val="32"/>
        </w:rPr>
      </w:pPr>
    </w:p>
    <w:p w14:paraId="1BA8CAF8">
      <w:pPr>
        <w:pStyle w:val="28"/>
        <w:spacing w:line="600" w:lineRule="exact"/>
        <w:ind w:left="0" w:leftChars="0" w:firstLine="0" w:firstLineChars="0"/>
        <w:jc w:val="center"/>
        <w:outlineLvl w:val="1"/>
        <w:rPr>
          <w:rFonts w:hint="eastAsia" w:eastAsia="黑体"/>
          <w:sz w:val="32"/>
          <w:szCs w:val="32"/>
        </w:rPr>
      </w:pPr>
      <w:r>
        <w:rPr>
          <w:rFonts w:hint="eastAsia" w:eastAsia="仿宋_GB2312" w:cs="仿宋_GB2312"/>
          <w:sz w:val="32"/>
          <w:szCs w:val="32"/>
        </w:rPr>
        <w:t>图2：收入决算结构图</w:t>
      </w:r>
      <w:bookmarkStart w:id="22" w:name="_Toc15396605"/>
      <w:bookmarkStart w:id="23" w:name="_Toc15377207"/>
    </w:p>
    <w:p w14:paraId="64C5DB84">
      <w:pPr>
        <w:pStyle w:val="28"/>
        <w:spacing w:line="600" w:lineRule="exact"/>
        <w:ind w:firstLine="640"/>
        <w:outlineLvl w:val="1"/>
        <w:rPr>
          <w:rStyle w:val="30"/>
          <w:rFonts w:ascii="Times New Roman" w:hAnsi="Times New Roman" w:eastAsia="黑体"/>
          <w:b w:val="0"/>
        </w:rPr>
      </w:pPr>
      <w:r>
        <w:rPr>
          <w:rFonts w:hint="eastAsia" w:eastAsia="黑体"/>
          <w:sz w:val="32"/>
          <w:szCs w:val="32"/>
        </w:rPr>
        <w:t>三、支</w:t>
      </w:r>
      <w:r>
        <w:rPr>
          <w:rStyle w:val="30"/>
          <w:rFonts w:hint="eastAsia" w:ascii="Times New Roman" w:hAnsi="Times New Roman" w:eastAsia="黑体"/>
          <w:b w:val="0"/>
        </w:rPr>
        <w:t>出决算情况说明</w:t>
      </w:r>
      <w:bookmarkEnd w:id="22"/>
      <w:bookmarkEnd w:id="23"/>
    </w:p>
    <w:p w14:paraId="5189EBDE">
      <w:pPr>
        <w:pStyle w:val="28"/>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1293.96</w:t>
      </w:r>
      <w:r>
        <w:rPr>
          <w:rFonts w:hint="eastAsia" w:eastAsia="仿宋_GB2312" w:cs="仿宋_GB2312"/>
          <w:sz w:val="32"/>
          <w:szCs w:val="32"/>
        </w:rPr>
        <w:t>万元，其中：基本支出</w:t>
      </w:r>
      <w:r>
        <w:rPr>
          <w:rFonts w:hint="eastAsia" w:eastAsia="仿宋_GB2312" w:cs="仿宋_GB2312"/>
          <w:sz w:val="32"/>
          <w:szCs w:val="32"/>
          <w:lang w:val="en-US" w:eastAsia="zh-CN"/>
        </w:rPr>
        <w:t>728.27</w:t>
      </w:r>
      <w:r>
        <w:rPr>
          <w:rFonts w:hint="eastAsia" w:eastAsia="仿宋_GB2312" w:cs="仿宋_GB2312"/>
          <w:sz w:val="32"/>
          <w:szCs w:val="32"/>
        </w:rPr>
        <w:t>万元，占</w:t>
      </w:r>
      <w:r>
        <w:rPr>
          <w:rFonts w:hint="eastAsia" w:eastAsia="仿宋_GB2312" w:cs="仿宋_GB2312"/>
          <w:sz w:val="32"/>
          <w:szCs w:val="32"/>
          <w:lang w:val="en-US" w:eastAsia="zh-CN"/>
        </w:rPr>
        <w:t>56.28</w:t>
      </w:r>
      <w:r>
        <w:rPr>
          <w:rFonts w:hint="eastAsia" w:eastAsia="仿宋_GB2312" w:cs="仿宋_GB2312"/>
          <w:sz w:val="32"/>
          <w:szCs w:val="32"/>
        </w:rPr>
        <w:t>%；项目支出</w:t>
      </w:r>
      <w:r>
        <w:rPr>
          <w:rFonts w:hint="eastAsia" w:eastAsia="仿宋_GB2312" w:cs="仿宋_GB2312"/>
          <w:sz w:val="32"/>
          <w:szCs w:val="32"/>
          <w:lang w:val="en-US" w:eastAsia="zh-CN"/>
        </w:rPr>
        <w:t>565.69</w:t>
      </w:r>
      <w:r>
        <w:rPr>
          <w:rFonts w:hint="eastAsia" w:eastAsia="仿宋_GB2312" w:cs="仿宋_GB2312"/>
          <w:sz w:val="32"/>
          <w:szCs w:val="32"/>
        </w:rPr>
        <w:t>万元，占</w:t>
      </w:r>
      <w:r>
        <w:rPr>
          <w:rFonts w:hint="eastAsia" w:eastAsia="仿宋_GB2312" w:cs="仿宋_GB2312"/>
          <w:sz w:val="32"/>
          <w:szCs w:val="32"/>
          <w:lang w:val="en-US" w:eastAsia="zh-CN"/>
        </w:rPr>
        <w:t>43.72</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1B84DCFB">
      <w:pPr>
        <w:pStyle w:val="28"/>
        <w:spacing w:line="600" w:lineRule="exact"/>
        <w:ind w:firstLine="640"/>
        <w:outlineLvl w:val="1"/>
        <w:rPr>
          <w:rFonts w:hint="eastAsia"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370840</wp:posOffset>
            </wp:positionH>
            <wp:positionV relativeFrom="paragraph">
              <wp:posOffset>131445</wp:posOffset>
            </wp:positionV>
            <wp:extent cx="4679315" cy="2851150"/>
            <wp:effectExtent l="4445" t="4445" r="21590" b="2095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26B54EB">
      <w:pPr>
        <w:pStyle w:val="28"/>
        <w:spacing w:line="600" w:lineRule="exact"/>
        <w:ind w:firstLine="640"/>
        <w:outlineLvl w:val="1"/>
        <w:rPr>
          <w:rFonts w:hint="eastAsia" w:eastAsia="仿宋_GB2312" w:cs="仿宋_GB2312"/>
          <w:sz w:val="32"/>
          <w:szCs w:val="32"/>
        </w:rPr>
      </w:pPr>
    </w:p>
    <w:p w14:paraId="06A91D10">
      <w:pPr>
        <w:pStyle w:val="28"/>
        <w:spacing w:line="600" w:lineRule="exact"/>
        <w:ind w:firstLine="640"/>
        <w:outlineLvl w:val="1"/>
        <w:rPr>
          <w:rFonts w:hint="eastAsia" w:eastAsia="仿宋_GB2312" w:cs="仿宋_GB2312"/>
          <w:sz w:val="32"/>
          <w:szCs w:val="32"/>
        </w:rPr>
      </w:pPr>
    </w:p>
    <w:p w14:paraId="0AB58D38">
      <w:pPr>
        <w:pStyle w:val="28"/>
        <w:spacing w:line="600" w:lineRule="exact"/>
        <w:ind w:firstLine="640"/>
        <w:outlineLvl w:val="1"/>
        <w:rPr>
          <w:rFonts w:hint="eastAsia" w:eastAsia="仿宋_GB2312" w:cs="仿宋_GB2312"/>
          <w:sz w:val="32"/>
          <w:szCs w:val="32"/>
        </w:rPr>
      </w:pPr>
    </w:p>
    <w:p w14:paraId="3F47EC1C">
      <w:pPr>
        <w:pStyle w:val="28"/>
        <w:spacing w:line="600" w:lineRule="exact"/>
        <w:ind w:firstLine="640"/>
        <w:outlineLvl w:val="1"/>
        <w:rPr>
          <w:rFonts w:hint="eastAsia" w:eastAsia="仿宋_GB2312" w:cs="仿宋_GB2312"/>
          <w:sz w:val="32"/>
          <w:szCs w:val="32"/>
        </w:rPr>
      </w:pPr>
    </w:p>
    <w:p w14:paraId="608BD139">
      <w:pPr>
        <w:pStyle w:val="28"/>
        <w:spacing w:line="600" w:lineRule="exact"/>
        <w:ind w:firstLine="640"/>
        <w:outlineLvl w:val="1"/>
        <w:rPr>
          <w:rFonts w:hint="eastAsia" w:eastAsia="仿宋_GB2312" w:cs="仿宋_GB2312"/>
          <w:sz w:val="32"/>
          <w:szCs w:val="32"/>
        </w:rPr>
      </w:pPr>
    </w:p>
    <w:p w14:paraId="479B597A">
      <w:pPr>
        <w:pStyle w:val="28"/>
        <w:spacing w:line="600" w:lineRule="exact"/>
        <w:ind w:firstLine="640"/>
        <w:outlineLvl w:val="1"/>
        <w:rPr>
          <w:rFonts w:hint="eastAsia" w:eastAsia="仿宋_GB2312" w:cs="仿宋_GB2312"/>
          <w:sz w:val="32"/>
          <w:szCs w:val="32"/>
        </w:rPr>
      </w:pPr>
    </w:p>
    <w:p w14:paraId="4E98CA1D">
      <w:pPr>
        <w:pStyle w:val="28"/>
        <w:spacing w:line="600" w:lineRule="exact"/>
        <w:ind w:firstLine="640"/>
        <w:outlineLvl w:val="1"/>
        <w:rPr>
          <w:rFonts w:hint="eastAsia" w:eastAsia="仿宋_GB2312" w:cs="仿宋_GB2312"/>
          <w:sz w:val="32"/>
          <w:szCs w:val="32"/>
        </w:rPr>
      </w:pPr>
    </w:p>
    <w:p w14:paraId="38485CE7">
      <w:pPr>
        <w:pStyle w:val="28"/>
        <w:spacing w:line="600" w:lineRule="exact"/>
        <w:ind w:left="0" w:leftChars="0" w:firstLine="0" w:firstLineChars="0"/>
        <w:jc w:val="center"/>
        <w:outlineLvl w:val="1"/>
        <w:rPr>
          <w:rFonts w:hint="eastAsia" w:eastAsia="黑体"/>
          <w:sz w:val="32"/>
          <w:szCs w:val="32"/>
        </w:rPr>
      </w:pPr>
      <w:r>
        <w:rPr>
          <w:rFonts w:hint="eastAsia" w:eastAsia="仿宋_GB2312" w:cs="仿宋_GB2312"/>
          <w:sz w:val="32"/>
          <w:szCs w:val="32"/>
        </w:rPr>
        <w:t>图3：支出决算结构图</w:t>
      </w:r>
      <w:bookmarkStart w:id="24" w:name="_Toc15396606"/>
      <w:bookmarkStart w:id="25" w:name="_Toc15377208"/>
    </w:p>
    <w:p w14:paraId="650E5C9D">
      <w:pPr>
        <w:pStyle w:val="28"/>
        <w:keepNext w:val="0"/>
        <w:keepLines w:val="0"/>
        <w:pageBreakBefore w:val="0"/>
        <w:widowControl w:val="0"/>
        <w:kinsoku/>
        <w:wordWrap/>
        <w:overflowPunct/>
        <w:topLinePunct w:val="0"/>
        <w:autoSpaceDE/>
        <w:autoSpaceDN/>
        <w:bidi w:val="0"/>
        <w:adjustRightInd/>
        <w:snapToGrid/>
        <w:spacing w:line="620" w:lineRule="atLeast"/>
        <w:ind w:firstLine="640"/>
        <w:textAlignment w:val="auto"/>
        <w:outlineLvl w:val="1"/>
        <w:rPr>
          <w:rFonts w:hint="eastAsia" w:eastAsia="黑体"/>
          <w:sz w:val="32"/>
          <w:szCs w:val="32"/>
        </w:rPr>
      </w:pPr>
      <w:r>
        <w:rPr>
          <w:rFonts w:hint="eastAsia" w:eastAsia="黑体"/>
          <w:sz w:val="32"/>
          <w:szCs w:val="32"/>
        </w:rPr>
        <w:t>四、财政拨款收入支出决算总体情况说明</w:t>
      </w:r>
      <w:bookmarkEnd w:id="24"/>
      <w:bookmarkEnd w:id="25"/>
    </w:p>
    <w:p w14:paraId="126AD97B">
      <w:pPr>
        <w:keepNext w:val="0"/>
        <w:keepLines w:val="0"/>
        <w:pageBreakBefore w:val="0"/>
        <w:widowControl w:val="0"/>
        <w:kinsoku/>
        <w:wordWrap/>
        <w:overflowPunct/>
        <w:topLinePunct w:val="0"/>
        <w:autoSpaceDE/>
        <w:autoSpaceDN/>
        <w:bidi w:val="0"/>
        <w:adjustRightInd/>
        <w:snapToGrid/>
        <w:spacing w:line="640" w:lineRule="atLeast"/>
        <w:ind w:firstLine="641"/>
        <w:textAlignment w:val="auto"/>
        <w:rPr>
          <w:rFonts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1293.96</w:t>
      </w:r>
      <w:r>
        <w:rPr>
          <w:rFonts w:hint="eastAsia" w:eastAsia="仿宋_GB2312" w:cs="仿宋_GB2312"/>
          <w:sz w:val="32"/>
          <w:szCs w:val="32"/>
        </w:rPr>
        <w:t>万元。与上年度相比，财政拨款收入、支出总计各增加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424CA610">
      <w:pPr>
        <w:spacing w:line="600" w:lineRule="exact"/>
        <w:ind w:firstLine="640" w:firstLineChars="20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317500</wp:posOffset>
            </wp:positionH>
            <wp:positionV relativeFrom="paragraph">
              <wp:posOffset>247650</wp:posOffset>
            </wp:positionV>
            <wp:extent cx="4617085" cy="3044825"/>
            <wp:effectExtent l="4445" t="4445" r="7620" b="1778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DABA54C">
      <w:pPr>
        <w:spacing w:line="600" w:lineRule="exact"/>
        <w:ind w:firstLine="640" w:firstLineChars="200"/>
        <w:rPr>
          <w:rFonts w:hint="eastAsia" w:eastAsia="仿宋_GB2312" w:cs="仿宋_GB2312"/>
          <w:sz w:val="32"/>
          <w:szCs w:val="32"/>
        </w:rPr>
      </w:pPr>
    </w:p>
    <w:p w14:paraId="44CC948C">
      <w:pPr>
        <w:spacing w:line="600" w:lineRule="exact"/>
        <w:ind w:firstLine="640" w:firstLineChars="200"/>
        <w:rPr>
          <w:rFonts w:hint="eastAsia" w:eastAsia="仿宋_GB2312" w:cs="仿宋_GB2312"/>
          <w:sz w:val="32"/>
          <w:szCs w:val="32"/>
        </w:rPr>
      </w:pPr>
    </w:p>
    <w:p w14:paraId="5F6B2693">
      <w:pPr>
        <w:spacing w:line="600" w:lineRule="exact"/>
        <w:ind w:firstLine="640" w:firstLineChars="200"/>
        <w:rPr>
          <w:rFonts w:hint="eastAsia" w:eastAsia="仿宋_GB2312" w:cs="仿宋_GB2312"/>
          <w:sz w:val="32"/>
          <w:szCs w:val="32"/>
        </w:rPr>
      </w:pPr>
    </w:p>
    <w:p w14:paraId="22E9B5EC">
      <w:pPr>
        <w:spacing w:line="600" w:lineRule="exact"/>
        <w:ind w:firstLine="640" w:firstLineChars="200"/>
        <w:rPr>
          <w:rFonts w:hint="eastAsia" w:eastAsia="仿宋_GB2312" w:cs="仿宋_GB2312"/>
          <w:sz w:val="32"/>
          <w:szCs w:val="32"/>
        </w:rPr>
      </w:pPr>
    </w:p>
    <w:p w14:paraId="5475CD2C">
      <w:pPr>
        <w:spacing w:line="600" w:lineRule="exact"/>
        <w:ind w:firstLine="640" w:firstLineChars="200"/>
        <w:rPr>
          <w:rFonts w:hint="eastAsia" w:eastAsia="仿宋_GB2312" w:cs="仿宋_GB2312"/>
          <w:sz w:val="32"/>
          <w:szCs w:val="32"/>
        </w:rPr>
      </w:pPr>
    </w:p>
    <w:p w14:paraId="66DEC7B4">
      <w:pPr>
        <w:spacing w:line="600" w:lineRule="exact"/>
        <w:ind w:firstLine="640" w:firstLineChars="200"/>
        <w:rPr>
          <w:rFonts w:hint="eastAsia" w:eastAsia="仿宋_GB2312" w:cs="仿宋_GB2312"/>
          <w:sz w:val="32"/>
          <w:szCs w:val="32"/>
        </w:rPr>
      </w:pPr>
    </w:p>
    <w:p w14:paraId="7A741C7D">
      <w:pPr>
        <w:spacing w:line="600" w:lineRule="exact"/>
        <w:jc w:val="center"/>
        <w:rPr>
          <w:rFonts w:hint="eastAsia" w:eastAsia="仿宋_GB2312" w:cs="仿宋_GB2312"/>
          <w:sz w:val="32"/>
          <w:szCs w:val="32"/>
        </w:rPr>
      </w:pPr>
    </w:p>
    <w:p w14:paraId="4BAF7A4C">
      <w:pPr>
        <w:spacing w:line="600" w:lineRule="exact"/>
        <w:jc w:val="center"/>
        <w:rPr>
          <w:rFonts w:hint="eastAsia" w:eastAsia="仿宋_GB2312" w:cs="仿宋_GB2312"/>
          <w:sz w:val="32"/>
          <w:szCs w:val="32"/>
        </w:rPr>
      </w:pPr>
    </w:p>
    <w:p w14:paraId="02BFCAF5">
      <w:pPr>
        <w:spacing w:line="600" w:lineRule="exact"/>
        <w:jc w:val="center"/>
        <w:rPr>
          <w:rFonts w:eastAsia="仿宋_GB2312" w:cs="仿宋_GB2312"/>
          <w:sz w:val="32"/>
          <w:szCs w:val="32"/>
        </w:rPr>
      </w:pPr>
      <w:r>
        <w:rPr>
          <w:rFonts w:hint="eastAsia" w:eastAsia="仿宋_GB2312" w:cs="仿宋_GB2312"/>
          <w:sz w:val="32"/>
          <w:szCs w:val="32"/>
        </w:rPr>
        <w:t>图4：财政拨款收、支决算总计变动情况</w:t>
      </w:r>
    </w:p>
    <w:p w14:paraId="7096EEE3">
      <w:pPr>
        <w:pStyle w:val="28"/>
        <w:spacing w:line="600" w:lineRule="exact"/>
        <w:ind w:firstLine="640"/>
        <w:outlineLvl w:val="1"/>
        <w:rPr>
          <w:rFonts w:hint="eastAsia" w:eastAsia="黑体"/>
          <w:sz w:val="32"/>
          <w:szCs w:val="32"/>
        </w:rPr>
      </w:pPr>
      <w:bookmarkStart w:id="26" w:name="_Toc15396607"/>
      <w:bookmarkStart w:id="27" w:name="_Toc15377209"/>
      <w:r>
        <w:rPr>
          <w:rFonts w:hint="eastAsia" w:eastAsia="黑体"/>
          <w:sz w:val="32"/>
          <w:szCs w:val="32"/>
        </w:rPr>
        <w:t>五、一般公共预算财政拨款支出决算情况说明</w:t>
      </w:r>
      <w:bookmarkEnd w:id="26"/>
      <w:bookmarkEnd w:id="27"/>
    </w:p>
    <w:p w14:paraId="3177A9A6">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5B76AA9C">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color w:val="auto"/>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1293.96</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40392393">
      <w:pPr>
        <w:spacing w:line="600" w:lineRule="exact"/>
        <w:ind w:firstLine="640"/>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207010</wp:posOffset>
            </wp:positionH>
            <wp:positionV relativeFrom="paragraph">
              <wp:posOffset>99060</wp:posOffset>
            </wp:positionV>
            <wp:extent cx="4766310" cy="2886075"/>
            <wp:effectExtent l="4445" t="4445" r="10795" b="508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90BE386">
      <w:pPr>
        <w:spacing w:line="600" w:lineRule="exact"/>
        <w:ind w:firstLine="640"/>
        <w:rPr>
          <w:rFonts w:hint="eastAsia" w:ascii="仿宋_GB2312" w:hAnsi="仿宋_GB2312" w:eastAsia="仿宋_GB2312" w:cs="仿宋_GB2312"/>
          <w:color w:val="auto"/>
          <w:sz w:val="32"/>
          <w:szCs w:val="32"/>
          <w:lang w:eastAsia="zh-CN"/>
        </w:rPr>
      </w:pPr>
    </w:p>
    <w:p w14:paraId="03F7343C">
      <w:pPr>
        <w:spacing w:line="600" w:lineRule="exact"/>
        <w:ind w:firstLine="640"/>
        <w:rPr>
          <w:rFonts w:hint="eastAsia" w:ascii="仿宋_GB2312" w:hAnsi="仿宋_GB2312" w:eastAsia="仿宋_GB2312" w:cs="仿宋_GB2312"/>
          <w:color w:val="auto"/>
          <w:sz w:val="32"/>
          <w:szCs w:val="32"/>
          <w:lang w:eastAsia="zh-CN"/>
        </w:rPr>
      </w:pPr>
    </w:p>
    <w:p w14:paraId="46EF2836">
      <w:pPr>
        <w:spacing w:line="600" w:lineRule="exact"/>
        <w:ind w:firstLine="640"/>
        <w:rPr>
          <w:rFonts w:hint="eastAsia" w:ascii="仿宋_GB2312" w:hAnsi="仿宋_GB2312" w:eastAsia="仿宋_GB2312" w:cs="仿宋_GB2312"/>
          <w:color w:val="auto"/>
          <w:sz w:val="32"/>
          <w:szCs w:val="32"/>
          <w:lang w:eastAsia="zh-CN"/>
        </w:rPr>
      </w:pPr>
    </w:p>
    <w:p w14:paraId="020ECBD6">
      <w:pPr>
        <w:spacing w:line="600" w:lineRule="exact"/>
        <w:ind w:firstLine="640"/>
        <w:rPr>
          <w:rFonts w:hint="eastAsia" w:ascii="仿宋_GB2312" w:hAnsi="仿宋_GB2312" w:eastAsia="仿宋_GB2312" w:cs="仿宋_GB2312"/>
          <w:color w:val="auto"/>
          <w:sz w:val="32"/>
          <w:szCs w:val="32"/>
          <w:lang w:eastAsia="zh-CN"/>
        </w:rPr>
      </w:pPr>
    </w:p>
    <w:p w14:paraId="5A451EA9">
      <w:pPr>
        <w:spacing w:line="600" w:lineRule="exact"/>
        <w:jc w:val="both"/>
        <w:rPr>
          <w:rFonts w:hint="eastAsia" w:eastAsia="仿宋_GB2312" w:cs="仿宋_GB2312"/>
          <w:sz w:val="32"/>
          <w:szCs w:val="32"/>
        </w:rPr>
      </w:pPr>
    </w:p>
    <w:p w14:paraId="777F56E5">
      <w:pPr>
        <w:spacing w:line="600" w:lineRule="exact"/>
        <w:jc w:val="center"/>
        <w:rPr>
          <w:rFonts w:hint="eastAsia" w:eastAsia="仿宋_GB2312" w:cs="仿宋_GB2312"/>
          <w:sz w:val="32"/>
          <w:szCs w:val="32"/>
        </w:rPr>
      </w:pPr>
    </w:p>
    <w:p w14:paraId="72F582F9">
      <w:pPr>
        <w:spacing w:line="600" w:lineRule="exact"/>
        <w:jc w:val="center"/>
        <w:rPr>
          <w:rFonts w:hint="eastAsia" w:eastAsia="仿宋_GB2312" w:cs="仿宋_GB2312"/>
          <w:sz w:val="32"/>
          <w:szCs w:val="32"/>
        </w:rPr>
      </w:pPr>
    </w:p>
    <w:p w14:paraId="207DF70B">
      <w:pPr>
        <w:spacing w:line="600" w:lineRule="exact"/>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3737FB31">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0717A4ED">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1293.96</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1128.64</w:t>
      </w:r>
      <w:r>
        <w:rPr>
          <w:rFonts w:hint="eastAsia" w:eastAsia="仿宋_GB2312" w:cs="仿宋_GB2312"/>
          <w:sz w:val="32"/>
          <w:szCs w:val="32"/>
        </w:rPr>
        <w:t>万元，占</w:t>
      </w:r>
      <w:r>
        <w:rPr>
          <w:rFonts w:hint="eastAsia" w:eastAsia="仿宋_GB2312" w:cs="仿宋_GB2312"/>
          <w:sz w:val="32"/>
          <w:szCs w:val="32"/>
          <w:lang w:val="en-US" w:eastAsia="zh-CN"/>
        </w:rPr>
        <w:t>87.22</w:t>
      </w:r>
      <w:r>
        <w:rPr>
          <w:rFonts w:hint="eastAsia" w:eastAsia="仿宋_GB2312" w:cs="仿宋_GB2312"/>
          <w:sz w:val="32"/>
          <w:szCs w:val="32"/>
        </w:rPr>
        <w:t>%；社会保障和就业支出</w:t>
      </w:r>
      <w:r>
        <w:rPr>
          <w:rFonts w:hint="eastAsia" w:eastAsia="仿宋_GB2312" w:cs="仿宋_GB2312"/>
          <w:sz w:val="32"/>
          <w:szCs w:val="32"/>
          <w:lang w:val="en-US" w:eastAsia="zh-CN"/>
        </w:rPr>
        <w:t>77.07</w:t>
      </w:r>
      <w:r>
        <w:rPr>
          <w:rFonts w:hint="eastAsia" w:eastAsia="仿宋_GB2312" w:cs="仿宋_GB2312"/>
          <w:sz w:val="32"/>
          <w:szCs w:val="32"/>
        </w:rPr>
        <w:t>万元，占</w:t>
      </w:r>
      <w:r>
        <w:rPr>
          <w:rFonts w:hint="eastAsia" w:eastAsia="仿宋_GB2312" w:cs="仿宋_GB2312"/>
          <w:sz w:val="32"/>
          <w:szCs w:val="32"/>
          <w:lang w:val="en-US" w:eastAsia="zh-CN"/>
        </w:rPr>
        <w:t>5.96</w:t>
      </w:r>
      <w:r>
        <w:rPr>
          <w:rFonts w:hint="eastAsia" w:eastAsia="仿宋_GB2312" w:cs="仿宋_GB2312"/>
          <w:sz w:val="32"/>
          <w:szCs w:val="32"/>
        </w:rPr>
        <w:t>%；卫生健康支出</w:t>
      </w:r>
      <w:r>
        <w:rPr>
          <w:rFonts w:hint="eastAsia" w:eastAsia="仿宋_GB2312" w:cs="仿宋_GB2312"/>
          <w:sz w:val="32"/>
          <w:szCs w:val="32"/>
          <w:lang w:val="en-US" w:eastAsia="zh-CN"/>
        </w:rPr>
        <w:t>37.17</w:t>
      </w:r>
      <w:r>
        <w:rPr>
          <w:rFonts w:hint="eastAsia" w:eastAsia="仿宋_GB2312" w:cs="仿宋_GB2312"/>
          <w:sz w:val="32"/>
          <w:szCs w:val="32"/>
        </w:rPr>
        <w:t>万元，占</w:t>
      </w:r>
      <w:r>
        <w:rPr>
          <w:rFonts w:hint="eastAsia" w:eastAsia="仿宋_GB2312" w:cs="仿宋_GB2312"/>
          <w:sz w:val="32"/>
          <w:szCs w:val="32"/>
          <w:lang w:val="en-US" w:eastAsia="zh-CN"/>
        </w:rPr>
        <w:t>2.87</w:t>
      </w:r>
      <w:r>
        <w:rPr>
          <w:rFonts w:hint="eastAsia" w:eastAsia="仿宋_GB2312" w:cs="仿宋_GB2312"/>
          <w:sz w:val="32"/>
          <w:szCs w:val="32"/>
        </w:rPr>
        <w:t>%；住房保障支出</w:t>
      </w:r>
      <w:r>
        <w:rPr>
          <w:rFonts w:hint="eastAsia" w:eastAsia="仿宋_GB2312" w:cs="仿宋_GB2312"/>
          <w:sz w:val="32"/>
          <w:szCs w:val="32"/>
          <w:lang w:val="en-US" w:eastAsia="zh-CN"/>
        </w:rPr>
        <w:t>51.08</w:t>
      </w:r>
      <w:r>
        <w:rPr>
          <w:rFonts w:hint="eastAsia" w:eastAsia="仿宋_GB2312" w:cs="仿宋_GB2312"/>
          <w:sz w:val="32"/>
          <w:szCs w:val="32"/>
        </w:rPr>
        <w:t>万元，占</w:t>
      </w:r>
      <w:r>
        <w:rPr>
          <w:rFonts w:hint="eastAsia" w:eastAsia="仿宋_GB2312" w:cs="仿宋_GB2312"/>
          <w:sz w:val="32"/>
          <w:szCs w:val="32"/>
          <w:lang w:val="en-US" w:eastAsia="zh-CN"/>
        </w:rPr>
        <w:t>3.95</w:t>
      </w:r>
      <w:r>
        <w:rPr>
          <w:rFonts w:hint="eastAsia" w:eastAsia="仿宋_GB2312" w:cs="仿宋_GB2312"/>
          <w:sz w:val="32"/>
          <w:szCs w:val="32"/>
        </w:rPr>
        <w:t>%</w:t>
      </w:r>
      <w:r>
        <w:rPr>
          <w:rFonts w:hint="eastAsia" w:eastAsia="仿宋_GB2312" w:cs="仿宋_GB2312"/>
          <w:sz w:val="32"/>
          <w:szCs w:val="32"/>
          <w:lang w:eastAsia="zh-CN"/>
        </w:rPr>
        <w:t>。</w:t>
      </w:r>
    </w:p>
    <w:p w14:paraId="5838A375">
      <w:pPr>
        <w:spacing w:line="600" w:lineRule="exact"/>
        <w:ind w:firstLine="64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4384" behindDoc="0" locked="0" layoutInCell="1" allowOverlap="1">
            <wp:simplePos x="0" y="0"/>
            <wp:positionH relativeFrom="column">
              <wp:posOffset>240030</wp:posOffset>
            </wp:positionH>
            <wp:positionV relativeFrom="paragraph">
              <wp:posOffset>169545</wp:posOffset>
            </wp:positionV>
            <wp:extent cx="4773295" cy="2877185"/>
            <wp:effectExtent l="4445" t="4445" r="22860" b="1397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2E651B1">
      <w:pPr>
        <w:spacing w:line="600" w:lineRule="exact"/>
        <w:ind w:firstLine="640"/>
        <w:rPr>
          <w:rFonts w:hint="eastAsia" w:eastAsia="仿宋_GB2312" w:cs="仿宋_GB2312"/>
          <w:sz w:val="32"/>
          <w:szCs w:val="32"/>
        </w:rPr>
      </w:pPr>
    </w:p>
    <w:p w14:paraId="3A01CADB">
      <w:pPr>
        <w:spacing w:line="600" w:lineRule="exact"/>
        <w:ind w:firstLine="640"/>
        <w:rPr>
          <w:rFonts w:hint="eastAsia" w:eastAsia="仿宋_GB2312" w:cs="仿宋_GB2312"/>
          <w:sz w:val="32"/>
          <w:szCs w:val="32"/>
        </w:rPr>
      </w:pPr>
    </w:p>
    <w:p w14:paraId="3CF9D3B6">
      <w:pPr>
        <w:spacing w:line="600" w:lineRule="exact"/>
        <w:ind w:firstLine="640"/>
        <w:rPr>
          <w:rFonts w:hint="eastAsia" w:eastAsia="仿宋_GB2312" w:cs="仿宋_GB2312"/>
          <w:sz w:val="32"/>
          <w:szCs w:val="32"/>
        </w:rPr>
      </w:pPr>
    </w:p>
    <w:p w14:paraId="05A3F05C">
      <w:pPr>
        <w:spacing w:line="600" w:lineRule="exact"/>
        <w:ind w:firstLine="640"/>
        <w:rPr>
          <w:rFonts w:hint="eastAsia" w:eastAsia="仿宋_GB2312" w:cs="仿宋_GB2312"/>
          <w:sz w:val="32"/>
          <w:szCs w:val="32"/>
        </w:rPr>
      </w:pPr>
    </w:p>
    <w:p w14:paraId="01CF2E2A">
      <w:pPr>
        <w:spacing w:line="600" w:lineRule="exact"/>
        <w:ind w:firstLine="640"/>
        <w:rPr>
          <w:rFonts w:hint="eastAsia" w:eastAsia="仿宋_GB2312" w:cs="仿宋_GB2312"/>
          <w:sz w:val="32"/>
          <w:szCs w:val="32"/>
        </w:rPr>
      </w:pPr>
    </w:p>
    <w:p w14:paraId="28351F17">
      <w:pPr>
        <w:spacing w:line="600" w:lineRule="exact"/>
        <w:ind w:firstLine="640"/>
        <w:rPr>
          <w:rFonts w:hint="eastAsia" w:eastAsia="仿宋_GB2312" w:cs="仿宋_GB2312"/>
          <w:sz w:val="32"/>
          <w:szCs w:val="32"/>
        </w:rPr>
      </w:pPr>
    </w:p>
    <w:p w14:paraId="3646AD48">
      <w:pPr>
        <w:spacing w:line="600" w:lineRule="exact"/>
        <w:jc w:val="center"/>
        <w:rPr>
          <w:rFonts w:hint="eastAsia" w:eastAsia="仿宋_GB2312" w:cs="仿宋_GB2312"/>
          <w:sz w:val="32"/>
          <w:szCs w:val="32"/>
        </w:rPr>
      </w:pPr>
    </w:p>
    <w:p w14:paraId="693BC2B0">
      <w:pPr>
        <w:spacing w:line="600" w:lineRule="exact"/>
        <w:jc w:val="center"/>
        <w:rPr>
          <w:rFonts w:eastAsia="仿宋_GB2312" w:cs="仿宋_GB2312"/>
          <w:sz w:val="32"/>
          <w:szCs w:val="32"/>
        </w:rPr>
      </w:pPr>
      <w:r>
        <w:rPr>
          <w:rFonts w:hint="eastAsia" w:eastAsia="仿宋_GB2312" w:cs="仿宋_GB2312"/>
          <w:sz w:val="32"/>
          <w:szCs w:val="32"/>
        </w:rPr>
        <w:t>图6：一般公共预算财政拨款支出决算结构</w:t>
      </w:r>
    </w:p>
    <w:p w14:paraId="71786FD2">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132E27E6">
      <w:pPr>
        <w:spacing w:line="600" w:lineRule="exact"/>
        <w:ind w:firstLine="640"/>
        <w:rPr>
          <w:rFonts w:eastAsia="仿宋_GB2312" w:cs="仿宋_GB2312"/>
          <w:sz w:val="32"/>
          <w:szCs w:val="32"/>
        </w:rPr>
      </w:pPr>
      <w:bookmarkStart w:id="31" w:name="_Toc15377444"/>
      <w:bookmarkStart w:id="32" w:name="_Toc15377213"/>
      <w:bookmarkStart w:id="33"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1293.96万元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14:paraId="42B45856">
      <w:pPr>
        <w:spacing w:line="600" w:lineRule="exact"/>
        <w:ind w:firstLine="640"/>
        <w:rPr>
          <w:rFonts w:eastAsia="仿宋_GB2312" w:cs="仿宋_GB2312"/>
          <w:sz w:val="32"/>
          <w:szCs w:val="32"/>
        </w:rPr>
      </w:pPr>
      <w:r>
        <w:rPr>
          <w:rFonts w:hint="eastAsia" w:eastAsia="仿宋_GB2312" w:cs="仿宋_GB2312"/>
          <w:sz w:val="32"/>
          <w:szCs w:val="32"/>
        </w:rPr>
        <w:t>1.一般公共服务（类）党委办公厅（室）及相关机构事务（款）行政运行（项）：支出决算为</w:t>
      </w:r>
      <w:r>
        <w:rPr>
          <w:rFonts w:hint="eastAsia" w:eastAsia="仿宋_GB2312" w:cs="仿宋_GB2312"/>
          <w:sz w:val="32"/>
          <w:szCs w:val="32"/>
          <w:lang w:val="en-US" w:eastAsia="zh-CN"/>
        </w:rPr>
        <w:t>245.24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3C405652">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2.一般公共服务（类）党委办公厅（室）及相关机构事务（款）一般行政管理事务（项）：支出决算为</w:t>
      </w:r>
      <w:r>
        <w:rPr>
          <w:rFonts w:hint="eastAsia" w:eastAsia="仿宋_GB2312" w:cs="仿宋_GB2312"/>
          <w:sz w:val="32"/>
          <w:szCs w:val="32"/>
          <w:lang w:val="en-US" w:eastAsia="zh-CN"/>
        </w:rPr>
        <w:t>540.81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223AF67E">
      <w:pPr>
        <w:spacing w:line="600" w:lineRule="exact"/>
        <w:ind w:firstLine="640"/>
        <w:rPr>
          <w:rFonts w:eastAsia="仿宋_GB2312" w:cs="仿宋_GB2312"/>
          <w:sz w:val="32"/>
          <w:szCs w:val="32"/>
        </w:rPr>
      </w:pPr>
      <w:r>
        <w:rPr>
          <w:rFonts w:hint="eastAsia" w:eastAsia="仿宋_GB2312" w:cs="仿宋_GB2312"/>
          <w:sz w:val="32"/>
          <w:szCs w:val="32"/>
        </w:rPr>
        <w:t>3.一般公共服务（类）党委办公厅（室）及相关机构事务（款）事业运行</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314.87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7D75F128">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4.一般公共服务（类）人大事务（款）一般行政管理事务</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24.88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7537116C">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5.</w:t>
      </w:r>
      <w:r>
        <w:rPr>
          <w:rFonts w:hint="eastAsia" w:eastAsia="仿宋_GB2312" w:cs="仿宋_GB2312"/>
          <w:sz w:val="32"/>
          <w:szCs w:val="32"/>
        </w:rPr>
        <w:t>一般公共服务（类）组织事务（款）一其他组织事务支出</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2.84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5A33C510">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6</w:t>
      </w:r>
      <w:r>
        <w:rPr>
          <w:rFonts w:hint="eastAsia" w:eastAsia="仿宋_GB2312" w:cs="仿宋_GB2312"/>
          <w:sz w:val="32"/>
          <w:szCs w:val="32"/>
        </w:rPr>
        <w:t>.社会保障和就业（类）行政事业单位养老支出（款）行政单位离退休（项）：支出决算为</w:t>
      </w:r>
      <w:r>
        <w:rPr>
          <w:rFonts w:hint="eastAsia" w:eastAsia="仿宋_GB2312" w:cs="仿宋_GB2312"/>
          <w:sz w:val="32"/>
          <w:szCs w:val="32"/>
          <w:lang w:val="en-US" w:eastAsia="zh-CN"/>
        </w:rPr>
        <w:t>12.77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36C1BBF1">
      <w:pPr>
        <w:spacing w:line="600" w:lineRule="exact"/>
        <w:ind w:firstLine="640"/>
        <w:jc w:val="distribute"/>
        <w:rPr>
          <w:rFonts w:hint="eastAsia"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社会保障和就业（类）行政事业单位养老支出（款）机关事业单位基本养老保险缴费支出（项）：支出决算为</w:t>
      </w:r>
    </w:p>
    <w:p w14:paraId="5ED68D6F">
      <w:pPr>
        <w:spacing w:line="600" w:lineRule="exact"/>
        <w:rPr>
          <w:rFonts w:hint="default" w:eastAsia="仿宋_GB2312" w:cs="仿宋_GB2312"/>
          <w:sz w:val="32"/>
          <w:szCs w:val="32"/>
          <w:lang w:val="en-US" w:eastAsia="zh-CN"/>
        </w:rPr>
      </w:pPr>
      <w:r>
        <w:rPr>
          <w:rFonts w:hint="eastAsia" w:eastAsia="仿宋_GB2312" w:cs="仿宋_GB2312"/>
          <w:sz w:val="32"/>
          <w:szCs w:val="32"/>
          <w:lang w:val="en-US" w:eastAsia="zh-CN"/>
        </w:rPr>
        <w:t>64.31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70C5A541">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卫生健康（类）行政事业单位医疗（款）行政单位医疗（项）：支出决算为</w:t>
      </w:r>
      <w:r>
        <w:rPr>
          <w:rFonts w:hint="eastAsia" w:ascii="Times New Roman" w:hAnsi="Times New Roman" w:eastAsia="仿宋_GB2312" w:cs="仿宋_GB2312"/>
          <w:sz w:val="32"/>
          <w:szCs w:val="32"/>
          <w:lang w:val="en-US" w:eastAsia="zh-CN"/>
        </w:rPr>
        <w:t>14.29</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5B68947F">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卫生健康（类）行政事业单位医疗（款）事业单位医疗（项）：支出决算为</w:t>
      </w:r>
      <w:r>
        <w:rPr>
          <w:rFonts w:hint="eastAsia" w:ascii="Times New Roman" w:hAnsi="Times New Roman" w:eastAsia="仿宋_GB2312" w:cs="仿宋_GB2312"/>
          <w:sz w:val="32"/>
          <w:szCs w:val="32"/>
          <w:lang w:val="en-US" w:eastAsia="zh-CN"/>
        </w:rPr>
        <w:t>18.93</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3F3873C8">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卫生健康（类）行政事业单位医疗（款）公务员医疗补助（项）：支出决算为</w:t>
      </w:r>
      <w:r>
        <w:rPr>
          <w:rFonts w:hint="eastAsia" w:ascii="Times New Roman" w:hAnsi="Times New Roman" w:eastAsia="仿宋_GB2312" w:cs="仿宋_GB2312"/>
          <w:sz w:val="32"/>
          <w:szCs w:val="32"/>
          <w:lang w:val="en-US" w:eastAsia="zh-CN"/>
        </w:rPr>
        <w:t>3.94</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7BBD4E53">
      <w:pPr>
        <w:spacing w:line="600" w:lineRule="exact"/>
        <w:ind w:firstLine="640"/>
        <w:rPr>
          <w:rFonts w:eastAsia="仿宋_GB2312" w:cs="仿宋_GB2312"/>
          <w:sz w:val="32"/>
          <w:szCs w:val="32"/>
        </w:rPr>
      </w:pPr>
      <w:r>
        <w:rPr>
          <w:rFonts w:hint="eastAsia" w:ascii="Times New Roman" w:hAnsi="Times New Roman" w:eastAsia="仿宋_GB2312" w:cs="仿宋_GB2312"/>
          <w:sz w:val="32"/>
          <w:szCs w:val="32"/>
          <w:lang w:val="en-US" w:eastAsia="zh-CN"/>
        </w:rPr>
        <w:t>11.住房保障</w:t>
      </w:r>
      <w:r>
        <w:rPr>
          <w:rFonts w:hint="eastAsia" w:ascii="Times New Roman" w:hAnsi="Times New Roman" w:eastAsia="仿宋_GB2312" w:cs="仿宋_GB2312"/>
          <w:sz w:val="32"/>
          <w:szCs w:val="32"/>
        </w:rPr>
        <w:t>（类）住房改革支出（款）住房公积金（项）：支出决算为</w:t>
      </w:r>
      <w:r>
        <w:rPr>
          <w:rFonts w:hint="eastAsia" w:ascii="Times New Roman" w:hAnsi="Times New Roman" w:eastAsia="仿宋_GB2312" w:cs="仿宋_GB2312"/>
          <w:sz w:val="32"/>
          <w:szCs w:val="32"/>
          <w:lang w:val="en-US" w:eastAsia="zh-CN"/>
        </w:rPr>
        <w:t>51.08</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1CB4958E">
      <w:pPr>
        <w:tabs>
          <w:tab w:val="right" w:pos="8306"/>
        </w:tabs>
        <w:spacing w:line="600" w:lineRule="exact"/>
        <w:ind w:firstLine="640"/>
        <w:outlineLvl w:val="1"/>
        <w:rPr>
          <w:rStyle w:val="30"/>
          <w:rFonts w:ascii="Times New Roman" w:hAnsi="Times New Roman"/>
        </w:rPr>
      </w:pPr>
      <w:bookmarkStart w:id="34" w:name="_Toc15396608"/>
      <w:bookmarkStart w:id="35" w:name="_Toc15377214"/>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4"/>
      <w:bookmarkEnd w:id="35"/>
      <w:r>
        <w:rPr>
          <w:rStyle w:val="30"/>
          <w:rFonts w:ascii="Times New Roman" w:hAnsi="Times New Roman" w:eastAsia="黑体"/>
          <w:b w:val="0"/>
        </w:rPr>
        <w:tab/>
      </w:r>
    </w:p>
    <w:p w14:paraId="5A60D5C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728.27</w:t>
      </w:r>
      <w:r>
        <w:rPr>
          <w:rFonts w:hint="eastAsia" w:eastAsia="仿宋_GB2312" w:cs="仿宋_GB2312"/>
          <w:sz w:val="32"/>
          <w:szCs w:val="32"/>
        </w:rPr>
        <w:t>万元，其中：</w:t>
      </w:r>
    </w:p>
    <w:p w14:paraId="2A3C9694">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630.15</w:t>
      </w:r>
      <w:r>
        <w:rPr>
          <w:rFonts w:hint="eastAsia" w:eastAsia="仿宋_GB2312" w:cs="仿宋_GB2312"/>
          <w:sz w:val="32"/>
          <w:szCs w:val="32"/>
        </w:rPr>
        <w:t>万元，主要包括：基本工资、津贴补贴、奖金、伙食补助费、绩效工资、机关事业单位基本养老保险缴费、职工基本医疗保险缴费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w:t>
      </w:r>
      <w:r>
        <w:rPr>
          <w:rFonts w:hint="eastAsia" w:eastAsia="仿宋_GB2312" w:cs="仿宋_GB2312"/>
          <w:sz w:val="32"/>
          <w:szCs w:val="32"/>
          <w:lang w:eastAsia="zh-CN"/>
        </w:rPr>
        <w:t>、</w:t>
      </w:r>
      <w:r>
        <w:rPr>
          <w:rFonts w:hint="eastAsia" w:eastAsia="仿宋_GB2312" w:cs="仿宋_GB2312"/>
          <w:sz w:val="32"/>
          <w:szCs w:val="32"/>
        </w:rPr>
        <w:t>其他工资福利支出、生活补助、医疗费补助、奖励金、其他对个人和家庭的补助支出等。</w:t>
      </w:r>
      <w:r>
        <w:rPr>
          <w:rFonts w:hint="eastAsia" w:eastAsia="仿宋_GB2312" w:cs="仿宋_GB2312"/>
          <w:sz w:val="32"/>
          <w:szCs w:val="32"/>
        </w:rPr>
        <w:br w:type="textWrapping"/>
      </w:r>
      <w:r>
        <w:rPr>
          <w:rFonts w:hint="eastAsia" w:eastAsia="仿宋_GB2312" w:cs="仿宋_GB2312"/>
          <w:color w:val="auto"/>
          <w:sz w:val="32"/>
          <w:szCs w:val="32"/>
        </w:rPr>
        <w:t>　　公用经费</w:t>
      </w:r>
      <w:r>
        <w:rPr>
          <w:rFonts w:hint="eastAsia" w:eastAsia="仿宋_GB2312" w:cs="仿宋_GB2312"/>
          <w:color w:val="auto"/>
          <w:sz w:val="32"/>
          <w:szCs w:val="32"/>
          <w:lang w:val="en-US" w:eastAsia="zh-CN"/>
        </w:rPr>
        <w:t>98.12</w:t>
      </w:r>
      <w:r>
        <w:rPr>
          <w:rFonts w:hint="eastAsia" w:eastAsia="仿宋_GB2312" w:cs="仿宋_GB2312"/>
          <w:color w:val="auto"/>
          <w:sz w:val="32"/>
          <w:szCs w:val="32"/>
        </w:rPr>
        <w:t>万元，主要包括：办公费、印刷费、水费、电费、邮电费、物业管理费、差旅费、维修（护）费、会议费、培训费、公务接待费、委托业务费、工会经费、福利费、其他交通费</w:t>
      </w:r>
      <w:r>
        <w:rPr>
          <w:rFonts w:hint="eastAsia" w:eastAsia="仿宋_GB2312" w:cs="仿宋_GB2312"/>
          <w:color w:val="auto"/>
          <w:sz w:val="32"/>
          <w:szCs w:val="32"/>
          <w:lang w:val="en-US" w:eastAsia="zh-CN"/>
        </w:rPr>
        <w:t>用</w:t>
      </w:r>
      <w:r>
        <w:rPr>
          <w:rFonts w:hint="eastAsia" w:eastAsia="仿宋_GB2312" w:cs="仿宋_GB2312"/>
          <w:color w:val="auto"/>
          <w:sz w:val="32"/>
          <w:szCs w:val="32"/>
        </w:rPr>
        <w:t>、其他商品和服务支出</w:t>
      </w:r>
      <w:r>
        <w:rPr>
          <w:rFonts w:hint="eastAsia" w:eastAsia="仿宋_GB2312" w:cs="仿宋_GB2312"/>
          <w:color w:val="auto"/>
          <w:sz w:val="32"/>
          <w:szCs w:val="32"/>
          <w:lang w:val="en-US" w:eastAsia="zh-CN"/>
        </w:rPr>
        <w:t>等</w:t>
      </w:r>
      <w:r>
        <w:rPr>
          <w:rFonts w:hint="eastAsia" w:eastAsia="仿宋_GB2312" w:cs="仿宋_GB2312"/>
          <w:color w:val="auto"/>
          <w:sz w:val="32"/>
          <w:szCs w:val="32"/>
        </w:rPr>
        <w:t>。</w:t>
      </w:r>
    </w:p>
    <w:p w14:paraId="1EDD33CE">
      <w:pPr>
        <w:spacing w:line="600" w:lineRule="exact"/>
        <w:ind w:firstLine="640"/>
        <w:outlineLvl w:val="1"/>
        <w:rPr>
          <w:rStyle w:val="30"/>
          <w:rFonts w:ascii="Times New Roman" w:hAnsi="Times New Roman" w:eastAsia="黑体"/>
          <w:b w:val="0"/>
        </w:rPr>
      </w:pPr>
      <w:bookmarkStart w:id="36" w:name="_Toc15377215"/>
      <w:bookmarkStart w:id="37"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6"/>
      <w:bookmarkEnd w:id="37"/>
    </w:p>
    <w:p w14:paraId="33D1FDCC">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14:paraId="7B9C75B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25.64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25.64</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67E9936B">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14:paraId="5990552B">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24.88</w:t>
      </w:r>
      <w:r>
        <w:rPr>
          <w:rFonts w:hint="eastAsia" w:eastAsia="仿宋_GB2312" w:cs="仿宋_GB2312"/>
          <w:sz w:val="32"/>
          <w:szCs w:val="32"/>
        </w:rPr>
        <w:t>万元，占</w:t>
      </w:r>
      <w:r>
        <w:rPr>
          <w:rFonts w:hint="eastAsia" w:eastAsia="仿宋_GB2312" w:cs="仿宋_GB2312"/>
          <w:sz w:val="32"/>
          <w:szCs w:val="32"/>
          <w:lang w:val="en-US" w:eastAsia="zh-CN"/>
        </w:rPr>
        <w:t>97.04</w:t>
      </w:r>
      <w:r>
        <w:rPr>
          <w:rFonts w:hint="eastAsia" w:eastAsia="仿宋_GB2312" w:cs="仿宋_GB2312"/>
          <w:sz w:val="32"/>
          <w:szCs w:val="32"/>
        </w:rPr>
        <w:t>%；公务接待费支出决算</w:t>
      </w:r>
      <w:r>
        <w:rPr>
          <w:rFonts w:hint="eastAsia" w:eastAsia="仿宋_GB2312" w:cs="仿宋_GB2312"/>
          <w:sz w:val="32"/>
          <w:szCs w:val="32"/>
          <w:lang w:val="en-US" w:eastAsia="zh-CN"/>
        </w:rPr>
        <w:t>0.76</w:t>
      </w:r>
      <w:r>
        <w:rPr>
          <w:rFonts w:hint="eastAsia" w:eastAsia="仿宋_GB2312" w:cs="仿宋_GB2312"/>
          <w:sz w:val="32"/>
          <w:szCs w:val="32"/>
        </w:rPr>
        <w:t>万元，占</w:t>
      </w:r>
      <w:r>
        <w:rPr>
          <w:rFonts w:hint="eastAsia" w:eastAsia="仿宋_GB2312" w:cs="仿宋_GB2312"/>
          <w:sz w:val="32"/>
          <w:szCs w:val="32"/>
          <w:lang w:val="en-US" w:eastAsia="zh-CN"/>
        </w:rPr>
        <w:t>2.96</w:t>
      </w:r>
      <w:r>
        <w:rPr>
          <w:rFonts w:hint="eastAsia" w:eastAsia="仿宋_GB2312" w:cs="仿宋_GB2312"/>
          <w:sz w:val="32"/>
          <w:szCs w:val="32"/>
        </w:rPr>
        <w:t>%。具体情况如下：</w:t>
      </w:r>
    </w:p>
    <w:p w14:paraId="1D6C0A39">
      <w:pPr>
        <w:spacing w:line="600" w:lineRule="exact"/>
        <w:ind w:firstLine="64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5408" behindDoc="0" locked="0" layoutInCell="1" allowOverlap="1">
            <wp:simplePos x="0" y="0"/>
            <wp:positionH relativeFrom="column">
              <wp:posOffset>213995</wp:posOffset>
            </wp:positionH>
            <wp:positionV relativeFrom="paragraph">
              <wp:posOffset>86995</wp:posOffset>
            </wp:positionV>
            <wp:extent cx="4874895" cy="2964815"/>
            <wp:effectExtent l="4445" t="4445" r="16510" b="2159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4965DE5">
      <w:pPr>
        <w:spacing w:line="600" w:lineRule="exact"/>
        <w:ind w:firstLine="640"/>
        <w:rPr>
          <w:rFonts w:hint="eastAsia" w:eastAsia="仿宋_GB2312" w:cs="仿宋_GB2312"/>
          <w:sz w:val="32"/>
          <w:szCs w:val="32"/>
        </w:rPr>
      </w:pPr>
    </w:p>
    <w:p w14:paraId="729AC0E9">
      <w:pPr>
        <w:spacing w:line="600" w:lineRule="exact"/>
        <w:ind w:firstLine="640"/>
        <w:rPr>
          <w:rFonts w:hint="eastAsia" w:eastAsia="仿宋_GB2312" w:cs="仿宋_GB2312"/>
          <w:sz w:val="32"/>
          <w:szCs w:val="32"/>
        </w:rPr>
      </w:pPr>
    </w:p>
    <w:p w14:paraId="33C33762">
      <w:pPr>
        <w:spacing w:line="600" w:lineRule="exact"/>
        <w:ind w:firstLine="640"/>
        <w:rPr>
          <w:rFonts w:hint="eastAsia" w:eastAsia="仿宋_GB2312" w:cs="仿宋_GB2312"/>
          <w:sz w:val="32"/>
          <w:szCs w:val="32"/>
        </w:rPr>
      </w:pPr>
    </w:p>
    <w:p w14:paraId="0D27AA52">
      <w:pPr>
        <w:spacing w:line="600" w:lineRule="exact"/>
        <w:ind w:firstLine="640"/>
        <w:rPr>
          <w:rFonts w:hint="eastAsia" w:eastAsia="仿宋_GB2312" w:cs="仿宋_GB2312"/>
          <w:sz w:val="32"/>
          <w:szCs w:val="32"/>
        </w:rPr>
      </w:pPr>
    </w:p>
    <w:p w14:paraId="232A88A6">
      <w:pPr>
        <w:spacing w:line="600" w:lineRule="exact"/>
        <w:ind w:firstLine="640"/>
        <w:rPr>
          <w:rFonts w:hint="eastAsia" w:eastAsia="仿宋_GB2312" w:cs="仿宋_GB2312"/>
          <w:sz w:val="32"/>
          <w:szCs w:val="32"/>
        </w:rPr>
      </w:pPr>
    </w:p>
    <w:p w14:paraId="0AC929DD">
      <w:pPr>
        <w:spacing w:line="600" w:lineRule="exact"/>
        <w:ind w:firstLine="640"/>
        <w:rPr>
          <w:rFonts w:hint="eastAsia" w:eastAsia="仿宋_GB2312" w:cs="仿宋_GB2312"/>
          <w:sz w:val="32"/>
          <w:szCs w:val="32"/>
        </w:rPr>
      </w:pPr>
    </w:p>
    <w:p w14:paraId="782A3735">
      <w:pPr>
        <w:spacing w:line="600" w:lineRule="exact"/>
        <w:ind w:firstLine="640"/>
        <w:rPr>
          <w:rFonts w:hint="eastAsia" w:eastAsia="仿宋_GB2312" w:cs="仿宋_GB2312"/>
          <w:sz w:val="32"/>
          <w:szCs w:val="32"/>
        </w:rPr>
      </w:pPr>
    </w:p>
    <w:p w14:paraId="05759BA9">
      <w:pPr>
        <w:spacing w:line="600" w:lineRule="exact"/>
        <w:jc w:val="center"/>
        <w:rPr>
          <w:rFonts w:eastAsia="仿宋_GB2312" w:cs="仿宋_GB2312"/>
          <w:sz w:val="32"/>
          <w:szCs w:val="32"/>
        </w:rPr>
      </w:pPr>
      <w:r>
        <w:rPr>
          <w:rFonts w:hint="eastAsia" w:eastAsia="仿宋_GB2312" w:cs="仿宋_GB2312"/>
          <w:sz w:val="32"/>
          <w:szCs w:val="32"/>
        </w:rPr>
        <w:t>图7：财政拨款“三公”经费支出结构</w:t>
      </w:r>
    </w:p>
    <w:p w14:paraId="34A51023">
      <w:pPr>
        <w:spacing w:line="600" w:lineRule="exact"/>
        <w:ind w:firstLine="640"/>
        <w:rPr>
          <w:rFonts w:hint="eastAsia" w:eastAsia="仿宋_GB2312" w:cs="仿宋_GB2312"/>
          <w:sz w:val="32"/>
          <w:szCs w:val="32"/>
          <w:lang w:val="en-US"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w:t>
      </w:r>
      <w:r>
        <w:rPr>
          <w:rFonts w:hint="eastAsia" w:eastAsia="仿宋_GB2312" w:cs="仿宋_GB2312"/>
          <w:sz w:val="32"/>
          <w:szCs w:val="32"/>
          <w:lang w:val="en-US" w:eastAsia="zh-CN"/>
        </w:rPr>
        <w:t>与</w:t>
      </w:r>
      <w:r>
        <w:rPr>
          <w:rFonts w:hint="eastAsia" w:eastAsia="仿宋_GB2312" w:cs="仿宋_GB2312"/>
          <w:sz w:val="32"/>
          <w:szCs w:val="32"/>
        </w:rPr>
        <w:t>上年度</w:t>
      </w:r>
      <w:r>
        <w:rPr>
          <w:rFonts w:hint="eastAsia" w:eastAsia="仿宋_GB2312" w:cs="仿宋_GB2312"/>
          <w:sz w:val="32"/>
          <w:szCs w:val="32"/>
          <w:lang w:val="en-US" w:eastAsia="zh-CN"/>
        </w:rPr>
        <w:t>持平。</w:t>
      </w:r>
    </w:p>
    <w:p w14:paraId="563D4DDB">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24.88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公务用车购置及运行维护费支出决算比上年度增加</w:t>
      </w:r>
      <w:r>
        <w:rPr>
          <w:rFonts w:hint="eastAsia" w:eastAsia="仿宋_GB2312" w:cs="仿宋_GB2312"/>
          <w:sz w:val="32"/>
          <w:szCs w:val="32"/>
          <w:lang w:val="en-US" w:eastAsia="zh-CN"/>
        </w:rPr>
        <w:t>24.88</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采购业务用车</w:t>
      </w: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辆。</w:t>
      </w:r>
    </w:p>
    <w:p w14:paraId="5BE401D2">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24.88</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辆、金额</w:t>
      </w:r>
      <w:r>
        <w:rPr>
          <w:rFonts w:hint="eastAsia" w:eastAsia="仿宋_GB2312" w:cs="仿宋_GB2312"/>
          <w:sz w:val="32"/>
          <w:szCs w:val="32"/>
          <w:lang w:val="en-US" w:eastAsia="zh-CN"/>
        </w:rPr>
        <w:t>24.88</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共富业务科室政策研究、改革试验、样本观察、对外宣传、跟踪督办等业务工作</w:t>
      </w:r>
      <w:r>
        <w:rPr>
          <w:rFonts w:hint="eastAsia" w:eastAsia="仿宋_GB2312" w:cs="仿宋_GB2312"/>
          <w:sz w:val="32"/>
          <w:szCs w:val="32"/>
        </w:rPr>
        <w:t>。截至2025年12月31日，单位共有公务用车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7B77269F">
      <w:pPr>
        <w:spacing w:line="600" w:lineRule="exact"/>
        <w:ind w:firstLine="640"/>
        <w:rPr>
          <w:rFonts w:hint="eastAsia"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0</w:t>
      </w:r>
      <w:r>
        <w:rPr>
          <w:rFonts w:hint="eastAsia" w:eastAsia="仿宋_GB2312" w:cs="仿宋_GB2312"/>
          <w:sz w:val="32"/>
          <w:szCs w:val="32"/>
        </w:rPr>
        <w:t>万元。</w:t>
      </w:r>
    </w:p>
    <w:p w14:paraId="0FD8D664">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0.76</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0.76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eastAsia="仿宋_GB2312" w:cs="仿宋_GB2312"/>
          <w:sz w:val="32"/>
          <w:szCs w:val="32"/>
        </w:rPr>
        <w:t>。</w:t>
      </w:r>
    </w:p>
    <w:p w14:paraId="603B0F1A">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0.76</w:t>
      </w:r>
      <w:r>
        <w:rPr>
          <w:rFonts w:hint="eastAsia" w:eastAsia="仿宋_GB2312" w:cs="仿宋_GB2312"/>
          <w:sz w:val="32"/>
          <w:szCs w:val="32"/>
        </w:rPr>
        <w:t>万元，主要用于开展共富试验区建设经验做法、低收入群体托底机制改革、公共服务均等化实现机制改革</w:t>
      </w:r>
      <w:r>
        <w:rPr>
          <w:rFonts w:hint="eastAsia" w:eastAsia="仿宋_GB2312" w:cs="仿宋_GB2312"/>
          <w:sz w:val="32"/>
          <w:szCs w:val="32"/>
          <w:lang w:val="en-US" w:eastAsia="zh-CN"/>
        </w:rPr>
        <w:t>等</w:t>
      </w:r>
      <w:r>
        <w:rPr>
          <w:rFonts w:hint="eastAsia" w:eastAsia="仿宋_GB2312" w:cs="仿宋_GB2312"/>
          <w:sz w:val="32"/>
          <w:szCs w:val="32"/>
        </w:rPr>
        <w:t>业务活动</w:t>
      </w:r>
      <w:r>
        <w:rPr>
          <w:rFonts w:hint="eastAsia" w:eastAsia="仿宋_GB2312" w:cs="仿宋_GB2312"/>
          <w:sz w:val="32"/>
          <w:szCs w:val="32"/>
          <w:lang w:val="en-US" w:eastAsia="zh-CN"/>
        </w:rPr>
        <w:t>调研、检查指导、学习交流</w:t>
      </w:r>
      <w:r>
        <w:rPr>
          <w:rFonts w:hint="eastAsia" w:eastAsia="仿宋_GB2312" w:cs="仿宋_GB2312"/>
          <w:sz w:val="32"/>
          <w:szCs w:val="32"/>
        </w:rPr>
        <w:t>开支用餐费</w:t>
      </w:r>
      <w:r>
        <w:rPr>
          <w:rFonts w:hint="eastAsia" w:eastAsia="仿宋_GB2312" w:cs="仿宋_GB2312"/>
          <w:sz w:val="32"/>
          <w:szCs w:val="32"/>
          <w:lang w:val="en-US" w:eastAsia="zh-CN"/>
        </w:rPr>
        <w:t>等</w:t>
      </w:r>
      <w:r>
        <w:rPr>
          <w:rFonts w:hint="eastAsia" w:eastAsia="仿宋_GB2312" w:cs="仿宋_GB2312"/>
          <w:sz w:val="32"/>
          <w:szCs w:val="32"/>
        </w:rPr>
        <w:t>。国内公务接待</w:t>
      </w:r>
      <w:r>
        <w:rPr>
          <w:rFonts w:hint="eastAsia" w:eastAsia="仿宋_GB2312" w:cs="仿宋_GB2312"/>
          <w:sz w:val="32"/>
          <w:szCs w:val="32"/>
          <w:lang w:val="en-US" w:eastAsia="zh-CN"/>
        </w:rPr>
        <w:t>7</w:t>
      </w:r>
      <w:r>
        <w:rPr>
          <w:rFonts w:hint="eastAsia" w:eastAsia="仿宋_GB2312" w:cs="仿宋_GB2312"/>
          <w:sz w:val="32"/>
          <w:szCs w:val="32"/>
        </w:rPr>
        <w:t>批次，</w:t>
      </w:r>
      <w:r>
        <w:rPr>
          <w:rFonts w:hint="eastAsia" w:eastAsia="仿宋_GB2312" w:cs="仿宋_GB2312"/>
          <w:sz w:val="32"/>
          <w:szCs w:val="32"/>
          <w:lang w:val="en-US" w:eastAsia="zh-CN"/>
        </w:rPr>
        <w:t>32</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0.76</w:t>
      </w:r>
      <w:r>
        <w:rPr>
          <w:rFonts w:hint="eastAsia" w:eastAsia="仿宋_GB2312" w:cs="仿宋_GB2312"/>
          <w:sz w:val="32"/>
          <w:szCs w:val="32"/>
        </w:rPr>
        <w:t>万元，具体内容包括：</w:t>
      </w:r>
      <w:r>
        <w:rPr>
          <w:rFonts w:hint="eastAsia" w:eastAsia="仿宋_GB2312" w:cs="仿宋_GB2312"/>
          <w:sz w:val="32"/>
          <w:szCs w:val="32"/>
          <w:lang w:val="en-US" w:eastAsia="zh-CN"/>
        </w:rPr>
        <w:t>开展共富试验区建设经验做法、低收入群体托底机制改革、公共服务均等化实现机制改革调研和检查指导接待支出0.49万元；</w:t>
      </w:r>
      <w:r>
        <w:rPr>
          <w:rFonts w:hint="eastAsia" w:eastAsia="仿宋_GB2312" w:cs="仿宋_GB2312"/>
          <w:sz w:val="32"/>
          <w:szCs w:val="32"/>
        </w:rPr>
        <w:t>投资考察共同富裕试验区有关项目</w:t>
      </w:r>
      <w:r>
        <w:rPr>
          <w:rFonts w:hint="eastAsia" w:eastAsia="仿宋_GB2312" w:cs="仿宋_GB2312"/>
          <w:sz w:val="32"/>
          <w:szCs w:val="32"/>
          <w:lang w:val="en-US" w:eastAsia="zh-CN"/>
        </w:rPr>
        <w:t>调研接待支出0.11万元；学习交流攀枝花共同富裕相关工作接待支出0.16万元</w:t>
      </w:r>
      <w:r>
        <w:rPr>
          <w:rFonts w:hint="eastAsia" w:eastAsia="仿宋_GB2312" w:cs="仿宋_GB2312"/>
          <w:sz w:val="32"/>
          <w:szCs w:val="32"/>
        </w:rPr>
        <w:t>。</w:t>
      </w:r>
    </w:p>
    <w:p w14:paraId="11DAB91C">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40" w:name="_Toc15396610"/>
      <w:bookmarkStart w:id="41" w:name="_Toc15377218"/>
    </w:p>
    <w:p w14:paraId="050BCA62">
      <w:pPr>
        <w:spacing w:line="600" w:lineRule="exact"/>
        <w:ind w:firstLine="640"/>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40"/>
      <w:bookmarkEnd w:id="41"/>
    </w:p>
    <w:p w14:paraId="3A0CAAF6">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%。政府性基金预算财政拨款支出</w:t>
      </w:r>
      <w:r>
        <w:rPr>
          <w:rFonts w:hint="eastAsia" w:eastAsia="仿宋_GB2312" w:cs="仿宋_GB2312"/>
          <w:sz w:val="32"/>
          <w:szCs w:val="32"/>
          <w:lang w:val="en-US" w:eastAsia="zh-CN"/>
        </w:rPr>
        <w:t>与上年持平</w:t>
      </w:r>
      <w:r>
        <w:rPr>
          <w:rFonts w:hint="eastAsia" w:eastAsia="仿宋_GB2312" w:cs="仿宋_GB2312"/>
          <w:sz w:val="32"/>
          <w:szCs w:val="32"/>
        </w:rPr>
        <w:t>。</w:t>
      </w:r>
    </w:p>
    <w:p w14:paraId="635EBB28">
      <w:pPr>
        <w:spacing w:line="600" w:lineRule="exact"/>
        <w:ind w:left="630"/>
        <w:outlineLvl w:val="1"/>
        <w:rPr>
          <w:rStyle w:val="30"/>
          <w:rFonts w:ascii="Times New Roman" w:hAnsi="Times New Roman" w:eastAsia="黑体"/>
          <w:b w:val="0"/>
        </w:rPr>
      </w:pPr>
      <w:bookmarkStart w:id="42" w:name="_Toc15396611"/>
      <w:bookmarkStart w:id="43" w:name="_Toc15377219"/>
      <w:r>
        <w:rPr>
          <w:rStyle w:val="30"/>
          <w:rFonts w:hint="eastAsia" w:ascii="Times New Roman" w:hAnsi="Times New Roman" w:eastAsia="黑体"/>
          <w:b w:val="0"/>
        </w:rPr>
        <w:t>九、国有资本经营预算支出决算情况说明</w:t>
      </w:r>
      <w:bookmarkEnd w:id="42"/>
      <w:bookmarkEnd w:id="43"/>
    </w:p>
    <w:p w14:paraId="33A2E7C1">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%。国有资本经营预算财政拨款支出</w:t>
      </w:r>
      <w:r>
        <w:rPr>
          <w:rFonts w:hint="eastAsia" w:eastAsia="仿宋_GB2312" w:cs="仿宋_GB2312"/>
          <w:sz w:val="32"/>
          <w:szCs w:val="32"/>
          <w:lang w:val="en-US" w:eastAsia="zh-CN"/>
        </w:rPr>
        <w:t>与上年持平</w:t>
      </w:r>
      <w:r>
        <w:rPr>
          <w:rFonts w:hint="eastAsia" w:eastAsia="仿宋_GB2312" w:cs="仿宋_GB2312"/>
          <w:sz w:val="32"/>
          <w:szCs w:val="32"/>
        </w:rPr>
        <w:t>。</w:t>
      </w:r>
    </w:p>
    <w:p w14:paraId="64EEF8BB">
      <w:pPr>
        <w:spacing w:line="600" w:lineRule="exact"/>
        <w:ind w:left="630"/>
        <w:outlineLvl w:val="1"/>
        <w:rPr>
          <w:rStyle w:val="30"/>
          <w:rFonts w:ascii="Times New Roman" w:hAnsi="Times New Roman" w:eastAsia="黑体"/>
          <w:b w:val="0"/>
        </w:rPr>
      </w:pPr>
      <w:bookmarkStart w:id="44" w:name="_Toc15377221"/>
      <w:bookmarkStart w:id="45" w:name="_Toc15396612"/>
      <w:r>
        <w:rPr>
          <w:rStyle w:val="30"/>
          <w:rFonts w:hint="eastAsia" w:ascii="Times New Roman" w:hAnsi="Times New Roman" w:eastAsia="黑体"/>
          <w:b w:val="0"/>
        </w:rPr>
        <w:t>十、其他重要事项的情况说明</w:t>
      </w:r>
      <w:bookmarkEnd w:id="44"/>
      <w:bookmarkEnd w:id="45"/>
    </w:p>
    <w:p w14:paraId="28C7BE59">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20F5FF56">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机关运行经费支出</w:t>
      </w:r>
      <w:r>
        <w:rPr>
          <w:rFonts w:hint="eastAsia" w:eastAsia="仿宋_GB2312" w:cs="仿宋_GB2312"/>
          <w:sz w:val="32"/>
          <w:szCs w:val="32"/>
          <w:lang w:val="en-US" w:eastAsia="zh-CN"/>
        </w:rPr>
        <w:t>98.12</w:t>
      </w:r>
      <w:r>
        <w:rPr>
          <w:rFonts w:hint="eastAsia" w:eastAsia="仿宋_GB2312" w:cs="仿宋_GB2312"/>
          <w:sz w:val="32"/>
          <w:szCs w:val="32"/>
        </w:rPr>
        <w:t>万元，比上年度增加</w:t>
      </w:r>
      <w:r>
        <w:rPr>
          <w:rFonts w:hint="eastAsia" w:eastAsia="仿宋_GB2312" w:cs="仿宋_GB2312"/>
          <w:sz w:val="32"/>
          <w:szCs w:val="32"/>
          <w:lang w:val="en-US" w:eastAsia="zh-CN"/>
        </w:rPr>
        <w:t>98.12</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r>
        <w:rPr>
          <w:rFonts w:hint="eastAsia" w:ascii="仿宋_GB2312" w:hAnsi="仿宋_GB2312" w:eastAsia="仿宋_GB2312" w:cs="仿宋_GB2312"/>
          <w:color w:val="auto"/>
          <w:sz w:val="32"/>
          <w:szCs w:val="32"/>
          <w:lang w:val="en-US" w:eastAsia="zh-CN"/>
        </w:rPr>
        <w:t>人员增加5人，</w:t>
      </w:r>
      <w:r>
        <w:rPr>
          <w:rFonts w:hint="eastAsia" w:ascii="Times New Roman" w:hAnsi="Times New Roman" w:eastAsia="仿宋_GB2312" w:cs="仿宋_GB2312"/>
          <w:color w:val="auto"/>
          <w:sz w:val="32"/>
          <w:szCs w:val="32"/>
          <w:highlight w:val="none"/>
          <w:lang w:val="en-US" w:eastAsia="zh-CN"/>
        </w:rPr>
        <w:t>相应机关运行费用增加</w:t>
      </w:r>
      <w:r>
        <w:rPr>
          <w:rFonts w:hint="eastAsia" w:ascii="仿宋_GB2312" w:hAnsi="仿宋_GB2312" w:eastAsia="仿宋_GB2312" w:cs="仿宋_GB2312"/>
          <w:color w:val="auto"/>
          <w:sz w:val="32"/>
          <w:szCs w:val="32"/>
          <w:lang w:eastAsia="zh-CN"/>
        </w:rPr>
        <w:t>。</w:t>
      </w:r>
    </w:p>
    <w:p w14:paraId="1BB7093C">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6BDF6AA1">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政府采购支出总额</w:t>
      </w:r>
      <w:r>
        <w:rPr>
          <w:rFonts w:hint="eastAsia" w:eastAsia="仿宋_GB2312" w:cs="仿宋_GB2312"/>
          <w:sz w:val="32"/>
          <w:szCs w:val="32"/>
          <w:lang w:val="en-US" w:eastAsia="zh-CN"/>
        </w:rPr>
        <w:t>24.88</w:t>
      </w:r>
      <w:r>
        <w:rPr>
          <w:rFonts w:hint="eastAsia" w:eastAsia="仿宋_GB2312" w:cs="仿宋_GB2312"/>
          <w:sz w:val="32"/>
          <w:szCs w:val="32"/>
        </w:rPr>
        <w:t>万元，其中：政府采购货物支出</w:t>
      </w:r>
      <w:r>
        <w:rPr>
          <w:rFonts w:hint="eastAsia" w:eastAsia="仿宋_GB2312" w:cs="仿宋_GB2312"/>
          <w:sz w:val="32"/>
          <w:szCs w:val="32"/>
          <w:lang w:val="en-US" w:eastAsia="zh-CN"/>
        </w:rPr>
        <w:t>24.88</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采购业务用车1辆</w:t>
      </w:r>
      <w:r>
        <w:rPr>
          <w:rFonts w:hint="eastAsia" w:eastAsia="仿宋_GB2312" w:cs="仿宋_GB2312"/>
          <w:sz w:val="32"/>
          <w:szCs w:val="32"/>
        </w:rPr>
        <w:t>。授予中小企业合同金额</w:t>
      </w:r>
      <w:r>
        <w:rPr>
          <w:rFonts w:hint="eastAsia" w:eastAsia="仿宋_GB2312" w:cs="仿宋_GB2312"/>
          <w:sz w:val="32"/>
          <w:szCs w:val="32"/>
          <w:lang w:val="en-US" w:eastAsia="zh-CN"/>
        </w:rPr>
        <w:t>24.88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24.88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w:t>
      </w:r>
    </w:p>
    <w:p w14:paraId="49A0AFFE">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28908191">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共有车辆</w:t>
      </w:r>
      <w:r>
        <w:rPr>
          <w:rFonts w:hint="eastAsia" w:eastAsia="仿宋_GB2312" w:cs="仿宋_GB2312"/>
          <w:sz w:val="32"/>
          <w:szCs w:val="32"/>
          <w:lang w:val="en-US" w:eastAsia="zh-CN"/>
        </w:rPr>
        <w:t>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w:t>
      </w:r>
      <w:r>
        <w:rPr>
          <w:rFonts w:hint="eastAsia" w:eastAsia="仿宋_GB2312" w:cs="仿宋_GB2312"/>
          <w:sz w:val="32"/>
          <w:szCs w:val="32"/>
          <w:lang w:val="en-US" w:eastAsia="zh-CN"/>
        </w:rPr>
        <w:t>共富业务科室政策研究、改革试验、样本观察、对外宣传、跟踪督办等业务工作</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65DA5364">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31ABCAA6">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在2025年度，组织对攀枝花高质量发展建设共同富裕试验区工作运行经费</w:t>
      </w:r>
      <w:r>
        <w:rPr>
          <w:rFonts w:hint="eastAsia" w:eastAsia="仿宋_GB2312" w:cs="仿宋_GB2312"/>
          <w:sz w:val="32"/>
          <w:szCs w:val="32"/>
          <w:lang w:eastAsia="zh-CN"/>
        </w:rPr>
        <w:t>、共同富裕重点课题资金</w:t>
      </w:r>
      <w:r>
        <w:rPr>
          <w:rFonts w:hint="eastAsia" w:eastAsia="仿宋_GB2312" w:cs="仿宋_GB2312"/>
          <w:sz w:val="32"/>
          <w:szCs w:val="32"/>
        </w:rPr>
        <w:t>等</w:t>
      </w:r>
      <w:r>
        <w:rPr>
          <w:rFonts w:hint="eastAsia" w:eastAsia="仿宋_GB2312" w:cs="仿宋_GB2312"/>
          <w:sz w:val="32"/>
          <w:szCs w:val="32"/>
          <w:lang w:val="en-US" w:eastAsia="zh-CN"/>
        </w:rPr>
        <w:t>2</w:t>
      </w:r>
      <w:r>
        <w:rPr>
          <w:rFonts w:hint="eastAsia" w:eastAsia="仿宋_GB2312" w:cs="仿宋_GB2312"/>
          <w:sz w:val="32"/>
          <w:szCs w:val="32"/>
        </w:rPr>
        <w:t>个项目涉及金额</w:t>
      </w:r>
      <w:r>
        <w:rPr>
          <w:rFonts w:hint="eastAsia" w:eastAsia="仿宋_GB2312" w:cs="仿宋_GB2312"/>
          <w:sz w:val="32"/>
          <w:szCs w:val="32"/>
          <w:lang w:val="en-US" w:eastAsia="zh-CN"/>
        </w:rPr>
        <w:t>536.91</w:t>
      </w:r>
      <w:r>
        <w:rPr>
          <w:rFonts w:hint="eastAsia" w:eastAsia="仿宋_GB2312" w:cs="仿宋_GB2312"/>
          <w:sz w:val="32"/>
          <w:szCs w:val="32"/>
        </w:rPr>
        <w:t>万元开展了事前绩效评估，对</w:t>
      </w:r>
      <w:r>
        <w:rPr>
          <w:rFonts w:hint="eastAsia" w:eastAsia="仿宋_GB2312" w:cs="仿宋_GB2312"/>
          <w:sz w:val="32"/>
          <w:szCs w:val="32"/>
          <w:lang w:val="en-US" w:eastAsia="zh-CN"/>
        </w:rPr>
        <w:t>5</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41</w:t>
      </w:r>
      <w:r>
        <w:rPr>
          <w:rFonts w:hint="eastAsia" w:eastAsia="仿宋_GB2312" w:cs="仿宋_GB2312"/>
          <w:sz w:val="32"/>
          <w:szCs w:val="32"/>
        </w:rPr>
        <w:t>个项目开展绩效监控。</w:t>
      </w:r>
    </w:p>
    <w:p w14:paraId="4D8E3434">
      <w:pPr>
        <w:spacing w:line="600" w:lineRule="exact"/>
        <w:ind w:firstLine="640"/>
        <w:rPr>
          <w:rFonts w:hint="eastAsia" w:eastAsia="仿宋_GB2312" w:cs="仿宋_GB2312"/>
          <w:sz w:val="32"/>
          <w:szCs w:val="32"/>
        </w:rPr>
      </w:pPr>
      <w:r>
        <w:rPr>
          <w:rFonts w:hint="eastAsia" w:eastAsia="仿宋_GB2312" w:cs="仿宋_GB2312"/>
          <w:sz w:val="32"/>
          <w:szCs w:val="32"/>
        </w:rPr>
        <w:t>组织开展2025年度专项预算项目绩效自评，形成攀枝花高质量发展建设共同富裕试验区工作运行经费、共同富裕重点课题资金项目绩效自评报告。其中，试验区工作运行经费项目自评96分，紧扣年度绩效目标，有序推进政策研究、规划编制、改革推进、项目统筹等工作，强化督查评估、总结宣传，形成可复制经验，有力支撑试验区建设，成效显著；共同富裕重点课题资金项目自评100分，资金使用规范，通过“揭榜挂帅”引入外部智力，全面完成课题研究任务，提炼形成实践及理论成果，提升试验区制度、理论创新能力，发挥探路示范作用。</w:t>
      </w:r>
    </w:p>
    <w:p w14:paraId="1CF83450">
      <w:pPr>
        <w:pStyle w:val="13"/>
        <w:rPr>
          <w:rFonts w:hint="eastAsia" w:eastAsia="仿宋_GB2312" w:cs="仿宋_GB2312"/>
          <w:sz w:val="32"/>
          <w:szCs w:val="32"/>
        </w:rPr>
      </w:pPr>
    </w:p>
    <w:p w14:paraId="540B5509">
      <w:pPr>
        <w:pStyle w:val="7"/>
        <w:rPr>
          <w:rFonts w:hint="eastAsia" w:eastAsia="仿宋_GB2312" w:cs="仿宋_GB2312"/>
          <w:sz w:val="32"/>
          <w:szCs w:val="32"/>
        </w:rPr>
      </w:pPr>
    </w:p>
    <w:p w14:paraId="224F343C">
      <w:pPr>
        <w:pStyle w:val="7"/>
        <w:rPr>
          <w:rFonts w:hint="eastAsia" w:eastAsia="仿宋_GB2312" w:cs="仿宋_GB2312"/>
          <w:sz w:val="32"/>
          <w:szCs w:val="32"/>
        </w:rPr>
      </w:pPr>
    </w:p>
    <w:p w14:paraId="3C2A5FF8">
      <w:pPr>
        <w:pStyle w:val="7"/>
        <w:rPr>
          <w:rFonts w:hint="eastAsia" w:eastAsia="仿宋_GB2312" w:cs="仿宋_GB2312"/>
          <w:sz w:val="32"/>
          <w:szCs w:val="32"/>
        </w:rPr>
      </w:pPr>
    </w:p>
    <w:p w14:paraId="319B87ED">
      <w:pPr>
        <w:pStyle w:val="7"/>
        <w:rPr>
          <w:rFonts w:hint="eastAsia" w:eastAsia="仿宋_GB2312" w:cs="仿宋_GB2312"/>
          <w:sz w:val="32"/>
          <w:szCs w:val="32"/>
        </w:rPr>
      </w:pPr>
    </w:p>
    <w:p w14:paraId="4BEDBCE4">
      <w:pPr>
        <w:pStyle w:val="7"/>
        <w:rPr>
          <w:rFonts w:hint="eastAsia" w:eastAsia="仿宋_GB2312" w:cs="仿宋_GB2312"/>
          <w:sz w:val="32"/>
          <w:szCs w:val="32"/>
        </w:rPr>
      </w:pPr>
    </w:p>
    <w:p w14:paraId="62CE6740">
      <w:pPr>
        <w:pStyle w:val="7"/>
        <w:rPr>
          <w:rFonts w:hint="eastAsia" w:eastAsia="仿宋_GB2312" w:cs="仿宋_GB2312"/>
          <w:sz w:val="32"/>
          <w:szCs w:val="32"/>
        </w:rPr>
      </w:pPr>
    </w:p>
    <w:p w14:paraId="3826278E">
      <w:pPr>
        <w:pStyle w:val="7"/>
        <w:rPr>
          <w:rFonts w:hint="eastAsia" w:eastAsia="仿宋_GB2312" w:cs="仿宋_GB2312"/>
          <w:sz w:val="32"/>
          <w:szCs w:val="32"/>
        </w:rPr>
      </w:pPr>
    </w:p>
    <w:p w14:paraId="2BCA5694">
      <w:pPr>
        <w:pStyle w:val="7"/>
        <w:rPr>
          <w:rFonts w:hint="eastAsia" w:eastAsia="仿宋_GB2312" w:cs="仿宋_GB2312"/>
          <w:sz w:val="32"/>
          <w:szCs w:val="32"/>
        </w:rPr>
      </w:pPr>
    </w:p>
    <w:p w14:paraId="666DF8BD">
      <w:pPr>
        <w:pStyle w:val="7"/>
        <w:rPr>
          <w:rFonts w:hint="eastAsia" w:eastAsia="仿宋_GB2312" w:cs="仿宋_GB2312"/>
          <w:sz w:val="32"/>
          <w:szCs w:val="32"/>
        </w:rPr>
      </w:pPr>
    </w:p>
    <w:p w14:paraId="2BC1FA70">
      <w:pPr>
        <w:pStyle w:val="7"/>
        <w:rPr>
          <w:rFonts w:hint="eastAsia" w:eastAsia="仿宋_GB2312" w:cs="仿宋_GB2312"/>
          <w:sz w:val="32"/>
          <w:szCs w:val="32"/>
        </w:rPr>
      </w:pPr>
    </w:p>
    <w:p w14:paraId="60D83698">
      <w:pPr>
        <w:pStyle w:val="7"/>
        <w:rPr>
          <w:rFonts w:hint="eastAsia" w:eastAsia="仿宋_GB2312" w:cs="仿宋_GB2312"/>
          <w:sz w:val="32"/>
          <w:szCs w:val="32"/>
        </w:rPr>
      </w:pPr>
    </w:p>
    <w:p w14:paraId="5E68D2C1">
      <w:pPr>
        <w:pStyle w:val="7"/>
        <w:rPr>
          <w:rFonts w:hint="eastAsia" w:eastAsia="仿宋_GB2312" w:cs="仿宋_GB2312"/>
          <w:sz w:val="32"/>
          <w:szCs w:val="32"/>
        </w:rPr>
      </w:pPr>
    </w:p>
    <w:p w14:paraId="73652404">
      <w:pPr>
        <w:pStyle w:val="3"/>
        <w:keepNext/>
        <w:keepLines/>
        <w:pageBreakBefore w:val="0"/>
        <w:widowControl w:val="0"/>
        <w:kinsoku/>
        <w:wordWrap/>
        <w:overflowPunct/>
        <w:topLinePunct w:val="0"/>
        <w:autoSpaceDE/>
        <w:autoSpaceDN/>
        <w:bidi w:val="0"/>
        <w:adjustRightInd/>
        <w:snapToGrid/>
        <w:spacing w:before="0" w:line="579" w:lineRule="auto"/>
        <w:jc w:val="center"/>
        <w:textAlignment w:val="auto"/>
        <w:rPr>
          <w:rFonts w:hint="eastAsia" w:eastAsia="方正小标宋简体" w:cs="方正小标宋简体"/>
          <w:b w:val="0"/>
        </w:rPr>
      </w:pPr>
      <w:bookmarkStart w:id="49" w:name="_Toc15396613"/>
      <w:bookmarkStart w:id="50" w:name="_Toc15377225"/>
      <w:r>
        <w:rPr>
          <w:rFonts w:hint="eastAsia" w:eastAsia="方正小标宋简体" w:cs="方正小标宋简体"/>
          <w:b w:val="0"/>
        </w:rPr>
        <w:t>第三部分  名词解释</w:t>
      </w:r>
      <w:bookmarkEnd w:id="49"/>
      <w:bookmarkEnd w:id="50"/>
    </w:p>
    <w:p w14:paraId="326E4F47">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304F95D9">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.其他收入：</w:t>
      </w:r>
      <w:r>
        <w:rPr>
          <w:rFonts w:hint="eastAsia" w:eastAsia="仿宋_GB2312" w:cs="仿宋_GB2312"/>
          <w:color w:val="auto"/>
          <w:kern w:val="2"/>
          <w:sz w:val="32"/>
          <w:szCs w:val="32"/>
          <w:highlight w:val="none"/>
          <w:lang w:val="en-US" w:eastAsia="zh-CN" w:bidi="ar-SA"/>
        </w:rPr>
        <w:t>指单位取得的除上述收入以外的各项收入。</w:t>
      </w:r>
      <w:r>
        <w:rPr>
          <w:rFonts w:hint="eastAsia" w:ascii="仿宋_GB2312" w:eastAsia="仿宋_GB2312"/>
          <w:color w:val="auto"/>
          <w:sz w:val="32"/>
          <w:szCs w:val="32"/>
        </w:rPr>
        <w:t>主要是利息收入等。</w:t>
      </w:r>
    </w:p>
    <w:p w14:paraId="5CD54FFD">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.年初结转和结余：</w:t>
      </w:r>
      <w:r>
        <w:rPr>
          <w:rFonts w:hint="eastAsia" w:eastAsia="仿宋_GB2312" w:cs="仿宋_GB2312"/>
          <w:color w:val="auto"/>
          <w:kern w:val="2"/>
          <w:sz w:val="32"/>
          <w:szCs w:val="32"/>
          <w:highlight w:val="none"/>
          <w:lang w:val="en-US" w:eastAsia="zh-CN" w:bidi="ar-SA"/>
        </w:rPr>
        <w:t>指以前年度尚未完成、结转到本年按有关规定继续使用的资金。</w:t>
      </w:r>
      <w:r>
        <w:rPr>
          <w:rFonts w:hint="eastAsia" w:eastAsia="仿宋_GB2312" w:cs="仿宋_GB2312"/>
          <w:sz w:val="32"/>
          <w:szCs w:val="32"/>
        </w:rPr>
        <w:t xml:space="preserve"> </w:t>
      </w:r>
    </w:p>
    <w:p w14:paraId="53F1CA33">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.年末结转和结余：指单位按有关规定结转到下年或以后年度继续使用的资金。</w:t>
      </w:r>
    </w:p>
    <w:p w14:paraId="24ECFB21">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default" w:eastAsia="仿宋_GB2312" w:cs="仿宋_GB2312"/>
          <w:sz w:val="32"/>
          <w:szCs w:val="32"/>
          <w:lang w:val="en-US" w:eastAsia="zh-CN"/>
        </w:rPr>
      </w:pPr>
      <w:r>
        <w:rPr>
          <w:rFonts w:hint="eastAsia" w:eastAsia="仿宋_GB2312" w:cs="仿宋_GB2312"/>
          <w:sz w:val="32"/>
          <w:szCs w:val="32"/>
          <w:lang w:val="en-US" w:eastAsia="zh-CN"/>
        </w:rPr>
        <w:t>5</w:t>
      </w:r>
      <w:r>
        <w:rPr>
          <w:rFonts w:hint="eastAsia" w:eastAsia="仿宋_GB2312" w:cs="仿宋_GB2312"/>
          <w:sz w:val="32"/>
          <w:szCs w:val="32"/>
        </w:rPr>
        <w:t>.一般公共服务（类）党委办公厅（室）及相关机构事务（款）行政运行（项）：指</w:t>
      </w:r>
      <w:r>
        <w:rPr>
          <w:rFonts w:hint="eastAsia" w:eastAsia="仿宋_GB2312" w:cs="仿宋_GB2312"/>
          <w:sz w:val="32"/>
          <w:szCs w:val="32"/>
          <w:lang w:val="en-US" w:eastAsia="zh-CN"/>
        </w:rPr>
        <w:t>行政单位（包括实行公务员管理的事业单位）的基本支出。</w:t>
      </w:r>
    </w:p>
    <w:p w14:paraId="5CD42794">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.一般公</w:t>
      </w:r>
      <w:r>
        <w:rPr>
          <w:rFonts w:hint="eastAsia" w:ascii="Times New Roman" w:hAnsi="Times New Roman" w:eastAsia="仿宋_GB2312" w:cs="仿宋_GB2312"/>
          <w:sz w:val="32"/>
          <w:szCs w:val="32"/>
        </w:rPr>
        <w:t>共服务（类）党委办公厅（室）及相关机构事务（款）一般行政管理事务（项）：</w:t>
      </w:r>
      <w:r>
        <w:rPr>
          <w:rFonts w:hint="eastAsia" w:ascii="Times New Roman" w:hAnsi="Times New Roman" w:eastAsia="仿宋_GB2312" w:cs="仿宋_GB2312"/>
          <w:sz w:val="32"/>
          <w:szCs w:val="32"/>
          <w:lang w:val="en-US" w:eastAsia="zh-CN"/>
        </w:rPr>
        <w:t>指行政单位（包括实行公务员管理的事业单位）未单独设置项级科目的其他项目支出。</w:t>
      </w:r>
    </w:p>
    <w:p w14:paraId="53CDAD66">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eastAsia="仿宋_GB2312" w:cs="仿宋_GB2312"/>
          <w:sz w:val="32"/>
          <w:szCs w:val="32"/>
          <w:lang w:val="en-US" w:eastAsia="zh-CN"/>
        </w:rPr>
      </w:pPr>
      <w:r>
        <w:rPr>
          <w:rFonts w:hint="eastAsia" w:ascii="Times New Roman" w:hAnsi="Times New Roman" w:eastAsia="仿宋_GB2312" w:cs="仿宋_GB2312"/>
          <w:sz w:val="32"/>
          <w:szCs w:val="32"/>
          <w:lang w:val="en-US" w:eastAsia="zh-CN"/>
        </w:rPr>
        <w:t>7.</w:t>
      </w:r>
      <w:r>
        <w:rPr>
          <w:rFonts w:hint="eastAsia" w:eastAsia="仿宋_GB2312" w:cs="仿宋_GB2312"/>
          <w:sz w:val="32"/>
          <w:szCs w:val="32"/>
        </w:rPr>
        <w:t>一般公共服务（类）党委办公厅（室）及相关机构事务（款）事业运行（项）：指</w:t>
      </w:r>
      <w:r>
        <w:rPr>
          <w:rFonts w:hint="eastAsia" w:eastAsia="仿宋_GB2312" w:cs="仿宋_GB2312"/>
          <w:sz w:val="32"/>
          <w:szCs w:val="32"/>
          <w:lang w:val="en-US" w:eastAsia="zh-CN"/>
        </w:rPr>
        <w:t>事业单位的基本支出，不包括</w:t>
      </w:r>
      <w:r>
        <w:rPr>
          <w:rFonts w:hint="eastAsia" w:ascii="Times New Roman" w:hAnsi="Times New Roman" w:eastAsia="仿宋_GB2312" w:cs="仿宋_GB2312"/>
          <w:sz w:val="32"/>
          <w:szCs w:val="32"/>
          <w:lang w:val="en-US" w:eastAsia="zh-CN"/>
        </w:rPr>
        <w:t>行政单位（包括实行公务员管理的事业单位）后勤服务中心、医务室等附属事业单位</w:t>
      </w:r>
      <w:r>
        <w:rPr>
          <w:rFonts w:hint="eastAsia" w:eastAsia="仿宋_GB2312" w:cs="仿宋_GB2312"/>
          <w:sz w:val="32"/>
          <w:szCs w:val="32"/>
          <w:lang w:val="en-US" w:eastAsia="zh-CN"/>
        </w:rPr>
        <w:t>。</w:t>
      </w:r>
    </w:p>
    <w:p w14:paraId="53BC6928">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8.一般公共服务（类）组织事务（款）其他组织事务支出（项）：指其他用于中国共产党组织部门的事务支出。</w:t>
      </w:r>
    </w:p>
    <w:p w14:paraId="00AB6ED1">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社会保障和就业（类）行政事业单位养老支出（款）机关事业单位基本养老保险缴费支出（项）：指机关事业单位实施养老保险制度由单位缴纳的基本养老保险费支出。</w:t>
      </w:r>
    </w:p>
    <w:p w14:paraId="2FDDEAB9">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社会保障和就业（类）行政事业单位养老支出（款）行政单位离退休（项）：指</w:t>
      </w:r>
      <w:r>
        <w:rPr>
          <w:rFonts w:hint="eastAsia" w:ascii="Times New Roman" w:hAnsi="Times New Roman" w:eastAsia="仿宋_GB2312" w:cs="仿宋_GB2312"/>
          <w:sz w:val="32"/>
          <w:szCs w:val="32"/>
          <w:lang w:val="en-US" w:eastAsia="zh-CN"/>
        </w:rPr>
        <w:t>行政单位（包括实行公务员管理的事业单位）开支的离退休经费</w:t>
      </w:r>
      <w:r>
        <w:rPr>
          <w:rFonts w:hint="eastAsia" w:ascii="Times New Roman" w:hAnsi="Times New Roman" w:eastAsia="仿宋_GB2312" w:cs="仿宋_GB2312"/>
          <w:color w:val="auto"/>
          <w:kern w:val="2"/>
          <w:sz w:val="32"/>
          <w:szCs w:val="32"/>
          <w:highlight w:val="none"/>
          <w:lang w:val="en-US" w:eastAsia="zh-CN" w:bidi="ar-SA"/>
        </w:rPr>
        <w:t>。</w:t>
      </w:r>
    </w:p>
    <w:p w14:paraId="1E5D8F94">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卫生健康（类）行政事业单位医疗（款）行政单位医疗（项）：指财政部门安排的行政单位</w:t>
      </w:r>
      <w:r>
        <w:rPr>
          <w:rFonts w:hint="eastAsia" w:ascii="Times New Roman" w:hAnsi="Times New Roman" w:eastAsia="仿宋_GB2312" w:cs="仿宋_GB2312"/>
          <w:sz w:val="32"/>
          <w:szCs w:val="32"/>
          <w:lang w:val="en-US" w:eastAsia="zh-CN"/>
        </w:rPr>
        <w:t>（包括实行公务员管理的事业单位）</w:t>
      </w:r>
      <w:r>
        <w:rPr>
          <w:rFonts w:hint="eastAsia" w:ascii="Times New Roman" w:hAnsi="Times New Roman" w:eastAsia="仿宋_GB2312" w:cs="仿宋_GB2312"/>
          <w:color w:val="auto"/>
          <w:kern w:val="2"/>
          <w:sz w:val="32"/>
          <w:szCs w:val="32"/>
          <w:highlight w:val="none"/>
          <w:lang w:val="en-US" w:eastAsia="zh-CN" w:bidi="ar-SA"/>
        </w:rPr>
        <w:t>基本医疗保险缴费经费，未参加医疗保险的行政单位的公费医疗经费，按国家规定享受离休人员、红军老战士待遇人员的医疗经费。</w:t>
      </w:r>
    </w:p>
    <w:p w14:paraId="4D4201F2">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卫生健康（类）行政事业单位医疗（款）事业单位医疗（项）：指财政部门安排的事业单位基本医疗保险缴费经费，未参加医疗保险的事业单位的公费医疗经费，按国家规定享受离休人员待遇的医疗经费。</w:t>
      </w:r>
    </w:p>
    <w:p w14:paraId="27B05ED6">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卫生健康（类）行政事业单位医疗（款）公务员医疗补助（项）：指财政部门安排的公务员医疗补助经费。</w:t>
      </w:r>
    </w:p>
    <w:p w14:paraId="4758111A">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default" w:eastAsia="仿宋_GB2312"/>
          <w:sz w:val="32"/>
          <w:szCs w:val="32"/>
          <w:lang w:val="en-US" w:eastAsia="zh-CN"/>
        </w:rPr>
      </w:pP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住房保障（类）住房改革支出（款）住房公积金（项）：指行政事业单位按人力资源和社会保障部、财政部规定的基本工资和津贴补贴以及规定比例为职工缴纳的住房公积金。</w:t>
      </w:r>
    </w:p>
    <w:p w14:paraId="55E9F5D0">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.基本支出：指</w:t>
      </w:r>
      <w:r>
        <w:rPr>
          <w:rFonts w:hint="eastAsia" w:ascii="仿宋_GB2312" w:eastAsia="仿宋_GB2312"/>
          <w:sz w:val="32"/>
          <w:szCs w:val="32"/>
        </w:rPr>
        <w:t>为保障机构正常运转、完成日常工作任务而发生的人员支出和公用支出。</w:t>
      </w:r>
    </w:p>
    <w:p w14:paraId="6FA81A36">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707374B0">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23468A">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A39133">
      <w:pPr>
        <w:pStyle w:val="3"/>
        <w:keepNext/>
        <w:keepLines/>
        <w:pageBreakBefore w:val="0"/>
        <w:widowControl w:val="0"/>
        <w:kinsoku/>
        <w:wordWrap/>
        <w:overflowPunct/>
        <w:topLinePunct w:val="0"/>
        <w:autoSpaceDE/>
        <w:autoSpaceDN/>
        <w:bidi w:val="0"/>
        <w:adjustRightInd/>
        <w:snapToGrid/>
        <w:spacing w:before="0" w:line="579" w:lineRule="auto"/>
        <w:jc w:val="center"/>
        <w:textAlignment w:val="auto"/>
        <w:rPr>
          <w:rStyle w:val="29"/>
          <w:rFonts w:eastAsia="黑体"/>
          <w:b w:val="0"/>
          <w:bCs/>
        </w:rPr>
      </w:pPr>
      <w:bookmarkStart w:id="51" w:name="_Toc15377226"/>
      <w:r>
        <w:rPr>
          <w:rFonts w:hint="eastAsia" w:eastAsia="仿宋_GB2312" w:cs="仿宋_GB2312"/>
          <w:sz w:val="32"/>
          <w:szCs w:val="32"/>
        </w:rPr>
        <w:br w:type="page"/>
      </w:r>
      <w:bookmarkStart w:id="52" w:name="_Toc15396614"/>
      <w:r>
        <w:rPr>
          <w:rFonts w:hint="eastAsia" w:eastAsia="方正小标宋简体" w:cs="方正小标宋简体"/>
          <w:b w:val="0"/>
        </w:rPr>
        <w:t>第四部分  附件</w:t>
      </w:r>
      <w:bookmarkEnd w:id="52"/>
    </w:p>
    <w:p w14:paraId="65C22F16">
      <w:pPr>
        <w:pStyle w:val="7"/>
        <w:spacing w:line="560"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2025年度部门预算项目支出绩效自评表（见附件）</w:t>
      </w:r>
    </w:p>
    <w:p w14:paraId="3C5B94D1">
      <w:pPr>
        <w:spacing w:line="572" w:lineRule="exact"/>
        <w:jc w:val="left"/>
        <w:outlineLvl w:val="0"/>
        <w:rPr>
          <w:rFonts w:eastAsia="仿宋_GB2312" w:cs="仿宋_GB2312"/>
          <w:kern w:val="0"/>
          <w:sz w:val="32"/>
          <w:szCs w:val="32"/>
        </w:rPr>
      </w:pPr>
    </w:p>
    <w:p w14:paraId="79830754">
      <w:pPr>
        <w:spacing w:line="578" w:lineRule="exact"/>
        <w:ind w:firstLine="640"/>
        <w:rPr>
          <w:rFonts w:hint="eastAsia" w:eastAsia="仿宋_GB2312" w:cs="仿宋_GB2312"/>
          <w:kern w:val="0"/>
          <w:sz w:val="32"/>
          <w:szCs w:val="32"/>
        </w:rPr>
      </w:pPr>
      <w:bookmarkStart w:id="53" w:name="_Toc15396618"/>
      <w:r>
        <w:rPr>
          <w:rFonts w:hint="eastAsia" w:eastAsia="仿宋_GB2312" w:cs="仿宋_GB2312"/>
          <w:kern w:val="0"/>
          <w:sz w:val="32"/>
          <w:szCs w:val="32"/>
        </w:rPr>
        <w:br w:type="page"/>
      </w:r>
    </w:p>
    <w:p w14:paraId="6600F4A5">
      <w:pPr>
        <w:pStyle w:val="3"/>
        <w:jc w:val="center"/>
        <w:rPr>
          <w:rFonts w:eastAsia="仿宋_GB2312" w:cs="仿宋_GB2312"/>
          <w:sz w:val="32"/>
          <w:szCs w:val="32"/>
        </w:rPr>
      </w:pPr>
      <w:r>
        <w:rPr>
          <w:rFonts w:hint="eastAsia" w:eastAsia="方正小标宋简体" w:cs="方正小标宋简体"/>
          <w:b w:val="0"/>
        </w:rPr>
        <w:t>第五部分 附表</w:t>
      </w:r>
      <w:bookmarkEnd w:id="51"/>
      <w:bookmarkEnd w:id="53"/>
      <w:bookmarkStart w:id="54" w:name="_Toc15396619"/>
    </w:p>
    <w:p w14:paraId="4D86BD30">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4"/>
    </w:p>
    <w:p w14:paraId="04C6F8AD">
      <w:pPr>
        <w:pStyle w:val="14"/>
        <w:adjustRightInd w:val="0"/>
        <w:snapToGrid w:val="0"/>
        <w:spacing w:line="560" w:lineRule="exact"/>
        <w:jc w:val="left"/>
        <w:rPr>
          <w:rFonts w:eastAsia="仿宋_GB2312" w:cs="仿宋_GB2312"/>
          <w:sz w:val="32"/>
          <w:szCs w:val="32"/>
        </w:rPr>
      </w:pPr>
      <w:bookmarkStart w:id="55" w:name="_Toc15396620"/>
      <w:r>
        <w:rPr>
          <w:rFonts w:hint="eastAsia" w:eastAsia="仿宋_GB2312" w:cs="仿宋_GB2312"/>
          <w:sz w:val="32"/>
          <w:szCs w:val="32"/>
        </w:rPr>
        <w:t>二、收入决算表</w:t>
      </w:r>
      <w:bookmarkEnd w:id="55"/>
    </w:p>
    <w:p w14:paraId="035BBA9E">
      <w:pPr>
        <w:pStyle w:val="14"/>
        <w:adjustRightInd w:val="0"/>
        <w:snapToGrid w:val="0"/>
        <w:spacing w:line="560" w:lineRule="exact"/>
        <w:jc w:val="left"/>
        <w:rPr>
          <w:rFonts w:eastAsia="仿宋_GB2312" w:cs="仿宋_GB2312"/>
          <w:sz w:val="32"/>
          <w:szCs w:val="32"/>
        </w:rPr>
      </w:pPr>
      <w:bookmarkStart w:id="56" w:name="_Toc15396621"/>
      <w:r>
        <w:rPr>
          <w:rFonts w:hint="eastAsia" w:eastAsia="仿宋_GB2312" w:cs="仿宋_GB2312"/>
          <w:sz w:val="32"/>
          <w:szCs w:val="32"/>
        </w:rPr>
        <w:t>三、支出决算表</w:t>
      </w:r>
      <w:bookmarkEnd w:id="56"/>
    </w:p>
    <w:p w14:paraId="75EC2ED7">
      <w:pPr>
        <w:pStyle w:val="14"/>
        <w:adjustRightInd w:val="0"/>
        <w:snapToGrid w:val="0"/>
        <w:spacing w:line="560" w:lineRule="exact"/>
        <w:jc w:val="left"/>
        <w:rPr>
          <w:rFonts w:eastAsia="仿宋_GB2312" w:cs="仿宋_GB2312"/>
          <w:sz w:val="32"/>
          <w:szCs w:val="32"/>
        </w:rPr>
      </w:pPr>
      <w:bookmarkStart w:id="57" w:name="_Toc15396622"/>
      <w:r>
        <w:rPr>
          <w:rFonts w:hint="eastAsia" w:eastAsia="仿宋_GB2312" w:cs="仿宋_GB2312"/>
          <w:sz w:val="32"/>
          <w:szCs w:val="32"/>
        </w:rPr>
        <w:t>四、财政拨款收入支出决算总表</w:t>
      </w:r>
      <w:bookmarkEnd w:id="57"/>
    </w:p>
    <w:p w14:paraId="6D0DDA14">
      <w:pPr>
        <w:pStyle w:val="14"/>
        <w:adjustRightInd w:val="0"/>
        <w:snapToGrid w:val="0"/>
        <w:spacing w:line="560" w:lineRule="exact"/>
        <w:jc w:val="left"/>
        <w:rPr>
          <w:rFonts w:eastAsia="仿宋_GB2312" w:cs="仿宋_GB2312"/>
          <w:sz w:val="32"/>
          <w:szCs w:val="32"/>
        </w:rPr>
      </w:pPr>
      <w:bookmarkStart w:id="58" w:name="_Toc15396623"/>
      <w:r>
        <w:rPr>
          <w:rFonts w:hint="eastAsia" w:eastAsia="仿宋_GB2312" w:cs="仿宋_GB2312"/>
          <w:sz w:val="32"/>
          <w:szCs w:val="32"/>
        </w:rPr>
        <w:t>五、财政拨款支出决算明细表</w:t>
      </w:r>
      <w:bookmarkEnd w:id="58"/>
      <w:bookmarkStart w:id="59" w:name="_Toc15396624"/>
    </w:p>
    <w:p w14:paraId="6D475C43">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9"/>
    </w:p>
    <w:p w14:paraId="215A6ADC">
      <w:pPr>
        <w:pStyle w:val="14"/>
        <w:adjustRightInd w:val="0"/>
        <w:snapToGrid w:val="0"/>
        <w:spacing w:line="560" w:lineRule="exact"/>
        <w:jc w:val="left"/>
        <w:rPr>
          <w:rFonts w:eastAsia="仿宋_GB2312" w:cs="仿宋_GB2312"/>
          <w:sz w:val="32"/>
          <w:szCs w:val="32"/>
        </w:rPr>
      </w:pPr>
      <w:bookmarkStart w:id="60" w:name="_Toc15396625"/>
      <w:r>
        <w:rPr>
          <w:rFonts w:hint="eastAsia" w:eastAsia="仿宋_GB2312" w:cs="仿宋_GB2312"/>
          <w:sz w:val="32"/>
          <w:szCs w:val="32"/>
        </w:rPr>
        <w:t>七、一般公共预算财政拨款支出决算明细表</w:t>
      </w:r>
      <w:bookmarkEnd w:id="60"/>
    </w:p>
    <w:p w14:paraId="4823930B">
      <w:pPr>
        <w:pStyle w:val="14"/>
        <w:adjustRightInd w:val="0"/>
        <w:snapToGrid w:val="0"/>
        <w:spacing w:line="560" w:lineRule="exact"/>
        <w:jc w:val="left"/>
        <w:rPr>
          <w:rFonts w:eastAsia="仿宋_GB2312" w:cs="仿宋_GB2312"/>
          <w:sz w:val="32"/>
          <w:szCs w:val="32"/>
        </w:rPr>
      </w:pPr>
      <w:bookmarkStart w:id="61" w:name="_Toc15396626"/>
      <w:r>
        <w:rPr>
          <w:rFonts w:hint="eastAsia" w:eastAsia="仿宋_GB2312" w:cs="仿宋_GB2312"/>
          <w:sz w:val="32"/>
          <w:szCs w:val="32"/>
        </w:rPr>
        <w:t>八、一般公共预算财政拨款基本支出决算表</w:t>
      </w:r>
      <w:bookmarkEnd w:id="61"/>
    </w:p>
    <w:p w14:paraId="6808DFF3">
      <w:pPr>
        <w:pStyle w:val="14"/>
        <w:adjustRightInd w:val="0"/>
        <w:snapToGrid w:val="0"/>
        <w:spacing w:line="560" w:lineRule="exact"/>
        <w:jc w:val="left"/>
        <w:rPr>
          <w:rFonts w:eastAsia="仿宋_GB2312" w:cs="仿宋_GB2312"/>
          <w:sz w:val="32"/>
          <w:szCs w:val="32"/>
        </w:rPr>
      </w:pPr>
      <w:bookmarkStart w:id="62" w:name="_Toc15396627"/>
      <w:r>
        <w:rPr>
          <w:rFonts w:hint="eastAsia" w:eastAsia="仿宋_GB2312" w:cs="仿宋_GB2312"/>
          <w:sz w:val="32"/>
          <w:szCs w:val="32"/>
        </w:rPr>
        <w:t>九、一般公共预算财政拨款项目支出决算表</w:t>
      </w:r>
      <w:bookmarkEnd w:id="62"/>
    </w:p>
    <w:p w14:paraId="456DB0B5">
      <w:pPr>
        <w:pStyle w:val="14"/>
        <w:adjustRightInd w:val="0"/>
        <w:snapToGrid w:val="0"/>
        <w:spacing w:line="560" w:lineRule="exact"/>
        <w:jc w:val="left"/>
        <w:rPr>
          <w:rFonts w:eastAsia="仿宋_GB2312" w:cs="仿宋_GB2312"/>
          <w:sz w:val="32"/>
          <w:szCs w:val="32"/>
        </w:rPr>
      </w:pPr>
      <w:bookmarkStart w:id="63" w:name="_Toc15396628"/>
      <w:r>
        <w:rPr>
          <w:rFonts w:hint="eastAsia" w:eastAsia="仿宋_GB2312" w:cs="仿宋_GB2312"/>
          <w:sz w:val="32"/>
          <w:szCs w:val="32"/>
        </w:rPr>
        <w:t>十、</w:t>
      </w:r>
      <w:bookmarkEnd w:id="63"/>
      <w:r>
        <w:rPr>
          <w:rFonts w:hint="eastAsia" w:eastAsia="仿宋_GB2312" w:cs="仿宋_GB2312"/>
          <w:sz w:val="32"/>
          <w:szCs w:val="32"/>
        </w:rPr>
        <w:t>政府性基金预算财政拨款收入支出决算表</w:t>
      </w:r>
    </w:p>
    <w:p w14:paraId="5ECF4C26">
      <w:pPr>
        <w:pStyle w:val="14"/>
        <w:adjustRightInd w:val="0"/>
        <w:snapToGrid w:val="0"/>
        <w:spacing w:line="560" w:lineRule="exact"/>
        <w:jc w:val="left"/>
        <w:rPr>
          <w:rFonts w:eastAsia="仿宋_GB2312" w:cs="仿宋_GB2312"/>
          <w:sz w:val="32"/>
          <w:szCs w:val="32"/>
        </w:rPr>
      </w:pPr>
      <w:bookmarkStart w:id="64" w:name="_Toc15396629"/>
      <w:r>
        <w:rPr>
          <w:rFonts w:hint="eastAsia" w:eastAsia="仿宋_GB2312" w:cs="仿宋_GB2312"/>
          <w:sz w:val="32"/>
          <w:szCs w:val="32"/>
        </w:rPr>
        <w:t>十一、</w:t>
      </w:r>
      <w:bookmarkEnd w:id="64"/>
      <w:r>
        <w:rPr>
          <w:rFonts w:hint="eastAsia" w:eastAsia="仿宋_GB2312" w:cs="仿宋_GB2312"/>
          <w:sz w:val="32"/>
          <w:szCs w:val="32"/>
        </w:rPr>
        <w:t>国有资本经营预算财政拨款收入支出决算表</w:t>
      </w:r>
    </w:p>
    <w:p w14:paraId="028C5EC4">
      <w:pPr>
        <w:pStyle w:val="14"/>
        <w:adjustRightInd w:val="0"/>
        <w:snapToGrid w:val="0"/>
        <w:spacing w:line="560" w:lineRule="exact"/>
        <w:jc w:val="left"/>
        <w:rPr>
          <w:rFonts w:eastAsia="仿宋_GB2312" w:cs="仿宋_GB2312"/>
          <w:sz w:val="32"/>
          <w:szCs w:val="32"/>
        </w:rPr>
      </w:pPr>
      <w:bookmarkStart w:id="65" w:name="_Toc15396630"/>
      <w:r>
        <w:rPr>
          <w:rFonts w:hint="eastAsia" w:eastAsia="仿宋_GB2312" w:cs="仿宋_GB2312"/>
          <w:sz w:val="32"/>
          <w:szCs w:val="32"/>
        </w:rPr>
        <w:t>十二、</w:t>
      </w:r>
      <w:bookmarkEnd w:id="65"/>
      <w:r>
        <w:rPr>
          <w:rFonts w:hint="eastAsia" w:eastAsia="仿宋_GB2312" w:cs="仿宋_GB2312"/>
          <w:sz w:val="32"/>
          <w:szCs w:val="32"/>
        </w:rPr>
        <w:t>国有资本经营预算财政拨款支出决算表</w:t>
      </w:r>
    </w:p>
    <w:p w14:paraId="7CEA69A4">
      <w:pPr>
        <w:pStyle w:val="14"/>
        <w:adjustRightInd w:val="0"/>
        <w:snapToGrid w:val="0"/>
        <w:spacing w:line="560" w:lineRule="exact"/>
        <w:jc w:val="left"/>
        <w:rPr>
          <w:rFonts w:eastAsia="仿宋_GB2312" w:cs="仿宋_GB2312"/>
          <w:sz w:val="32"/>
          <w:szCs w:val="32"/>
        </w:rPr>
      </w:pPr>
      <w:bookmarkStart w:id="66" w:name="_Toc15396631"/>
      <w:r>
        <w:rPr>
          <w:rFonts w:hint="eastAsia" w:eastAsia="仿宋_GB2312" w:cs="仿宋_GB2312"/>
          <w:sz w:val="32"/>
          <w:szCs w:val="32"/>
        </w:rPr>
        <w:t>十三、</w:t>
      </w:r>
      <w:bookmarkEnd w:id="66"/>
      <w:r>
        <w:rPr>
          <w:rFonts w:hint="eastAsia" w:eastAsia="仿宋_GB2312" w:cs="仿宋_GB2312"/>
          <w:sz w:val="32"/>
          <w:szCs w:val="32"/>
        </w:rPr>
        <w:t>财政拨款“三公”经费支出决算表</w:t>
      </w:r>
    </w:p>
    <w:p w14:paraId="042B2F05"/>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8695E">
    <w:pPr>
      <w:pStyle w:val="10"/>
      <w:jc w:val="center"/>
    </w:pPr>
  </w:p>
  <w:p w14:paraId="1B9189E7">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C865">
    <w:pPr>
      <w:pStyle w:val="10"/>
      <w:jc w:val="center"/>
    </w:pPr>
  </w:p>
  <w:p w14:paraId="47E8AE1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D9860">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8EF0">
    <w:pPr>
      <w:pStyle w:val="10"/>
      <w:jc w:val="center"/>
    </w:pPr>
  </w:p>
  <w:p w14:paraId="5A85ECA5">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67D20">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007D5">
                          <w:pPr>
                            <w:pStyle w:val="10"/>
                          </w:pPr>
                          <w:r>
                            <w:rPr>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96007D5">
                    <w:pPr>
                      <w:pStyle w:val="10"/>
                    </w:pPr>
                    <w:r>
                      <w:rPr>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28"/>
                        <w:szCs w:val="28"/>
                      </w:rPr>
                      <w:t>—</w:t>
                    </w:r>
                  </w:p>
                </w:txbxContent>
              </v:textbox>
            </v:shape>
          </w:pict>
        </mc:Fallback>
      </mc:AlternateContent>
    </w:r>
  </w:p>
  <w:p w14:paraId="45C98F80">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29E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74748"/>
    <w:multiLevelType w:val="singleLevel"/>
    <w:tmpl w:val="2217474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5789"/>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18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36C9"/>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9B1886"/>
    <w:rsid w:val="01B36BD0"/>
    <w:rsid w:val="01DF5B9F"/>
    <w:rsid w:val="01EC0334"/>
    <w:rsid w:val="01F80A87"/>
    <w:rsid w:val="02317B1B"/>
    <w:rsid w:val="028E4F47"/>
    <w:rsid w:val="02FEBE30"/>
    <w:rsid w:val="035F5F6F"/>
    <w:rsid w:val="036A7762"/>
    <w:rsid w:val="03852AC0"/>
    <w:rsid w:val="03EA2651"/>
    <w:rsid w:val="04096F7B"/>
    <w:rsid w:val="04463D2B"/>
    <w:rsid w:val="047D5273"/>
    <w:rsid w:val="04B0389B"/>
    <w:rsid w:val="04BD38C2"/>
    <w:rsid w:val="04C83EAE"/>
    <w:rsid w:val="04DA26C6"/>
    <w:rsid w:val="0520207F"/>
    <w:rsid w:val="05B80C59"/>
    <w:rsid w:val="05B922DB"/>
    <w:rsid w:val="06147E59"/>
    <w:rsid w:val="061E35DE"/>
    <w:rsid w:val="066E0107"/>
    <w:rsid w:val="06982838"/>
    <w:rsid w:val="07106873"/>
    <w:rsid w:val="073A2FF5"/>
    <w:rsid w:val="07996F6E"/>
    <w:rsid w:val="07D433FC"/>
    <w:rsid w:val="07DFD8BA"/>
    <w:rsid w:val="080A32C2"/>
    <w:rsid w:val="08713341"/>
    <w:rsid w:val="08A41020"/>
    <w:rsid w:val="08DA7138"/>
    <w:rsid w:val="08DB07E4"/>
    <w:rsid w:val="08E81855"/>
    <w:rsid w:val="08FF26FB"/>
    <w:rsid w:val="093C74AB"/>
    <w:rsid w:val="09867E8F"/>
    <w:rsid w:val="099472E7"/>
    <w:rsid w:val="0A2032A3"/>
    <w:rsid w:val="0A474359"/>
    <w:rsid w:val="0AFB3396"/>
    <w:rsid w:val="0B63010D"/>
    <w:rsid w:val="0B8213C1"/>
    <w:rsid w:val="0B82302D"/>
    <w:rsid w:val="0B837613"/>
    <w:rsid w:val="0BB27EF8"/>
    <w:rsid w:val="0BBA6DAD"/>
    <w:rsid w:val="0BE471D5"/>
    <w:rsid w:val="0C6C4794"/>
    <w:rsid w:val="0CA8290A"/>
    <w:rsid w:val="0CB47E1D"/>
    <w:rsid w:val="0CE761E2"/>
    <w:rsid w:val="0D0E73B0"/>
    <w:rsid w:val="0D1B1ACD"/>
    <w:rsid w:val="0D35B1ED"/>
    <w:rsid w:val="0D562211"/>
    <w:rsid w:val="0D735465"/>
    <w:rsid w:val="0DE07E2B"/>
    <w:rsid w:val="0E211365"/>
    <w:rsid w:val="0EA004DC"/>
    <w:rsid w:val="0F98263C"/>
    <w:rsid w:val="0FBC1346"/>
    <w:rsid w:val="0FCB1589"/>
    <w:rsid w:val="101860EC"/>
    <w:rsid w:val="107E71FC"/>
    <w:rsid w:val="109127D2"/>
    <w:rsid w:val="10C055FF"/>
    <w:rsid w:val="11345108"/>
    <w:rsid w:val="11717F0E"/>
    <w:rsid w:val="11772AA4"/>
    <w:rsid w:val="118107EC"/>
    <w:rsid w:val="11AD363C"/>
    <w:rsid w:val="121D3C9E"/>
    <w:rsid w:val="12371157"/>
    <w:rsid w:val="12521AED"/>
    <w:rsid w:val="13160D6D"/>
    <w:rsid w:val="139C47A2"/>
    <w:rsid w:val="13AD455F"/>
    <w:rsid w:val="13BB1914"/>
    <w:rsid w:val="13CB7DA9"/>
    <w:rsid w:val="13D50BC4"/>
    <w:rsid w:val="13D77479"/>
    <w:rsid w:val="13E10C14"/>
    <w:rsid w:val="13F310AE"/>
    <w:rsid w:val="14022904"/>
    <w:rsid w:val="14157276"/>
    <w:rsid w:val="143A4F2F"/>
    <w:rsid w:val="144731A8"/>
    <w:rsid w:val="146855F8"/>
    <w:rsid w:val="1477721D"/>
    <w:rsid w:val="14E07884"/>
    <w:rsid w:val="152A4FA3"/>
    <w:rsid w:val="152F2A07"/>
    <w:rsid w:val="158C17BA"/>
    <w:rsid w:val="158F2596"/>
    <w:rsid w:val="15E329A1"/>
    <w:rsid w:val="165E0673"/>
    <w:rsid w:val="16BB723D"/>
    <w:rsid w:val="16DA0303"/>
    <w:rsid w:val="16E15B36"/>
    <w:rsid w:val="17606A5A"/>
    <w:rsid w:val="1800023D"/>
    <w:rsid w:val="18095344"/>
    <w:rsid w:val="18324601"/>
    <w:rsid w:val="183C2FAA"/>
    <w:rsid w:val="184254E6"/>
    <w:rsid w:val="186504BB"/>
    <w:rsid w:val="18716A45"/>
    <w:rsid w:val="18A312F5"/>
    <w:rsid w:val="18B3705E"/>
    <w:rsid w:val="18CD45C3"/>
    <w:rsid w:val="18F513FD"/>
    <w:rsid w:val="1921046B"/>
    <w:rsid w:val="1938089F"/>
    <w:rsid w:val="19516FA3"/>
    <w:rsid w:val="195C5947"/>
    <w:rsid w:val="198831A3"/>
    <w:rsid w:val="198A7DBF"/>
    <w:rsid w:val="19A445FC"/>
    <w:rsid w:val="19C01A32"/>
    <w:rsid w:val="19CF7B3E"/>
    <w:rsid w:val="19D76D7C"/>
    <w:rsid w:val="1A045DC3"/>
    <w:rsid w:val="1A147FD0"/>
    <w:rsid w:val="1A4408B5"/>
    <w:rsid w:val="1A5403CD"/>
    <w:rsid w:val="1A7620CB"/>
    <w:rsid w:val="1B0B13D3"/>
    <w:rsid w:val="1B522B5E"/>
    <w:rsid w:val="1B6B1E72"/>
    <w:rsid w:val="1B7D550C"/>
    <w:rsid w:val="1BA15893"/>
    <w:rsid w:val="1BE8440E"/>
    <w:rsid w:val="1C073948"/>
    <w:rsid w:val="1C9D42AD"/>
    <w:rsid w:val="1CB65C87"/>
    <w:rsid w:val="1D155CEE"/>
    <w:rsid w:val="1D2B18B9"/>
    <w:rsid w:val="1D682B0D"/>
    <w:rsid w:val="1D927B8A"/>
    <w:rsid w:val="1DB21FDA"/>
    <w:rsid w:val="1DB96EC4"/>
    <w:rsid w:val="1DC1221D"/>
    <w:rsid w:val="1DCA7323"/>
    <w:rsid w:val="1DCF493A"/>
    <w:rsid w:val="1E740ACF"/>
    <w:rsid w:val="1EDF0BAD"/>
    <w:rsid w:val="1F3A4035"/>
    <w:rsid w:val="1F3A5DE3"/>
    <w:rsid w:val="1F7A2683"/>
    <w:rsid w:val="1FDA1374"/>
    <w:rsid w:val="1FDE6ACD"/>
    <w:rsid w:val="1FF35744"/>
    <w:rsid w:val="1FF6BC77"/>
    <w:rsid w:val="201725C8"/>
    <w:rsid w:val="204131A1"/>
    <w:rsid w:val="20AC2D10"/>
    <w:rsid w:val="20E406FC"/>
    <w:rsid w:val="2130749E"/>
    <w:rsid w:val="215238B8"/>
    <w:rsid w:val="216B497A"/>
    <w:rsid w:val="217A2E0F"/>
    <w:rsid w:val="21962A9E"/>
    <w:rsid w:val="21AE7C77"/>
    <w:rsid w:val="21C203FF"/>
    <w:rsid w:val="22941CAE"/>
    <w:rsid w:val="22BA5A10"/>
    <w:rsid w:val="22BC3C41"/>
    <w:rsid w:val="23264CAF"/>
    <w:rsid w:val="23860B96"/>
    <w:rsid w:val="240371BF"/>
    <w:rsid w:val="24661428"/>
    <w:rsid w:val="24AD52A9"/>
    <w:rsid w:val="24B228BF"/>
    <w:rsid w:val="251F61A7"/>
    <w:rsid w:val="2536529E"/>
    <w:rsid w:val="255120D8"/>
    <w:rsid w:val="256E67E6"/>
    <w:rsid w:val="258E2493"/>
    <w:rsid w:val="25DE1BBE"/>
    <w:rsid w:val="25EB42DB"/>
    <w:rsid w:val="26040EF9"/>
    <w:rsid w:val="260D4251"/>
    <w:rsid w:val="260F557C"/>
    <w:rsid w:val="2670658E"/>
    <w:rsid w:val="26961EDB"/>
    <w:rsid w:val="26CC7C68"/>
    <w:rsid w:val="26EF1BA9"/>
    <w:rsid w:val="27975217"/>
    <w:rsid w:val="27F37477"/>
    <w:rsid w:val="281408E2"/>
    <w:rsid w:val="2849353B"/>
    <w:rsid w:val="28C8445F"/>
    <w:rsid w:val="28DC615D"/>
    <w:rsid w:val="29347D47"/>
    <w:rsid w:val="29FD04D3"/>
    <w:rsid w:val="2A0B6CFA"/>
    <w:rsid w:val="2A127CEE"/>
    <w:rsid w:val="2A88034A"/>
    <w:rsid w:val="2A9F38E6"/>
    <w:rsid w:val="2A9F5694"/>
    <w:rsid w:val="2AAD7DB1"/>
    <w:rsid w:val="2AD0584D"/>
    <w:rsid w:val="2AD74E2E"/>
    <w:rsid w:val="2B104EBA"/>
    <w:rsid w:val="2B522706"/>
    <w:rsid w:val="2B6A7A50"/>
    <w:rsid w:val="2BB533C1"/>
    <w:rsid w:val="2BB84C5F"/>
    <w:rsid w:val="2BBB35F8"/>
    <w:rsid w:val="2BC41856"/>
    <w:rsid w:val="2BFF7BC6"/>
    <w:rsid w:val="2C4A1610"/>
    <w:rsid w:val="2C4B7881"/>
    <w:rsid w:val="2C8A61B5"/>
    <w:rsid w:val="2D2E01CF"/>
    <w:rsid w:val="2D99286E"/>
    <w:rsid w:val="2DD23250"/>
    <w:rsid w:val="2DE27D71"/>
    <w:rsid w:val="2DF04E50"/>
    <w:rsid w:val="2DFD4BAB"/>
    <w:rsid w:val="2E2C36E3"/>
    <w:rsid w:val="2E5549E7"/>
    <w:rsid w:val="2E7159A4"/>
    <w:rsid w:val="2E7C01C6"/>
    <w:rsid w:val="2E9545B0"/>
    <w:rsid w:val="2E9E4C91"/>
    <w:rsid w:val="2EAB2859"/>
    <w:rsid w:val="2EC8340B"/>
    <w:rsid w:val="2F013082"/>
    <w:rsid w:val="2F040D46"/>
    <w:rsid w:val="2F7A28C0"/>
    <w:rsid w:val="2FA71273"/>
    <w:rsid w:val="2FAE5751"/>
    <w:rsid w:val="2FB1A395"/>
    <w:rsid w:val="2FB32722"/>
    <w:rsid w:val="2FD933F6"/>
    <w:rsid w:val="2FD9A7D8"/>
    <w:rsid w:val="303A20E7"/>
    <w:rsid w:val="30446AC1"/>
    <w:rsid w:val="30A12166"/>
    <w:rsid w:val="30BD0622"/>
    <w:rsid w:val="30EB33E1"/>
    <w:rsid w:val="31124E12"/>
    <w:rsid w:val="312A215B"/>
    <w:rsid w:val="313A23B6"/>
    <w:rsid w:val="313E5C07"/>
    <w:rsid w:val="3150593A"/>
    <w:rsid w:val="31666F0B"/>
    <w:rsid w:val="316D3DF6"/>
    <w:rsid w:val="3186310A"/>
    <w:rsid w:val="319F7F4E"/>
    <w:rsid w:val="321B2544"/>
    <w:rsid w:val="325A6A70"/>
    <w:rsid w:val="326C67A3"/>
    <w:rsid w:val="327F64D7"/>
    <w:rsid w:val="32BA750F"/>
    <w:rsid w:val="32C4213C"/>
    <w:rsid w:val="32CB34CA"/>
    <w:rsid w:val="32D0288E"/>
    <w:rsid w:val="32EC51EE"/>
    <w:rsid w:val="3304709D"/>
    <w:rsid w:val="33185FE3"/>
    <w:rsid w:val="331C3D26"/>
    <w:rsid w:val="33C817B8"/>
    <w:rsid w:val="34056568"/>
    <w:rsid w:val="34256ACA"/>
    <w:rsid w:val="34281836"/>
    <w:rsid w:val="345E211C"/>
    <w:rsid w:val="34840650"/>
    <w:rsid w:val="348A2F11"/>
    <w:rsid w:val="349D6851"/>
    <w:rsid w:val="34C2779C"/>
    <w:rsid w:val="34E40873"/>
    <w:rsid w:val="34FA1E45"/>
    <w:rsid w:val="35BA6CAF"/>
    <w:rsid w:val="35BF6BEA"/>
    <w:rsid w:val="35C45D5A"/>
    <w:rsid w:val="35E0728C"/>
    <w:rsid w:val="36372C24"/>
    <w:rsid w:val="364D14C1"/>
    <w:rsid w:val="365E4655"/>
    <w:rsid w:val="36AA5135"/>
    <w:rsid w:val="36BE0DA7"/>
    <w:rsid w:val="36E0150E"/>
    <w:rsid w:val="375872F6"/>
    <w:rsid w:val="376B6AA6"/>
    <w:rsid w:val="376D39B2"/>
    <w:rsid w:val="37AD14CB"/>
    <w:rsid w:val="37AE6F16"/>
    <w:rsid w:val="37E16F03"/>
    <w:rsid w:val="37F53A3B"/>
    <w:rsid w:val="37FE7E9E"/>
    <w:rsid w:val="38107BD1"/>
    <w:rsid w:val="38194CD8"/>
    <w:rsid w:val="38593326"/>
    <w:rsid w:val="387305DE"/>
    <w:rsid w:val="389B6C89"/>
    <w:rsid w:val="38D469F0"/>
    <w:rsid w:val="39161217"/>
    <w:rsid w:val="39487399"/>
    <w:rsid w:val="39627CCD"/>
    <w:rsid w:val="397321C6"/>
    <w:rsid w:val="397BAF1F"/>
    <w:rsid w:val="3A541FF7"/>
    <w:rsid w:val="3A6A181A"/>
    <w:rsid w:val="3AB79AF3"/>
    <w:rsid w:val="3ACA22B9"/>
    <w:rsid w:val="3B7B35B3"/>
    <w:rsid w:val="3B7EF35A"/>
    <w:rsid w:val="3B9FDB6C"/>
    <w:rsid w:val="3BDA29D0"/>
    <w:rsid w:val="3BDF1D94"/>
    <w:rsid w:val="3BE253E0"/>
    <w:rsid w:val="3BF5BC2F"/>
    <w:rsid w:val="3C137C90"/>
    <w:rsid w:val="3C1A2DCC"/>
    <w:rsid w:val="3C2B322B"/>
    <w:rsid w:val="3C5076DE"/>
    <w:rsid w:val="3C8D17F0"/>
    <w:rsid w:val="3CA01523"/>
    <w:rsid w:val="3CDB255C"/>
    <w:rsid w:val="3CE27D8E"/>
    <w:rsid w:val="3CEBA265"/>
    <w:rsid w:val="3D406863"/>
    <w:rsid w:val="3D453E79"/>
    <w:rsid w:val="3D492553"/>
    <w:rsid w:val="3D98207C"/>
    <w:rsid w:val="3D9B0D99"/>
    <w:rsid w:val="3DC15BF5"/>
    <w:rsid w:val="3DD27DCA"/>
    <w:rsid w:val="3DEE7CF3"/>
    <w:rsid w:val="3DF02244"/>
    <w:rsid w:val="3DFF04CC"/>
    <w:rsid w:val="3E0930F8"/>
    <w:rsid w:val="3E2145BE"/>
    <w:rsid w:val="3E78745D"/>
    <w:rsid w:val="3E7C1B1C"/>
    <w:rsid w:val="3E8F29C3"/>
    <w:rsid w:val="3EA82911"/>
    <w:rsid w:val="3ED06862"/>
    <w:rsid w:val="3EFE4C27"/>
    <w:rsid w:val="3F5B7984"/>
    <w:rsid w:val="3F6B6B97"/>
    <w:rsid w:val="3F6E3B5B"/>
    <w:rsid w:val="3F9B06C8"/>
    <w:rsid w:val="3FD17C46"/>
    <w:rsid w:val="3FD81746"/>
    <w:rsid w:val="3FDF2363"/>
    <w:rsid w:val="3FF1653A"/>
    <w:rsid w:val="3FF4CAE0"/>
    <w:rsid w:val="3FF7B227"/>
    <w:rsid w:val="402B1A4C"/>
    <w:rsid w:val="403E0EAE"/>
    <w:rsid w:val="4044666A"/>
    <w:rsid w:val="40E54C45"/>
    <w:rsid w:val="40F20E21"/>
    <w:rsid w:val="418E2292"/>
    <w:rsid w:val="41A2189A"/>
    <w:rsid w:val="41B17D2F"/>
    <w:rsid w:val="42CB6BCE"/>
    <w:rsid w:val="43282DD1"/>
    <w:rsid w:val="4359067E"/>
    <w:rsid w:val="43947908"/>
    <w:rsid w:val="43A407DF"/>
    <w:rsid w:val="43C875B2"/>
    <w:rsid w:val="442944F4"/>
    <w:rsid w:val="44515BEA"/>
    <w:rsid w:val="44923EBD"/>
    <w:rsid w:val="44E268DA"/>
    <w:rsid w:val="44FF0DB1"/>
    <w:rsid w:val="451231DA"/>
    <w:rsid w:val="453F7E5B"/>
    <w:rsid w:val="454B629C"/>
    <w:rsid w:val="45AB2CE7"/>
    <w:rsid w:val="46044DED"/>
    <w:rsid w:val="46712847"/>
    <w:rsid w:val="46752090"/>
    <w:rsid w:val="46AC0FEB"/>
    <w:rsid w:val="470E5FC8"/>
    <w:rsid w:val="4746716B"/>
    <w:rsid w:val="47581918"/>
    <w:rsid w:val="47584E79"/>
    <w:rsid w:val="47834BAB"/>
    <w:rsid w:val="478D08F6"/>
    <w:rsid w:val="479E0D55"/>
    <w:rsid w:val="47CF53B3"/>
    <w:rsid w:val="47E04ECA"/>
    <w:rsid w:val="482C45B3"/>
    <w:rsid w:val="48651873"/>
    <w:rsid w:val="486A6C7A"/>
    <w:rsid w:val="48B9571B"/>
    <w:rsid w:val="48BF6C4F"/>
    <w:rsid w:val="48DD765B"/>
    <w:rsid w:val="48FC3F85"/>
    <w:rsid w:val="49021819"/>
    <w:rsid w:val="49176D9B"/>
    <w:rsid w:val="49B20AE8"/>
    <w:rsid w:val="49DE18DD"/>
    <w:rsid w:val="49F70781"/>
    <w:rsid w:val="4A627F82"/>
    <w:rsid w:val="4AB663B6"/>
    <w:rsid w:val="4B0E749A"/>
    <w:rsid w:val="4B103D18"/>
    <w:rsid w:val="4B4439C2"/>
    <w:rsid w:val="4B4F25DA"/>
    <w:rsid w:val="4B647BC0"/>
    <w:rsid w:val="4BC30D8B"/>
    <w:rsid w:val="4BDA0CFB"/>
    <w:rsid w:val="4BE068DB"/>
    <w:rsid w:val="4C1B0BC7"/>
    <w:rsid w:val="4C3C7E8C"/>
    <w:rsid w:val="4CD3324F"/>
    <w:rsid w:val="4CF91A61"/>
    <w:rsid w:val="4D355CB8"/>
    <w:rsid w:val="4D3C0CCC"/>
    <w:rsid w:val="4D577224"/>
    <w:rsid w:val="4D75418B"/>
    <w:rsid w:val="4D875DE8"/>
    <w:rsid w:val="4DBF1CEB"/>
    <w:rsid w:val="4DD26E12"/>
    <w:rsid w:val="4DEE5E67"/>
    <w:rsid w:val="4E826A8B"/>
    <w:rsid w:val="4EAA34B4"/>
    <w:rsid w:val="4EAB630A"/>
    <w:rsid w:val="4ECE2238"/>
    <w:rsid w:val="4EF37BD9"/>
    <w:rsid w:val="4F073684"/>
    <w:rsid w:val="4F1162B1"/>
    <w:rsid w:val="4F343D4D"/>
    <w:rsid w:val="4F833267"/>
    <w:rsid w:val="4F8C1DE4"/>
    <w:rsid w:val="4F8E7901"/>
    <w:rsid w:val="4F9C201E"/>
    <w:rsid w:val="4FCD042A"/>
    <w:rsid w:val="4FDF1F0B"/>
    <w:rsid w:val="4FE9BD67"/>
    <w:rsid w:val="4FFB052F"/>
    <w:rsid w:val="50242014"/>
    <w:rsid w:val="50650662"/>
    <w:rsid w:val="506A5C79"/>
    <w:rsid w:val="50964CC0"/>
    <w:rsid w:val="50CD1D3A"/>
    <w:rsid w:val="50E579F5"/>
    <w:rsid w:val="50E83041"/>
    <w:rsid w:val="51C15D6C"/>
    <w:rsid w:val="51C4585C"/>
    <w:rsid w:val="51CB2747"/>
    <w:rsid w:val="51EE4687"/>
    <w:rsid w:val="52EF06B7"/>
    <w:rsid w:val="53083A92"/>
    <w:rsid w:val="533802B0"/>
    <w:rsid w:val="53690469"/>
    <w:rsid w:val="537B019D"/>
    <w:rsid w:val="537E6D0A"/>
    <w:rsid w:val="53AF27A2"/>
    <w:rsid w:val="53B92A73"/>
    <w:rsid w:val="53C47D96"/>
    <w:rsid w:val="53D55AFF"/>
    <w:rsid w:val="53F74C96"/>
    <w:rsid w:val="541B332E"/>
    <w:rsid w:val="54244390"/>
    <w:rsid w:val="54464859"/>
    <w:rsid w:val="546958C1"/>
    <w:rsid w:val="549C486F"/>
    <w:rsid w:val="54E029AD"/>
    <w:rsid w:val="55061CE8"/>
    <w:rsid w:val="55083CB2"/>
    <w:rsid w:val="55230AEC"/>
    <w:rsid w:val="5579695E"/>
    <w:rsid w:val="559631DC"/>
    <w:rsid w:val="55B24FA5"/>
    <w:rsid w:val="56334CC9"/>
    <w:rsid w:val="564B20A8"/>
    <w:rsid w:val="56837A94"/>
    <w:rsid w:val="56903F5F"/>
    <w:rsid w:val="569A4DDE"/>
    <w:rsid w:val="56D93B58"/>
    <w:rsid w:val="56E47B74"/>
    <w:rsid w:val="56F75D8C"/>
    <w:rsid w:val="57144B90"/>
    <w:rsid w:val="571921A6"/>
    <w:rsid w:val="575C2093"/>
    <w:rsid w:val="57664CC0"/>
    <w:rsid w:val="57BD3DD4"/>
    <w:rsid w:val="57D85BBE"/>
    <w:rsid w:val="57E91B79"/>
    <w:rsid w:val="57EC1669"/>
    <w:rsid w:val="5829466B"/>
    <w:rsid w:val="583D488A"/>
    <w:rsid w:val="587A6C75"/>
    <w:rsid w:val="587D6765"/>
    <w:rsid w:val="58C3061C"/>
    <w:rsid w:val="58CD3249"/>
    <w:rsid w:val="59D32AE1"/>
    <w:rsid w:val="59D800F7"/>
    <w:rsid w:val="59EF3B03"/>
    <w:rsid w:val="59EF71EF"/>
    <w:rsid w:val="5A026F22"/>
    <w:rsid w:val="5A077768"/>
    <w:rsid w:val="5A1D1FAE"/>
    <w:rsid w:val="5AF92295"/>
    <w:rsid w:val="5AFA409D"/>
    <w:rsid w:val="5B61411C"/>
    <w:rsid w:val="5B6F6839"/>
    <w:rsid w:val="5B9C33A6"/>
    <w:rsid w:val="5BCB584A"/>
    <w:rsid w:val="5BDD79E6"/>
    <w:rsid w:val="5BE56AFB"/>
    <w:rsid w:val="5BF561CA"/>
    <w:rsid w:val="5BFF5DFC"/>
    <w:rsid w:val="5C0C052C"/>
    <w:rsid w:val="5C797243"/>
    <w:rsid w:val="5C7A43E9"/>
    <w:rsid w:val="5C7D6D34"/>
    <w:rsid w:val="5CD71FC4"/>
    <w:rsid w:val="5D1F11B5"/>
    <w:rsid w:val="5D283143"/>
    <w:rsid w:val="5D347D3A"/>
    <w:rsid w:val="5D59154F"/>
    <w:rsid w:val="5D83481E"/>
    <w:rsid w:val="5DAE1B18"/>
    <w:rsid w:val="5DDA11B5"/>
    <w:rsid w:val="5DE7D9E5"/>
    <w:rsid w:val="5E6C269B"/>
    <w:rsid w:val="5E6F6B50"/>
    <w:rsid w:val="5EA507C4"/>
    <w:rsid w:val="5ECEC941"/>
    <w:rsid w:val="5EEB267A"/>
    <w:rsid w:val="5EEE3F19"/>
    <w:rsid w:val="5F493CB7"/>
    <w:rsid w:val="5F636244"/>
    <w:rsid w:val="5FBF9FF3"/>
    <w:rsid w:val="5FCD4E2C"/>
    <w:rsid w:val="5FD15F49"/>
    <w:rsid w:val="5FEF394A"/>
    <w:rsid w:val="5FF67715"/>
    <w:rsid w:val="60145C01"/>
    <w:rsid w:val="607928FD"/>
    <w:rsid w:val="60885CA7"/>
    <w:rsid w:val="60C018E5"/>
    <w:rsid w:val="60D86C2E"/>
    <w:rsid w:val="60DB04CD"/>
    <w:rsid w:val="60E07891"/>
    <w:rsid w:val="61181721"/>
    <w:rsid w:val="61265BEC"/>
    <w:rsid w:val="628F156F"/>
    <w:rsid w:val="62BF3928"/>
    <w:rsid w:val="62EA2C49"/>
    <w:rsid w:val="6370314E"/>
    <w:rsid w:val="63807109"/>
    <w:rsid w:val="639130C5"/>
    <w:rsid w:val="6424218B"/>
    <w:rsid w:val="647F5392"/>
    <w:rsid w:val="64A476B3"/>
    <w:rsid w:val="64B452BD"/>
    <w:rsid w:val="64BE438D"/>
    <w:rsid w:val="65006754"/>
    <w:rsid w:val="65071890"/>
    <w:rsid w:val="65150451"/>
    <w:rsid w:val="651B17E0"/>
    <w:rsid w:val="651B533C"/>
    <w:rsid w:val="65266989"/>
    <w:rsid w:val="65491EA9"/>
    <w:rsid w:val="656A3E28"/>
    <w:rsid w:val="65717331"/>
    <w:rsid w:val="65C43C25"/>
    <w:rsid w:val="65C82D1F"/>
    <w:rsid w:val="65FC14CF"/>
    <w:rsid w:val="661204ED"/>
    <w:rsid w:val="664B1D71"/>
    <w:rsid w:val="66967370"/>
    <w:rsid w:val="66CF2882"/>
    <w:rsid w:val="66F463D9"/>
    <w:rsid w:val="67684828"/>
    <w:rsid w:val="678E44EB"/>
    <w:rsid w:val="67AA3209"/>
    <w:rsid w:val="67C73559"/>
    <w:rsid w:val="67F41665"/>
    <w:rsid w:val="68132276"/>
    <w:rsid w:val="681C4F0D"/>
    <w:rsid w:val="68F33D68"/>
    <w:rsid w:val="69046D0F"/>
    <w:rsid w:val="69166546"/>
    <w:rsid w:val="6945507D"/>
    <w:rsid w:val="698D0931"/>
    <w:rsid w:val="69C2047C"/>
    <w:rsid w:val="69F30635"/>
    <w:rsid w:val="6A107439"/>
    <w:rsid w:val="6A993CED"/>
    <w:rsid w:val="6AA302AD"/>
    <w:rsid w:val="6B053271"/>
    <w:rsid w:val="6B23319C"/>
    <w:rsid w:val="6B3C3E59"/>
    <w:rsid w:val="6B453112"/>
    <w:rsid w:val="6B517D09"/>
    <w:rsid w:val="6B685053"/>
    <w:rsid w:val="6B6C4B43"/>
    <w:rsid w:val="6BCE6674"/>
    <w:rsid w:val="6BE0108D"/>
    <w:rsid w:val="6BE7241B"/>
    <w:rsid w:val="6C3F7B62"/>
    <w:rsid w:val="6C4A05C8"/>
    <w:rsid w:val="6C8742B8"/>
    <w:rsid w:val="6C8A170F"/>
    <w:rsid w:val="6C97799E"/>
    <w:rsid w:val="6CB54609"/>
    <w:rsid w:val="6D0D1A0E"/>
    <w:rsid w:val="6D1C42B7"/>
    <w:rsid w:val="6D232646"/>
    <w:rsid w:val="6D8E05A2"/>
    <w:rsid w:val="6DBF5E93"/>
    <w:rsid w:val="6DD62AD7"/>
    <w:rsid w:val="6DFF077E"/>
    <w:rsid w:val="6E24050E"/>
    <w:rsid w:val="6E5D0773"/>
    <w:rsid w:val="6E7E3605"/>
    <w:rsid w:val="6E7FDCC7"/>
    <w:rsid w:val="6ED6A62E"/>
    <w:rsid w:val="6ED70525"/>
    <w:rsid w:val="6EE00B15"/>
    <w:rsid w:val="6EF70BC7"/>
    <w:rsid w:val="6EFA4214"/>
    <w:rsid w:val="6F3E05A4"/>
    <w:rsid w:val="6F484F7F"/>
    <w:rsid w:val="6F544B20"/>
    <w:rsid w:val="6F6D2C38"/>
    <w:rsid w:val="6F6FB3EB"/>
    <w:rsid w:val="6F784160"/>
    <w:rsid w:val="6F8731EA"/>
    <w:rsid w:val="6F92269E"/>
    <w:rsid w:val="6FCE6052"/>
    <w:rsid w:val="6FD57C00"/>
    <w:rsid w:val="6FD809F9"/>
    <w:rsid w:val="6FEFFFD8"/>
    <w:rsid w:val="6FF5CC65"/>
    <w:rsid w:val="6FFB47EC"/>
    <w:rsid w:val="6FFF034A"/>
    <w:rsid w:val="70384FF4"/>
    <w:rsid w:val="70496804"/>
    <w:rsid w:val="705A7660"/>
    <w:rsid w:val="70657DB3"/>
    <w:rsid w:val="707C428C"/>
    <w:rsid w:val="712A28F1"/>
    <w:rsid w:val="715C0E4B"/>
    <w:rsid w:val="717F6C52"/>
    <w:rsid w:val="718A7AD1"/>
    <w:rsid w:val="71946BA2"/>
    <w:rsid w:val="719721EE"/>
    <w:rsid w:val="71C8684B"/>
    <w:rsid w:val="71D451F0"/>
    <w:rsid w:val="72233669"/>
    <w:rsid w:val="72691DDC"/>
    <w:rsid w:val="72734D90"/>
    <w:rsid w:val="7332FE48"/>
    <w:rsid w:val="73AB61DA"/>
    <w:rsid w:val="73AD73D5"/>
    <w:rsid w:val="73B6EB34"/>
    <w:rsid w:val="73FA497D"/>
    <w:rsid w:val="74281FC7"/>
    <w:rsid w:val="744731E5"/>
    <w:rsid w:val="74527205"/>
    <w:rsid w:val="7460720F"/>
    <w:rsid w:val="74931254"/>
    <w:rsid w:val="74BBD01D"/>
    <w:rsid w:val="74C432FA"/>
    <w:rsid w:val="74E514C2"/>
    <w:rsid w:val="74ED5379"/>
    <w:rsid w:val="74FC2395"/>
    <w:rsid w:val="75504B8E"/>
    <w:rsid w:val="75693EA1"/>
    <w:rsid w:val="757545F4"/>
    <w:rsid w:val="75BE5F9B"/>
    <w:rsid w:val="75DEEEC2"/>
    <w:rsid w:val="762B73A9"/>
    <w:rsid w:val="766B580D"/>
    <w:rsid w:val="76726D86"/>
    <w:rsid w:val="76D65566"/>
    <w:rsid w:val="76E3355F"/>
    <w:rsid w:val="76FF5125"/>
    <w:rsid w:val="7705187F"/>
    <w:rsid w:val="773D7394"/>
    <w:rsid w:val="774424D0"/>
    <w:rsid w:val="776F6FFA"/>
    <w:rsid w:val="778769C8"/>
    <w:rsid w:val="77DC22F5"/>
    <w:rsid w:val="77F2017E"/>
    <w:rsid w:val="78124B5D"/>
    <w:rsid w:val="78656BA2"/>
    <w:rsid w:val="78EF290F"/>
    <w:rsid w:val="79086DAD"/>
    <w:rsid w:val="791D747D"/>
    <w:rsid w:val="792E51E6"/>
    <w:rsid w:val="79312F28"/>
    <w:rsid w:val="793F5189"/>
    <w:rsid w:val="796105DC"/>
    <w:rsid w:val="797057FE"/>
    <w:rsid w:val="79825532"/>
    <w:rsid w:val="79974F09"/>
    <w:rsid w:val="79975481"/>
    <w:rsid w:val="79D7FD79"/>
    <w:rsid w:val="79EE5BA4"/>
    <w:rsid w:val="7A162166"/>
    <w:rsid w:val="7A266805"/>
    <w:rsid w:val="7A28257D"/>
    <w:rsid w:val="7A6D61E2"/>
    <w:rsid w:val="7A841A0F"/>
    <w:rsid w:val="7A855718"/>
    <w:rsid w:val="7A894339"/>
    <w:rsid w:val="7A8A28F0"/>
    <w:rsid w:val="7AFF7572"/>
    <w:rsid w:val="7B0E3521"/>
    <w:rsid w:val="7B6C7DFB"/>
    <w:rsid w:val="7BBFBED0"/>
    <w:rsid w:val="7BC3E394"/>
    <w:rsid w:val="7BD858DD"/>
    <w:rsid w:val="7BEF4BBA"/>
    <w:rsid w:val="7C1F3737"/>
    <w:rsid w:val="7C52568F"/>
    <w:rsid w:val="7C8415C1"/>
    <w:rsid w:val="7CBB1CA5"/>
    <w:rsid w:val="7CBFC87B"/>
    <w:rsid w:val="7CDC13FD"/>
    <w:rsid w:val="7CE00EED"/>
    <w:rsid w:val="7CE34539"/>
    <w:rsid w:val="7CFE0F48"/>
    <w:rsid w:val="7D3E3E65"/>
    <w:rsid w:val="7D7D498E"/>
    <w:rsid w:val="7D7EC23E"/>
    <w:rsid w:val="7D916348"/>
    <w:rsid w:val="7E0B3D48"/>
    <w:rsid w:val="7E1E31A8"/>
    <w:rsid w:val="7E350DC4"/>
    <w:rsid w:val="7E4F632A"/>
    <w:rsid w:val="7E6F077A"/>
    <w:rsid w:val="7E8ADEBF"/>
    <w:rsid w:val="7EE36A72"/>
    <w:rsid w:val="7EEF11D3"/>
    <w:rsid w:val="7F0971A6"/>
    <w:rsid w:val="7F203823"/>
    <w:rsid w:val="7F25708B"/>
    <w:rsid w:val="7F3F679B"/>
    <w:rsid w:val="7F4FC4EF"/>
    <w:rsid w:val="7F5E4D54"/>
    <w:rsid w:val="7F6E0135"/>
    <w:rsid w:val="7F9E0BEB"/>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link w:val="3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正文首行缩进 2 Char"/>
    <w:basedOn w:val="17"/>
    <w:link w:val="7"/>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overlay val="0"/>
      <c:spPr>
        <a:noFill/>
        <a:ln>
          <a:noFill/>
        </a:ln>
        <a:effectLst/>
      </c:spPr>
    </c:title>
    <c:autoTitleDeleted val="0"/>
    <c:plotArea>
      <c:layout>
        <c:manualLayout>
          <c:layoutTarget val="inner"/>
          <c:xMode val="edge"/>
          <c:yMode val="edge"/>
          <c:x val="0.087479674796748"/>
          <c:y val="0.163269731136167"/>
          <c:w val="0.897208672086721"/>
          <c:h val="0.631699913269731"/>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0</c:v>
                </c:pt>
                <c:pt idx="1">
                  <c:v>0</c:v>
                </c:pt>
              </c:numCache>
            </c:numRef>
          </c:val>
        </c:ser>
        <c:ser>
          <c:idx val="1"/>
          <c:order val="1"/>
          <c:tx>
            <c:strRef>
              <c:f>Sheet1!$C$1</c:f>
              <c:strCache>
                <c:ptCount val="1"/>
                <c:pt idx="0">
                  <c:v>2025年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Sheet1!$C$2:$C$3</c:f>
              <c:numCache>
                <c:formatCode>General</c:formatCode>
                <c:ptCount val="2"/>
                <c:pt idx="0">
                  <c:v>1293.96</c:v>
                </c:pt>
                <c:pt idx="1">
                  <c:v>1293.96</c:v>
                </c:pt>
              </c:numCache>
            </c:numRef>
          </c:val>
        </c:ser>
        <c:dLbls>
          <c:showLegendKey val="0"/>
          <c:showVal val="1"/>
          <c:showCatName val="0"/>
          <c:showSerName val="0"/>
          <c:showPercent val="0"/>
          <c:showBubbleSize val="0"/>
        </c:dLbls>
        <c:gapWidth val="246"/>
        <c:overlap val="-28"/>
        <c:axId val="254029773"/>
        <c:axId val="816231007"/>
      </c:barChart>
      <c:catAx>
        <c:axId val="25402977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231007"/>
        <c:crosses val="autoZero"/>
        <c:auto val="1"/>
        <c:lblAlgn val="ctr"/>
        <c:lblOffset val="100"/>
        <c:noMultiLvlLbl val="0"/>
      </c:catAx>
      <c:valAx>
        <c:axId val="8162310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0297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2eef82-b574-4690-bf8e-99fdb57f783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一般公共预算财政拨款收入（万元） </c:v>
                </c:pt>
                <c:pt idx="1">
                  <c:v>政府性基金预算财政拨款收入（万元）</c:v>
                </c:pt>
                <c:pt idx="2">
                  <c:v>国有资本经营预算财政拨款收入（万元）</c:v>
                </c:pt>
                <c:pt idx="3">
                  <c:v>上级补助收入（万元）</c:v>
                </c:pt>
                <c:pt idx="4">
                  <c:v>事业收入（万元）</c:v>
                </c:pt>
                <c:pt idx="5">
                  <c:v>其他收入（万元）</c:v>
                </c:pt>
              </c:strCache>
            </c:strRef>
          </c:cat>
          <c:val>
            <c:numRef>
              <c:f>Sheet1!$B$2:$B$7</c:f>
              <c:numCache>
                <c:formatCode>General</c:formatCode>
                <c:ptCount val="6"/>
                <c:pt idx="0">
                  <c:v>1293.96</c:v>
                </c:pt>
                <c:pt idx="1">
                  <c:v>0</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cc3b57-b487-4c4c-8dba-a5e50f2396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基本支出（万元）</c:v>
                </c:pt>
                <c:pt idx="1">
                  <c:v>项目支出（万元）</c:v>
                </c:pt>
                <c:pt idx="2">
                  <c:v>上缴上级支出（万元）</c:v>
                </c:pt>
              </c:strCache>
            </c:strRef>
          </c:cat>
          <c:val>
            <c:numRef>
              <c:f>Sheet1!$B$2:$B$4</c:f>
              <c:numCache>
                <c:formatCode>General</c:formatCode>
                <c:ptCount val="3"/>
                <c:pt idx="0">
                  <c:v>728.27</c:v>
                </c:pt>
                <c:pt idx="1">
                  <c:v>565.69</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ab3d14-2502-479e-bf71-2c707abe9a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0</c:v>
                </c:pt>
                <c:pt idx="1">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Sheet1!$C$2:$C$3</c:f>
              <c:numCache>
                <c:formatCode>General</c:formatCode>
                <c:ptCount val="2"/>
                <c:pt idx="0">
                  <c:v>1293.96</c:v>
                </c:pt>
                <c:pt idx="1">
                  <c:v>1293.96</c:v>
                </c:pt>
              </c:numCache>
            </c:numRef>
          </c:val>
        </c:ser>
        <c:dLbls>
          <c:showLegendKey val="0"/>
          <c:showVal val="1"/>
          <c:showCatName val="0"/>
          <c:showSerName val="0"/>
          <c:showPercent val="0"/>
          <c:showBubbleSize val="0"/>
        </c:dLbls>
        <c:gapWidth val="246"/>
        <c:overlap val="-28"/>
        <c:axId val="74666693"/>
        <c:axId val="595719577"/>
      </c:barChart>
      <c:catAx>
        <c:axId val="746666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5719577"/>
        <c:crosses val="autoZero"/>
        <c:auto val="1"/>
        <c:lblAlgn val="ctr"/>
        <c:lblOffset val="100"/>
        <c:noMultiLvlLbl val="0"/>
      </c:catAx>
      <c:valAx>
        <c:axId val="59571957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666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63d7e52-33d4-42b4-9b48-f192a707f1a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一般公共预算财政拨款支出（万元）</c:v>
                </c:pt>
              </c:strCache>
            </c:strRef>
          </c:cat>
          <c:val>
            <c:numRef>
              <c:f>Sheet1!$B$2</c:f>
              <c:numCache>
                <c:formatCode>General</c:formatCode>
                <c:ptCount val="1"/>
                <c:pt idx="0">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一般公共预算财政拨款支出（万元）</c:v>
                </c:pt>
              </c:strCache>
            </c:strRef>
          </c:cat>
          <c:val>
            <c:numRef>
              <c:f>Sheet1!$C$2</c:f>
              <c:numCache>
                <c:formatCode>General</c:formatCode>
                <c:ptCount val="1"/>
                <c:pt idx="0">
                  <c:v>1293.96</c:v>
                </c:pt>
              </c:numCache>
            </c:numRef>
          </c:val>
        </c:ser>
        <c:dLbls>
          <c:showLegendKey val="0"/>
          <c:showVal val="1"/>
          <c:showCatName val="0"/>
          <c:showSerName val="0"/>
          <c:showPercent val="0"/>
          <c:showBubbleSize val="0"/>
        </c:dLbls>
        <c:gapWidth val="246"/>
        <c:overlap val="-28"/>
        <c:axId val="592334354"/>
        <c:axId val="933471270"/>
      </c:barChart>
      <c:catAx>
        <c:axId val="5923343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3471270"/>
        <c:crosses val="autoZero"/>
        <c:auto val="1"/>
        <c:lblAlgn val="ctr"/>
        <c:lblOffset val="100"/>
        <c:noMultiLvlLbl val="0"/>
      </c:catAx>
      <c:valAx>
        <c:axId val="93347127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33435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9ac037-5b29-401c-b9e6-831deb5de9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0308936000182087"/>
                  <c:y val="-0.183134584817296"/>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478366782829604"/>
                  <c:y val="0.047549871128701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786683549358502"/>
                  <c:y val="0.027320935080011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0961667787491594"/>
                      <c:h val="0.101531213191991"/>
                    </c:manualLayout>
                  </c15:layout>
                </c:ext>
              </c:extLst>
            </c:dLbl>
            <c:dLbl>
              <c:idx val="3"/>
              <c:layout>
                <c:manualLayout>
                  <c:x val="-0.015304064592221"/>
                  <c:y val="-0.0220561871057655"/>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一般公共服务支出（万元）</c:v>
                </c:pt>
                <c:pt idx="1">
                  <c:v>社会保障和就业支出（万元）</c:v>
                </c:pt>
                <c:pt idx="2">
                  <c:v>卫生健康支出（万元）</c:v>
                </c:pt>
                <c:pt idx="3">
                  <c:v>住房保障支出（万元）</c:v>
                </c:pt>
              </c:strCache>
            </c:strRef>
          </c:cat>
          <c:val>
            <c:numRef>
              <c:f>Sheet1!$B$2:$B$5</c:f>
              <c:numCache>
                <c:formatCode>General</c:formatCode>
                <c:ptCount val="4"/>
                <c:pt idx="0">
                  <c:v>1128.64</c:v>
                </c:pt>
                <c:pt idx="1">
                  <c:v>77.07</c:v>
                </c:pt>
                <c:pt idx="2">
                  <c:v>37.17</c:v>
                </c:pt>
                <c:pt idx="3">
                  <c:v>51.08</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f2c5779-e025-41bb-838c-62d97259802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 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104373425991785"/>
                  <c:y val="-0.0077619433770827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343117912747128"/>
                  <c:y val="-0.2115294376985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903536057440114"/>
                  <c:y val="0.009244962619748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因公出国（境）费支出决算（万元）</c:v>
                </c:pt>
                <c:pt idx="1">
                  <c:v>公务用车购置及运行维护费支出决算（万元）</c:v>
                </c:pt>
                <c:pt idx="2">
                  <c:v>公务接待费支出决算（万元）</c:v>
                </c:pt>
              </c:strCache>
            </c:strRef>
          </c:cat>
          <c:val>
            <c:numRef>
              <c:f>Sheet1!$B$2:$B$4</c:f>
              <c:numCache>
                <c:formatCode>General</c:formatCode>
                <c:ptCount val="3"/>
                <c:pt idx="0">
                  <c:v>0</c:v>
                </c:pt>
                <c:pt idx="1">
                  <c:v>24.88</c:v>
                </c:pt>
                <c:pt idx="2">
                  <c:v>0.76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584838-8fc9-4dc4-b8d8-946518ae9ce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6277</Words>
  <Characters>6792</Characters>
  <Lines>63</Lines>
  <Paragraphs>17</Paragraphs>
  <TotalTime>8</TotalTime>
  <ScaleCrop>false</ScaleCrop>
  <LinksUpToDate>false</LinksUpToDate>
  <CharactersWithSpaces>6811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2026-08-27T00:27:00Z</cp:lastPrinted>
  <dcterms:modified xsi:type="dcterms:W3CDTF">2026-09-08T02:58:41Z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eyJoZGlkIjoiNzIxZjA3MmVmZDcyMDBjZTliODZmNDY2OWQ1MWVlN2UiLCJ1c2VySWQiOiI0MjQ3NDYwODYifQ==</vt:lpwstr>
  </property>
</Properties>
</file>