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ascii="方正小标宋简体" w:hAnsi="宋体" w:eastAsia="方正小标宋简体" w:cs="Times New Roman"/>
          <w:sz w:val="44"/>
          <w:szCs w:val="44"/>
        </w:rPr>
      </w:pPr>
      <w:r>
        <w:rPr>
          <w:rFonts w:hint="eastAsia" w:ascii="方正小标宋简体" w:hAnsi="宋体" w:eastAsia="方正小标宋简体" w:cs="Times New Roman"/>
          <w:sz w:val="44"/>
          <w:szCs w:val="44"/>
        </w:rPr>
        <w:t>攀枝花市水土保持生态环境监测分站</w:t>
      </w:r>
    </w:p>
    <w:p>
      <w:pPr>
        <w:spacing w:line="0" w:lineRule="atLeast"/>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2021年部门预算编制说明</w:t>
      </w:r>
    </w:p>
    <w:sdt>
      <w:sdtPr>
        <w:rPr>
          <w:lang w:val="zh-CN"/>
        </w:rPr>
        <w:id w:val="14772450"/>
        <w:docPartObj>
          <w:docPartGallery w:val="Table of Contents"/>
          <w:docPartUnique/>
        </w:docPartObj>
      </w:sdtPr>
      <w:sdtEndPr>
        <w:rPr>
          <w:rFonts w:asciiTheme="minorHAnsi" w:hAnsiTheme="minorHAnsi" w:eastAsiaTheme="minorEastAsia" w:cstheme="minorBidi"/>
          <w:b w:val="0"/>
          <w:bCs w:val="0"/>
          <w:color w:val="auto"/>
          <w:kern w:val="2"/>
          <w:sz w:val="21"/>
          <w:szCs w:val="22"/>
          <w:lang w:val="en-US"/>
        </w:rPr>
      </w:sdtEndPr>
      <w:sdtContent>
        <w:p>
          <w:pPr>
            <w:pStyle w:val="27"/>
            <w:spacing w:line="500" w:lineRule="exact"/>
            <w:jc w:val="center"/>
            <w:rPr>
              <w:b w:val="0"/>
              <w:color w:val="auto"/>
              <w:sz w:val="32"/>
              <w:szCs w:val="32"/>
            </w:rPr>
          </w:pPr>
          <w:r>
            <w:rPr>
              <w:b w:val="0"/>
              <w:color w:val="auto"/>
              <w:sz w:val="32"/>
              <w:szCs w:val="32"/>
              <w:lang w:val="zh-CN"/>
            </w:rPr>
            <w:t>目</w:t>
          </w:r>
          <w:r>
            <w:rPr>
              <w:rFonts w:hint="eastAsia"/>
              <w:b w:val="0"/>
              <w:color w:val="auto"/>
              <w:sz w:val="32"/>
              <w:szCs w:val="32"/>
              <w:lang w:val="zh-CN"/>
            </w:rPr>
            <w:t xml:space="preserve">  </w:t>
          </w:r>
          <w:r>
            <w:rPr>
              <w:b w:val="0"/>
              <w:color w:val="auto"/>
              <w:sz w:val="32"/>
              <w:szCs w:val="32"/>
              <w:lang w:val="zh-CN"/>
            </w:rPr>
            <w:t>录</w:t>
          </w:r>
        </w:p>
        <w:p>
          <w:pPr>
            <w:pStyle w:val="10"/>
            <w:tabs>
              <w:tab w:val="right" w:leader="dot" w:pos="8296"/>
            </w:tabs>
            <w:spacing w:line="500" w:lineRule="exact"/>
            <w:rPr>
              <w:rFonts w:ascii="Times New Roman" w:hAnsi="Times New Roman" w:eastAsia="仿宋_GB2312" w:cs="Times New Roman"/>
              <w:sz w:val="28"/>
              <w:szCs w:val="28"/>
            </w:rPr>
          </w:pPr>
          <w:r>
            <w:rPr>
              <w:sz w:val="28"/>
              <w:szCs w:val="28"/>
            </w:rPr>
            <w:fldChar w:fldCharType="begin"/>
          </w:r>
          <w:r>
            <w:rPr>
              <w:sz w:val="28"/>
              <w:szCs w:val="28"/>
            </w:rPr>
            <w:instrText xml:space="preserve"> TOC \o "1-3" \h \z \u </w:instrText>
          </w:r>
          <w:r>
            <w:rPr>
              <w:sz w:val="28"/>
              <w:szCs w:val="28"/>
            </w:rPr>
            <w:fldChar w:fldCharType="separate"/>
          </w:r>
          <w:r>
            <w:fldChar w:fldCharType="begin"/>
          </w:r>
          <w:r>
            <w:instrText xml:space="preserve"> HYPERLINK \l "_Toc107920140" </w:instrText>
          </w:r>
          <w:r>
            <w:fldChar w:fldCharType="separate"/>
          </w:r>
          <w:r>
            <w:rPr>
              <w:rStyle w:val="15"/>
              <w:rFonts w:ascii="Times New Roman" w:hAnsi="Times New Roman" w:eastAsia="仿宋_GB2312" w:cs="Times New Roman"/>
              <w:sz w:val="28"/>
              <w:szCs w:val="28"/>
            </w:rPr>
            <w:t>一、基本职能及主要工作</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1"/>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"_Toc107920141" </w:instrText>
          </w:r>
          <w:r>
            <w:fldChar w:fldCharType="separate"/>
          </w:r>
          <w:r>
            <w:rPr>
              <w:rStyle w:val="15"/>
              <w:rFonts w:ascii="Times New Roman" w:hAnsi="Times New Roman" w:eastAsia="仿宋_GB2312" w:cs="Times New Roman"/>
              <w:sz w:val="28"/>
              <w:szCs w:val="28"/>
            </w:rPr>
            <w:t>（一）市水保监测站职能简介</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_Toc107920141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1"/>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"_Toc107920142" </w:instrText>
          </w:r>
          <w:r>
            <w:fldChar w:fldCharType="separate"/>
          </w:r>
          <w:r>
            <w:rPr>
              <w:rStyle w:val="15"/>
              <w:rFonts w:ascii="Times New Roman" w:hAnsi="Times New Roman" w:eastAsia="仿宋_GB2312" w:cs="Times New Roman"/>
              <w:sz w:val="28"/>
              <w:szCs w:val="28"/>
            </w:rPr>
            <w:t>（二）市水保监测站2021年重点工作</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_Toc107920142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"_Toc107920143" </w:instrText>
          </w:r>
          <w:r>
            <w:fldChar w:fldCharType="separate"/>
          </w:r>
          <w:r>
            <w:rPr>
              <w:rStyle w:val="15"/>
              <w:rFonts w:ascii="Times New Roman" w:hAnsi="Times New Roman" w:eastAsia="仿宋_GB2312" w:cs="Times New Roman"/>
              <w:sz w:val="28"/>
              <w:szCs w:val="28"/>
            </w:rPr>
            <w:t>二、单位构成情况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_Toc107920143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"_Toc107920144" </w:instrText>
          </w:r>
          <w:r>
            <w:fldChar w:fldCharType="separate"/>
          </w:r>
          <w:r>
            <w:rPr>
              <w:rStyle w:val="15"/>
              <w:rFonts w:ascii="Times New Roman" w:hAnsi="Times New Roman" w:eastAsia="仿宋_GB2312" w:cs="Times New Roman"/>
              <w:sz w:val="28"/>
              <w:szCs w:val="28"/>
            </w:rPr>
            <w:t>三、收支预算情况说明</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_Toc107920144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1"/>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"_Toc107920145" </w:instrText>
          </w:r>
          <w:r>
            <w:fldChar w:fldCharType="separate"/>
          </w:r>
          <w:r>
            <w:rPr>
              <w:rStyle w:val="15"/>
              <w:rFonts w:ascii="Times New Roman" w:hAnsi="Times New Roman" w:eastAsia="仿宋_GB2312" w:cs="Times New Roman"/>
              <w:sz w:val="28"/>
              <w:szCs w:val="28"/>
              <w:lang w:val="zh-CN"/>
            </w:rPr>
            <w:t>（一）收入预算情况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_Toc107920145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1"/>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"_Toc107920146" </w:instrText>
          </w:r>
          <w:r>
            <w:fldChar w:fldCharType="separate"/>
          </w:r>
          <w:r>
            <w:rPr>
              <w:rStyle w:val="15"/>
              <w:rFonts w:ascii="Times New Roman" w:hAnsi="Times New Roman" w:eastAsia="仿宋_GB2312" w:cs="Times New Roman"/>
              <w:sz w:val="28"/>
              <w:szCs w:val="28"/>
            </w:rPr>
            <w:t>（二）支出预算情况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_Toc107920146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"_Toc107920147" </w:instrText>
          </w:r>
          <w:r>
            <w:fldChar w:fldCharType="separate"/>
          </w:r>
          <w:r>
            <w:rPr>
              <w:rStyle w:val="15"/>
              <w:rFonts w:ascii="Times New Roman" w:hAnsi="Times New Roman" w:eastAsia="仿宋_GB2312" w:cs="Times New Roman"/>
              <w:sz w:val="28"/>
              <w:szCs w:val="28"/>
            </w:rPr>
            <w:t>四、财政拨款收支预算情况说明</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_Toc107920147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"_Toc107920148" </w:instrText>
          </w:r>
          <w:r>
            <w:fldChar w:fldCharType="separate"/>
          </w:r>
          <w:r>
            <w:rPr>
              <w:rStyle w:val="15"/>
              <w:rFonts w:ascii="Times New Roman" w:hAnsi="Times New Roman" w:eastAsia="仿宋_GB2312" w:cs="Times New Roman"/>
              <w:sz w:val="28"/>
              <w:szCs w:val="28"/>
            </w:rPr>
            <w:t>五、一般公共预算当年拨款情况说明</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_Toc107920148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1"/>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"_Toc107920149" </w:instrText>
          </w:r>
          <w:r>
            <w:fldChar w:fldCharType="separate"/>
          </w:r>
          <w:r>
            <w:rPr>
              <w:rStyle w:val="15"/>
              <w:rFonts w:ascii="Times New Roman" w:hAnsi="Times New Roman" w:eastAsia="仿宋_GB2312" w:cs="Times New Roman"/>
              <w:sz w:val="28"/>
              <w:szCs w:val="28"/>
            </w:rPr>
            <w:t>（一）一般公共预算当年拨款规模变化情况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_Toc107920149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"_Toc107920150" </w:instrText>
          </w:r>
          <w:r>
            <w:fldChar w:fldCharType="separate"/>
          </w:r>
          <w:r>
            <w:rPr>
              <w:rStyle w:val="15"/>
              <w:rFonts w:ascii="Times New Roman" w:hAnsi="Times New Roman" w:eastAsia="仿宋_GB2312" w:cs="Times New Roman"/>
              <w:bCs/>
              <w:sz w:val="28"/>
              <w:szCs w:val="28"/>
            </w:rPr>
            <w:t>（二）一般公共预算当年拨款结构情况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"_Toc107920151" </w:instrText>
          </w:r>
          <w:r>
            <w:fldChar w:fldCharType="separate"/>
          </w:r>
          <w:r>
            <w:rPr>
              <w:rStyle w:val="15"/>
              <w:rFonts w:ascii="Times New Roman" w:hAnsi="Times New Roman" w:eastAsia="仿宋_GB2312" w:cs="Times New Roman"/>
              <w:bCs/>
              <w:sz w:val="28"/>
              <w:szCs w:val="28"/>
            </w:rPr>
            <w:t>（三）一般公共预算当年拨款具体使用情况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_Toc107920151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"_Toc107920152" </w:instrText>
          </w:r>
          <w:r>
            <w:fldChar w:fldCharType="separate"/>
          </w:r>
          <w:r>
            <w:rPr>
              <w:rStyle w:val="15"/>
              <w:rFonts w:ascii="Times New Roman" w:hAnsi="Times New Roman" w:eastAsia="仿宋_GB2312" w:cs="Times New Roman"/>
              <w:sz w:val="28"/>
              <w:szCs w:val="28"/>
            </w:rPr>
            <w:t>六、一般公共预算基本支出情况说明</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_Toc107920152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"_Toc107920153" </w:instrText>
          </w:r>
          <w:r>
            <w:fldChar w:fldCharType="separate"/>
          </w:r>
          <w:r>
            <w:rPr>
              <w:rStyle w:val="15"/>
              <w:rFonts w:ascii="Times New Roman" w:hAnsi="Times New Roman" w:eastAsia="仿宋_GB2312" w:cs="Times New Roman"/>
              <w:sz w:val="28"/>
              <w:szCs w:val="28"/>
            </w:rPr>
            <w:t>七、“三公”经费财政拨款预算安排情况说明</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_Toc107920153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"_Toc107920154" </w:instrText>
          </w:r>
          <w:r>
            <w:fldChar w:fldCharType="separate"/>
          </w:r>
          <w:r>
            <w:rPr>
              <w:rStyle w:val="15"/>
              <w:rFonts w:ascii="Times New Roman" w:hAnsi="Times New Roman" w:eastAsia="仿宋_GB2312" w:cs="Times New Roman"/>
              <w:sz w:val="28"/>
              <w:szCs w:val="28"/>
            </w:rPr>
            <w:t>八、政府性基金预算支出情况说明</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_Toc107920154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"_Toc107920155" </w:instrText>
          </w:r>
          <w:r>
            <w:fldChar w:fldCharType="separate"/>
          </w:r>
          <w:r>
            <w:rPr>
              <w:rStyle w:val="15"/>
              <w:rFonts w:ascii="Times New Roman" w:hAnsi="Times New Roman" w:eastAsia="仿宋_GB2312" w:cs="Times New Roman"/>
              <w:sz w:val="28"/>
              <w:szCs w:val="28"/>
            </w:rPr>
            <w:t>九、其他重要事项的情况说明</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_Toc107920155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"_Toc107920156" </w:instrText>
          </w:r>
          <w:r>
            <w:fldChar w:fldCharType="separate"/>
          </w:r>
          <w:r>
            <w:rPr>
              <w:rStyle w:val="15"/>
              <w:rFonts w:ascii="Times New Roman" w:hAnsi="Times New Roman" w:eastAsia="仿宋_GB2312" w:cs="Times New Roman"/>
              <w:sz w:val="28"/>
              <w:szCs w:val="28"/>
            </w:rPr>
            <w:t>（一）业务运行经费</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_Toc107920156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"_Toc107920157" </w:instrText>
          </w:r>
          <w:r>
            <w:fldChar w:fldCharType="separate"/>
          </w:r>
          <w:r>
            <w:rPr>
              <w:rStyle w:val="15"/>
              <w:rFonts w:ascii="Times New Roman" w:hAnsi="Times New Roman" w:eastAsia="仿宋_GB2312" w:cs="Times New Roman"/>
              <w:sz w:val="28"/>
              <w:szCs w:val="28"/>
            </w:rPr>
            <w:t>（二）国有资产占有使用情况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_Toc107920157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rFonts w:ascii="Times New Roman" w:hAnsi="Times New Roman" w:eastAsia="仿宋_GB2312" w:cs="Times New Roman"/>
              <w:sz w:val="28"/>
              <w:szCs w:val="28"/>
            </w:rPr>
          </w:pPr>
          <w:r>
            <w:fldChar w:fldCharType="begin"/>
          </w:r>
          <w:r>
            <w:instrText xml:space="preserve"> HYPERLINK \l "_Toc107920158" </w:instrText>
          </w:r>
          <w:r>
            <w:fldChar w:fldCharType="separate"/>
          </w:r>
          <w:r>
            <w:rPr>
              <w:rStyle w:val="15"/>
              <w:rFonts w:ascii="Times New Roman" w:hAnsi="Times New Roman" w:eastAsia="仿宋_GB2312" w:cs="Times New Roman"/>
              <w:sz w:val="28"/>
              <w:szCs w:val="28"/>
            </w:rPr>
            <w:t>（三）绩效目标设置情况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_Toc107920158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spacing w:line="500" w:lineRule="exact"/>
            <w:rPr>
              <w:sz w:val="28"/>
              <w:szCs w:val="28"/>
            </w:rPr>
          </w:pPr>
          <w:r>
            <w:fldChar w:fldCharType="begin"/>
          </w:r>
          <w:r>
            <w:instrText xml:space="preserve"> HYPERLINK \l "_Toc107920159" </w:instrText>
          </w:r>
          <w:r>
            <w:fldChar w:fldCharType="separate"/>
          </w:r>
          <w:r>
            <w:rPr>
              <w:rStyle w:val="15"/>
              <w:rFonts w:ascii="Times New Roman" w:hAnsi="Times New Roman" w:eastAsia="仿宋_GB2312" w:cs="Times New Roman"/>
              <w:sz w:val="28"/>
              <w:szCs w:val="28"/>
            </w:rPr>
            <w:t>十、名词解释</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_Toc107920159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spacing w:line="500" w:lineRule="exact"/>
          </w:pPr>
          <w:r>
            <w:rPr>
              <w:sz w:val="28"/>
              <w:szCs w:val="28"/>
            </w:rPr>
            <w:fldChar w:fldCharType="end"/>
          </w:r>
        </w:p>
      </w:sdtContent>
    </w:sdt>
    <w:p>
      <w:pPr>
        <w:spacing w:line="0" w:lineRule="atLeast"/>
        <w:jc w:val="center"/>
        <w:rPr>
          <w:rFonts w:hint="eastAsia" w:ascii="方正小标宋简体" w:hAnsi="宋体" w:eastAsia="方正小标宋简体" w:cs="Times New Roman"/>
          <w:sz w:val="44"/>
          <w:szCs w:val="44"/>
        </w:rPr>
      </w:pPr>
    </w:p>
    <w:p>
      <w:pPr>
        <w:pStyle w:val="2"/>
        <w:adjustRightInd w:val="0"/>
        <w:snapToGrid w:val="0"/>
        <w:spacing w:before="0" w:after="0" w:line="640" w:lineRule="exact"/>
        <w:jc w:val="left"/>
        <w:rPr>
          <w:bCs w:val="0"/>
          <w:color w:val="000000"/>
          <w:sz w:val="32"/>
          <w:szCs w:val="32"/>
        </w:rPr>
        <w:sectPr>
          <w:footerReference r:id="rId3" w:type="default"/>
          <w:pgSz w:w="11906" w:h="16838"/>
          <w:pgMar w:top="1440" w:right="1800" w:bottom="1440" w:left="1800" w:header="851" w:footer="992" w:gutter="0"/>
          <w:cols w:space="425" w:num="1"/>
          <w:docGrid w:type="lines" w:linePitch="312" w:charSpace="0"/>
        </w:sectPr>
      </w:pPr>
      <w:bookmarkStart w:id="0" w:name="_Toc107920140"/>
      <w:bookmarkStart w:id="1" w:name="_Toc107920120"/>
    </w:p>
    <w:p>
      <w:pPr>
        <w:pStyle w:val="2"/>
        <w:adjustRightInd w:val="0"/>
        <w:snapToGrid w:val="0"/>
        <w:spacing w:before="0" w:after="0" w:line="640" w:lineRule="exact"/>
        <w:jc w:val="left"/>
        <w:rPr>
          <w:bCs w:val="0"/>
          <w:color w:val="000000"/>
          <w:sz w:val="32"/>
          <w:szCs w:val="32"/>
        </w:rPr>
      </w:pPr>
      <w:r>
        <w:rPr>
          <w:bCs w:val="0"/>
          <w:color w:val="000000"/>
          <w:sz w:val="32"/>
          <w:szCs w:val="32"/>
        </w:rPr>
        <w:t>一、基本职能及主要工作</w:t>
      </w:r>
      <w:bookmarkEnd w:id="0"/>
      <w:bookmarkEnd w:id="1"/>
    </w:p>
    <w:p>
      <w:pPr>
        <w:pStyle w:val="3"/>
        <w:spacing w:before="156" w:after="156" w:line="640" w:lineRule="exact"/>
        <w:rPr>
          <w:rFonts w:eastAsia="仿宋_GB2312"/>
          <w:szCs w:val="30"/>
        </w:rPr>
      </w:pPr>
      <w:bookmarkStart w:id="2" w:name="_Toc107920121"/>
      <w:bookmarkStart w:id="3" w:name="_Toc107920141"/>
      <w:r>
        <w:rPr>
          <w:rFonts w:eastAsia="仿宋_GB2312"/>
          <w:szCs w:val="30"/>
        </w:rPr>
        <w:t>（一）市水保监测站职能简介</w:t>
      </w:r>
      <w:bookmarkEnd w:id="2"/>
      <w:bookmarkEnd w:id="3"/>
    </w:p>
    <w:p>
      <w:pPr>
        <w:adjustRightInd w:val="0"/>
        <w:snapToGrid w:val="0"/>
        <w:spacing w:line="64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市水保监测站负责水土流失监测监控工作，并承担生产建设项目水土保持监测技术服务工作。</w:t>
      </w:r>
    </w:p>
    <w:p>
      <w:pPr>
        <w:pStyle w:val="3"/>
        <w:spacing w:before="156" w:after="156" w:line="640" w:lineRule="exact"/>
        <w:rPr>
          <w:rFonts w:eastAsia="仿宋_GB2312"/>
          <w:szCs w:val="30"/>
        </w:rPr>
      </w:pPr>
      <w:bookmarkStart w:id="4" w:name="_Toc107920142"/>
      <w:bookmarkStart w:id="5" w:name="_Toc107920122"/>
      <w:r>
        <w:rPr>
          <w:rFonts w:eastAsia="仿宋_GB2312"/>
          <w:szCs w:val="30"/>
        </w:rPr>
        <w:t>（二）市水保监测站2021年重点工作</w:t>
      </w:r>
      <w:bookmarkEnd w:id="4"/>
      <w:bookmarkEnd w:id="5"/>
    </w:p>
    <w:p>
      <w:pPr>
        <w:adjustRightInd w:val="0"/>
        <w:snapToGrid w:val="0"/>
        <w:spacing w:line="64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1、全国水土流失动态监测公告项目典型监测点工作：按规范开展监测、数据分析、整编、汇总，年底完成监测总结报告及数据整编资料，通过长江委监测中心站验收。</w:t>
      </w:r>
    </w:p>
    <w:p>
      <w:pPr>
        <w:adjustRightInd w:val="0"/>
        <w:snapToGrid w:val="0"/>
        <w:spacing w:line="64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2、重点防治区动态监测工作，按照上级部署，全力协助长江委水土保持监测中心站开展辖区内动态监测工作。</w:t>
      </w:r>
    </w:p>
    <w:p>
      <w:pPr>
        <w:adjustRightInd w:val="0"/>
        <w:snapToGrid w:val="0"/>
        <w:spacing w:line="64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3、监督性监测工作，按省政府对我市2020年的考核任务，完成监督性监测任务，做好涉及水土保持监测工作目标考核任务的迎检工作。</w:t>
      </w:r>
    </w:p>
    <w:p>
      <w:pPr>
        <w:adjustRightInd w:val="0"/>
        <w:snapToGrid w:val="0"/>
        <w:spacing w:line="64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根据已签订的水土保持监测合同和工程建设进度，渝黔铁路水土保持设施验收现场核查、向家坝灌区隧洞工程等项目水土保持监测工作，配合建设单位完成水土保持设施验收及备案工作。按照合同及项目进度计划开展金沙电站等项目水土保持监测工作。</w:t>
      </w:r>
    </w:p>
    <w:p>
      <w:pPr>
        <w:pStyle w:val="2"/>
        <w:adjustRightInd w:val="0"/>
        <w:snapToGrid w:val="0"/>
        <w:spacing w:before="0" w:after="0" w:line="640" w:lineRule="exact"/>
        <w:jc w:val="left"/>
        <w:rPr>
          <w:bCs w:val="0"/>
          <w:color w:val="000000"/>
          <w:sz w:val="32"/>
          <w:szCs w:val="32"/>
        </w:rPr>
      </w:pPr>
      <w:bookmarkStart w:id="6" w:name="_Toc107920143"/>
      <w:bookmarkStart w:id="7" w:name="_Toc107920123"/>
      <w:r>
        <w:rPr>
          <w:bCs w:val="0"/>
          <w:color w:val="000000"/>
          <w:sz w:val="32"/>
          <w:szCs w:val="32"/>
        </w:rPr>
        <w:t>二、单位构成情况</w:t>
      </w:r>
      <w:bookmarkEnd w:id="6"/>
      <w:bookmarkEnd w:id="7"/>
    </w:p>
    <w:p>
      <w:pPr>
        <w:adjustRightInd w:val="0"/>
        <w:snapToGrid w:val="0"/>
        <w:spacing w:line="64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市水保监测站是攀枝花市水利局直属独立核算事业单位，市财政二级预算单位，无下属非独立核算单位。</w:t>
      </w:r>
    </w:p>
    <w:p>
      <w:pPr>
        <w:pStyle w:val="2"/>
        <w:adjustRightInd w:val="0"/>
        <w:snapToGrid w:val="0"/>
        <w:spacing w:before="0" w:after="0" w:line="640" w:lineRule="exact"/>
        <w:jc w:val="left"/>
        <w:rPr>
          <w:bCs w:val="0"/>
          <w:color w:val="000000"/>
          <w:sz w:val="32"/>
          <w:szCs w:val="32"/>
        </w:rPr>
      </w:pPr>
      <w:bookmarkStart w:id="8" w:name="_Toc107920144"/>
      <w:bookmarkStart w:id="9" w:name="_Toc107920124"/>
      <w:r>
        <w:rPr>
          <w:bCs w:val="0"/>
          <w:color w:val="000000"/>
          <w:sz w:val="32"/>
          <w:szCs w:val="32"/>
        </w:rPr>
        <w:t>三、收支预算情况说明</w:t>
      </w:r>
      <w:bookmarkEnd w:id="8"/>
      <w:bookmarkEnd w:id="9"/>
    </w:p>
    <w:p>
      <w:pPr>
        <w:adjustRightInd w:val="0"/>
        <w:snapToGrid w:val="0"/>
        <w:spacing w:line="64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按照综合预算的原则，市水保监测分站所有收入和支出均纳入部门预算管理。收入包括：一般公共预算拨款收入；支出包括：社会保障支出；农林水利支出以及住房保障支出。市水保监测分站2021年收支总预算227.89万元。</w:t>
      </w:r>
    </w:p>
    <w:p>
      <w:pPr>
        <w:pStyle w:val="3"/>
        <w:spacing w:before="156" w:after="156" w:line="640" w:lineRule="exact"/>
        <w:rPr>
          <w:rFonts w:eastAsia="仿宋_GB2312"/>
          <w:sz w:val="32"/>
          <w:lang w:val="zh-CN"/>
        </w:rPr>
      </w:pPr>
      <w:bookmarkStart w:id="10" w:name="_Toc107920125"/>
      <w:bookmarkStart w:id="11" w:name="_Toc107920145"/>
      <w:r>
        <w:rPr>
          <w:rFonts w:eastAsia="仿宋_GB2312"/>
          <w:sz w:val="32"/>
          <w:lang w:val="zh-CN"/>
        </w:rPr>
        <w:t>（一）收入预算情况</w:t>
      </w:r>
      <w:bookmarkEnd w:id="10"/>
      <w:bookmarkEnd w:id="11"/>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市水保监测分站2021年收入预算227.89万元，其中：一般公共预算拨款收入227.89万元，占100%。</w:t>
      </w:r>
    </w:p>
    <w:p>
      <w:pPr>
        <w:pStyle w:val="3"/>
        <w:spacing w:before="156" w:after="156" w:line="640" w:lineRule="exact"/>
        <w:rPr>
          <w:rFonts w:eastAsia="仿宋_GB2312"/>
          <w:b w:val="0"/>
          <w:sz w:val="32"/>
        </w:rPr>
      </w:pPr>
      <w:bookmarkStart w:id="12" w:name="_Toc107920146"/>
      <w:bookmarkStart w:id="13" w:name="_Toc107920126"/>
      <w:r>
        <w:rPr>
          <w:rFonts w:eastAsia="仿宋_GB2312"/>
          <w:sz w:val="32"/>
        </w:rPr>
        <w:t>（二）支出预算情况</w:t>
      </w:r>
      <w:bookmarkEnd w:id="12"/>
      <w:bookmarkEnd w:id="13"/>
    </w:p>
    <w:p>
      <w:pPr>
        <w:spacing w:line="600" w:lineRule="exact"/>
        <w:ind w:firstLine="640" w:firstLineChars="200"/>
        <w:rPr>
          <w:rFonts w:ascii="Times New Roman" w:hAnsi="Times New Roman" w:eastAsia="仿宋_GB2312" w:cs="Times New Roman"/>
          <w:color w:val="333333"/>
          <w:sz w:val="28"/>
          <w:szCs w:val="28"/>
        </w:rPr>
      </w:pPr>
      <w:r>
        <w:rPr>
          <w:rFonts w:ascii="Times New Roman" w:hAnsi="Times New Roman" w:eastAsia="仿宋_GB2312" w:cs="Times New Roman"/>
          <w:sz w:val="32"/>
          <w:szCs w:val="32"/>
        </w:rPr>
        <w:t>市水保监测分站2021年支出预算227.89万元，其中：基本支出127.89万元，占56%；项目支出100万元，占44%。  </w:t>
      </w:r>
    </w:p>
    <w:p>
      <w:pPr>
        <w:pStyle w:val="2"/>
        <w:adjustRightInd w:val="0"/>
        <w:snapToGrid w:val="0"/>
        <w:spacing w:before="0" w:after="0" w:line="640" w:lineRule="exact"/>
        <w:jc w:val="left"/>
        <w:rPr>
          <w:sz w:val="32"/>
          <w:szCs w:val="32"/>
        </w:rPr>
      </w:pPr>
      <w:bookmarkStart w:id="14" w:name="_Toc107920147"/>
      <w:bookmarkStart w:id="15" w:name="_Toc107920127"/>
      <w:r>
        <w:rPr>
          <w:sz w:val="32"/>
          <w:szCs w:val="32"/>
        </w:rPr>
        <w:t>四、财政拨款收支预算情况说明</w:t>
      </w:r>
      <w:bookmarkEnd w:id="14"/>
      <w:bookmarkEnd w:id="15"/>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市水保监测分站2021年财政拨款收支总预算227.89万元。收入包括：本年一般公共预算拨款收入227.89万元；本支出包括：社会保障支出9.89万元；农林水利支出208.33万元；住房保障支出9.67万元。</w:t>
      </w:r>
    </w:p>
    <w:p>
      <w:pPr>
        <w:pStyle w:val="2"/>
        <w:adjustRightInd w:val="0"/>
        <w:snapToGrid w:val="0"/>
        <w:spacing w:before="0" w:after="0" w:line="640" w:lineRule="exact"/>
        <w:jc w:val="left"/>
        <w:rPr>
          <w:sz w:val="32"/>
          <w:szCs w:val="32"/>
        </w:rPr>
      </w:pPr>
      <w:bookmarkStart w:id="16" w:name="_Toc107920148"/>
      <w:bookmarkStart w:id="17" w:name="_Toc107920128"/>
      <w:r>
        <w:rPr>
          <w:sz w:val="32"/>
          <w:szCs w:val="32"/>
        </w:rPr>
        <w:t>五、</w:t>
      </w:r>
      <w:r>
        <w:rPr>
          <w:bCs w:val="0"/>
          <w:color w:val="000000"/>
          <w:sz w:val="32"/>
          <w:szCs w:val="32"/>
        </w:rPr>
        <w:t>一般公共预算当年拨款情况说明</w:t>
      </w:r>
      <w:bookmarkEnd w:id="16"/>
      <w:bookmarkEnd w:id="17"/>
    </w:p>
    <w:p>
      <w:pPr>
        <w:pStyle w:val="3"/>
        <w:spacing w:before="156" w:after="156" w:line="640" w:lineRule="exact"/>
        <w:rPr>
          <w:rFonts w:eastAsia="仿宋_GB2312"/>
          <w:szCs w:val="30"/>
        </w:rPr>
      </w:pPr>
      <w:bookmarkStart w:id="18" w:name="_Toc107920129"/>
      <w:bookmarkStart w:id="19" w:name="_Toc107920149"/>
      <w:r>
        <w:rPr>
          <w:rFonts w:eastAsia="仿宋_GB2312"/>
          <w:szCs w:val="30"/>
        </w:rPr>
        <w:t>（一）一般公共预算当年拨款规模变化情况</w:t>
      </w:r>
      <w:bookmarkEnd w:id="18"/>
      <w:bookmarkEnd w:id="19"/>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市水保监测分站2021年一般公共预算当年拨款227.89万元，比2020年预算数减少64.85万元，主要是本单位人员减少。</w:t>
      </w:r>
    </w:p>
    <w:p>
      <w:pPr>
        <w:spacing w:line="600" w:lineRule="exact"/>
        <w:ind w:firstLine="602" w:firstLineChars="200"/>
        <w:outlineLvl w:val="0"/>
        <w:rPr>
          <w:rFonts w:ascii="Times New Roman" w:hAnsi="Times New Roman" w:eastAsia="仿宋_GB2312" w:cs="Times New Roman"/>
          <w:b/>
          <w:bCs/>
          <w:sz w:val="30"/>
          <w:szCs w:val="30"/>
        </w:rPr>
      </w:pPr>
      <w:bookmarkStart w:id="20" w:name="_Toc107920150"/>
      <w:bookmarkStart w:id="21" w:name="_Toc107920130"/>
      <w:r>
        <w:rPr>
          <w:rFonts w:ascii="Times New Roman" w:hAnsi="Times New Roman" w:eastAsia="仿宋_GB2312" w:cs="Times New Roman"/>
          <w:b/>
          <w:bCs/>
          <w:sz w:val="30"/>
          <w:szCs w:val="30"/>
        </w:rPr>
        <w:t>（二）一般公共预算当年拨款结构情况</w:t>
      </w:r>
      <w:bookmarkEnd w:id="20"/>
      <w:bookmarkEnd w:id="21"/>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社会保障支出9.89万元占4.34%；农林水利支出208.33万元占91.42%；住房保障支出9.67万元占4.24%。</w:t>
      </w:r>
    </w:p>
    <w:p>
      <w:pPr>
        <w:spacing w:line="600" w:lineRule="exact"/>
        <w:ind w:firstLine="602" w:firstLineChars="200"/>
        <w:outlineLvl w:val="0"/>
        <w:rPr>
          <w:rFonts w:ascii="Times New Roman" w:hAnsi="Times New Roman" w:eastAsia="仿宋_GB2312" w:cs="Times New Roman"/>
          <w:b/>
          <w:bCs/>
          <w:sz w:val="30"/>
          <w:szCs w:val="30"/>
        </w:rPr>
      </w:pPr>
      <w:bookmarkStart w:id="22" w:name="_Toc107920131"/>
      <w:bookmarkStart w:id="23" w:name="_Toc107920151"/>
      <w:r>
        <w:rPr>
          <w:rFonts w:ascii="Times New Roman" w:hAnsi="Times New Roman" w:eastAsia="仿宋_GB2312" w:cs="Times New Roman"/>
          <w:b/>
          <w:bCs/>
          <w:sz w:val="30"/>
          <w:szCs w:val="30"/>
        </w:rPr>
        <w:t>（三）一般公共预算当年拨款具体使用情况</w:t>
      </w:r>
      <w:bookmarkEnd w:id="22"/>
      <w:bookmarkEnd w:id="23"/>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1.社会保障和就业（类）行政事业单位养老支出（款）机关事业单位基本养老保险缴费支出（项）2021年预算数为9.89万元，主要用于：职工养老保险支出。</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2.农林水利支出（类）水利（款）水土保持（项）2021年预算数为208.33万元，主要用于：职工工资、津贴、绩效、其他</w:t>
      </w:r>
      <w:r>
        <w:rPr>
          <w:rFonts w:hint="eastAsia" w:ascii="Times New Roman" w:hAnsi="Times New Roman" w:eastAsia="仿宋_GB2312" w:cs="Times New Roman"/>
          <w:sz w:val="32"/>
          <w:szCs w:val="32"/>
        </w:rPr>
        <w:t>社会保险</w:t>
      </w:r>
      <w:r>
        <w:rPr>
          <w:rFonts w:ascii="Times New Roman" w:hAnsi="Times New Roman" w:eastAsia="仿宋_GB2312" w:cs="Times New Roman"/>
          <w:sz w:val="32"/>
          <w:szCs w:val="32"/>
        </w:rPr>
        <w:t>支出以及日常公用支出。</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3.住房保障支出（类）住房改革支出（款）住房公积金（项）2021年预算数为9.67万元，主要用于：职工住房公积金。</w:t>
      </w:r>
    </w:p>
    <w:p>
      <w:pPr>
        <w:pStyle w:val="2"/>
        <w:adjustRightInd w:val="0"/>
        <w:snapToGrid w:val="0"/>
        <w:spacing w:before="0" w:after="0" w:line="640" w:lineRule="exact"/>
        <w:jc w:val="left"/>
        <w:rPr>
          <w:sz w:val="32"/>
          <w:szCs w:val="32"/>
        </w:rPr>
      </w:pPr>
      <w:bookmarkStart w:id="24" w:name="_Toc107920132"/>
      <w:bookmarkStart w:id="25" w:name="_Toc107920152"/>
      <w:r>
        <w:rPr>
          <w:sz w:val="32"/>
          <w:szCs w:val="32"/>
        </w:rPr>
        <w:t>六、一般公共预算基本支出情况说明</w:t>
      </w:r>
      <w:bookmarkEnd w:id="24"/>
      <w:bookmarkEnd w:id="25"/>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市水保监测分站2021年一般公共预算基本支出227.89万元，其中：人员经费112.27万元，主要包括：基本工资、津贴补贴、绩效、社会</w:t>
      </w:r>
      <w:bookmarkStart w:id="40" w:name="_GoBack"/>
      <w:bookmarkEnd w:id="40"/>
      <w:r>
        <w:rPr>
          <w:rFonts w:ascii="Times New Roman" w:hAnsi="Times New Roman" w:eastAsia="仿宋_GB2312" w:cs="Times New Roman"/>
          <w:sz w:val="32"/>
          <w:szCs w:val="32"/>
        </w:rPr>
        <w:t>保险缴费。公用经费15.62万元，主要包括：办公费、水电费、邮电费、差旅费、公务接待费、工会经费、福利费、工会经费、离退休公用经费。</w:t>
      </w:r>
    </w:p>
    <w:p>
      <w:pPr>
        <w:pStyle w:val="2"/>
        <w:adjustRightInd w:val="0"/>
        <w:snapToGrid w:val="0"/>
        <w:spacing w:before="0" w:after="0" w:line="640" w:lineRule="exact"/>
        <w:jc w:val="left"/>
        <w:rPr>
          <w:sz w:val="32"/>
          <w:szCs w:val="32"/>
        </w:rPr>
      </w:pPr>
      <w:bookmarkStart w:id="26" w:name="_Toc107920133"/>
      <w:bookmarkStart w:id="27" w:name="_Toc107920153"/>
      <w:r>
        <w:rPr>
          <w:sz w:val="32"/>
          <w:szCs w:val="32"/>
        </w:rPr>
        <w:t>七、“三公”经费财政拨款预算安排情况说明</w:t>
      </w:r>
      <w:bookmarkEnd w:id="26"/>
      <w:bookmarkEnd w:id="27"/>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市水保监测分站2021年“三公”经费财政拨款预算数4.26万元，其中：因公出国（境）经费0万元，公务接待费0.21万元，公务用车购置及运行维护费4.05万元。</w:t>
      </w:r>
    </w:p>
    <w:p>
      <w:pPr>
        <w:spacing w:line="600" w:lineRule="exact"/>
        <w:ind w:firstLine="640"/>
        <w:rPr>
          <w:rFonts w:ascii="Times New Roman" w:hAnsi="Times New Roman" w:eastAsia="仿宋_GB2312" w:cs="Times New Roman"/>
          <w:b/>
          <w:sz w:val="32"/>
          <w:szCs w:val="32"/>
        </w:rPr>
      </w:pPr>
      <w:r>
        <w:rPr>
          <w:rFonts w:ascii="Times New Roman" w:hAnsi="Times New Roman" w:eastAsia="仿宋_GB2312" w:cs="Times New Roman"/>
          <w:b/>
          <w:sz w:val="32"/>
          <w:szCs w:val="32"/>
        </w:rPr>
        <w:t>（一）因公出国（境）经费与2020年预算持平。</w:t>
      </w:r>
    </w:p>
    <w:p>
      <w:pPr>
        <w:spacing w:line="60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2021年无因公出国（境）经费。</w:t>
      </w:r>
    </w:p>
    <w:p>
      <w:pPr>
        <w:spacing w:line="600" w:lineRule="exact"/>
        <w:ind w:firstLine="640"/>
        <w:rPr>
          <w:rFonts w:ascii="Times New Roman" w:hAnsi="Times New Roman" w:eastAsia="仿宋_GB2312" w:cs="Times New Roman"/>
          <w:b/>
          <w:sz w:val="32"/>
          <w:szCs w:val="32"/>
        </w:rPr>
      </w:pPr>
      <w:r>
        <w:rPr>
          <w:rFonts w:ascii="Times New Roman" w:hAnsi="Times New Roman" w:eastAsia="仿宋_GB2312" w:cs="Times New Roman"/>
          <w:b/>
          <w:sz w:val="32"/>
          <w:szCs w:val="32"/>
        </w:rPr>
        <w:t>（二）公务接待费较2020年预算下降6%。</w:t>
      </w:r>
    </w:p>
    <w:p>
      <w:pPr>
        <w:spacing w:line="600" w:lineRule="exact"/>
        <w:ind w:firstLine="640"/>
        <w:rPr>
          <w:rFonts w:ascii="Times New Roman" w:hAnsi="Times New Roman" w:eastAsia="仿宋_GB2312" w:cs="Times New Roman"/>
          <w:sz w:val="32"/>
          <w:szCs w:val="32"/>
          <w:shd w:val="clear" w:color="auto" w:fill="FFFFFF"/>
        </w:rPr>
      </w:pPr>
      <w:r>
        <w:rPr>
          <w:rFonts w:ascii="Times New Roman" w:hAnsi="仿宋_GB2312" w:eastAsia="仿宋_GB2312" w:cs="Times New Roman"/>
          <w:sz w:val="32"/>
          <w:szCs w:val="32"/>
          <w:shd w:val="clear" w:color="auto" w:fill="FFFFFF"/>
        </w:rPr>
        <w:t>主要原因是中央省市严格控制该项预算规模。</w:t>
      </w:r>
    </w:p>
    <w:p>
      <w:pPr>
        <w:spacing w:line="600" w:lineRule="exact"/>
        <w:ind w:firstLine="642"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（三）公务用车购置及运行维护费较2020年预算下降5%。</w:t>
      </w:r>
    </w:p>
    <w:p>
      <w:pPr>
        <w:spacing w:line="600" w:lineRule="exact"/>
        <w:ind w:firstLine="640"/>
        <w:rPr>
          <w:rFonts w:ascii="Times New Roman" w:hAnsi="Times New Roman" w:eastAsia="仿宋_GB2312" w:cs="Times New Roman"/>
          <w:sz w:val="32"/>
          <w:szCs w:val="32"/>
          <w:shd w:val="clear" w:color="auto" w:fill="FFFFFF"/>
        </w:rPr>
      </w:pPr>
      <w:r>
        <w:rPr>
          <w:rFonts w:ascii="Times New Roman" w:hAnsi="仿宋_GB2312" w:eastAsia="仿宋_GB2312" w:cs="Times New Roman"/>
          <w:sz w:val="32"/>
          <w:szCs w:val="32"/>
          <w:shd w:val="clear" w:color="auto" w:fill="FFFFFF"/>
        </w:rPr>
        <w:t>中央省市严格控制该项预算规模。单位现有公务用车两辆，其中：越野车一辆，皮卡车一辆。</w:t>
      </w:r>
    </w:p>
    <w:p>
      <w:pPr>
        <w:spacing w:line="600" w:lineRule="exact"/>
        <w:ind w:firstLine="64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2021</w:t>
      </w:r>
      <w:r>
        <w:rPr>
          <w:rFonts w:ascii="Times New Roman" w:hAnsi="仿宋_GB2312" w:eastAsia="仿宋_GB2312" w:cs="Times New Roman"/>
          <w:sz w:val="32"/>
          <w:szCs w:val="32"/>
          <w:shd w:val="clear" w:color="auto" w:fill="FFFFFF"/>
        </w:rPr>
        <w:t>年安排公务用车购置费</w:t>
      </w:r>
      <w:r>
        <w:rPr>
          <w:rFonts w:ascii="Times New Roman" w:hAnsi="Times New Roman" w:eastAsia="仿宋_GB2312" w:cs="Times New Roman"/>
          <w:sz w:val="32"/>
          <w:szCs w:val="32"/>
          <w:shd w:val="clear" w:color="auto" w:fill="FFFFFF"/>
        </w:rPr>
        <w:t>0</w:t>
      </w:r>
      <w:r>
        <w:rPr>
          <w:rFonts w:ascii="Times New Roman" w:hAnsi="仿宋_GB2312" w:eastAsia="仿宋_GB2312" w:cs="Times New Roman"/>
          <w:sz w:val="32"/>
          <w:szCs w:val="32"/>
          <w:shd w:val="clear" w:color="auto" w:fill="FFFFFF"/>
        </w:rPr>
        <w:t>万元，购置公务用车</w:t>
      </w:r>
      <w:r>
        <w:rPr>
          <w:rFonts w:ascii="Times New Roman" w:hAnsi="Times New Roman" w:eastAsia="仿宋_GB2312" w:cs="Times New Roman"/>
          <w:sz w:val="32"/>
          <w:szCs w:val="32"/>
          <w:shd w:val="clear" w:color="auto" w:fill="FFFFFF"/>
        </w:rPr>
        <w:t>0</w:t>
      </w:r>
      <w:r>
        <w:rPr>
          <w:rFonts w:ascii="Times New Roman" w:hAnsi="仿宋_GB2312" w:eastAsia="仿宋_GB2312" w:cs="Times New Roman"/>
          <w:sz w:val="32"/>
          <w:szCs w:val="32"/>
          <w:shd w:val="clear" w:color="auto" w:fill="FFFFFF"/>
        </w:rPr>
        <w:t>辆，其中：轿车（含</w:t>
      </w:r>
      <w:r>
        <w:rPr>
          <w:rFonts w:ascii="Times New Roman" w:hAnsi="Times New Roman" w:eastAsia="仿宋_GB2312" w:cs="Times New Roman"/>
          <w:sz w:val="32"/>
          <w:szCs w:val="32"/>
          <w:shd w:val="clear" w:color="auto" w:fill="FFFFFF"/>
        </w:rPr>
        <w:t>7</w:t>
      </w:r>
      <w:r>
        <w:rPr>
          <w:rFonts w:ascii="Times New Roman" w:hAnsi="仿宋_GB2312" w:eastAsia="仿宋_GB2312" w:cs="Times New Roman"/>
          <w:sz w:val="32"/>
          <w:szCs w:val="32"/>
          <w:shd w:val="clear" w:color="auto" w:fill="FFFFFF"/>
        </w:rPr>
        <w:t>座以下商务车、城市越野车）</w:t>
      </w:r>
      <w:r>
        <w:rPr>
          <w:rFonts w:ascii="Times New Roman" w:hAnsi="Times New Roman" w:eastAsia="仿宋_GB2312" w:cs="Times New Roman"/>
          <w:sz w:val="32"/>
          <w:szCs w:val="32"/>
          <w:shd w:val="clear" w:color="auto" w:fill="FFFFFF"/>
        </w:rPr>
        <w:t>0</w:t>
      </w:r>
      <w:r>
        <w:rPr>
          <w:rFonts w:ascii="Times New Roman" w:hAnsi="仿宋_GB2312" w:eastAsia="仿宋_GB2312" w:cs="Times New Roman"/>
          <w:sz w:val="32"/>
          <w:szCs w:val="32"/>
          <w:shd w:val="clear" w:color="auto" w:fill="FFFFFF"/>
        </w:rPr>
        <w:t>辆，</w:t>
      </w:r>
      <w:r>
        <w:rPr>
          <w:rFonts w:ascii="Times New Roman" w:hAnsi="Times New Roman" w:eastAsia="仿宋_GB2312" w:cs="Times New Roman"/>
          <w:sz w:val="32"/>
          <w:szCs w:val="32"/>
          <w:shd w:val="clear" w:color="auto" w:fill="FFFFFF"/>
        </w:rPr>
        <w:t>7</w:t>
      </w:r>
      <w:r>
        <w:rPr>
          <w:rFonts w:ascii="Times New Roman" w:hAnsi="仿宋_GB2312" w:eastAsia="仿宋_GB2312" w:cs="Times New Roman"/>
          <w:sz w:val="32"/>
          <w:szCs w:val="32"/>
          <w:shd w:val="clear" w:color="auto" w:fill="FFFFFF"/>
        </w:rPr>
        <w:t>座以上</w:t>
      </w:r>
      <w:r>
        <w:rPr>
          <w:rFonts w:ascii="Times New Roman" w:hAnsi="Times New Roman" w:eastAsia="仿宋_GB2312" w:cs="Times New Roman"/>
          <w:sz w:val="32"/>
          <w:szCs w:val="32"/>
          <w:shd w:val="clear" w:color="auto" w:fill="FFFFFF"/>
        </w:rPr>
        <w:t>19</w:t>
      </w:r>
      <w:r>
        <w:rPr>
          <w:rFonts w:ascii="Times New Roman" w:hAnsi="仿宋_GB2312" w:eastAsia="仿宋_GB2312" w:cs="Times New Roman"/>
          <w:sz w:val="32"/>
          <w:szCs w:val="32"/>
          <w:shd w:val="clear" w:color="auto" w:fill="FFFFFF"/>
        </w:rPr>
        <w:t>座（含</w:t>
      </w:r>
      <w:r>
        <w:rPr>
          <w:rFonts w:ascii="Times New Roman" w:hAnsi="Times New Roman" w:eastAsia="仿宋_GB2312" w:cs="Times New Roman"/>
          <w:sz w:val="32"/>
          <w:szCs w:val="32"/>
          <w:shd w:val="clear" w:color="auto" w:fill="FFFFFF"/>
        </w:rPr>
        <w:t>19</w:t>
      </w:r>
      <w:r>
        <w:rPr>
          <w:rFonts w:ascii="Times New Roman" w:hAnsi="仿宋_GB2312" w:eastAsia="仿宋_GB2312" w:cs="Times New Roman"/>
          <w:sz w:val="32"/>
          <w:szCs w:val="32"/>
          <w:shd w:val="clear" w:color="auto" w:fill="FFFFFF"/>
        </w:rPr>
        <w:t>座）以下客车</w:t>
      </w:r>
      <w:r>
        <w:rPr>
          <w:rFonts w:ascii="Times New Roman" w:hAnsi="Times New Roman" w:eastAsia="仿宋_GB2312" w:cs="Times New Roman"/>
          <w:sz w:val="32"/>
          <w:szCs w:val="32"/>
          <w:shd w:val="clear" w:color="auto" w:fill="FFFFFF"/>
        </w:rPr>
        <w:t>0</w:t>
      </w:r>
      <w:r>
        <w:rPr>
          <w:rFonts w:ascii="Times New Roman" w:hAnsi="仿宋_GB2312" w:eastAsia="仿宋_GB2312" w:cs="Times New Roman"/>
          <w:sz w:val="32"/>
          <w:szCs w:val="32"/>
          <w:shd w:val="clear" w:color="auto" w:fill="FFFFFF"/>
        </w:rPr>
        <w:t>辆，越野车</w:t>
      </w:r>
      <w:r>
        <w:rPr>
          <w:rFonts w:ascii="Times New Roman" w:hAnsi="Times New Roman" w:eastAsia="仿宋_GB2312" w:cs="Times New Roman"/>
          <w:sz w:val="32"/>
          <w:szCs w:val="32"/>
          <w:shd w:val="clear" w:color="auto" w:fill="FFFFFF"/>
        </w:rPr>
        <w:t>0</w:t>
      </w:r>
      <w:r>
        <w:rPr>
          <w:rFonts w:ascii="Times New Roman" w:hAnsi="仿宋_GB2312" w:eastAsia="仿宋_GB2312" w:cs="Times New Roman"/>
          <w:sz w:val="32"/>
          <w:szCs w:val="32"/>
          <w:shd w:val="clear" w:color="auto" w:fill="FFFFFF"/>
        </w:rPr>
        <w:t>辆，货车及</w:t>
      </w:r>
      <w:r>
        <w:rPr>
          <w:rFonts w:ascii="Times New Roman" w:hAnsi="Times New Roman" w:eastAsia="仿宋_GB2312" w:cs="Times New Roman"/>
          <w:sz w:val="32"/>
          <w:szCs w:val="32"/>
          <w:shd w:val="clear" w:color="auto" w:fill="FFFFFF"/>
        </w:rPr>
        <w:t>19</w:t>
      </w:r>
      <w:r>
        <w:rPr>
          <w:rFonts w:ascii="Times New Roman" w:hAnsi="仿宋_GB2312" w:eastAsia="仿宋_GB2312" w:cs="Times New Roman"/>
          <w:sz w:val="32"/>
          <w:szCs w:val="32"/>
          <w:shd w:val="clear" w:color="auto" w:fill="FFFFFF"/>
        </w:rPr>
        <w:t>座以上客车</w:t>
      </w:r>
      <w:r>
        <w:rPr>
          <w:rFonts w:ascii="Times New Roman" w:hAnsi="Times New Roman" w:eastAsia="仿宋_GB2312" w:cs="Times New Roman"/>
          <w:sz w:val="32"/>
          <w:szCs w:val="32"/>
          <w:shd w:val="clear" w:color="auto" w:fill="FFFFFF"/>
        </w:rPr>
        <w:t>0</w:t>
      </w:r>
      <w:r>
        <w:rPr>
          <w:rFonts w:ascii="Times New Roman" w:hAnsi="仿宋_GB2312" w:eastAsia="仿宋_GB2312" w:cs="Times New Roman"/>
          <w:sz w:val="32"/>
          <w:szCs w:val="32"/>
          <w:shd w:val="clear" w:color="auto" w:fill="FFFFFF"/>
        </w:rPr>
        <w:t>辆，摩托车</w:t>
      </w:r>
      <w:r>
        <w:rPr>
          <w:rFonts w:ascii="Times New Roman" w:hAnsi="Times New Roman" w:eastAsia="仿宋_GB2312" w:cs="Times New Roman"/>
          <w:sz w:val="32"/>
          <w:szCs w:val="32"/>
          <w:shd w:val="clear" w:color="auto" w:fill="FFFFFF"/>
        </w:rPr>
        <w:t>0</w:t>
      </w:r>
      <w:r>
        <w:rPr>
          <w:rFonts w:ascii="Times New Roman" w:hAnsi="仿宋_GB2312" w:eastAsia="仿宋_GB2312" w:cs="Times New Roman"/>
          <w:sz w:val="32"/>
          <w:szCs w:val="32"/>
          <w:shd w:val="clear" w:color="auto" w:fill="FFFFFF"/>
        </w:rPr>
        <w:t>辆。</w:t>
      </w:r>
    </w:p>
    <w:p>
      <w:pPr>
        <w:spacing w:line="600" w:lineRule="exact"/>
        <w:ind w:firstLine="64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2021</w:t>
      </w:r>
      <w:r>
        <w:rPr>
          <w:rFonts w:ascii="Times New Roman" w:hAnsi="仿宋_GB2312" w:eastAsia="仿宋_GB2312" w:cs="Times New Roman"/>
          <w:sz w:val="32"/>
          <w:szCs w:val="32"/>
          <w:shd w:val="clear" w:color="auto" w:fill="FFFFFF"/>
        </w:rPr>
        <w:t>年安排公务用车运行维护费</w:t>
      </w:r>
      <w:r>
        <w:rPr>
          <w:rFonts w:ascii="Times New Roman" w:hAnsi="Times New Roman" w:eastAsia="仿宋_GB2312" w:cs="Times New Roman"/>
          <w:sz w:val="32"/>
          <w:szCs w:val="32"/>
          <w:shd w:val="clear" w:color="auto" w:fill="FFFFFF"/>
        </w:rPr>
        <w:t>4.05</w:t>
      </w:r>
      <w:r>
        <w:rPr>
          <w:rFonts w:ascii="Times New Roman" w:hAnsi="仿宋_GB2312" w:eastAsia="仿宋_GB2312" w:cs="Times New Roman"/>
          <w:sz w:val="32"/>
          <w:szCs w:val="32"/>
          <w:shd w:val="clear" w:color="auto" w:fill="FFFFFF"/>
        </w:rPr>
        <w:t>万元，用于两辆公务用车燃油、维修以及车辆通行费用等方面支出主要保障水土保持监测等工作的正常开展。</w:t>
      </w:r>
    </w:p>
    <w:p>
      <w:pPr>
        <w:pStyle w:val="2"/>
        <w:adjustRightInd w:val="0"/>
        <w:snapToGrid w:val="0"/>
        <w:spacing w:before="0" w:after="0" w:line="640" w:lineRule="exact"/>
        <w:jc w:val="left"/>
        <w:rPr>
          <w:sz w:val="32"/>
          <w:szCs w:val="32"/>
        </w:rPr>
      </w:pPr>
      <w:bookmarkStart w:id="28" w:name="_Toc107920154"/>
      <w:bookmarkStart w:id="29" w:name="_Toc107920134"/>
      <w:r>
        <w:rPr>
          <w:sz w:val="32"/>
          <w:szCs w:val="32"/>
        </w:rPr>
        <w:t>八、政府性基金预算支出情况说明</w:t>
      </w:r>
      <w:bookmarkEnd w:id="28"/>
      <w:bookmarkEnd w:id="29"/>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市水保监测分站2021年没有使用政府性基金预算拨款安排的支出。</w:t>
      </w:r>
    </w:p>
    <w:p>
      <w:pPr>
        <w:pStyle w:val="2"/>
        <w:adjustRightInd w:val="0"/>
        <w:snapToGrid w:val="0"/>
        <w:spacing w:before="0" w:after="0" w:line="640" w:lineRule="exact"/>
        <w:jc w:val="left"/>
        <w:rPr>
          <w:sz w:val="32"/>
          <w:szCs w:val="32"/>
        </w:rPr>
      </w:pPr>
      <w:bookmarkStart w:id="30" w:name="_Toc107920155"/>
      <w:bookmarkStart w:id="31" w:name="_Toc107920135"/>
      <w:r>
        <w:rPr>
          <w:sz w:val="32"/>
          <w:szCs w:val="32"/>
        </w:rPr>
        <w:t>九、其他重要事项的情况说明</w:t>
      </w:r>
      <w:bookmarkEnd w:id="30"/>
      <w:bookmarkEnd w:id="31"/>
    </w:p>
    <w:p>
      <w:pPr>
        <w:spacing w:line="600" w:lineRule="exact"/>
        <w:ind w:firstLine="642" w:firstLineChars="200"/>
        <w:outlineLvl w:val="0"/>
        <w:rPr>
          <w:rFonts w:ascii="Times New Roman" w:hAnsi="Times New Roman" w:eastAsia="仿宋_GB2312" w:cs="Times New Roman"/>
          <w:b/>
          <w:sz w:val="32"/>
          <w:szCs w:val="32"/>
        </w:rPr>
      </w:pPr>
      <w:bookmarkStart w:id="32" w:name="_Toc107920156"/>
      <w:bookmarkStart w:id="33" w:name="_Toc107920136"/>
      <w:r>
        <w:rPr>
          <w:rFonts w:ascii="Times New Roman" w:hAnsi="Times New Roman" w:eastAsia="仿宋_GB2312" w:cs="Times New Roman"/>
          <w:b/>
          <w:sz w:val="32"/>
          <w:szCs w:val="32"/>
        </w:rPr>
        <w:t>（一）业务运行经费</w:t>
      </w:r>
      <w:bookmarkEnd w:id="32"/>
      <w:bookmarkEnd w:id="33"/>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2021年，市水保监测分站事业单位的机关运行经费财政拨款预算为15.62万元，比2020年预算减少4.66万元，下降23%。</w:t>
      </w:r>
    </w:p>
    <w:p>
      <w:pPr>
        <w:spacing w:line="600" w:lineRule="exact"/>
        <w:ind w:firstLine="642" w:firstLineChars="200"/>
        <w:outlineLvl w:val="0"/>
        <w:rPr>
          <w:rFonts w:ascii="Times New Roman" w:hAnsi="Times New Roman" w:eastAsia="仿宋_GB2312" w:cs="Times New Roman"/>
          <w:b/>
          <w:sz w:val="32"/>
          <w:szCs w:val="32"/>
        </w:rPr>
      </w:pPr>
      <w:bookmarkStart w:id="34" w:name="_Toc107920137"/>
      <w:bookmarkStart w:id="35" w:name="_Toc107920157"/>
      <w:r>
        <w:rPr>
          <w:rFonts w:ascii="Times New Roman" w:hAnsi="Times New Roman" w:eastAsia="仿宋_GB2312" w:cs="Times New Roman"/>
          <w:b/>
          <w:sz w:val="32"/>
          <w:szCs w:val="32"/>
        </w:rPr>
        <w:t>（二）国有资产占有使用情况</w:t>
      </w:r>
      <w:bookmarkEnd w:id="34"/>
      <w:bookmarkEnd w:id="35"/>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截至2020年底，市水保监测分站及所属的非独立核算单位共有车辆两辆，其中，执法执勤用车0辆。单位价值200万元以上大型设备0台（套）。</w:t>
      </w:r>
    </w:p>
    <w:p>
      <w:pPr>
        <w:spacing w:line="600" w:lineRule="exact"/>
        <w:ind w:firstLine="642" w:firstLineChars="200"/>
        <w:outlineLvl w:val="0"/>
        <w:rPr>
          <w:rFonts w:ascii="Times New Roman" w:hAnsi="Times New Roman" w:eastAsia="仿宋_GB2312" w:cs="Times New Roman"/>
          <w:b/>
          <w:sz w:val="32"/>
          <w:szCs w:val="32"/>
        </w:rPr>
      </w:pPr>
      <w:bookmarkStart w:id="36" w:name="_Toc107920158"/>
      <w:bookmarkStart w:id="37" w:name="_Toc107920138"/>
      <w:r>
        <w:rPr>
          <w:rFonts w:ascii="Times New Roman" w:hAnsi="Times New Roman" w:eastAsia="仿宋_GB2312" w:cs="Times New Roman"/>
          <w:b/>
          <w:sz w:val="32"/>
          <w:szCs w:val="32"/>
        </w:rPr>
        <w:t>（三）绩效目标设置情况</w:t>
      </w:r>
      <w:bookmarkEnd w:id="36"/>
      <w:bookmarkEnd w:id="37"/>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2021年市水保监测分站部门通用项目和专用项目均按要求实行绩效目标管理，涉及一般公共预算当年拨款100万元。</w:t>
      </w:r>
    </w:p>
    <w:p>
      <w:pPr>
        <w:pStyle w:val="2"/>
        <w:adjustRightInd w:val="0"/>
        <w:snapToGrid w:val="0"/>
        <w:spacing w:before="0" w:after="0" w:line="640" w:lineRule="exact"/>
        <w:jc w:val="left"/>
        <w:rPr>
          <w:sz w:val="32"/>
          <w:szCs w:val="32"/>
        </w:rPr>
      </w:pPr>
      <w:bookmarkStart w:id="38" w:name="_Toc107920159"/>
      <w:bookmarkStart w:id="39" w:name="_Toc107920139"/>
      <w:r>
        <w:rPr>
          <w:sz w:val="32"/>
          <w:szCs w:val="32"/>
        </w:rPr>
        <w:t>十、名词解释</w:t>
      </w:r>
      <w:bookmarkEnd w:id="38"/>
      <w:bookmarkEnd w:id="39"/>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1.一般公共预算拨款收入：指市级财政当年拨付的资金。</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基本支出：指为保证机构正常运转，完成日常工作任务而发生的人员支出和公用支出。</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.项目支出：指在基本支出之外为完成特定行政任务和事业发展目标所发生的支出。</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.业务运行</w:t>
      </w:r>
      <w:r>
        <w:rPr>
          <w:rFonts w:hint="eastAsia" w:ascii="Times New Roman" w:hAnsi="Times New Roman" w:eastAsia="仿宋_GB2312" w:cs="Times New Roman"/>
          <w:sz w:val="32"/>
          <w:szCs w:val="32"/>
          <w:lang w:val="en-US" w:eastAsia="zh-CN"/>
        </w:rPr>
        <w:t>经</w:t>
      </w:r>
      <w:r>
        <w:rPr>
          <w:rFonts w:ascii="Times New Roman" w:hAnsi="Times New Roman" w:eastAsia="仿宋_GB2312" w:cs="Times New Roman"/>
          <w:sz w:val="32"/>
          <w:szCs w:val="32"/>
        </w:rPr>
        <w:t>费：为保障行政单位（包含参照公务员法管理的事业单位）运行用于购买货物和服务的各项资金。包括办公及办公费、水费、电费、印刷费、邮电费、差旅费、会议费等费用开支。</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附件：表1.单位收支总表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表1-1.单位收入总表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表1-2.单位支出总表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表2.财政拨款收支预算总表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表2-1.财政拨款支出预算表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表3.一般公共预算支出预算表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表3-1.一般公共预算基本支出预算表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表3-2.一般公共预算项目支出预算表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表3-3.一般公共预算“三公”经费支出预算表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表4.政府性基金支出预算表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表4-1.政府性基金预算“三公”经费支出预算表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表5.国有资本经营预算支出预算表</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表6.单位预算项目绩效目标表</w:t>
      </w:r>
    </w:p>
    <w:p>
      <w:pPr>
        <w:rPr>
          <w:rFonts w:asciiTheme="minorEastAsia" w:hAnsiTheme="minorEastAsia"/>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72452"/>
      <w:docPartObj>
        <w:docPartGallery w:val="autotext"/>
      </w:docPartObj>
    </w:sdtPr>
    <w:sdtContent>
      <w:p>
        <w:pPr>
          <w:pStyle w:val="8"/>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IzZjExODZjZTdlNzI5NzkwMDdlYWFhNGUyYjdkODAifQ=="/>
  </w:docVars>
  <w:rsids>
    <w:rsidRoot w:val="0010748D"/>
    <w:rsid w:val="00032BBD"/>
    <w:rsid w:val="0006412B"/>
    <w:rsid w:val="000C1E75"/>
    <w:rsid w:val="000E2CA5"/>
    <w:rsid w:val="0010748D"/>
    <w:rsid w:val="0011765A"/>
    <w:rsid w:val="00292364"/>
    <w:rsid w:val="00316D7F"/>
    <w:rsid w:val="00345791"/>
    <w:rsid w:val="00377543"/>
    <w:rsid w:val="00473B8A"/>
    <w:rsid w:val="005526A4"/>
    <w:rsid w:val="006156FC"/>
    <w:rsid w:val="00697136"/>
    <w:rsid w:val="006A093A"/>
    <w:rsid w:val="006B0041"/>
    <w:rsid w:val="007603EC"/>
    <w:rsid w:val="007979CD"/>
    <w:rsid w:val="007D2B34"/>
    <w:rsid w:val="00836EA5"/>
    <w:rsid w:val="008F6481"/>
    <w:rsid w:val="009514F6"/>
    <w:rsid w:val="0095171C"/>
    <w:rsid w:val="0097574D"/>
    <w:rsid w:val="00A9229A"/>
    <w:rsid w:val="00AA7E9E"/>
    <w:rsid w:val="00C150CC"/>
    <w:rsid w:val="00C9043F"/>
    <w:rsid w:val="00CC0A2C"/>
    <w:rsid w:val="00D2060A"/>
    <w:rsid w:val="00E04BD2"/>
    <w:rsid w:val="00E15671"/>
    <w:rsid w:val="00EA2B2D"/>
    <w:rsid w:val="00EC67CC"/>
    <w:rsid w:val="00F07078"/>
    <w:rsid w:val="3F7F76A4"/>
    <w:rsid w:val="769D4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0"/>
    <w:pPr>
      <w:keepNext/>
      <w:keepLines/>
      <w:spacing w:before="340" w:after="330" w:line="578" w:lineRule="auto"/>
      <w:outlineLvl w:val="0"/>
    </w:pPr>
    <w:rPr>
      <w:rFonts w:ascii="Times New Roman" w:hAnsi="Times New Roman" w:eastAsia="仿宋_GB2312" w:cs="Times New Roman"/>
      <w:b/>
      <w:bCs/>
      <w:kern w:val="44"/>
      <w:sz w:val="44"/>
      <w:szCs w:val="44"/>
    </w:rPr>
  </w:style>
  <w:style w:type="paragraph" w:styleId="3">
    <w:name w:val="heading 2"/>
    <w:basedOn w:val="1"/>
    <w:next w:val="1"/>
    <w:link w:val="26"/>
    <w:qFormat/>
    <w:uiPriority w:val="0"/>
    <w:pPr>
      <w:keepNext/>
      <w:keepLines/>
      <w:spacing w:beforeLines="50" w:afterLines="50" w:line="440" w:lineRule="exact"/>
      <w:outlineLvl w:val="1"/>
    </w:pPr>
    <w:rPr>
      <w:rFonts w:ascii="Times New Roman" w:hAnsi="Times New Roman" w:eastAsia="华文中宋" w:cs="Times New Roman"/>
      <w:b/>
      <w:bCs/>
      <w:sz w:val="30"/>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4"/>
    <w:semiHidden/>
    <w:unhideWhenUsed/>
    <w:qFormat/>
    <w:uiPriority w:val="99"/>
    <w:rPr>
      <w:rFonts w:ascii="宋体" w:eastAsia="宋体"/>
      <w:sz w:val="18"/>
      <w:szCs w:val="18"/>
    </w:rPr>
  </w:style>
  <w:style w:type="paragraph" w:styleId="5">
    <w:name w:val="Body Text"/>
    <w:basedOn w:val="1"/>
    <w:link w:val="22"/>
    <w:qFormat/>
    <w:uiPriority w:val="0"/>
    <w:pPr>
      <w:spacing w:beforeLines="30"/>
    </w:pPr>
    <w:rPr>
      <w:rFonts w:ascii="仿宋_GB2312" w:hAnsi="Times New Roman" w:eastAsia="仿宋_GB2312" w:cs="Times New Roman"/>
      <w:sz w:val="30"/>
      <w:szCs w:val="32"/>
    </w:rPr>
  </w:style>
  <w:style w:type="paragraph" w:styleId="6">
    <w:name w:val="Plain Text"/>
    <w:basedOn w:val="1"/>
    <w:link w:val="16"/>
    <w:qFormat/>
    <w:uiPriority w:val="0"/>
    <w:rPr>
      <w:rFonts w:ascii="宋体" w:hAnsi="Courier New" w:eastAsia="宋体" w:cs="Times New Roman"/>
      <w:szCs w:val="24"/>
    </w:rPr>
  </w:style>
  <w:style w:type="paragraph" w:styleId="7">
    <w:name w:val="Balloon Text"/>
    <w:basedOn w:val="1"/>
    <w:link w:val="28"/>
    <w:semiHidden/>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5">
    <w:name w:val="Hyperlink"/>
    <w:basedOn w:val="14"/>
    <w:unhideWhenUsed/>
    <w:qFormat/>
    <w:uiPriority w:val="99"/>
    <w:rPr>
      <w:color w:val="0000FF" w:themeColor="hyperlink"/>
      <w:u w:val="single"/>
    </w:rPr>
  </w:style>
  <w:style w:type="character" w:customStyle="1" w:styleId="16">
    <w:name w:val="纯文本 Char"/>
    <w:basedOn w:val="14"/>
    <w:link w:val="6"/>
    <w:qFormat/>
    <w:uiPriority w:val="0"/>
    <w:rPr>
      <w:rFonts w:ascii="宋体" w:hAnsi="Courier New" w:eastAsia="宋体" w:cs="Times New Roman"/>
      <w:szCs w:val="24"/>
    </w:rPr>
  </w:style>
  <w:style w:type="character" w:customStyle="1" w:styleId="17">
    <w:name w:val="font31"/>
    <w:basedOn w:val="14"/>
    <w:qFormat/>
    <w:uiPriority w:val="0"/>
    <w:rPr>
      <w:rFonts w:hint="default" w:ascii="Times New Roman" w:hAnsi="黑体" w:eastAsia="黑体" w:cs="Times New Roman"/>
      <w:spacing w:val="40"/>
      <w:sz w:val="52"/>
      <w:szCs w:val="24"/>
    </w:rPr>
  </w:style>
  <w:style w:type="character" w:customStyle="1" w:styleId="18">
    <w:name w:val="font41"/>
    <w:basedOn w:val="14"/>
    <w:qFormat/>
    <w:uiPriority w:val="0"/>
    <w:rPr>
      <w:rFonts w:hint="eastAsia" w:ascii="楷体_GB2312" w:eastAsia="楷体_GB2312"/>
      <w:spacing w:val="30"/>
      <w:sz w:val="36"/>
      <w:szCs w:val="24"/>
    </w:rPr>
  </w:style>
  <w:style w:type="character" w:customStyle="1" w:styleId="19">
    <w:name w:val="font51"/>
    <w:basedOn w:val="14"/>
    <w:qFormat/>
    <w:uiPriority w:val="0"/>
    <w:rPr>
      <w:rFonts w:hint="eastAsia" w:ascii="黑体" w:hAnsi="黑体" w:eastAsia="黑体"/>
      <w:sz w:val="36"/>
      <w:szCs w:val="24"/>
    </w:rPr>
  </w:style>
  <w:style w:type="character" w:customStyle="1" w:styleId="20">
    <w:name w:val="页眉 Char"/>
    <w:basedOn w:val="14"/>
    <w:link w:val="9"/>
    <w:semiHidden/>
    <w:qFormat/>
    <w:uiPriority w:val="99"/>
    <w:rPr>
      <w:sz w:val="18"/>
      <w:szCs w:val="18"/>
    </w:rPr>
  </w:style>
  <w:style w:type="character" w:customStyle="1" w:styleId="21">
    <w:name w:val="页脚 Char"/>
    <w:basedOn w:val="14"/>
    <w:link w:val="8"/>
    <w:qFormat/>
    <w:uiPriority w:val="99"/>
    <w:rPr>
      <w:sz w:val="18"/>
      <w:szCs w:val="18"/>
    </w:rPr>
  </w:style>
  <w:style w:type="character" w:customStyle="1" w:styleId="22">
    <w:name w:val="正文文本 Char"/>
    <w:basedOn w:val="14"/>
    <w:link w:val="5"/>
    <w:qFormat/>
    <w:uiPriority w:val="0"/>
    <w:rPr>
      <w:rFonts w:ascii="仿宋_GB2312" w:hAnsi="Times New Roman" w:eastAsia="仿宋_GB2312" w:cs="Times New Roman"/>
      <w:sz w:val="30"/>
      <w:szCs w:val="32"/>
    </w:rPr>
  </w:style>
  <w:style w:type="paragraph" w:styleId="23">
    <w:name w:val="List Paragraph"/>
    <w:basedOn w:val="1"/>
    <w:qFormat/>
    <w:uiPriority w:val="34"/>
    <w:pPr>
      <w:ind w:firstLine="420" w:firstLineChars="200"/>
    </w:pPr>
  </w:style>
  <w:style w:type="character" w:customStyle="1" w:styleId="24">
    <w:name w:val="文档结构图 Char"/>
    <w:basedOn w:val="14"/>
    <w:link w:val="4"/>
    <w:semiHidden/>
    <w:qFormat/>
    <w:uiPriority w:val="99"/>
    <w:rPr>
      <w:rFonts w:ascii="宋体" w:eastAsia="宋体"/>
      <w:sz w:val="18"/>
      <w:szCs w:val="18"/>
    </w:rPr>
  </w:style>
  <w:style w:type="character" w:customStyle="1" w:styleId="25">
    <w:name w:val="标题 1 Char"/>
    <w:basedOn w:val="14"/>
    <w:link w:val="2"/>
    <w:qFormat/>
    <w:uiPriority w:val="0"/>
    <w:rPr>
      <w:rFonts w:ascii="Times New Roman" w:hAnsi="Times New Roman" w:eastAsia="仿宋_GB2312" w:cs="Times New Roman"/>
      <w:b/>
      <w:bCs/>
      <w:kern w:val="44"/>
      <w:sz w:val="44"/>
      <w:szCs w:val="44"/>
    </w:rPr>
  </w:style>
  <w:style w:type="character" w:customStyle="1" w:styleId="26">
    <w:name w:val="标题 2 Char"/>
    <w:basedOn w:val="14"/>
    <w:link w:val="3"/>
    <w:qFormat/>
    <w:uiPriority w:val="0"/>
    <w:rPr>
      <w:rFonts w:ascii="Times New Roman" w:hAnsi="Times New Roman" w:eastAsia="华文中宋" w:cs="Times New Roman"/>
      <w:b/>
      <w:bCs/>
      <w:sz w:val="30"/>
      <w:szCs w:val="32"/>
    </w:rPr>
  </w:style>
  <w:style w:type="paragraph" w:customStyle="1" w:styleId="27">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lang w:val="en-US" w:eastAsia="zh-CN"/>
    </w:rPr>
  </w:style>
  <w:style w:type="character" w:customStyle="1" w:styleId="28">
    <w:name w:val="批注框文本 Char"/>
    <w:basedOn w:val="14"/>
    <w:link w:val="7"/>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xmlns:b="http://schemas.openxmlformats.org/officeDocument/2006/bibliography" StyleName="APA"/>

</file>

<file path=customXml/itemProps1.xml><?xml version="1.0" encoding="utf-8"?>
<ds:datastoreItem xmlns:ds="http://schemas.openxmlformats.org/officeDocument/2006/customXml" ds:itemID="{E6640ECC-B983-40C2-8B2A-6C61F419E79C}">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2775</Words>
  <Characters>3033</Characters>
  <Lines>31</Lines>
  <Paragraphs>8</Paragraphs>
  <TotalTime>414</TotalTime>
  <ScaleCrop>false</ScaleCrop>
  <LinksUpToDate>false</LinksUpToDate>
  <CharactersWithSpaces>3097</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2022-04-13T16:21:00Z</dcterms:created>
  <dc:creator>杨兴春</dc:creator>
  <cp:lastModifiedBy>Cornflower</cp:lastModifiedBy>
  <dcterms:modified xsi:type="dcterms:W3CDTF">2026-08-21T18:10:19Z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6AD24B0DBED241258813A21B31026432</vt:lpwstr>
  </property>
</Properties>
</file>