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77193"/>
      <w:bookmarkStart w:id="4" w:name="_Toc15396475"/>
      <w:bookmarkStart w:id="5" w:name="_Toc15396597"/>
      <w:bookmarkStart w:id="6" w:name="_Toc25046"/>
      <w:r>
        <w:rPr>
          <w:rFonts w:ascii="黑体" w:hAnsi="黑体"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426"/>
      <w:bookmarkStart w:id="8" w:name="_Toc15396476"/>
      <w:bookmarkStart w:id="9" w:name="_Toc15378442"/>
      <w:bookmarkStart w:id="10" w:name="_Toc15396598"/>
      <w:bookmarkStart w:id="11" w:name="_Toc15377194"/>
      <w:bookmarkStart w:id="12" w:name="_Toc2721"/>
      <w:r>
        <w:rPr>
          <w:rFonts w:hint="eastAsia" w:ascii="方正小标宋简体" w:hAnsi="宋体" w:eastAsia="方正小标宋简体"/>
          <w:color w:val="000000"/>
          <w:sz w:val="72"/>
          <w:szCs w:val="72"/>
        </w:rPr>
        <w:t>四川省</w:t>
      </w:r>
      <w:bookmarkEnd w:id="0"/>
      <w:bookmarkStart w:id="13" w:name="_Toc15306268"/>
      <w:r>
        <w:rPr>
          <w:rFonts w:eastAsia="方正小标宋简体"/>
          <w:color w:val="000000"/>
          <w:sz w:val="72"/>
          <w:szCs w:val="72"/>
        </w:rPr>
        <w:t>攀枝花市铁路医院</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adjustRightInd w:val="0"/>
        <w:snapToGrid w:val="0"/>
        <w:spacing w:line="360" w:lineRule="auto"/>
        <w:jc w:val="center"/>
        <w:outlineLvl w:val="0"/>
        <w:rPr>
          <w:rFonts w:hint="eastAsia" w:ascii="方正小标宋简体" w:hAnsi="宋体" w:eastAsia="方正小标宋简体"/>
          <w:color w:val="000000"/>
          <w:sz w:val="52"/>
          <w:szCs w:val="5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p>
    <w:p>
      <w:pPr>
        <w:pStyle w:val="10"/>
      </w:pPr>
      <w:r>
        <w:rPr>
          <w:rFonts w:hint="eastAsia"/>
        </w:rPr>
        <w:t>公开时间：</w:t>
      </w:r>
      <w:r>
        <w:t>2021</w:t>
      </w:r>
      <w:r>
        <w:rPr>
          <w:rFonts w:hint="eastAsia"/>
        </w:rPr>
        <w:t xml:space="preserve">年 </w:t>
      </w:r>
      <w:r>
        <w:rPr>
          <w:rFonts w:hint="eastAsia" w:eastAsia="宋体"/>
        </w:rPr>
        <w:t>9</w:t>
      </w:r>
      <w:r>
        <w:rPr>
          <w:rFonts w:hint="eastAsia"/>
        </w:rPr>
        <w:t xml:space="preserve">月 </w:t>
      </w:r>
      <w:r>
        <w:rPr>
          <w:rFonts w:eastAsia="宋体"/>
        </w:rPr>
        <w:t>14</w:t>
      </w:r>
      <w:r>
        <w:rPr>
          <w:rFonts w:hint="eastAsia"/>
        </w:rPr>
        <w:t>日</w:t>
      </w:r>
      <w:r>
        <w:fldChar w:fldCharType="begin"/>
      </w:r>
      <w:r>
        <w:instrText xml:space="preserve">TOC \o "1-3" \h \u </w:instrText>
      </w:r>
      <w:r>
        <w:fldChar w:fldCharType="separate"/>
      </w:r>
    </w:p>
    <w:p>
      <w:pPr>
        <w:pStyle w:val="10"/>
        <w:tabs>
          <w:tab w:val="right" w:leader="dot" w:pos="8306"/>
          <w:tab w:val="clear" w:pos="8296"/>
        </w:tabs>
      </w:pPr>
      <w:r>
        <w:fldChar w:fldCharType="begin"/>
      </w:r>
      <w:r>
        <w:instrText xml:space="preserve"> HYPERLINK \l "_Toc30974" </w:instrText>
      </w:r>
      <w: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rPr>
        <w:t>部门概况</w:t>
      </w:r>
      <w:r>
        <w:tab/>
      </w:r>
      <w:r>
        <w:fldChar w:fldCharType="end"/>
      </w:r>
    </w:p>
    <w:p>
      <w:pPr>
        <w:pStyle w:val="11"/>
        <w:tabs>
          <w:tab w:val="right" w:leader="dot" w:pos="8306"/>
          <w:tab w:val="clear" w:pos="8296"/>
        </w:tabs>
      </w:pPr>
      <w:r>
        <w:fldChar w:fldCharType="begin"/>
      </w:r>
      <w:r>
        <w:instrText xml:space="preserve"> HYPERLINK \l "_Toc13531" </w:instrText>
      </w:r>
      <w:r>
        <w:fldChar w:fldCharType="separate"/>
      </w:r>
      <w:r>
        <w:rPr>
          <w:rFonts w:hint="eastAsia" w:ascii="黑体" w:hAnsi="黑体" w:eastAsia="黑体"/>
        </w:rPr>
        <w:t>一、基本职能及主要工作</w:t>
      </w:r>
      <w:r>
        <w:tab/>
      </w:r>
      <w:r>
        <w:fldChar w:fldCharType="end"/>
      </w:r>
    </w:p>
    <w:p>
      <w:pPr>
        <w:pStyle w:val="6"/>
      </w:pPr>
      <w:r>
        <w:fldChar w:fldCharType="begin"/>
      </w:r>
      <w:r>
        <w:instrText xml:space="preserve"> HYPERLINK \l "_Toc26839" </w:instrText>
      </w:r>
      <w:r>
        <w:fldChar w:fldCharType="separate"/>
      </w:r>
      <w:r>
        <w:rPr>
          <w:rFonts w:hint="eastAsia" w:ascii="仿宋" w:hAnsi="仿宋" w:eastAsia="仿宋"/>
          <w:bCs/>
          <w:szCs w:val="32"/>
        </w:rPr>
        <w:t>（一）主要职能。</w:t>
      </w:r>
      <w:r>
        <w:tab/>
      </w:r>
      <w:r>
        <w:fldChar w:fldCharType="end"/>
      </w:r>
    </w:p>
    <w:p>
      <w:pPr>
        <w:pStyle w:val="6"/>
        <w:tabs>
          <w:tab w:val="right" w:leader="dot" w:pos="8306"/>
          <w:tab w:val="clear" w:pos="8296"/>
        </w:tabs>
      </w:pPr>
      <w:r>
        <w:fldChar w:fldCharType="begin"/>
      </w:r>
      <w:r>
        <w:instrText xml:space="preserve"> HYPERLINK \l "_Toc7385" </w:instrText>
      </w:r>
      <w:r>
        <w:fldChar w:fldCharType="separate"/>
      </w:r>
      <w:r>
        <w:rPr>
          <w:rFonts w:hint="eastAsia" w:ascii="仿宋" w:hAnsi="仿宋" w:eastAsia="仿宋"/>
          <w:bCs/>
          <w:szCs w:val="32"/>
        </w:rPr>
        <w:t>（二）</w:t>
      </w:r>
      <w:r>
        <w:rPr>
          <w:rFonts w:ascii="仿宋" w:hAnsi="仿宋" w:eastAsia="仿宋"/>
          <w:bCs/>
          <w:szCs w:val="32"/>
        </w:rPr>
        <w:t>2020</w:t>
      </w:r>
      <w:r>
        <w:rPr>
          <w:rFonts w:hint="eastAsia" w:ascii="仿宋" w:hAnsi="仿宋" w:eastAsia="仿宋"/>
          <w:bCs/>
          <w:szCs w:val="32"/>
        </w:rPr>
        <w:t>年重点工作完成情况。</w:t>
      </w:r>
      <w:r>
        <w:tab/>
      </w:r>
      <w:r>
        <w:fldChar w:fldCharType="end"/>
      </w:r>
    </w:p>
    <w:p>
      <w:pPr>
        <w:pStyle w:val="11"/>
        <w:tabs>
          <w:tab w:val="right" w:leader="dot" w:pos="8306"/>
          <w:tab w:val="clear" w:pos="8296"/>
        </w:tabs>
      </w:pPr>
      <w:r>
        <w:fldChar w:fldCharType="begin"/>
      </w:r>
      <w:r>
        <w:instrText xml:space="preserve"> HYPERLINK \l "_Toc24553" </w:instrText>
      </w:r>
      <w:r>
        <w:fldChar w:fldCharType="separate"/>
      </w:r>
      <w:r>
        <w:rPr>
          <w:rFonts w:hint="eastAsia" w:ascii="黑体" w:eastAsia="黑体"/>
        </w:rPr>
        <w:t>二、</w:t>
      </w:r>
      <w:r>
        <w:rPr>
          <w:rFonts w:hint="eastAsia" w:ascii="黑体" w:hAnsi="黑体" w:eastAsia="黑体"/>
        </w:rPr>
        <w:t>机构设置</w:t>
      </w:r>
      <w:r>
        <w:tab/>
      </w:r>
      <w:r>
        <w:fldChar w:fldCharType="end"/>
      </w:r>
    </w:p>
    <w:p>
      <w:pPr>
        <w:pStyle w:val="10"/>
        <w:tabs>
          <w:tab w:val="right" w:leader="dot" w:pos="8306"/>
          <w:tab w:val="clear" w:pos="8296"/>
        </w:tabs>
      </w:pPr>
      <w:r>
        <w:fldChar w:fldCharType="begin"/>
      </w:r>
      <w:r>
        <w:instrText xml:space="preserve"> HYPERLINK \l "_Toc28407" </w:instrText>
      </w:r>
      <w:r>
        <w:fldChar w:fldCharType="separate"/>
      </w:r>
      <w:r>
        <w:rPr>
          <w:rFonts w:hint="eastAsia" w:ascii="黑体" w:hAnsi="黑体" w:eastAsia="黑体"/>
        </w:rPr>
        <w:t>第二部分</w:t>
      </w:r>
      <w:r>
        <w:rPr>
          <w:rFonts w:ascii="黑体" w:hAnsi="黑体" w:eastAsia="黑体"/>
        </w:rPr>
        <w:t xml:space="preserve"> 2020</w:t>
      </w:r>
      <w:r>
        <w:rPr>
          <w:rFonts w:hint="eastAsia" w:ascii="黑体" w:hAnsi="黑体" w:eastAsia="黑体"/>
        </w:rPr>
        <w:t>年度部门决算情况说明</w:t>
      </w:r>
      <w:r>
        <w:tab/>
      </w:r>
      <w:r>
        <w:fldChar w:fldCharType="end"/>
      </w:r>
    </w:p>
    <w:p>
      <w:pPr>
        <w:pStyle w:val="11"/>
        <w:tabs>
          <w:tab w:val="right" w:leader="dot" w:pos="8306"/>
          <w:tab w:val="clear" w:pos="8296"/>
        </w:tabs>
      </w:pPr>
      <w:r>
        <w:fldChar w:fldCharType="begin"/>
      </w:r>
      <w:r>
        <w:instrText xml:space="preserve"> HYPERLINK \l "_Toc5327"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end"/>
      </w:r>
    </w:p>
    <w:p>
      <w:pPr>
        <w:pStyle w:val="11"/>
      </w:pPr>
      <w:r>
        <w:fldChar w:fldCharType="begin"/>
      </w:r>
      <w:r>
        <w:instrText xml:space="preserve"> HYPERLINK \l "_Toc22896"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end"/>
      </w:r>
    </w:p>
    <w:p>
      <w:pPr>
        <w:pStyle w:val="11"/>
      </w:pPr>
      <w:r>
        <w:fldChar w:fldCharType="begin"/>
      </w:r>
      <w:r>
        <w:instrText xml:space="preserve"> HYPERLINK \l "_Toc4504"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end"/>
      </w:r>
    </w:p>
    <w:p>
      <w:pPr>
        <w:pStyle w:val="11"/>
        <w:tabs>
          <w:tab w:val="right" w:leader="dot" w:pos="8306"/>
          <w:tab w:val="clear" w:pos="8296"/>
        </w:tabs>
      </w:pPr>
      <w:r>
        <w:fldChar w:fldCharType="begin"/>
      </w:r>
      <w:r>
        <w:instrText xml:space="preserve"> HYPERLINK \l "_Toc20401"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end"/>
      </w:r>
    </w:p>
    <w:p>
      <w:pPr>
        <w:pStyle w:val="11"/>
        <w:rPr>
          <w:rFonts w:hint="eastAsia"/>
        </w:rPr>
      </w:pPr>
      <w:r>
        <w:fldChar w:fldCharType="begin"/>
      </w:r>
      <w:r>
        <w:instrText xml:space="preserve"> HYPERLINK \l "_Toc1474"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end"/>
      </w:r>
    </w:p>
    <w:p>
      <w:pPr>
        <w:pStyle w:val="11"/>
        <w:tabs>
          <w:tab w:val="right" w:leader="dot" w:pos="8306"/>
          <w:tab w:val="clear" w:pos="8296"/>
        </w:tabs>
      </w:pPr>
      <w:r>
        <w:fldChar w:fldCharType="begin"/>
      </w:r>
      <w:r>
        <w:instrText xml:space="preserve"> HYPERLINK \l "_Toc22881"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end"/>
      </w:r>
    </w:p>
    <w:p>
      <w:pPr>
        <w:pStyle w:val="11"/>
        <w:rPr>
          <w:rFonts w:hint="eastAsia"/>
        </w:rPr>
      </w:pPr>
      <w:r>
        <w:fldChar w:fldCharType="begin"/>
      </w:r>
      <w:r>
        <w:instrText xml:space="preserve"> HYPERLINK \l "_Toc9456"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end"/>
      </w:r>
    </w:p>
    <w:p>
      <w:pPr>
        <w:pStyle w:val="11"/>
        <w:tabs>
          <w:tab w:val="right" w:leader="dot" w:pos="8306"/>
          <w:tab w:val="clear" w:pos="8296"/>
        </w:tabs>
      </w:pPr>
      <w:r>
        <w:fldChar w:fldCharType="begin"/>
      </w:r>
      <w:r>
        <w:instrText xml:space="preserve"> HYPERLINK \l "_Toc5535"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end"/>
      </w:r>
    </w:p>
    <w:p>
      <w:pPr>
        <w:pStyle w:val="11"/>
        <w:tabs>
          <w:tab w:val="right" w:leader="dot" w:pos="8306"/>
          <w:tab w:val="clear" w:pos="8296"/>
        </w:tabs>
      </w:pPr>
      <w:r>
        <w:fldChar w:fldCharType="begin"/>
      </w:r>
      <w:r>
        <w:instrText xml:space="preserve"> HYPERLINK \l "_Toc10284" </w:instrText>
      </w:r>
      <w:r>
        <w:fldChar w:fldCharType="separate"/>
      </w:r>
      <w:r>
        <w:rPr>
          <w:rFonts w:hint="eastAsia" w:ascii="黑体" w:hAnsi="黑体" w:eastAsia="黑体"/>
        </w:rPr>
        <w:t>九、 国有资本经营预算支出决算情况说明</w:t>
      </w:r>
      <w:r>
        <w:tab/>
      </w:r>
      <w:r>
        <w:fldChar w:fldCharType="end"/>
      </w:r>
    </w:p>
    <w:p>
      <w:pPr>
        <w:pStyle w:val="11"/>
        <w:rPr>
          <w:rFonts w:hint="eastAsia"/>
        </w:rPr>
      </w:pPr>
      <w:r>
        <w:fldChar w:fldCharType="begin"/>
      </w:r>
      <w:r>
        <w:instrText xml:space="preserve"> HYPERLINK \l "_Toc15558"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end"/>
      </w:r>
    </w:p>
    <w:p>
      <w:pPr>
        <w:pStyle w:val="10"/>
        <w:tabs>
          <w:tab w:val="right" w:leader="dot" w:pos="8306"/>
          <w:tab w:val="clear" w:pos="8296"/>
        </w:tabs>
      </w:pPr>
      <w:r>
        <w:fldChar w:fldCharType="begin"/>
      </w:r>
      <w:r>
        <w:instrText xml:space="preserve"> HYPERLINK \l "_Toc14340"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end"/>
      </w:r>
    </w:p>
    <w:p>
      <w:pPr>
        <w:pStyle w:val="10"/>
        <w:tabs>
          <w:tab w:val="right" w:leader="dot" w:pos="8306"/>
          <w:tab w:val="clear" w:pos="8296"/>
        </w:tabs>
      </w:pPr>
      <w:r>
        <w:fldChar w:fldCharType="begin"/>
      </w:r>
      <w:r>
        <w:instrText xml:space="preserve"> HYPERLINK \l "_Toc13752" </w:instrText>
      </w:r>
      <w:r>
        <w:fldChar w:fldCharType="separate"/>
      </w:r>
      <w:r>
        <w:rPr>
          <w:rFonts w:hint="eastAsia" w:ascii="黑体" w:hAnsi="黑体" w:eastAsia="黑体"/>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end"/>
      </w:r>
    </w:p>
    <w:p>
      <w:pPr>
        <w:pStyle w:val="10"/>
        <w:tabs>
          <w:tab w:val="right" w:leader="dot" w:pos="8306"/>
          <w:tab w:val="clear" w:pos="8296"/>
        </w:tabs>
      </w:pPr>
      <w:r>
        <w:fldChar w:fldCharType="begin"/>
      </w:r>
      <w:r>
        <w:instrText xml:space="preserve"> HYPERLINK \l "_Toc23046" </w:instrText>
      </w:r>
      <w:r>
        <w:fldChar w:fldCharType="separate"/>
      </w:r>
      <w:r>
        <w:rPr>
          <w:rFonts w:hint="eastAsia" w:ascii="黑体" w:hAnsi="黑体" w:eastAsia="黑体" w:cs="黑体"/>
          <w:szCs w:val="32"/>
        </w:rPr>
        <w:t>附件</w:t>
      </w:r>
      <w:r>
        <w:rPr>
          <w:rFonts w:ascii="黑体" w:hAnsi="黑体" w:eastAsia="黑体" w:cs="黑体"/>
          <w:szCs w:val="32"/>
        </w:rPr>
        <w:t>1</w:t>
      </w:r>
      <w:r>
        <w:tab/>
      </w:r>
      <w:r>
        <w:fldChar w:fldCharType="end"/>
      </w:r>
    </w:p>
    <w:p>
      <w:pPr>
        <w:rPr>
          <w:rFonts w:hint="eastAsia"/>
        </w:rPr>
      </w:pPr>
      <w:r>
        <w:rPr>
          <w:rFonts w:hint="eastAsia"/>
        </w:rPr>
        <w:t>附件2</w:t>
      </w:r>
      <w:r>
        <w:t>……………………………………………………………………………………………</w:t>
      </w:r>
      <w:r>
        <w:rPr>
          <w:rFonts w:hint="eastAsia"/>
        </w:rPr>
        <w:t>..</w:t>
      </w:r>
      <w:r>
        <w:t>20</w:t>
      </w:r>
    </w:p>
    <w:p>
      <w:pPr>
        <w:pStyle w:val="10"/>
        <w:tabs>
          <w:tab w:val="right" w:leader="dot" w:pos="8306"/>
          <w:tab w:val="clear" w:pos="8296"/>
        </w:tabs>
      </w:pPr>
      <w:r>
        <w:fldChar w:fldCharType="begin"/>
      </w:r>
      <w:r>
        <w:instrText xml:space="preserve"> HYPERLINK \l "_Toc26958" </w:instrText>
      </w:r>
      <w:r>
        <w:fldChar w:fldCharType="separate"/>
      </w:r>
      <w:r>
        <w:rPr>
          <w:rFonts w:hint="eastAsia" w:ascii="黑体" w:hAnsi="黑体" w:eastAsia="黑体"/>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end"/>
      </w:r>
    </w:p>
    <w:p>
      <w:pPr>
        <w:pStyle w:val="11"/>
        <w:tabs>
          <w:tab w:val="right" w:leader="dot" w:pos="8306"/>
          <w:tab w:val="clear" w:pos="8296"/>
        </w:tabs>
      </w:pPr>
      <w:r>
        <w:fldChar w:fldCharType="begin"/>
      </w:r>
      <w:r>
        <w:instrText xml:space="preserve"> HYPERLINK \l "_Toc2451" </w:instrText>
      </w:r>
      <w:r>
        <w:fldChar w:fldCharType="separate"/>
      </w:r>
      <w:r>
        <w:rPr>
          <w:rFonts w:hint="eastAsia" w:ascii="仿宋" w:hAnsi="仿宋" w:eastAsia="仿宋"/>
        </w:rPr>
        <w:t>一、收入支出决算总表</w:t>
      </w:r>
      <w:r>
        <w:tab/>
      </w:r>
      <w:r>
        <w:fldChar w:fldCharType="end"/>
      </w:r>
    </w:p>
    <w:p>
      <w:pPr>
        <w:pStyle w:val="11"/>
        <w:tabs>
          <w:tab w:val="right" w:leader="dot" w:pos="8306"/>
          <w:tab w:val="clear" w:pos="8296"/>
        </w:tabs>
      </w:pPr>
      <w:r>
        <w:fldChar w:fldCharType="begin"/>
      </w:r>
      <w:r>
        <w:instrText xml:space="preserve"> HYPERLINK \l "_Toc13916" </w:instrText>
      </w:r>
      <w:r>
        <w:fldChar w:fldCharType="separate"/>
      </w:r>
      <w:r>
        <w:rPr>
          <w:rFonts w:hint="eastAsia" w:ascii="仿宋" w:hAnsi="仿宋" w:eastAsia="仿宋"/>
        </w:rPr>
        <w:t>二、收入决算表</w:t>
      </w:r>
      <w:r>
        <w:tab/>
      </w:r>
      <w:r>
        <w:fldChar w:fldCharType="end"/>
      </w:r>
    </w:p>
    <w:p>
      <w:pPr>
        <w:pStyle w:val="11"/>
        <w:tabs>
          <w:tab w:val="right" w:leader="dot" w:pos="8306"/>
          <w:tab w:val="clear" w:pos="8296"/>
        </w:tabs>
      </w:pPr>
      <w:r>
        <w:fldChar w:fldCharType="begin"/>
      </w:r>
      <w:r>
        <w:instrText xml:space="preserve"> HYPERLINK \l "_Toc24424" </w:instrText>
      </w:r>
      <w:r>
        <w:fldChar w:fldCharType="separate"/>
      </w:r>
      <w:r>
        <w:rPr>
          <w:rFonts w:hint="eastAsia" w:ascii="仿宋" w:hAnsi="仿宋" w:eastAsia="仿宋"/>
        </w:rPr>
        <w:t>三、支出决算表</w:t>
      </w:r>
      <w:r>
        <w:tab/>
      </w:r>
      <w:r>
        <w:fldChar w:fldCharType="end"/>
      </w:r>
    </w:p>
    <w:p>
      <w:pPr>
        <w:pStyle w:val="11"/>
        <w:tabs>
          <w:tab w:val="right" w:leader="dot" w:pos="8306"/>
          <w:tab w:val="clear" w:pos="8296"/>
        </w:tabs>
      </w:pPr>
      <w:r>
        <w:fldChar w:fldCharType="begin"/>
      </w:r>
      <w:r>
        <w:instrText xml:space="preserve"> HYPERLINK \l "_Toc3455" </w:instrText>
      </w:r>
      <w:r>
        <w:fldChar w:fldCharType="separate"/>
      </w:r>
      <w:r>
        <w:rPr>
          <w:rFonts w:hint="eastAsia" w:ascii="仿宋" w:hAnsi="仿宋" w:eastAsia="仿宋"/>
        </w:rPr>
        <w:t>四、财政拨款收入支出决算总表</w:t>
      </w:r>
      <w:r>
        <w:tab/>
      </w:r>
      <w:r>
        <w:fldChar w:fldCharType="end"/>
      </w:r>
    </w:p>
    <w:p>
      <w:pPr>
        <w:pStyle w:val="11"/>
        <w:tabs>
          <w:tab w:val="right" w:leader="dot" w:pos="8306"/>
          <w:tab w:val="clear" w:pos="8296"/>
        </w:tabs>
      </w:pPr>
      <w:r>
        <w:fldChar w:fldCharType="begin"/>
      </w:r>
      <w:r>
        <w:instrText xml:space="preserve"> HYPERLINK \l "_Toc8505" </w:instrText>
      </w:r>
      <w:r>
        <w:fldChar w:fldCharType="separate"/>
      </w:r>
      <w:r>
        <w:rPr>
          <w:rFonts w:hint="eastAsia" w:ascii="仿宋" w:hAnsi="仿宋" w:eastAsia="仿宋"/>
        </w:rPr>
        <w:t>五、财政拨款支出决算明细表</w:t>
      </w:r>
      <w:r>
        <w:tab/>
      </w:r>
      <w:r>
        <w:fldChar w:fldCharType="end"/>
      </w:r>
    </w:p>
    <w:p>
      <w:pPr>
        <w:pStyle w:val="11"/>
        <w:tabs>
          <w:tab w:val="right" w:leader="dot" w:pos="8306"/>
          <w:tab w:val="clear" w:pos="8296"/>
        </w:tabs>
      </w:pPr>
      <w:r>
        <w:fldChar w:fldCharType="begin"/>
      </w:r>
      <w:r>
        <w:instrText xml:space="preserve"> HYPERLINK \l "_Toc32506" </w:instrText>
      </w:r>
      <w:r>
        <w:fldChar w:fldCharType="separate"/>
      </w:r>
      <w:r>
        <w:rPr>
          <w:rFonts w:hint="eastAsia" w:ascii="仿宋" w:hAnsi="仿宋" w:eastAsia="仿宋"/>
        </w:rPr>
        <w:t>六、一般公共预算财政拨款支出决算表</w:t>
      </w:r>
      <w:r>
        <w:tab/>
      </w:r>
      <w:r>
        <w:fldChar w:fldCharType="end"/>
      </w:r>
    </w:p>
    <w:p>
      <w:pPr>
        <w:pStyle w:val="11"/>
        <w:tabs>
          <w:tab w:val="right" w:leader="dot" w:pos="8306"/>
          <w:tab w:val="clear" w:pos="8296"/>
        </w:tabs>
      </w:pPr>
      <w:r>
        <w:fldChar w:fldCharType="begin"/>
      </w:r>
      <w:r>
        <w:instrText xml:space="preserve"> HYPERLINK \l "_Toc536" </w:instrText>
      </w:r>
      <w:r>
        <w:fldChar w:fldCharType="separate"/>
      </w:r>
      <w:r>
        <w:rPr>
          <w:rFonts w:hint="eastAsia" w:ascii="仿宋" w:hAnsi="仿宋" w:eastAsia="仿宋"/>
        </w:rPr>
        <w:t>七、一般公共预算财政拨款支出决算明细表</w:t>
      </w:r>
      <w:r>
        <w:tab/>
      </w:r>
      <w:r>
        <w:fldChar w:fldCharType="end"/>
      </w:r>
    </w:p>
    <w:p>
      <w:pPr>
        <w:pStyle w:val="11"/>
        <w:tabs>
          <w:tab w:val="right" w:leader="dot" w:pos="8306"/>
          <w:tab w:val="clear" w:pos="8296"/>
        </w:tabs>
      </w:pPr>
      <w:r>
        <w:fldChar w:fldCharType="begin"/>
      </w:r>
      <w:r>
        <w:instrText xml:space="preserve"> HYPERLINK \l "_Toc11789" </w:instrText>
      </w:r>
      <w:r>
        <w:fldChar w:fldCharType="separate"/>
      </w:r>
      <w:r>
        <w:rPr>
          <w:rFonts w:hint="eastAsia" w:ascii="仿宋" w:hAnsi="仿宋" w:eastAsia="仿宋"/>
        </w:rPr>
        <w:t>八、一般公共预算财政拨款基本支出决算表</w:t>
      </w:r>
      <w:r>
        <w:tab/>
      </w:r>
      <w:r>
        <w:fldChar w:fldCharType="end"/>
      </w:r>
    </w:p>
    <w:p>
      <w:pPr>
        <w:pStyle w:val="11"/>
        <w:tabs>
          <w:tab w:val="right" w:leader="dot" w:pos="8306"/>
          <w:tab w:val="clear" w:pos="8296"/>
        </w:tabs>
      </w:pPr>
      <w:r>
        <w:fldChar w:fldCharType="begin"/>
      </w:r>
      <w:r>
        <w:instrText xml:space="preserve"> HYPERLINK \l "_Toc10988" </w:instrText>
      </w:r>
      <w:r>
        <w:fldChar w:fldCharType="separate"/>
      </w:r>
      <w:r>
        <w:rPr>
          <w:rFonts w:hint="eastAsia" w:ascii="仿宋" w:hAnsi="仿宋" w:eastAsia="仿宋"/>
        </w:rPr>
        <w:t>九、一般公共预算财政拨款项目支出决算表</w:t>
      </w:r>
      <w:r>
        <w:tab/>
      </w:r>
      <w:r>
        <w:fldChar w:fldCharType="end"/>
      </w:r>
    </w:p>
    <w:p>
      <w:pPr>
        <w:pStyle w:val="11"/>
        <w:tabs>
          <w:tab w:val="right" w:leader="dot" w:pos="8306"/>
          <w:tab w:val="clear" w:pos="8296"/>
        </w:tabs>
      </w:pPr>
      <w:r>
        <w:fldChar w:fldCharType="begin"/>
      </w:r>
      <w:r>
        <w:instrText xml:space="preserve"> HYPERLINK \l "_Toc4100" </w:instrText>
      </w:r>
      <w:r>
        <w:fldChar w:fldCharType="separate"/>
      </w:r>
      <w:r>
        <w:rPr>
          <w:rFonts w:hint="eastAsia" w:ascii="仿宋" w:hAnsi="仿宋" w:eastAsia="仿宋"/>
        </w:rPr>
        <w:t>十、一般公共预算财政拨款“三公”经费支出决算表</w:t>
      </w:r>
      <w:r>
        <w:tab/>
      </w:r>
      <w:r>
        <w:fldChar w:fldCharType="end"/>
      </w:r>
    </w:p>
    <w:p>
      <w:pPr>
        <w:pStyle w:val="11"/>
        <w:tabs>
          <w:tab w:val="right" w:leader="dot" w:pos="8306"/>
          <w:tab w:val="clear" w:pos="8296"/>
        </w:tabs>
      </w:pPr>
      <w:r>
        <w:fldChar w:fldCharType="begin"/>
      </w:r>
      <w:r>
        <w:instrText xml:space="preserve"> HYPERLINK \l "_Toc29651" </w:instrText>
      </w:r>
      <w:r>
        <w:fldChar w:fldCharType="separate"/>
      </w:r>
      <w:r>
        <w:rPr>
          <w:rFonts w:hint="eastAsia" w:ascii="仿宋" w:hAnsi="仿宋" w:eastAsia="仿宋"/>
        </w:rPr>
        <w:t>十一、政府性基金预算财政拨款收入支出决算表</w:t>
      </w:r>
      <w:r>
        <w:tab/>
      </w:r>
      <w:r>
        <w:fldChar w:fldCharType="end"/>
      </w:r>
    </w:p>
    <w:p>
      <w:pPr>
        <w:pStyle w:val="11"/>
        <w:tabs>
          <w:tab w:val="right" w:leader="dot" w:pos="8306"/>
          <w:tab w:val="clear" w:pos="8296"/>
        </w:tabs>
      </w:pPr>
      <w:r>
        <w:fldChar w:fldCharType="begin"/>
      </w:r>
      <w:r>
        <w:instrText xml:space="preserve"> HYPERLINK \l "_Toc23703" </w:instrText>
      </w:r>
      <w:r>
        <w:fldChar w:fldCharType="separate"/>
      </w:r>
      <w:r>
        <w:rPr>
          <w:rFonts w:hint="eastAsia" w:ascii="仿宋" w:hAnsi="仿宋" w:eastAsia="仿宋"/>
        </w:rPr>
        <w:t>十二、政府性基金预算财政拨款“三公”经费支出决算表</w:t>
      </w:r>
      <w:r>
        <w:tab/>
      </w:r>
      <w:r>
        <w:fldChar w:fldCharType="end"/>
      </w:r>
    </w:p>
    <w:p>
      <w:pPr>
        <w:pStyle w:val="11"/>
        <w:tabs>
          <w:tab w:val="right" w:leader="dot" w:pos="8306"/>
          <w:tab w:val="clear" w:pos="8296"/>
        </w:tabs>
      </w:pPr>
      <w:r>
        <w:fldChar w:fldCharType="begin"/>
      </w:r>
      <w:r>
        <w:instrText xml:space="preserve"> HYPERLINK \l "_Toc15715" </w:instrText>
      </w:r>
      <w:r>
        <w:fldChar w:fldCharType="separate"/>
      </w:r>
      <w:r>
        <w:rPr>
          <w:rFonts w:hint="eastAsia" w:ascii="仿宋" w:hAnsi="仿宋" w:eastAsia="仿宋"/>
        </w:rPr>
        <w:t>十三、国有资本经营预算财政拨款</w:t>
      </w:r>
      <w:r>
        <w:rPr>
          <w:rFonts w:hint="eastAsia" w:ascii="仿宋" w:hAnsi="仿宋"/>
        </w:rPr>
        <w:t>收入</w:t>
      </w:r>
      <w:r>
        <w:rPr>
          <w:rFonts w:hint="eastAsia" w:ascii="仿宋" w:hAnsi="仿宋" w:eastAsia="仿宋"/>
        </w:rPr>
        <w:t>支出决算表</w:t>
      </w:r>
      <w:r>
        <w:tab/>
      </w:r>
      <w:r>
        <w:fldChar w:fldCharType="end"/>
      </w:r>
    </w:p>
    <w:p>
      <w:pPr>
        <w:pStyle w:val="11"/>
        <w:tabs>
          <w:tab w:val="right" w:leader="dot" w:pos="8306"/>
          <w:tab w:val="clear" w:pos="8296"/>
        </w:tabs>
      </w:pPr>
      <w:r>
        <w:fldChar w:fldCharType="begin"/>
      </w:r>
      <w:r>
        <w:instrText xml:space="preserve"> HYPERLINK \l "_Toc676" </w:instrText>
      </w:r>
      <w:r>
        <w:fldChar w:fldCharType="separate"/>
      </w:r>
      <w:r>
        <w:rPr>
          <w:rFonts w:hint="eastAsia" w:ascii="仿宋" w:hAnsi="仿宋" w:eastAsia="仿宋"/>
        </w:rPr>
        <w:t>十四、国有资本经营预算财政拨款支出决算表</w:t>
      </w:r>
      <w:r>
        <w:tab/>
      </w:r>
      <w:r>
        <w:fldChar w:fldCharType="end"/>
      </w:r>
    </w:p>
    <w:p>
      <w:r>
        <w:fldChar w:fldCharType="end"/>
      </w:r>
    </w:p>
    <w:p>
      <w:pPr>
        <w:pStyle w:val="11"/>
        <w:adjustRightInd w:val="0"/>
        <w:snapToGrid w:val="0"/>
        <w:spacing w:line="440" w:lineRule="exact"/>
        <w:jc w:val="left"/>
        <w:rPr>
          <w:rFonts w:ascii="仿宋" w:hAnsi="仿宋" w:eastAsia="仿宋"/>
          <w:bCs/>
          <w:kern w:val="44"/>
          <w:sz w:val="24"/>
        </w:rPr>
      </w:pPr>
      <w:bookmarkStart w:id="14" w:name="_Toc15377196"/>
      <w:bookmarkStart w:id="15" w:name="_Toc15396599"/>
      <w:r>
        <w:rPr>
          <w:sz w:val="24"/>
        </w:rPr>
        <w:br w:type="page"/>
      </w:r>
    </w:p>
    <w:p>
      <w:pPr>
        <w:pStyle w:val="2"/>
        <w:jc w:val="center"/>
        <w:rPr>
          <w:rStyle w:val="16"/>
          <w:rFonts w:ascii="黑体" w:hAnsi="黑体" w:eastAsia="黑体"/>
          <w:b/>
          <w:bCs w:val="0"/>
        </w:rPr>
      </w:pPr>
      <w:bookmarkStart w:id="16" w:name="_Toc30974"/>
      <w:r>
        <w:rPr>
          <w:rFonts w:hint="eastAsia" w:ascii="黑体" w:hAnsi="黑体" w:eastAsia="黑体"/>
          <w:b w:val="0"/>
        </w:rPr>
        <w:t>第一部分</w:t>
      </w:r>
      <w:r>
        <w:rPr>
          <w:rFonts w:ascii="黑体" w:hAnsi="黑体" w:eastAsia="黑体"/>
          <w:b w:val="0"/>
        </w:rPr>
        <w:t xml:space="preserve"> </w:t>
      </w:r>
      <w:r>
        <w:rPr>
          <w:rStyle w:val="16"/>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3"/>
        <w:rPr>
          <w:rStyle w:val="17"/>
          <w:rFonts w:ascii="仿宋" w:hAnsi="仿宋" w:eastAsia="仿宋"/>
          <w:b w:val="0"/>
          <w:bCs w:val="0"/>
        </w:rPr>
      </w:pPr>
      <w:bookmarkStart w:id="17" w:name="_Toc15377197"/>
      <w:bookmarkStart w:id="18" w:name="_Toc13531"/>
      <w:bookmarkStart w:id="19" w:name="_Toc15396600"/>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8445"/>
      <w:bookmarkStart w:id="21" w:name="_Toc15377198"/>
      <w:bookmarkStart w:id="22" w:name="_Toc26839"/>
      <w:r>
        <w:rPr>
          <w:rFonts w:hint="eastAsia" w:ascii="仿宋" w:hAnsi="仿宋" w:eastAsia="仿宋"/>
          <w:bCs/>
          <w:color w:val="000000"/>
          <w:sz w:val="32"/>
          <w:szCs w:val="32"/>
        </w:rPr>
        <w:t>（一）主要职能。</w:t>
      </w:r>
      <w:bookmarkEnd w:id="20"/>
      <w:bookmarkEnd w:id="21"/>
      <w:bookmarkEnd w:id="22"/>
      <w:bookmarkStart w:id="23" w:name="_Toc15377199"/>
      <w:bookmarkStart w:id="24" w:name="_Toc15378446"/>
    </w:p>
    <w:p>
      <w:pPr>
        <w:spacing w:line="600" w:lineRule="exact"/>
        <w:ind w:firstLine="640" w:firstLineChars="200"/>
        <w:outlineLvl w:val="1"/>
        <w:rPr>
          <w:rFonts w:hint="eastAsia" w:eastAsia="仿宋"/>
          <w:color w:val="000000"/>
          <w:sz w:val="32"/>
          <w:szCs w:val="32"/>
        </w:rPr>
      </w:pPr>
      <w:bookmarkStart w:id="25" w:name="_Toc24795"/>
      <w:r>
        <w:rPr>
          <w:rFonts w:hint="eastAsia" w:eastAsia="仿宋"/>
          <w:color w:val="000000"/>
          <w:sz w:val="32"/>
          <w:szCs w:val="32"/>
        </w:rPr>
        <w:t>2020年我院在市财政局、市卫健委、攀枝花学院、钒钛高新区管委会、市中西医结合医院、院党总支、院行政的领导下，完成了所辖片区本年度的医疗、体检、120出诊、钒钛高新区突发</w:t>
      </w:r>
      <w:bookmarkStart w:id="123" w:name="_GoBack"/>
      <w:bookmarkEnd w:id="123"/>
      <w:r>
        <w:rPr>
          <w:rFonts w:hint="eastAsia" w:eastAsia="仿宋"/>
          <w:color w:val="000000"/>
          <w:sz w:val="32"/>
          <w:szCs w:val="32"/>
        </w:rPr>
        <w:t>公共卫生事件、旅客及路外伤人员救治等任务，为医疗覆盖片区人民的身体健康提供了有力的保障。</w:t>
      </w:r>
      <w:bookmarkEnd w:id="2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6" w:name="_Toc7385"/>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3"/>
      <w:bookmarkEnd w:id="24"/>
      <w:bookmarkEnd w:id="26"/>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7407"/>
      <w:r>
        <w:rPr>
          <w:rFonts w:hint="eastAsia" w:eastAsia="仿宋"/>
          <w:bCs/>
          <w:color w:val="000000"/>
          <w:sz w:val="32"/>
          <w:szCs w:val="32"/>
        </w:rPr>
        <w:t>全面完成2020年财政下达预算。</w:t>
      </w:r>
      <w:bookmarkEnd w:id="27"/>
    </w:p>
    <w:p>
      <w:pPr>
        <w:pStyle w:val="3"/>
        <w:rPr>
          <w:rStyle w:val="17"/>
          <w:b w:val="0"/>
          <w:bCs w:val="0"/>
        </w:rPr>
      </w:pPr>
      <w:bookmarkStart w:id="28" w:name="_Toc15396601"/>
      <w:bookmarkStart w:id="29" w:name="_Toc24553"/>
      <w:bookmarkStart w:id="30" w:name="_Toc15377200"/>
      <w:r>
        <w:rPr>
          <w:rFonts w:hint="eastAsia" w:ascii="黑体" w:eastAsia="黑体"/>
          <w:b w:val="0"/>
          <w:color w:val="000000"/>
        </w:rPr>
        <w:t>二、</w:t>
      </w:r>
      <w:r>
        <w:rPr>
          <w:rFonts w:hint="eastAsia" w:ascii="黑体" w:hAnsi="黑体" w:eastAsia="黑体"/>
          <w:b w:val="0"/>
          <w:color w:val="000000"/>
        </w:rPr>
        <w:t>机</w:t>
      </w:r>
      <w:r>
        <w:rPr>
          <w:rStyle w:val="17"/>
          <w:rFonts w:hint="eastAsia" w:ascii="黑体" w:hAnsi="黑体" w:eastAsia="黑体"/>
          <w:b w:val="0"/>
          <w:bCs w:val="0"/>
        </w:rPr>
        <w:t>构设置</w:t>
      </w:r>
      <w:bookmarkEnd w:id="28"/>
      <w:bookmarkEnd w:id="29"/>
      <w:bookmarkEnd w:id="30"/>
    </w:p>
    <w:p>
      <w:pPr>
        <w:ind w:firstLine="800" w:firstLineChars="250"/>
        <w:rPr>
          <w:rFonts w:eastAsia="仿宋"/>
          <w:sz w:val="32"/>
          <w:szCs w:val="32"/>
        </w:rPr>
      </w:pPr>
      <w:r>
        <w:rPr>
          <w:rFonts w:hint="eastAsia" w:ascii="仿宋" w:hAnsi="仿宋" w:eastAsia="仿宋"/>
          <w:sz w:val="32"/>
          <w:szCs w:val="32"/>
        </w:rPr>
        <w:t>攀枝花市铁路医院无</w:t>
      </w:r>
      <w:r>
        <w:rPr>
          <w:rFonts w:hint="eastAsia" w:eastAsia="仿宋"/>
          <w:sz w:val="32"/>
          <w:szCs w:val="32"/>
        </w:rPr>
        <w:t>下属二级单位，无参照公务员法管理的事业单位，无其他事业单位。</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eastAsia="仿宋"/>
          <w:sz w:val="32"/>
          <w:szCs w:val="32"/>
        </w:rPr>
        <w:t>无</w:t>
      </w:r>
      <w:r>
        <w:rPr>
          <w:rFonts w:hint="eastAsia" w:ascii="仿宋" w:hAnsi="仿宋" w:eastAsia="仿宋"/>
          <w:color w:val="000000"/>
          <w:sz w:val="32"/>
          <w:szCs w:val="32"/>
        </w:rPr>
        <w:t>纳入</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w:t>
      </w:r>
    </w:p>
    <w:p>
      <w:pPr>
        <w:widowControl/>
        <w:jc w:val="left"/>
        <w:rPr>
          <w:rFonts w:ascii="仿宋" w:hAnsi="仿宋" w:eastAsia="仿宋"/>
          <w:color w:val="000000"/>
          <w:kern w:val="0"/>
          <w:sz w:val="32"/>
          <w:szCs w:val="32"/>
        </w:rPr>
      </w:pPr>
    </w:p>
    <w:p>
      <w:pPr>
        <w:pStyle w:val="2"/>
        <w:ind w:right="440"/>
        <w:jc w:val="right"/>
        <w:rPr>
          <w:rStyle w:val="16"/>
          <w:rFonts w:ascii="黑体" w:hAnsi="黑体" w:eastAsia="黑体"/>
          <w:b w:val="0"/>
          <w:bCs w:val="0"/>
        </w:rPr>
      </w:pPr>
      <w:bookmarkStart w:id="31" w:name="_Toc15377204"/>
      <w:bookmarkStart w:id="32" w:name="_Toc15396602"/>
      <w:bookmarkStart w:id="33" w:name="_Toc28407"/>
      <w:r>
        <w:rPr>
          <w:rFonts w:hint="eastAsia" w:ascii="黑体" w:hAnsi="黑体" w:eastAsia="黑体"/>
          <w:b w:val="0"/>
          <w:color w:val="000000"/>
        </w:rPr>
        <w:t>第二部分</w:t>
      </w:r>
      <w:r>
        <w:rPr>
          <w:rFonts w:ascii="黑体" w:hAnsi="黑体" w:eastAsia="黑体"/>
          <w:color w:val="000000"/>
        </w:rPr>
        <w:t xml:space="preserve"> </w:t>
      </w:r>
      <w:r>
        <w:rPr>
          <w:rStyle w:val="16"/>
          <w:rFonts w:ascii="黑体" w:hAnsi="黑体" w:eastAsia="黑体"/>
          <w:b w:val="0"/>
          <w:bCs w:val="0"/>
        </w:rPr>
        <w:t>2020</w:t>
      </w:r>
      <w:r>
        <w:rPr>
          <w:rStyle w:val="16"/>
          <w:rFonts w:hint="eastAsia" w:ascii="黑体" w:hAnsi="黑体" w:eastAsia="黑体"/>
          <w:b w:val="0"/>
          <w:bCs w:val="0"/>
        </w:rPr>
        <w:t>年度部门决算情况说明</w:t>
      </w:r>
      <w:bookmarkEnd w:id="31"/>
      <w:bookmarkEnd w:id="32"/>
      <w:bookmarkEnd w:id="33"/>
    </w:p>
    <w:p/>
    <w:p>
      <w:pPr>
        <w:pStyle w:val="27"/>
        <w:numPr>
          <w:ilvl w:val="0"/>
          <w:numId w:val="1"/>
        </w:numPr>
        <w:spacing w:line="600" w:lineRule="exact"/>
        <w:ind w:firstLineChars="0"/>
        <w:outlineLvl w:val="1"/>
        <w:rPr>
          <w:rStyle w:val="17"/>
          <w:rFonts w:ascii="黑体" w:hAnsi="黑体" w:eastAsia="黑体"/>
          <w:b w:val="0"/>
        </w:rPr>
      </w:pPr>
      <w:bookmarkStart w:id="34" w:name="_Toc15396603"/>
      <w:bookmarkStart w:id="35" w:name="_Toc5327"/>
      <w:bookmarkStart w:id="36" w:name="_Toc15377205"/>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34"/>
      <w:bookmarkEnd w:id="35"/>
      <w:bookmarkEnd w:id="36"/>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年度收入总计1549.68、支出总计1587.60万元。与</w:t>
      </w:r>
      <w:r>
        <w:rPr>
          <w:rFonts w:ascii="仿宋" w:hAnsi="仿宋" w:eastAsia="仿宋"/>
          <w:color w:val="000000"/>
          <w:sz w:val="32"/>
          <w:szCs w:val="32"/>
        </w:rPr>
        <w:t>2019</w:t>
      </w:r>
      <w:r>
        <w:rPr>
          <w:rFonts w:hint="eastAsia" w:ascii="仿宋" w:hAnsi="仿宋" w:eastAsia="仿宋"/>
          <w:color w:val="000000"/>
          <w:sz w:val="32"/>
          <w:szCs w:val="32"/>
        </w:rPr>
        <w:t>年相比。收入减少190.95万元，下降12.03%；支出减少198.83万元，下降11.13</w:t>
      </w:r>
      <w:r>
        <w:rPr>
          <w:rFonts w:ascii="仿宋" w:hAnsi="仿宋" w:eastAsia="仿宋"/>
          <w:color w:val="000000"/>
          <w:sz w:val="32"/>
          <w:szCs w:val="32"/>
        </w:rPr>
        <w:t>%</w:t>
      </w:r>
      <w:r>
        <w:rPr>
          <w:rFonts w:hint="eastAsia" w:ascii="仿宋" w:hAnsi="仿宋" w:eastAsia="仿宋"/>
          <w:color w:val="000000"/>
          <w:sz w:val="32"/>
          <w:szCs w:val="32"/>
        </w:rPr>
        <w:t>。主要变动原因是2020年医疗收入下降。</w:t>
      </w:r>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883920</wp:posOffset>
            </wp:positionH>
            <wp:positionV relativeFrom="paragraph">
              <wp:posOffset>179070</wp:posOffset>
            </wp:positionV>
            <wp:extent cx="2487295" cy="1668780"/>
            <wp:effectExtent l="0" t="0" r="635" b="1270"/>
            <wp:wrapSquare wrapText="bothSides"/>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7"/>
        <w:numPr>
          <w:ilvl w:val="0"/>
          <w:numId w:val="1"/>
        </w:numPr>
        <w:spacing w:line="600" w:lineRule="exact"/>
        <w:ind w:firstLineChars="0"/>
        <w:outlineLvl w:val="1"/>
        <w:rPr>
          <w:rStyle w:val="17"/>
          <w:rFonts w:ascii="黑体" w:hAnsi="黑体" w:eastAsia="黑体"/>
          <w:b w:val="0"/>
        </w:rPr>
      </w:pPr>
      <w:bookmarkStart w:id="37" w:name="_Toc15396604"/>
      <w:bookmarkStart w:id="38" w:name="_Toc22896"/>
      <w:bookmarkStart w:id="39" w:name="_Toc15377206"/>
      <w:r>
        <w:rPr>
          <w:rFonts w:hint="eastAsia" w:ascii="黑体" w:hAnsi="黑体" w:eastAsia="黑体"/>
          <w:color w:val="000000"/>
          <w:sz w:val="32"/>
          <w:szCs w:val="32"/>
        </w:rPr>
        <w:t>收</w:t>
      </w:r>
      <w:r>
        <w:rPr>
          <w:rStyle w:val="17"/>
          <w:rFonts w:hint="eastAsia" w:ascii="黑体" w:hAnsi="黑体" w:eastAsia="黑体"/>
          <w:b w:val="0"/>
        </w:rPr>
        <w:t>入决算情况说明</w:t>
      </w:r>
      <w:bookmarkEnd w:id="37"/>
      <w:bookmarkEnd w:id="38"/>
      <w:bookmarkEnd w:id="39"/>
    </w:p>
    <w:p>
      <w:pPr>
        <w:spacing w:line="600" w:lineRule="exact"/>
        <w:ind w:firstLine="640" w:firstLineChars="200"/>
        <w:outlineLvl w:val="1"/>
        <w:rPr>
          <w:rFonts w:hint="eastAsia" w:ascii="仿宋" w:hAnsi="仿宋" w:eastAsia="仿宋"/>
          <w:color w:val="000000"/>
          <w:sz w:val="32"/>
          <w:szCs w:val="32"/>
        </w:rPr>
      </w:pPr>
      <w:bookmarkStart w:id="40" w:name="_Toc7040"/>
      <w:r>
        <w:rPr>
          <w:rFonts w:ascii="仿宋" w:hAnsi="仿宋" w:eastAsia="仿宋"/>
          <w:color w:val="000000"/>
          <w:sz w:val="32"/>
          <w:szCs w:val="32"/>
        </w:rPr>
        <w:t>2020</w:t>
      </w:r>
      <w:r>
        <w:rPr>
          <w:rFonts w:hint="eastAsia" w:ascii="仿宋" w:hAnsi="仿宋" w:eastAsia="仿宋"/>
          <w:color w:val="000000"/>
          <w:sz w:val="32"/>
          <w:szCs w:val="32"/>
        </w:rPr>
        <w:t>年本年收入合计1549.68万元，其中：一般公共预算财政拨款收入216.33万元，占13.96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；政府性基金预算财政拨款收入327万元，占21.10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；事业收入914.73万元，占59.03</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；其他收入46.62万元，占3.01</w:t>
      </w:r>
      <w:r>
        <w:rPr>
          <w:rFonts w:ascii="仿宋" w:hAnsi="仿宋" w:eastAsia="仿宋"/>
          <w:color w:val="000000"/>
          <w:sz w:val="32"/>
          <w:szCs w:val="32"/>
        </w:rPr>
        <w:t>%</w:t>
      </w:r>
      <w:r>
        <w:rPr>
          <w:rFonts w:hint="eastAsia" w:ascii="仿宋" w:hAnsi="仿宋" w:eastAsia="仿宋"/>
          <w:color w:val="000000"/>
          <w:sz w:val="32"/>
          <w:szCs w:val="32"/>
        </w:rPr>
        <w:t>。</w:t>
      </w:r>
      <w:bookmarkEnd w:id="40"/>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836295</wp:posOffset>
            </wp:positionH>
            <wp:positionV relativeFrom="paragraph">
              <wp:posOffset>158750</wp:posOffset>
            </wp:positionV>
            <wp:extent cx="3164205" cy="2117090"/>
            <wp:effectExtent l="0" t="0" r="0" b="635"/>
            <wp:wrapSquare wrapText="bothSides"/>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640" w:firstLineChars="200"/>
        <w:outlineLvl w:val="1"/>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 xml:space="preserve">      （图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27"/>
        <w:numPr>
          <w:ilvl w:val="0"/>
          <w:numId w:val="1"/>
        </w:numPr>
        <w:spacing w:line="600" w:lineRule="exact"/>
        <w:ind w:firstLineChars="0"/>
        <w:outlineLvl w:val="1"/>
        <w:rPr>
          <w:rStyle w:val="17"/>
          <w:rFonts w:ascii="黑体" w:hAnsi="黑体" w:eastAsia="黑体"/>
          <w:b w:val="0"/>
        </w:rPr>
      </w:pPr>
      <w:bookmarkStart w:id="41" w:name="_Toc4504"/>
      <w:bookmarkStart w:id="42" w:name="_Toc15396605"/>
      <w:bookmarkStart w:id="43" w:name="_Toc15377207"/>
      <w:r>
        <w:rPr>
          <w:rFonts w:hint="eastAsia" w:ascii="黑体" w:hAnsi="黑体" w:eastAsia="黑体"/>
          <w:color w:val="000000"/>
          <w:sz w:val="32"/>
          <w:szCs w:val="32"/>
        </w:rPr>
        <w:t>支</w:t>
      </w:r>
      <w:r>
        <w:rPr>
          <w:rStyle w:val="17"/>
          <w:rFonts w:hint="eastAsia" w:ascii="黑体" w:hAnsi="黑体" w:eastAsia="黑体"/>
          <w:b w:val="0"/>
        </w:rPr>
        <w:t>出决算情况说明</w:t>
      </w:r>
      <w:bookmarkEnd w:id="41"/>
      <w:bookmarkEnd w:id="42"/>
      <w:bookmarkEnd w:id="43"/>
    </w:p>
    <w:p>
      <w:pPr>
        <w:spacing w:line="600" w:lineRule="exact"/>
        <w:ind w:firstLine="640" w:firstLineChars="200"/>
        <w:outlineLvl w:val="1"/>
        <w:rPr>
          <w:rFonts w:ascii="仿宋" w:hAnsi="仿宋" w:eastAsia="仿宋"/>
          <w:color w:val="000000"/>
          <w:sz w:val="32"/>
          <w:szCs w:val="32"/>
        </w:rPr>
      </w:pPr>
      <w:bookmarkStart w:id="44" w:name="_Toc9029"/>
      <w:r>
        <w:rPr>
          <w:rFonts w:ascii="仿宋" w:hAnsi="仿宋" w:eastAsia="仿宋"/>
          <w:color w:val="000000"/>
          <w:sz w:val="32"/>
          <w:szCs w:val="32"/>
        </w:rPr>
        <w:t>2020</w:t>
      </w:r>
      <w:r>
        <w:rPr>
          <w:rFonts w:hint="eastAsia" w:ascii="仿宋" w:hAnsi="仿宋" w:eastAsia="仿宋"/>
          <w:color w:val="000000"/>
          <w:sz w:val="32"/>
          <w:szCs w:val="32"/>
        </w:rPr>
        <w:t>年本年支出合计1587.60万元，其中：基本支出1215.60万元，占75.67</w:t>
      </w:r>
      <w:r>
        <w:rPr>
          <w:rFonts w:ascii="仿宋" w:hAnsi="仿宋" w:eastAsia="仿宋"/>
          <w:color w:val="000000"/>
          <w:sz w:val="32"/>
          <w:szCs w:val="32"/>
        </w:rPr>
        <w:t>%</w:t>
      </w:r>
      <w:r>
        <w:rPr>
          <w:rFonts w:hint="eastAsia" w:ascii="仿宋" w:hAnsi="仿宋" w:eastAsia="仿宋"/>
          <w:color w:val="000000"/>
          <w:sz w:val="32"/>
          <w:szCs w:val="32"/>
        </w:rPr>
        <w:t>；项目支出372万元，占23.43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44"/>
    </w:p>
    <w:p>
      <w:pPr>
        <w:spacing w:line="600" w:lineRule="exact"/>
        <w:ind w:firstLine="640"/>
        <w:rPr>
          <w:rFonts w:hint="eastAsia" w:ascii="仿宋" w:hAnsi="仿宋" w:eastAsia="仿宋"/>
          <w:b/>
          <w:color w:val="FF0000"/>
          <w:sz w:val="32"/>
          <w:szCs w:val="32"/>
        </w:rPr>
      </w:pP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712470</wp:posOffset>
            </wp:positionH>
            <wp:positionV relativeFrom="paragraph">
              <wp:posOffset>139700</wp:posOffset>
            </wp:positionV>
            <wp:extent cx="2743200" cy="1828800"/>
            <wp:effectExtent l="0" t="0" r="1905" b="3175"/>
            <wp:wrapSquare wrapText="bothSides"/>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hint="eastAsia" w:ascii="仿宋" w:hAnsi="仿宋" w:eastAsia="仿宋"/>
          <w:color w:val="000000"/>
          <w:sz w:val="32"/>
          <w:szCs w:val="32"/>
          <w:shd w:val="pct10" w:color="auto" w:fill="FFFFFF"/>
        </w:rPr>
      </w:pPr>
    </w:p>
    <w:p>
      <w:pPr>
        <w:spacing w:line="600" w:lineRule="exact"/>
        <w:ind w:firstLine="640"/>
        <w:rPr>
          <w:rFonts w:hint="eastAsia" w:ascii="仿宋" w:hAnsi="仿宋" w:eastAsia="仿宋"/>
          <w:color w:val="000000"/>
          <w:sz w:val="32"/>
          <w:szCs w:val="32"/>
          <w:shd w:val="pct10" w:color="auto" w:fill="FFFFFF"/>
        </w:rPr>
      </w:pPr>
    </w:p>
    <w:p>
      <w:pPr>
        <w:spacing w:line="600" w:lineRule="exact"/>
        <w:ind w:firstLine="640"/>
        <w:rPr>
          <w:rFonts w:hint="eastAsia" w:ascii="仿宋" w:hAnsi="仿宋" w:eastAsia="仿宋"/>
          <w:color w:val="000000"/>
          <w:sz w:val="32"/>
          <w:szCs w:val="32"/>
          <w:shd w:val="pct10" w:color="auto" w:fill="FFFFFF"/>
        </w:rPr>
      </w:pPr>
    </w:p>
    <w:p>
      <w:pPr>
        <w:spacing w:line="600" w:lineRule="exact"/>
        <w:ind w:firstLine="640"/>
        <w:rPr>
          <w:rFonts w:hint="eastAsia"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outlineLvl w:val="1"/>
        <w:rPr>
          <w:rFonts w:hint="eastAsia" w:ascii="黑体" w:hAnsi="黑体" w:eastAsia="黑体"/>
          <w:color w:val="000000"/>
          <w:sz w:val="32"/>
          <w:szCs w:val="32"/>
        </w:rPr>
      </w:pPr>
      <w:bookmarkStart w:id="45" w:name="_Toc15377208"/>
      <w:bookmarkStart w:id="46" w:name="_Toc15396606"/>
    </w:p>
    <w:p>
      <w:pPr>
        <w:spacing w:line="600" w:lineRule="exact"/>
        <w:ind w:firstLine="640" w:firstLineChars="200"/>
        <w:outlineLvl w:val="1"/>
        <w:rPr>
          <w:rStyle w:val="17"/>
          <w:rFonts w:ascii="黑体" w:hAnsi="黑体" w:eastAsia="黑体"/>
          <w:b w:val="0"/>
        </w:rPr>
      </w:pPr>
      <w:bookmarkStart w:id="47" w:name="_Toc20401"/>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45"/>
      <w:bookmarkEnd w:id="46"/>
      <w:bookmarkEnd w:id="47"/>
    </w:p>
    <w:p>
      <w:pPr>
        <w:spacing w:line="600" w:lineRule="exact"/>
        <w:ind w:firstLine="640"/>
        <w:rPr>
          <w:rFonts w:ascii="仿宋" w:hAnsi="仿宋" w:eastAsia="仿宋"/>
          <w:color w:val="000000"/>
          <w:sz w:val="32"/>
          <w:szCs w:val="32"/>
          <w:highlight w:val="yellow"/>
        </w:rPr>
      </w:pPr>
      <w:r>
        <w:rPr>
          <w:rFonts w:ascii="仿宋" w:hAnsi="仿宋" w:eastAsia="仿宋"/>
          <w:color w:val="000000"/>
          <w:sz w:val="32"/>
          <w:szCs w:val="32"/>
        </w:rPr>
        <w:t>2020</w:t>
      </w:r>
      <w:r>
        <w:rPr>
          <w:rFonts w:hint="eastAsia" w:ascii="仿宋" w:hAnsi="仿宋" w:eastAsia="仿宋"/>
          <w:color w:val="000000"/>
          <w:sz w:val="32"/>
          <w:szCs w:val="32"/>
        </w:rPr>
        <w:t>年财政拨款收入总计588.33,支出总计582.87万元。与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年相比，财政拨款收、支总计各增加17.58万元，增长3.08</w:t>
      </w:r>
      <w:r>
        <w:rPr>
          <w:rFonts w:ascii="仿宋" w:hAnsi="仿宋" w:eastAsia="仿宋"/>
          <w:color w:val="000000"/>
          <w:sz w:val="32"/>
          <w:szCs w:val="32"/>
        </w:rPr>
        <w:t>%</w:t>
      </w:r>
      <w:r>
        <w:rPr>
          <w:rFonts w:hint="eastAsia" w:ascii="仿宋" w:hAnsi="仿宋" w:eastAsia="仿宋"/>
          <w:color w:val="000000"/>
          <w:sz w:val="32"/>
          <w:szCs w:val="32"/>
        </w:rPr>
        <w:t>。主要变动原因是增加疫情防控物资拨款和疫情防控人员补助。</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1141095</wp:posOffset>
            </wp:positionH>
            <wp:positionV relativeFrom="paragraph">
              <wp:posOffset>234950</wp:posOffset>
            </wp:positionV>
            <wp:extent cx="2745105" cy="1831975"/>
            <wp:effectExtent l="0" t="0" r="0" b="0"/>
            <wp:wrapSquare wrapText="bothSides"/>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17"/>
          <w:rFonts w:ascii="黑体" w:hAnsi="黑体" w:eastAsia="黑体"/>
          <w:b w:val="0"/>
        </w:rPr>
      </w:pPr>
      <w:bookmarkStart w:id="48" w:name="_Toc15377209"/>
      <w:bookmarkStart w:id="49" w:name="_Toc15396607"/>
      <w:bookmarkStart w:id="50" w:name="_Toc147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48"/>
      <w:bookmarkEnd w:id="49"/>
      <w:bookmarkEnd w:id="50"/>
    </w:p>
    <w:p>
      <w:pPr>
        <w:spacing w:line="600" w:lineRule="exact"/>
        <w:ind w:firstLine="642" w:firstLineChars="200"/>
        <w:outlineLvl w:val="2"/>
        <w:rPr>
          <w:rFonts w:ascii="仿宋" w:hAnsi="仿宋" w:eastAsia="仿宋"/>
          <w:b/>
          <w:color w:val="000000"/>
          <w:sz w:val="32"/>
          <w:szCs w:val="32"/>
        </w:rPr>
      </w:pPr>
      <w:bookmarkStart w:id="51" w:name="_Toc21124"/>
      <w:bookmarkStart w:id="52" w:name="_Toc15377210"/>
      <w:r>
        <w:rPr>
          <w:rFonts w:hint="eastAsia" w:ascii="仿宋" w:hAnsi="仿宋" w:eastAsia="仿宋"/>
          <w:b/>
          <w:color w:val="000000"/>
          <w:sz w:val="32"/>
          <w:szCs w:val="32"/>
        </w:rPr>
        <w:t>（一）一般公共预算财政拨款支出决算总体情况</w:t>
      </w:r>
      <w:bookmarkEnd w:id="51"/>
      <w:bookmarkEnd w:id="52"/>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1264920</wp:posOffset>
            </wp:positionH>
            <wp:positionV relativeFrom="paragraph">
              <wp:posOffset>1787525</wp:posOffset>
            </wp:positionV>
            <wp:extent cx="2773045" cy="1854835"/>
            <wp:effectExtent l="0" t="0" r="635" b="5715"/>
            <wp:wrapSquare wrapText="bothSides"/>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年一般公共预算财政拨款支出210.87万元，占本年支出合计的36.18</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年相比，一般公共预算财政拨款减少88.88万元，下降29.65</w:t>
      </w:r>
      <w:r>
        <w:rPr>
          <w:rFonts w:ascii="仿宋" w:hAnsi="仿宋" w:eastAsia="仿宋"/>
          <w:color w:val="000000"/>
          <w:sz w:val="32"/>
          <w:szCs w:val="32"/>
        </w:rPr>
        <w:t>%</w:t>
      </w:r>
      <w:r>
        <w:rPr>
          <w:rFonts w:hint="eastAsia" w:ascii="仿宋" w:hAnsi="仿宋" w:eastAsia="仿宋"/>
          <w:color w:val="000000"/>
          <w:sz w:val="32"/>
          <w:szCs w:val="32"/>
        </w:rPr>
        <w:t>。主要变动原因是机关事业单位养老保险职业年金支出调到政府性基金预算财政拨款支出。</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color w:val="000000"/>
          <w:sz w:val="32"/>
          <w:szCs w:val="32"/>
        </w:rPr>
      </w:pPr>
    </w:p>
    <w:p>
      <w:pPr>
        <w:spacing w:line="600" w:lineRule="exact"/>
        <w:ind w:left="320" w:hanging="320" w:hangingChars="100"/>
        <w:rPr>
          <w:rFonts w:hint="eastAsia" w:ascii="仿宋" w:hAnsi="仿宋" w:eastAsia="仿宋"/>
          <w:color w:val="000000"/>
          <w:sz w:val="32"/>
          <w:szCs w:val="32"/>
        </w:rPr>
      </w:pPr>
    </w:p>
    <w:p>
      <w:pPr>
        <w:spacing w:line="600" w:lineRule="exact"/>
        <w:ind w:left="2400" w:hanging="2400" w:hangingChars="75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 xml:space="preserve">：一般公共预算财政拨款支出决算变动情况）     （ 柱状图）  </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3" w:name="_Toc31886"/>
      <w:bookmarkStart w:id="54" w:name="_Toc15377211"/>
      <w:r>
        <w:rPr>
          <w:rFonts w:hint="eastAsia" w:ascii="仿宋" w:hAnsi="仿宋" w:eastAsia="仿宋"/>
          <w:b/>
          <w:color w:val="000000"/>
          <w:sz w:val="32"/>
          <w:szCs w:val="32"/>
        </w:rPr>
        <w:t>（二）一般公共预算财政拨款支出决算结构情况</w:t>
      </w:r>
      <w:bookmarkEnd w:id="53"/>
      <w:bookmarkEnd w:id="54"/>
    </w:p>
    <w:p>
      <w:pPr>
        <w:spacing w:line="600" w:lineRule="exact"/>
        <w:ind w:firstLine="640"/>
        <w:rPr>
          <w:rFonts w:hint="eastAsia"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年一般公共预算财政拨款支出210.87万元，主要用于以下方面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支出175.39万元，占81.07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35.48万元，占16.40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b/>
          <w:color w:val="000000"/>
          <w:sz w:val="32"/>
          <w:szCs w:val="32"/>
        </w:rPr>
      </w:pPr>
      <w:r>
        <w:rPr>
          <w:rFonts w:hint="eastAsia" w:ascii="仿宋" w:hAnsi="仿宋" w:eastAsia="仿宋"/>
          <w:b/>
          <w:color w:val="000000"/>
          <w:sz w:val="32"/>
          <w:szCs w:val="32"/>
        </w:rPr>
        <w:drawing>
          <wp:anchor distT="0" distB="0" distL="114300" distR="114300" simplePos="0" relativeHeight="251664384" behindDoc="0" locked="0" layoutInCell="1" allowOverlap="1">
            <wp:simplePos x="0" y="0"/>
            <wp:positionH relativeFrom="column">
              <wp:posOffset>1074420</wp:posOffset>
            </wp:positionH>
            <wp:positionV relativeFrom="paragraph">
              <wp:posOffset>215900</wp:posOffset>
            </wp:positionV>
            <wp:extent cx="2733675" cy="1828800"/>
            <wp:effectExtent l="0" t="0" r="1905" b="3175"/>
            <wp:wrapSquare wrapText="bothSides"/>
            <wp:docPr id="18"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b/>
          <w:color w:val="000000"/>
          <w:sz w:val="32"/>
          <w:szCs w:val="32"/>
        </w:rPr>
      </w:pPr>
    </w:p>
    <w:p>
      <w:pPr>
        <w:spacing w:line="600" w:lineRule="exact"/>
        <w:ind w:firstLine="640"/>
        <w:rPr>
          <w:rFonts w:hint="eastAsia" w:ascii="仿宋" w:hAnsi="仿宋" w:eastAsia="仿宋"/>
          <w:b/>
          <w:color w:val="000000"/>
          <w:sz w:val="32"/>
          <w:szCs w:val="32"/>
        </w:rPr>
      </w:pPr>
    </w:p>
    <w:p>
      <w:pPr>
        <w:spacing w:line="600" w:lineRule="exact"/>
        <w:ind w:firstLine="640"/>
        <w:rPr>
          <w:rFonts w:hint="eastAsia" w:ascii="仿宋" w:hAnsi="仿宋" w:eastAsia="仿宋"/>
          <w:b/>
          <w:color w:val="000000"/>
          <w:sz w:val="32"/>
          <w:szCs w:val="32"/>
        </w:rPr>
      </w:pPr>
    </w:p>
    <w:p>
      <w:pPr>
        <w:spacing w:line="600" w:lineRule="exact"/>
        <w:ind w:firstLine="640"/>
        <w:rPr>
          <w:rFonts w:hint="eastAsia" w:ascii="仿宋" w:hAnsi="仿宋" w:eastAsia="仿宋"/>
          <w:b/>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5" w:name="_Toc30193"/>
      <w:bookmarkStart w:id="56" w:name="_Toc15377212"/>
      <w:r>
        <w:rPr>
          <w:rFonts w:hint="eastAsia" w:ascii="仿宋" w:hAnsi="仿宋" w:eastAsia="仿宋"/>
          <w:b/>
          <w:color w:val="000000"/>
          <w:sz w:val="32"/>
          <w:szCs w:val="32"/>
        </w:rPr>
        <w:t>（三）一般公共预算财政拨款支出决算具体情况</w:t>
      </w:r>
      <w:bookmarkEnd w:id="55"/>
      <w:bookmarkEnd w:id="56"/>
    </w:p>
    <w:p>
      <w:pPr>
        <w:spacing w:line="600" w:lineRule="exact"/>
        <w:ind w:firstLine="642" w:firstLineChars="200"/>
        <w:outlineLvl w:val="2"/>
        <w:rPr>
          <w:rFonts w:ascii="仿宋" w:hAnsi="仿宋" w:eastAsia="仿宋"/>
          <w:color w:val="FF0000"/>
          <w:sz w:val="32"/>
          <w:szCs w:val="32"/>
        </w:rPr>
      </w:pPr>
      <w:bookmarkStart w:id="57" w:name="_Toc15377213"/>
      <w:bookmarkStart w:id="58" w:name="_Toc15377444"/>
      <w:bookmarkStart w:id="59" w:name="_Toc15378460"/>
      <w:bookmarkStart w:id="60" w:name="_Toc27122"/>
      <w:r>
        <w:rPr>
          <w:rFonts w:ascii="仿宋" w:hAnsi="仿宋" w:eastAsia="仿宋"/>
          <w:b/>
          <w:color w:val="000000"/>
          <w:sz w:val="32"/>
          <w:szCs w:val="32"/>
        </w:rPr>
        <w:t>2020</w:t>
      </w:r>
      <w:r>
        <w:rPr>
          <w:rFonts w:hint="eastAsia" w:ascii="仿宋" w:hAnsi="仿宋" w:eastAsia="仿宋"/>
          <w:b/>
          <w:color w:val="000000"/>
          <w:sz w:val="32"/>
          <w:szCs w:val="32"/>
        </w:rPr>
        <w:t>年一般公共预算支出决算数为216.33</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完成预算97.48</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57"/>
      <w:bookmarkEnd w:id="58"/>
      <w:bookmarkEnd w:id="59"/>
      <w:bookmarkEnd w:id="60"/>
    </w:p>
    <w:p>
      <w:pPr>
        <w:numPr>
          <w:ilvl w:val="0"/>
          <w:numId w:val="2"/>
        </w:numPr>
        <w:spacing w:line="600" w:lineRule="exact"/>
        <w:ind w:firstLine="642"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rPr>
        <w:t>社会保障和就业（类）行政事业单位养老支出（款）事业单位离退休（项）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支出决算为171.15万元，完成预算79.12</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Cs/>
          <w:color w:val="000000"/>
          <w:sz w:val="32"/>
          <w:szCs w:val="32"/>
        </w:rPr>
        <w:t>社会保障和就业（类）抚恤（款）死亡抚恤（项）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支出决算为0.8万元，完成预算0.37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，决算数小于预算数，主要原因是2020年底未付退休职工死亡抚恤金。</w:t>
      </w:r>
      <w:r>
        <w:rPr>
          <w:rStyle w:val="14"/>
          <w:rFonts w:hint="eastAsia" w:ascii="仿宋" w:hAnsi="仿宋" w:eastAsia="仿宋"/>
          <w:bCs/>
          <w:color w:val="000000"/>
          <w:sz w:val="32"/>
          <w:szCs w:val="32"/>
        </w:rPr>
        <w:t>社会保障和就业（类）其他社会保障和就业支出（款）其他社会保障和就业支出（项）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支出决算为3.44万元，完成预算1.59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Cs/>
          <w:color w:val="000000"/>
          <w:sz w:val="32"/>
          <w:szCs w:val="32"/>
        </w:rPr>
        <w:t>卫生健康支出（类）公共卫生（款）重大公共卫生服务（项）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支出决算为5万元，完成预算2.31</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Cs/>
          <w:color w:val="000000"/>
          <w:sz w:val="32"/>
          <w:szCs w:val="32"/>
        </w:rPr>
        <w:t>卫生健康支出（类）其他卫生健康支出（款）其他卫生健康支出（项）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支出决算为30.48万元，完成预算14.09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rPr>
        <w:t>2</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w:t>
      </w:r>
      <w:r>
        <w:rPr>
          <w:rFonts w:hint="eastAsia" w:ascii="仿宋" w:hAnsi="仿宋" w:eastAsia="仿宋"/>
          <w:b/>
          <w:bCs/>
          <w:color w:val="000000"/>
          <w:sz w:val="32"/>
          <w:szCs w:val="32"/>
        </w:rPr>
        <w:t>公立医院（款）综合医院（</w:t>
      </w:r>
      <w:r>
        <w:rPr>
          <w:rFonts w:hint="eastAsia"/>
        </w:rPr>
        <w:t>项</w:t>
      </w:r>
      <w:r>
        <w:rPr>
          <w:rFonts w:hint="eastAsia" w:ascii="仿宋" w:hAnsi="仿宋" w:eastAsia="仿宋"/>
          <w:b/>
          <w:bCs/>
          <w:color w:val="000000"/>
          <w:sz w:val="32"/>
          <w:szCs w:val="32"/>
        </w:rPr>
        <w:t>）</w:t>
      </w:r>
      <w:r>
        <w:rPr>
          <w:rFonts w:ascii="仿宋" w:hAnsi="仿宋" w:eastAsia="仿宋"/>
          <w:b/>
          <w:bCs/>
          <w:color w:val="000000"/>
          <w:sz w:val="32"/>
          <w:szCs w:val="32"/>
        </w:rPr>
        <w:t>:</w:t>
      </w:r>
      <w:r>
        <w:rPr>
          <w:rStyle w:val="14"/>
          <w:rFonts w:hint="eastAsia" w:ascii="仿宋" w:hAnsi="仿宋" w:eastAsia="仿宋"/>
          <w:b w:val="0"/>
          <w:bCs/>
          <w:color w:val="000000"/>
          <w:sz w:val="32"/>
          <w:szCs w:val="32"/>
        </w:rPr>
        <w:t>支出决算为35.48万元，完成预算18.92</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17"/>
        </w:rPr>
      </w:pPr>
      <w:bookmarkStart w:id="61" w:name="_Toc15396608"/>
      <w:bookmarkStart w:id="62" w:name="_Toc22881"/>
      <w:bookmarkStart w:id="6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61"/>
      <w:bookmarkEnd w:id="62"/>
      <w:bookmarkEnd w:id="63"/>
      <w:r>
        <w:rPr>
          <w:rStyle w:val="1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年一般公共预算财政拨款基本支出210.87万元，其中：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人员经费175.93万元，主要包括：津贴补贴、离休费、退休费、抚恤金、生活补助、医疗费补助、其他对个人和家庭的补助支出等。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日常公用经费34.94万元，主要包括：维修（护）费、福利费、其他商品和服务支出。</w:t>
      </w:r>
    </w:p>
    <w:p>
      <w:pPr>
        <w:spacing w:line="600" w:lineRule="exact"/>
        <w:ind w:firstLine="640"/>
        <w:rPr>
          <w:rFonts w:ascii="仿宋" w:hAnsi="仿宋" w:eastAsia="仿宋"/>
          <w:b/>
          <w:color w:val="FF0000"/>
          <w:sz w:val="32"/>
          <w:szCs w:val="32"/>
        </w:rPr>
      </w:pPr>
    </w:p>
    <w:p>
      <w:pPr>
        <w:spacing w:line="600" w:lineRule="exact"/>
        <w:ind w:firstLine="470" w:firstLineChars="147"/>
        <w:outlineLvl w:val="1"/>
        <w:rPr>
          <w:rStyle w:val="17"/>
          <w:rFonts w:ascii="黑体" w:hAnsi="黑体" w:eastAsia="黑体"/>
          <w:b w:val="0"/>
        </w:rPr>
      </w:pPr>
      <w:bookmarkStart w:id="64" w:name="_Toc15377215"/>
      <w:bookmarkStart w:id="65" w:name="_Toc15396609"/>
      <w:bookmarkStart w:id="66" w:name="_Toc9456"/>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64"/>
      <w:bookmarkEnd w:id="65"/>
      <w:bookmarkEnd w:id="66"/>
    </w:p>
    <w:p>
      <w:pPr>
        <w:spacing w:line="600" w:lineRule="exact"/>
        <w:ind w:firstLine="640"/>
        <w:outlineLvl w:val="2"/>
        <w:rPr>
          <w:rFonts w:ascii="仿宋" w:hAnsi="仿宋" w:eastAsia="仿宋"/>
          <w:b/>
          <w:color w:val="000000"/>
          <w:sz w:val="32"/>
          <w:szCs w:val="32"/>
        </w:rPr>
      </w:pPr>
      <w:bookmarkStart w:id="67" w:name="_Toc16416"/>
      <w:bookmarkStart w:id="68" w:name="_Toc15377216"/>
      <w:r>
        <w:rPr>
          <w:rFonts w:hint="eastAsia" w:ascii="仿宋" w:hAnsi="仿宋" w:eastAsia="仿宋"/>
          <w:b/>
          <w:color w:val="000000"/>
          <w:sz w:val="32"/>
          <w:szCs w:val="32"/>
        </w:rPr>
        <w:t>（一）“三公”经费财政拨款支出决算总体情况说明</w:t>
      </w:r>
      <w:bookmarkEnd w:id="67"/>
      <w:bookmarkEnd w:id="68"/>
    </w:p>
    <w:p>
      <w:pPr>
        <w:spacing w:line="600" w:lineRule="exact"/>
        <w:ind w:firstLine="640"/>
        <w:rPr>
          <w:rFonts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w:t>
      </w:r>
      <w:r>
        <w:rPr>
          <w:rFonts w:hint="eastAsia" w:eastAsia="仿宋"/>
          <w:color w:val="000000"/>
          <w:sz w:val="32"/>
          <w:szCs w:val="32"/>
        </w:rPr>
        <w:t>（财政公开10表无数据）</w:t>
      </w:r>
    </w:p>
    <w:p>
      <w:pPr>
        <w:spacing w:line="600" w:lineRule="exact"/>
        <w:ind w:firstLine="642" w:firstLineChars="200"/>
        <w:outlineLvl w:val="2"/>
        <w:rPr>
          <w:rFonts w:ascii="仿宋" w:hAnsi="仿宋" w:eastAsia="仿宋"/>
          <w:b/>
          <w:color w:val="000000"/>
          <w:sz w:val="32"/>
          <w:szCs w:val="32"/>
        </w:rPr>
      </w:pPr>
      <w:bookmarkStart w:id="69" w:name="_Toc21165"/>
      <w:bookmarkStart w:id="70" w:name="_Toc15377217"/>
      <w:r>
        <w:rPr>
          <w:rFonts w:hint="eastAsia" w:ascii="仿宋" w:hAnsi="仿宋" w:eastAsia="仿宋"/>
          <w:b/>
          <w:color w:val="000000"/>
          <w:sz w:val="32"/>
          <w:szCs w:val="32"/>
        </w:rPr>
        <w:t>（二）“三公”经费财政拨款支出决算具体情况说明</w:t>
      </w:r>
      <w:bookmarkEnd w:id="69"/>
      <w:bookmarkEnd w:id="7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eastAsia="仿宋"/>
          <w:color w:val="000000"/>
          <w:sz w:val="32"/>
          <w:szCs w:val="32"/>
        </w:rPr>
        <w:t>0</w:t>
      </w:r>
      <w:r>
        <w:rPr>
          <w:rFonts w:hint="eastAsia" w:ascii="仿宋" w:hAnsi="仿宋" w:eastAsia="仿宋"/>
          <w:color w:val="000000"/>
          <w:sz w:val="32"/>
          <w:szCs w:val="32"/>
        </w:rPr>
        <w:t>万元，占</w:t>
      </w:r>
      <w:r>
        <w:rPr>
          <w:rFonts w:hint="eastAsia" w:eastAsia="仿宋"/>
          <w:color w:val="000000"/>
          <w:sz w:val="32"/>
          <w:szCs w:val="32"/>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eastAsia="仿宋"/>
          <w:color w:val="000000"/>
          <w:sz w:val="32"/>
          <w:szCs w:val="32"/>
        </w:rPr>
        <w:t>0</w:t>
      </w:r>
      <w:r>
        <w:rPr>
          <w:rFonts w:hint="eastAsia" w:ascii="仿宋" w:hAnsi="仿宋" w:eastAsia="仿宋"/>
          <w:color w:val="000000"/>
          <w:sz w:val="32"/>
          <w:szCs w:val="32"/>
        </w:rPr>
        <w:t>万元，占</w:t>
      </w:r>
      <w:r>
        <w:rPr>
          <w:rFonts w:hint="eastAsia" w:eastAsia="仿宋"/>
          <w:color w:val="000000"/>
          <w:sz w:val="32"/>
          <w:szCs w:val="32"/>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eastAsia="仿宋"/>
          <w:color w:val="000000"/>
          <w:sz w:val="32"/>
          <w:szCs w:val="32"/>
        </w:rPr>
        <w:t>0</w:t>
      </w:r>
      <w:r>
        <w:rPr>
          <w:rFonts w:hint="eastAsia" w:ascii="仿宋" w:hAnsi="仿宋" w:eastAsia="仿宋"/>
          <w:color w:val="000000"/>
          <w:sz w:val="32"/>
          <w:szCs w:val="32"/>
        </w:rPr>
        <w:t>万元，占</w:t>
      </w:r>
      <w:r>
        <w:rPr>
          <w:rFonts w:hint="eastAsia" w:eastAsia="仿宋"/>
          <w:color w:val="000000"/>
          <w:sz w:val="32"/>
          <w:szCs w:val="32"/>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eastAsia="仿宋"/>
          <w:color w:val="000000"/>
          <w:sz w:val="32"/>
          <w:szCs w:val="32"/>
        </w:rPr>
        <w:t>（财政公开10表无数据）</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w:t>
      </w:r>
      <w:r>
        <w:rPr>
          <w:rFonts w:hint="eastAsia" w:ascii="仿宋_GB2312" w:eastAsia="仿宋_GB2312"/>
          <w:color w:val="000000"/>
          <w:sz w:val="32"/>
          <w:szCs w:val="32"/>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 w:hAnsi="仿宋" w:eastAsia="仿宋"/>
          <w:b w:val="0"/>
          <w:bCs/>
          <w:color w:val="000000"/>
          <w:sz w:val="32"/>
          <w:szCs w:val="32"/>
        </w:rPr>
        <w:t>完成预算</w:t>
      </w:r>
      <w:r>
        <w:rPr>
          <w:rFonts w:hint="eastAsia" w:eastAsia="仿宋_GB2312"/>
          <w:color w:val="000000"/>
          <w:sz w:val="32"/>
          <w:szCs w:val="32"/>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eastAsia="仿宋_GB2312"/>
          <w:color w:val="000000"/>
          <w:sz w:val="32"/>
          <w:szCs w:val="32"/>
        </w:rPr>
        <w:t>0</w:t>
      </w:r>
      <w:r>
        <w:rPr>
          <w:rFonts w:hint="eastAsia" w:ascii="仿宋_GB2312" w:eastAsia="仿宋_GB2312"/>
          <w:color w:val="000000"/>
          <w:sz w:val="32"/>
          <w:szCs w:val="32"/>
        </w:rPr>
        <w:t>万元。全年按规定更新购置公务用车</w:t>
      </w:r>
      <w:r>
        <w:rPr>
          <w:rFonts w:hint="eastAsia" w:eastAsia="仿宋_GB2312"/>
          <w:color w:val="000000"/>
          <w:sz w:val="32"/>
          <w:szCs w:val="32"/>
        </w:rPr>
        <w:t>0</w:t>
      </w:r>
      <w:r>
        <w:rPr>
          <w:rFonts w:hint="eastAsia" w:ascii="仿宋_GB2312" w:eastAsia="仿宋_GB2312"/>
          <w:color w:val="000000"/>
          <w:sz w:val="32"/>
          <w:szCs w:val="32"/>
        </w:rPr>
        <w:t>辆，其中：轿车</w:t>
      </w:r>
      <w:r>
        <w:rPr>
          <w:rFonts w:hint="eastAsia" w:eastAsia="仿宋_GB2312"/>
          <w:color w:val="000000"/>
          <w:sz w:val="32"/>
          <w:szCs w:val="32"/>
        </w:rPr>
        <w:t>0</w:t>
      </w:r>
      <w:r>
        <w:rPr>
          <w:rFonts w:hint="eastAsia" w:ascii="仿宋_GB2312" w:eastAsia="仿宋_GB2312"/>
          <w:color w:val="000000"/>
          <w:sz w:val="32"/>
          <w:szCs w:val="32"/>
        </w:rPr>
        <w:t>辆、金额</w:t>
      </w:r>
      <w:r>
        <w:rPr>
          <w:rFonts w:hint="eastAsia" w:eastAsia="仿宋_GB2312"/>
          <w:color w:val="000000"/>
          <w:sz w:val="32"/>
          <w:szCs w:val="32"/>
        </w:rPr>
        <w:t>0</w:t>
      </w:r>
      <w:r>
        <w:rPr>
          <w:rFonts w:hint="eastAsia" w:ascii="仿宋_GB2312" w:eastAsia="仿宋_GB2312"/>
          <w:color w:val="000000"/>
          <w:sz w:val="32"/>
          <w:szCs w:val="32"/>
        </w:rPr>
        <w:t>万元，越野车</w:t>
      </w:r>
      <w:r>
        <w:rPr>
          <w:rFonts w:hint="eastAsia" w:eastAsia="仿宋_GB2312"/>
          <w:color w:val="000000"/>
          <w:sz w:val="32"/>
          <w:szCs w:val="32"/>
        </w:rPr>
        <w:t>0</w:t>
      </w:r>
      <w:r>
        <w:rPr>
          <w:rFonts w:hint="eastAsia" w:ascii="仿宋_GB2312" w:eastAsia="仿宋_GB2312"/>
          <w:color w:val="000000"/>
          <w:sz w:val="32"/>
          <w:szCs w:val="32"/>
        </w:rPr>
        <w:t>辆、金额</w:t>
      </w:r>
      <w:r>
        <w:rPr>
          <w:rFonts w:hint="eastAsia" w:eastAsia="仿宋_GB2312"/>
          <w:color w:val="000000"/>
          <w:sz w:val="32"/>
          <w:szCs w:val="32"/>
        </w:rPr>
        <w:t>0</w:t>
      </w:r>
      <w:r>
        <w:rPr>
          <w:rFonts w:hint="eastAsia" w:ascii="仿宋_GB2312" w:eastAsia="仿宋_GB2312"/>
          <w:color w:val="000000"/>
          <w:sz w:val="32"/>
          <w:szCs w:val="32"/>
        </w:rPr>
        <w:t>万元，载客汽车</w:t>
      </w:r>
      <w:r>
        <w:rPr>
          <w:rFonts w:hint="eastAsia" w:eastAsia="仿宋_GB2312"/>
          <w:color w:val="000000"/>
          <w:sz w:val="32"/>
          <w:szCs w:val="32"/>
        </w:rPr>
        <w:t>0</w:t>
      </w:r>
      <w:r>
        <w:rPr>
          <w:rFonts w:hint="eastAsia" w:ascii="仿宋_GB2312" w:eastAsia="仿宋_GB2312"/>
          <w:color w:val="000000"/>
          <w:sz w:val="32"/>
          <w:szCs w:val="32"/>
        </w:rPr>
        <w:t>辆、金额</w:t>
      </w:r>
      <w:r>
        <w:rPr>
          <w:rFonts w:hint="eastAsia"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eastAsia="仿宋_GB2312"/>
          <w:color w:val="000000"/>
          <w:sz w:val="32"/>
          <w:szCs w:val="32"/>
        </w:rPr>
        <w:t>0</w:t>
      </w:r>
      <w:r>
        <w:rPr>
          <w:rFonts w:hint="eastAsia" w:ascii="仿宋_GB2312" w:eastAsia="仿宋_GB2312"/>
          <w:color w:val="000000"/>
          <w:sz w:val="32"/>
          <w:szCs w:val="32"/>
        </w:rPr>
        <w:t>辆，其中：轿车</w:t>
      </w:r>
      <w:r>
        <w:rPr>
          <w:rFonts w:hint="eastAsia" w:eastAsia="仿宋_GB2312"/>
          <w:color w:val="000000"/>
          <w:sz w:val="32"/>
          <w:szCs w:val="32"/>
        </w:rPr>
        <w:t>0</w:t>
      </w:r>
      <w:r>
        <w:rPr>
          <w:rFonts w:hint="eastAsia" w:ascii="仿宋_GB2312" w:eastAsia="仿宋_GB2312"/>
          <w:color w:val="000000"/>
          <w:sz w:val="32"/>
          <w:szCs w:val="32"/>
        </w:rPr>
        <w:t>辆、越野车</w:t>
      </w:r>
      <w:r>
        <w:rPr>
          <w:rFonts w:hint="eastAsia" w:eastAsia="仿宋_GB2312"/>
          <w:color w:val="000000"/>
          <w:sz w:val="32"/>
          <w:szCs w:val="32"/>
        </w:rPr>
        <w:t>0</w:t>
      </w:r>
      <w:r>
        <w:rPr>
          <w:rFonts w:hint="eastAsia" w:ascii="仿宋_GB2312" w:eastAsia="仿宋_GB2312"/>
          <w:color w:val="000000"/>
          <w:sz w:val="32"/>
          <w:szCs w:val="32"/>
        </w:rPr>
        <w:t>辆、载客汽车</w:t>
      </w:r>
      <w:r>
        <w:rPr>
          <w:rFonts w:hint="eastAsia"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Fonts w:hint="eastAsia" w:eastAsia="仿宋_GB2312"/>
          <w:color w:val="000000"/>
          <w:sz w:val="32"/>
          <w:szCs w:val="32"/>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eastAsia="仿宋_GB2312"/>
          <w:color w:val="000000"/>
          <w:sz w:val="32"/>
          <w:szCs w:val="32"/>
        </w:rPr>
        <w:t>0</w:t>
      </w:r>
      <w:r>
        <w:rPr>
          <w:rFonts w:hint="eastAsia" w:ascii="仿宋_GB2312" w:eastAsia="仿宋_GB2312"/>
          <w:color w:val="000000"/>
          <w:sz w:val="32"/>
          <w:szCs w:val="32"/>
        </w:rPr>
        <w:t>批次，</w:t>
      </w:r>
      <w:r>
        <w:rPr>
          <w:rFonts w:hint="eastAsia" w:eastAsia="仿宋_GB2312"/>
          <w:color w:val="000000"/>
          <w:sz w:val="32"/>
          <w:szCs w:val="32"/>
        </w:rPr>
        <w:t>0</w:t>
      </w:r>
      <w:r>
        <w:rPr>
          <w:rFonts w:hint="eastAsia" w:ascii="仿宋_GB2312" w:eastAsia="仿宋_GB2312"/>
          <w:color w:val="000000"/>
          <w:sz w:val="32"/>
          <w:szCs w:val="32"/>
        </w:rPr>
        <w:t>人次（不包括陪同人员），共计支出</w:t>
      </w:r>
      <w:r>
        <w:rPr>
          <w:rFonts w:hint="eastAsia" w:eastAsia="仿宋_GB2312"/>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hint="eastAsia" w:eastAsia="仿宋_GB2312"/>
          <w:color w:val="000000"/>
          <w:sz w:val="32"/>
          <w:szCs w:val="32"/>
        </w:rPr>
        <w:t>0</w:t>
      </w:r>
      <w:r>
        <w:rPr>
          <w:rFonts w:hint="eastAsia" w:ascii="仿宋_GB2312" w:eastAsia="仿宋_GB2312"/>
          <w:color w:val="000000"/>
          <w:sz w:val="32"/>
          <w:szCs w:val="32"/>
        </w:rPr>
        <w:t>万元，外事接待</w:t>
      </w:r>
      <w:r>
        <w:rPr>
          <w:rFonts w:hint="eastAsia" w:eastAsia="仿宋_GB2312"/>
          <w:color w:val="000000"/>
          <w:sz w:val="32"/>
          <w:szCs w:val="32"/>
        </w:rPr>
        <w:t>0</w:t>
      </w:r>
      <w:r>
        <w:rPr>
          <w:rFonts w:hint="eastAsia" w:ascii="仿宋_GB2312" w:eastAsia="仿宋_GB2312"/>
          <w:color w:val="000000"/>
          <w:sz w:val="32"/>
          <w:szCs w:val="32"/>
        </w:rPr>
        <w:t>批次，</w:t>
      </w:r>
      <w:r>
        <w:rPr>
          <w:rFonts w:hint="eastAsia" w:eastAsia="仿宋_GB2312"/>
          <w:color w:val="000000"/>
          <w:sz w:val="32"/>
          <w:szCs w:val="32"/>
        </w:rPr>
        <w:t>0</w:t>
      </w:r>
      <w:r>
        <w:rPr>
          <w:rFonts w:hint="eastAsia" w:ascii="仿宋_GB2312" w:eastAsia="仿宋_GB2312"/>
          <w:color w:val="000000"/>
          <w:sz w:val="32"/>
          <w:szCs w:val="32"/>
        </w:rPr>
        <w:t>人，共计支出</w:t>
      </w:r>
      <w:r>
        <w:rPr>
          <w:rFonts w:hint="eastAsia"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hint="eastAsia" w:ascii="仿宋_GB2312" w:eastAsia="仿宋_GB2312"/>
          <w:color w:val="000000"/>
          <w:sz w:val="32"/>
          <w:szCs w:val="32"/>
        </w:rPr>
      </w:pPr>
      <w:r>
        <w:rPr>
          <w:rFonts w:hint="eastAsia" w:eastAsia="仿宋"/>
          <w:color w:val="000000"/>
          <w:sz w:val="32"/>
          <w:szCs w:val="32"/>
        </w:rPr>
        <w:t>（财政公开10表无数据）</w:t>
      </w:r>
    </w:p>
    <w:p>
      <w:pPr>
        <w:spacing w:line="600" w:lineRule="exact"/>
        <w:ind w:firstLine="640"/>
        <w:outlineLvl w:val="1"/>
        <w:rPr>
          <w:rFonts w:ascii="黑体" w:eastAsia="黑体"/>
          <w:color w:val="000000"/>
          <w:sz w:val="32"/>
          <w:szCs w:val="32"/>
        </w:rPr>
      </w:pPr>
      <w:bookmarkStart w:id="71" w:name="_Toc15377218"/>
      <w:bookmarkStart w:id="72" w:name="_Toc15396610"/>
    </w:p>
    <w:p>
      <w:pPr>
        <w:spacing w:line="600" w:lineRule="exact"/>
        <w:ind w:firstLine="640"/>
        <w:outlineLvl w:val="1"/>
        <w:rPr>
          <w:rStyle w:val="17"/>
          <w:rFonts w:ascii="黑体" w:hAnsi="黑体" w:eastAsia="黑体"/>
        </w:rPr>
      </w:pPr>
      <w:bookmarkStart w:id="73" w:name="_Toc5535"/>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71"/>
      <w:bookmarkEnd w:id="72"/>
      <w:bookmarkEnd w:id="7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年政府性基金预算拨款支出372万元。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17"/>
          <w:rFonts w:ascii="黑体" w:hAnsi="黑体" w:eastAsia="黑体"/>
          <w:b w:val="0"/>
        </w:rPr>
      </w:pPr>
      <w:bookmarkStart w:id="74" w:name="_Toc15377219"/>
      <w:bookmarkStart w:id="75" w:name="_Toc15396611"/>
      <w:bookmarkStart w:id="76" w:name="_Toc10284"/>
      <w:r>
        <w:rPr>
          <w:rStyle w:val="17"/>
          <w:rFonts w:hint="eastAsia" w:ascii="黑体" w:hAnsi="黑体" w:eastAsia="黑体"/>
          <w:b w:val="0"/>
        </w:rPr>
        <w:t>国有资本经营预算支出决算情况说明</w:t>
      </w:r>
      <w:bookmarkEnd w:id="74"/>
      <w:bookmarkEnd w:id="75"/>
      <w:bookmarkEnd w:id="7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7"/>
          <w:rFonts w:ascii="黑体" w:hAnsi="黑体" w:eastAsia="黑体"/>
        </w:rPr>
      </w:pPr>
      <w:bookmarkStart w:id="77" w:name="_Toc15396612"/>
      <w:bookmarkStart w:id="78" w:name="_Toc15377221"/>
      <w:bookmarkStart w:id="79" w:name="_Toc15558"/>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77"/>
      <w:bookmarkEnd w:id="78"/>
      <w:bookmarkEnd w:id="79"/>
    </w:p>
    <w:p>
      <w:pPr>
        <w:spacing w:line="600" w:lineRule="exact"/>
        <w:ind w:firstLine="642" w:firstLineChars="200"/>
        <w:outlineLvl w:val="2"/>
        <w:rPr>
          <w:rFonts w:ascii="仿宋" w:hAnsi="仿宋" w:eastAsia="仿宋"/>
          <w:color w:val="000000"/>
          <w:sz w:val="32"/>
          <w:szCs w:val="32"/>
        </w:rPr>
      </w:pPr>
      <w:bookmarkStart w:id="80" w:name="_Toc16102"/>
      <w:bookmarkStart w:id="81" w:name="_Toc15377222"/>
      <w:r>
        <w:rPr>
          <w:rFonts w:hint="eastAsia" w:ascii="仿宋" w:hAnsi="仿宋" w:eastAsia="仿宋"/>
          <w:b/>
          <w:color w:val="000000"/>
          <w:sz w:val="32"/>
          <w:szCs w:val="32"/>
        </w:rPr>
        <w:t>（一）机关运行经费支出情况</w:t>
      </w:r>
      <w:bookmarkEnd w:id="80"/>
      <w:bookmarkEnd w:id="8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eastAsia="仿宋_GB2312"/>
          <w:color w:val="000000"/>
          <w:sz w:val="32"/>
          <w:szCs w:val="32"/>
        </w:rPr>
        <w:t>市铁路医院</w:t>
      </w:r>
      <w:r>
        <w:rPr>
          <w:rFonts w:hint="eastAsia" w:ascii="仿宋_GB2312" w:eastAsia="仿宋_GB2312"/>
          <w:color w:val="000000"/>
          <w:sz w:val="32"/>
          <w:szCs w:val="32"/>
        </w:rPr>
        <w:t>机关运行经费支出0万元，比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2019</w:t>
      </w:r>
      <w:r>
        <w:rPr>
          <w:rFonts w:hint="eastAsia" w:ascii="仿宋_GB2312" w:eastAsia="仿宋_GB2312"/>
          <w:color w:val="000000"/>
          <w:sz w:val="32"/>
          <w:szCs w:val="32"/>
        </w:rPr>
        <w:t>年决算数持平）。</w:t>
      </w:r>
      <w:r>
        <w:rPr>
          <w:rFonts w:hint="eastAsia" w:eastAsia="仿宋"/>
          <w:color w:val="000000"/>
          <w:sz w:val="32"/>
          <w:szCs w:val="32"/>
        </w:rPr>
        <w:t>（财决附03表无数据）</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2" w:name="_Toc15377223"/>
      <w:bookmarkStart w:id="83" w:name="_Toc19122"/>
      <w:r>
        <w:rPr>
          <w:rFonts w:hint="eastAsia" w:ascii="仿宋" w:hAnsi="仿宋" w:eastAsia="仿宋"/>
          <w:b/>
          <w:color w:val="000000"/>
          <w:sz w:val="32"/>
          <w:szCs w:val="32"/>
        </w:rPr>
        <w:t>（二）政府采购支出情况</w:t>
      </w:r>
      <w:bookmarkEnd w:id="82"/>
      <w:bookmarkEnd w:id="83"/>
    </w:p>
    <w:p>
      <w:pPr>
        <w:spacing w:line="600" w:lineRule="exact"/>
        <w:ind w:firstLine="640" w:firstLineChars="200"/>
        <w:rPr>
          <w:rFonts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eastAsia="仿宋_GB2312"/>
          <w:color w:val="000000"/>
          <w:sz w:val="32"/>
          <w:szCs w:val="32"/>
        </w:rPr>
        <w:t>市铁路医院</w:t>
      </w:r>
      <w:r>
        <w:rPr>
          <w:rFonts w:hint="eastAsia" w:ascii="仿宋_GB2312" w:eastAsia="仿宋_GB2312"/>
          <w:color w:val="000000"/>
          <w:sz w:val="32"/>
          <w:szCs w:val="32"/>
        </w:rPr>
        <w:t>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eastAsia="仿宋"/>
          <w:color w:val="000000"/>
          <w:sz w:val="32"/>
          <w:szCs w:val="32"/>
        </w:rPr>
        <w:t>（财决附03表无数据）</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4" w:name="_Toc15095"/>
      <w:bookmarkStart w:id="85" w:name="_Toc15377224"/>
      <w:r>
        <w:rPr>
          <w:rFonts w:hint="eastAsia" w:ascii="仿宋" w:hAnsi="仿宋" w:eastAsia="仿宋"/>
          <w:b/>
          <w:color w:val="000000"/>
          <w:sz w:val="32"/>
          <w:szCs w:val="32"/>
        </w:rPr>
        <w:t>（三）国有资产占有使用情况</w:t>
      </w:r>
      <w:bookmarkEnd w:id="84"/>
      <w:bookmarkEnd w:id="85"/>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eastAsia="仿宋_GB2312"/>
          <w:color w:val="000000"/>
          <w:sz w:val="32"/>
          <w:szCs w:val="32"/>
        </w:rPr>
        <w:t>市铁路医院</w:t>
      </w:r>
      <w:r>
        <w:rPr>
          <w:rFonts w:hint="eastAsia" w:ascii="仿宋_GB2312" w:eastAsia="仿宋_GB2312"/>
          <w:color w:val="000000"/>
          <w:sz w:val="32"/>
          <w:szCs w:val="32"/>
        </w:rPr>
        <w:t>共有车辆5辆，其中：主要领导干部用车</w:t>
      </w:r>
      <w:r>
        <w:rPr>
          <w:rFonts w:hint="eastAsia" w:eastAsia="仿宋_GB2312"/>
          <w:color w:val="000000"/>
          <w:sz w:val="32"/>
          <w:szCs w:val="32"/>
        </w:rPr>
        <w:t>0</w:t>
      </w:r>
      <w:r>
        <w:rPr>
          <w:rFonts w:hint="eastAsia" w:ascii="仿宋_GB2312" w:eastAsia="仿宋_GB2312"/>
          <w:color w:val="000000"/>
          <w:sz w:val="32"/>
          <w:szCs w:val="32"/>
        </w:rPr>
        <w:t>辆、机要通信用车</w:t>
      </w:r>
      <w:r>
        <w:rPr>
          <w:rFonts w:hint="eastAsia" w:eastAsia="仿宋_GB2312"/>
          <w:color w:val="000000"/>
          <w:sz w:val="32"/>
          <w:szCs w:val="32"/>
        </w:rPr>
        <w:t>0</w:t>
      </w:r>
      <w:r>
        <w:rPr>
          <w:rFonts w:hint="eastAsia" w:ascii="仿宋_GB2312" w:eastAsia="仿宋_GB2312"/>
          <w:color w:val="000000"/>
          <w:sz w:val="32"/>
          <w:szCs w:val="32"/>
        </w:rPr>
        <w:t>辆、应急保障用车</w:t>
      </w:r>
      <w:r>
        <w:rPr>
          <w:rFonts w:hint="eastAsia" w:eastAsia="仿宋_GB2312"/>
          <w:color w:val="000000"/>
          <w:sz w:val="32"/>
          <w:szCs w:val="32"/>
        </w:rPr>
        <w:t>0</w:t>
      </w:r>
      <w:r>
        <w:rPr>
          <w:rFonts w:hint="eastAsia" w:ascii="仿宋_GB2312" w:eastAsia="仿宋_GB2312"/>
          <w:color w:val="000000"/>
          <w:sz w:val="32"/>
          <w:szCs w:val="32"/>
        </w:rPr>
        <w:t>辆、</w:t>
      </w:r>
      <w:r>
        <w:rPr>
          <w:rFonts w:hint="eastAsia" w:eastAsia="仿宋_GB2312"/>
          <w:color w:val="000000"/>
          <w:sz w:val="32"/>
          <w:szCs w:val="32"/>
        </w:rPr>
        <w:t>特种专业技术用车4辆、其他用车1辆，主要是用于接送专家。单价</w:t>
      </w:r>
      <w:r>
        <w:rPr>
          <w:rFonts w:eastAsia="仿宋_GB2312"/>
          <w:color w:val="000000"/>
          <w:sz w:val="32"/>
          <w:szCs w:val="32"/>
        </w:rPr>
        <w:t>50</w:t>
      </w:r>
      <w:r>
        <w:rPr>
          <w:rFonts w:hint="eastAsia" w:eastAsia="仿宋_GB2312"/>
          <w:color w:val="000000"/>
          <w:sz w:val="32"/>
          <w:szCs w:val="32"/>
        </w:rPr>
        <w:t>万元以上通用设备0台（套），单价</w:t>
      </w:r>
      <w:r>
        <w:rPr>
          <w:rFonts w:eastAsia="仿宋_GB2312"/>
          <w:color w:val="000000"/>
          <w:sz w:val="32"/>
          <w:szCs w:val="32"/>
        </w:rPr>
        <w:t>100</w:t>
      </w:r>
      <w:r>
        <w:rPr>
          <w:rFonts w:hint="eastAsia" w:eastAsia="仿宋_GB2312"/>
          <w:color w:val="000000"/>
          <w:sz w:val="32"/>
          <w:szCs w:val="32"/>
        </w:rPr>
        <w:t>万元以上专用设备1台（套）。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6" w:name="_Toc4252"/>
      <w:r>
        <w:rPr>
          <w:rFonts w:hint="eastAsia" w:ascii="仿宋" w:hAnsi="仿宋" w:eastAsia="仿宋"/>
          <w:b/>
          <w:color w:val="000000"/>
          <w:sz w:val="32"/>
          <w:szCs w:val="32"/>
        </w:rPr>
        <w:t>（四）预算绩效管理情况。</w:t>
      </w:r>
      <w:bookmarkEnd w:id="8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eastAsia="仿宋_GB2312"/>
          <w:sz w:val="32"/>
          <w:szCs w:val="32"/>
        </w:rPr>
        <w:t>本单位</w:t>
      </w:r>
      <w:r>
        <w:rPr>
          <w:rFonts w:hint="eastAsia" w:ascii="仿宋_GB2312" w:hAnsi="仿宋_GB2312" w:eastAsia="仿宋_GB2312" w:cs="仿宋_GB2312"/>
          <w:sz w:val="32"/>
          <w:szCs w:val="32"/>
        </w:rPr>
        <w:t>在年初预算编制阶段，组织对5项目城市公立医院改革补助资金、城市公立医院改革取消药品加成政府补助、机关事业单位养老保险改革补助、开展了预算事前绩效评估，对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年部门整体支出开展绩效自评，从评价情况来看本部门按要求对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部门整体支出开展绩效自评，从评价情况来对攀枝花火车站及周边乡镇，承担医疗、预防、保健工作，群众健康教育工作以及应对各种突发公共卫生事件和医疗抢救工作。从预算到执行和收入、支出、资产管理及信息公开，都严格按照财政资金管理办法和相关规定执行部门预算，取得了较大的经济效益和社会效益。</w:t>
      </w:r>
      <w:r>
        <w:rPr>
          <w:rFonts w:hint="eastAsia" w:eastAsia="仿宋_GB2312"/>
          <w:sz w:val="32"/>
          <w:szCs w:val="32"/>
        </w:rPr>
        <w:t>本部门还自行组织了</w:t>
      </w:r>
      <w:r>
        <w:rPr>
          <w:rFonts w:eastAsia="仿宋_GB2312"/>
          <w:sz w:val="32"/>
          <w:szCs w:val="32"/>
        </w:rPr>
        <w:t>5</w:t>
      </w:r>
      <w:r>
        <w:rPr>
          <w:rFonts w:hint="eastAsia" w:eastAsia="仿宋_GB2312"/>
          <w:sz w:val="32"/>
          <w:szCs w:val="32"/>
        </w:rPr>
        <w:t>个项目支出绩效评价，从评价情况来看保障了医院职工养老保险按时缴纳，</w:t>
      </w:r>
      <w:r>
        <w:rPr>
          <w:rFonts w:hint="eastAsia" w:ascii="仿宋_GB2312" w:hAnsi="仿宋_GB2312" w:eastAsia="仿宋_GB2312" w:cs="仿宋_GB2312"/>
          <w:sz w:val="32"/>
          <w:szCs w:val="32"/>
        </w:rPr>
        <w:t>保障病人用药和耗材的安全，提供良好的医疗环境。</w:t>
      </w:r>
    </w:p>
    <w:p>
      <w:pPr>
        <w:spacing w:line="580" w:lineRule="exact"/>
        <w:ind w:firstLine="640" w:firstLineChars="200"/>
        <w:rPr>
          <w:rFonts w:hint="eastAsia"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eastAsia="仿宋_GB2312"/>
          <w:sz w:val="32"/>
          <w:szCs w:val="32"/>
        </w:rPr>
        <w:t>“</w:t>
      </w:r>
      <w:r>
        <w:rPr>
          <w:rFonts w:hint="eastAsia" w:ascii="仿宋_GB2312" w:hAnsi="仿宋_GB2312" w:eastAsia="仿宋_GB2312" w:cs="仿宋_GB2312"/>
          <w:sz w:val="32"/>
          <w:szCs w:val="32"/>
        </w:rPr>
        <w:t>城市公立医院改革补助资金”“城市公立医院改革取消药品加成政府补助” “机关事业单位养老保险改革补助”、“疫情防控物质”“疫情防控党员捐赠”等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5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eastAsia="仿宋_GB2312"/>
          <w:sz w:val="32"/>
          <w:szCs w:val="32"/>
        </w:rPr>
        <w:t>“</w:t>
      </w:r>
      <w:r>
        <w:rPr>
          <w:rFonts w:hint="eastAsia" w:ascii="仿宋_GB2312" w:hAnsi="仿宋_GB2312" w:eastAsia="仿宋_GB2312" w:cs="仿宋_GB2312"/>
          <w:sz w:val="32"/>
          <w:szCs w:val="32"/>
        </w:rPr>
        <w:t>城市公立医院改革补助资金”项目绩效目标完成情况综述。项目全年预算数264.72万元，执行数为264.72万元，完成预算的100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eastAsia="仿宋_GB2312"/>
          <w:sz w:val="32"/>
          <w:szCs w:val="32"/>
        </w:rPr>
        <w:t>通过项目实施，保障了</w:t>
      </w:r>
      <w:r>
        <w:rPr>
          <w:rFonts w:hint="eastAsia" w:ascii="仿宋_GB2312" w:hAnsi="仿宋_GB2312" w:eastAsia="仿宋_GB2312" w:cs="仿宋_GB2312"/>
          <w:sz w:val="32"/>
          <w:szCs w:val="32"/>
        </w:rPr>
        <w:t>病人用药、卫生耗材安全，为患者提供良好的医疗环境。</w:t>
      </w:r>
      <w:r>
        <w:rPr>
          <w:rFonts w:hint="eastAsia" w:eastAsia="仿宋_GB2312"/>
          <w:sz w:val="32"/>
          <w:szCs w:val="32"/>
        </w:rPr>
        <w:t>发现的主要问题：</w:t>
      </w:r>
      <w:r>
        <w:rPr>
          <w:rFonts w:hint="eastAsia" w:ascii="仿宋_GB2312" w:hAnsi="仿宋_GB2312" w:eastAsia="仿宋_GB2312" w:cs="仿宋_GB2312"/>
          <w:sz w:val="32"/>
          <w:szCs w:val="32"/>
        </w:rPr>
        <w:t>药品耗材采购成本控制。</w:t>
      </w:r>
      <w:r>
        <w:rPr>
          <w:rFonts w:hint="eastAsia" w:eastAsia="仿宋_GB2312"/>
          <w:sz w:val="32"/>
          <w:szCs w:val="32"/>
        </w:rPr>
        <w:t>下一步改进措施：</w:t>
      </w:r>
      <w:r>
        <w:rPr>
          <w:rFonts w:hint="eastAsia" w:ascii="仿宋_GB2312" w:hAnsi="仿宋_GB2312" w:eastAsia="仿宋_GB2312" w:cs="仿宋_GB2312"/>
          <w:sz w:val="32"/>
          <w:szCs w:val="32"/>
        </w:rPr>
        <w:t>药品必须具有质量保证协议，同时附检验报告，采购卫生耗材必须具有医疗器械注册证。</w:t>
      </w:r>
    </w:p>
    <w:p>
      <w:pPr>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）“机关事业单位养老保险改革补助”项目绩效目标完成情况综述。项目全年预算数101万元，执行数为101万元，完成预算的100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sz w:val="32"/>
          <w:szCs w:val="32"/>
        </w:rPr>
        <w:t>通过项目实施，保障了</w:t>
      </w:r>
      <w:r>
        <w:rPr>
          <w:rFonts w:hint="eastAsia" w:ascii="仿宋_GB2312" w:hAnsi="仿宋_GB2312" w:eastAsia="仿宋_GB2312" w:cs="仿宋_GB2312"/>
          <w:sz w:val="32"/>
          <w:szCs w:val="32"/>
        </w:rPr>
        <w:t>编内职工基本养老金和职业年金的缴纳。</w:t>
      </w:r>
      <w:r>
        <w:rPr>
          <w:rFonts w:hint="eastAsia" w:eastAsia="仿宋_GB2312"/>
          <w:sz w:val="32"/>
          <w:szCs w:val="32"/>
        </w:rPr>
        <w:t>发现的主要问题：</w:t>
      </w:r>
      <w:r>
        <w:rPr>
          <w:rFonts w:hint="eastAsia" w:ascii="仿宋_GB2312" w:hAnsi="仿宋_GB2312" w:eastAsia="仿宋_GB2312" w:cs="仿宋_GB2312"/>
          <w:sz w:val="32"/>
          <w:szCs w:val="32"/>
        </w:rPr>
        <w:t>无法控制在编人员增加减少</w:t>
      </w:r>
      <w:r>
        <w:rPr>
          <w:rFonts w:hint="eastAsia" w:eastAsia="仿宋_GB2312"/>
          <w:sz w:val="32"/>
          <w:szCs w:val="32"/>
        </w:rPr>
        <w:t>。下一步改进措施：</w:t>
      </w:r>
      <w:r>
        <w:rPr>
          <w:rFonts w:hint="eastAsia" w:ascii="仿宋_GB2312" w:hAnsi="仿宋_GB2312" w:eastAsia="仿宋_GB2312" w:cs="仿宋_GB2312"/>
          <w:sz w:val="32"/>
          <w:szCs w:val="32"/>
        </w:rPr>
        <w:t>尽量保持在编人员稳定性。</w:t>
      </w:r>
    </w:p>
    <w:p>
      <w:pPr>
        <w:spacing w:line="5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）“城市公立医院改革取消药品加成政府补助”项目绩效目标完成情况综述。项目全年预算数36.76万元，执行数为36.76万元，完成预算的100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sz w:val="32"/>
          <w:szCs w:val="32"/>
        </w:rPr>
        <w:t>通过项目实施，保障了</w:t>
      </w:r>
      <w:r>
        <w:rPr>
          <w:rFonts w:hint="eastAsia" w:ascii="仿宋_GB2312" w:hAnsi="仿宋_GB2312" w:eastAsia="仿宋_GB2312" w:cs="仿宋_GB2312"/>
          <w:sz w:val="32"/>
          <w:szCs w:val="32"/>
        </w:rPr>
        <w:t>患者用药治疗基本需求</w:t>
      </w:r>
      <w:r>
        <w:rPr>
          <w:rFonts w:hint="eastAsia" w:eastAsia="仿宋_GB2312"/>
          <w:sz w:val="32"/>
          <w:szCs w:val="32"/>
        </w:rPr>
        <w:t>，发现的主要问题：</w:t>
      </w:r>
      <w:r>
        <w:rPr>
          <w:rFonts w:hint="eastAsia" w:ascii="仿宋_GB2312" w:hAnsi="仿宋_GB2312" w:eastAsia="仿宋_GB2312" w:cs="仿宋_GB2312"/>
          <w:sz w:val="32"/>
          <w:szCs w:val="32"/>
        </w:rPr>
        <w:t>药品采购成本控制，耗材成本</w:t>
      </w:r>
      <w:r>
        <w:rPr>
          <w:rFonts w:hint="eastAsia" w:eastAsia="仿宋_GB2312"/>
          <w:sz w:val="32"/>
          <w:szCs w:val="32"/>
        </w:rPr>
        <w:t>。下一步改进措施：</w:t>
      </w:r>
      <w:r>
        <w:rPr>
          <w:rFonts w:hint="eastAsia" w:ascii="仿宋_GB2312" w:hAnsi="仿宋_GB2312" w:eastAsia="仿宋_GB2312" w:cs="仿宋_GB2312"/>
          <w:sz w:val="32"/>
          <w:szCs w:val="32"/>
        </w:rPr>
        <w:t>控制药品采购成本控制，耗材成本。</w:t>
      </w:r>
    </w:p>
    <w:p>
      <w:pPr>
        <w:spacing w:line="5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（4）“疫情防控物质”项目绩效目标完成情况综述。项目全年预算数5万元，执行数为5万元，完成预算的100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sz w:val="32"/>
          <w:szCs w:val="32"/>
        </w:rPr>
        <w:t>通过项目实施，保障了疫情防控工作物质供应。</w:t>
      </w:r>
    </w:p>
    <w:p>
      <w:pPr>
        <w:spacing w:line="580" w:lineRule="exact"/>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（5）“疫情防控党员捐赠”项目绩效目标完成情况综述。项目全年预算数3.44万元，执行数为3.44万元，完成预算的100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sz w:val="32"/>
          <w:szCs w:val="32"/>
        </w:rPr>
        <w:t>通过项目实施，保障疫情防控人员补贴。</w:t>
      </w:r>
    </w:p>
    <w:p>
      <w:pPr>
        <w:spacing w:line="580" w:lineRule="exact"/>
        <w:rPr>
          <w:rFonts w:hint="eastAsia"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988"/>
        <w:gridCol w:w="37"/>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cs="宋体"/>
                <w:color w:val="000000"/>
                <w:sz w:val="24"/>
              </w:rPr>
            </w:pPr>
            <w:r>
              <w:rPr>
                <w:rFonts w:hint="eastAsia" w:ascii="宋体" w:cs="宋体"/>
                <w:color w:val="000000"/>
                <w:sz w:val="24"/>
              </w:rPr>
              <w:t>城市公立医院改革补助资金</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攀枝花市铁路医院</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1561.72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1549.68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541.72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588.33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1020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cs="宋体"/>
                <w:color w:val="000000"/>
                <w:sz w:val="24"/>
              </w:rPr>
            </w:pPr>
            <w:r>
              <w:rPr>
                <w:rFonts w:hint="eastAsia" w:ascii="宋体" w:cs="宋体"/>
                <w:color w:val="000000"/>
                <w:sz w:val="24"/>
              </w:rPr>
              <w:t>961.35</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hAnsi="宋体" w:cs="宋体"/>
                <w:color w:val="000000"/>
                <w:kern w:val="0"/>
                <w:sz w:val="24"/>
              </w:rPr>
              <w:t xml:space="preserve">    该项目用于完成2020年度药品耗材采供；缴纳在编人员机关事业单位养老保险和职业年金单位部分；取消医院药品加成政府补助，医疗服务与保障能力提升；保障疫情防控工作物质供应和疫情防控人员补贴。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480" w:firstLineChars="200"/>
              <w:jc w:val="left"/>
              <w:textAlignment w:val="center"/>
              <w:rPr>
                <w:rFonts w:hint="eastAsia" w:ascii="宋体" w:cs="宋体"/>
                <w:color w:val="000000"/>
                <w:sz w:val="24"/>
              </w:rPr>
            </w:pPr>
            <w:r>
              <w:rPr>
                <w:rFonts w:hint="eastAsia" w:ascii="宋体" w:hAnsi="宋体" w:cs="宋体"/>
                <w:color w:val="000000"/>
                <w:kern w:val="0"/>
                <w:sz w:val="24"/>
              </w:rPr>
              <w:t>完成2020年度药品耗材采供；缴纳在编人员机关事业单位养老保险和职业年金单位部分；保障患者治疗基本需求，提高了医疗服务与保障能力提升；保障疫情防控工作物质供应和疫情防控人员补贴。</w:t>
            </w:r>
          </w:p>
        </w:tc>
      </w:tr>
      <w:tr>
        <w:tblPrEx>
          <w:tblCellMar>
            <w:top w:w="0" w:type="dxa"/>
            <w:left w:w="0" w:type="dxa"/>
            <w:bottom w:w="0" w:type="dxa"/>
            <w:right w:w="0" w:type="dxa"/>
          </w:tblCellMar>
        </w:tblPrEx>
        <w:trPr>
          <w:trHeight w:val="1110"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2020完成本年度工作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1020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961.35</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20</w:t>
            </w:r>
            <w:r>
              <w:rPr>
                <w:rFonts w:hint="eastAsia" w:ascii="宋体" w:hAnsi="宋体"/>
                <w:color w:val="000000"/>
                <w:sz w:val="24"/>
              </w:rPr>
              <w:t>20</w:t>
            </w:r>
            <w:r>
              <w:rPr>
                <w:rFonts w:ascii="宋体" w:hAnsi="宋体"/>
                <w:color w:val="000000"/>
                <w:sz w:val="24"/>
              </w:rPr>
              <w:t>年离退休人员费用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168.92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171.15</w:t>
            </w:r>
          </w:p>
        </w:tc>
      </w:tr>
      <w:tr>
        <w:tblPrEx>
          <w:tblCellMar>
            <w:top w:w="0" w:type="dxa"/>
            <w:left w:w="0" w:type="dxa"/>
            <w:bottom w:w="0" w:type="dxa"/>
            <w:right w:w="0" w:type="dxa"/>
          </w:tblCellMar>
        </w:tblPrEx>
        <w:trPr>
          <w:trHeight w:val="92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编内人数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w:t>
            </w:r>
            <w:r>
              <w:rPr>
                <w:rFonts w:ascii="宋体" w:cs="宋体"/>
                <w:color w:val="000000"/>
                <w:sz w:val="24"/>
              </w:rPr>
              <w:t>9</w:t>
            </w:r>
            <w:r>
              <w:rPr>
                <w:rFonts w:hint="eastAsia" w:ascii="宋体" w:cs="宋体"/>
                <w:color w:val="000000"/>
                <w:sz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w:t>
            </w:r>
            <w:r>
              <w:rPr>
                <w:rFonts w:ascii="宋体" w:cs="宋体"/>
                <w:color w:val="000000"/>
                <w:sz w:val="24"/>
              </w:rPr>
              <w:t>9</w:t>
            </w:r>
            <w:r>
              <w:rPr>
                <w:rFonts w:hint="eastAsia" w:ascii="宋体" w:cs="宋体"/>
                <w:color w:val="000000"/>
                <w:sz w:val="24"/>
              </w:rPr>
              <w:t>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color w:val="000000"/>
                <w:sz w:val="24"/>
              </w:rPr>
              <w:t>20</w:t>
            </w:r>
            <w:r>
              <w:rPr>
                <w:rFonts w:hint="eastAsia"/>
                <w:color w:val="000000"/>
                <w:sz w:val="24"/>
              </w:rPr>
              <w:t>20</w:t>
            </w:r>
            <w:r>
              <w:rPr>
                <w:color w:val="000000"/>
                <w:sz w:val="24"/>
              </w:rPr>
              <w:t>年财政拨款项目支出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372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410.92</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完成2019年各项工作任务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按上级要求和行业标准完成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按上级要求和行业标准完成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9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color w:val="000000"/>
                <w:sz w:val="24"/>
              </w:rPr>
              <w:t>成本指标</w:t>
            </w:r>
          </w:p>
        </w:tc>
        <w:tc>
          <w:tcPr>
            <w:tcW w:w="242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离退休人员支出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168.92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171.15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基本支出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1020.8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1044.45</w:t>
            </w:r>
          </w:p>
        </w:tc>
      </w:tr>
      <w:tr>
        <w:tblPrEx>
          <w:tblCellMar>
            <w:top w:w="0" w:type="dxa"/>
            <w:left w:w="0" w:type="dxa"/>
            <w:bottom w:w="0" w:type="dxa"/>
            <w:right w:w="0" w:type="dxa"/>
          </w:tblCellMar>
        </w:tblPrEx>
        <w:trPr>
          <w:trHeight w:val="96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项目支出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372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rPr>
            </w:pPr>
            <w:r>
              <w:rPr>
                <w:rFonts w:hint="eastAsia" w:ascii="宋体" w:cs="宋体"/>
                <w:color w:val="000000"/>
                <w:sz w:val="24"/>
              </w:rPr>
              <w:t>372</w:t>
            </w:r>
          </w:p>
        </w:tc>
      </w:tr>
      <w:tr>
        <w:tblPrEx>
          <w:tblCellMar>
            <w:top w:w="0" w:type="dxa"/>
            <w:left w:w="0" w:type="dxa"/>
            <w:bottom w:w="0" w:type="dxa"/>
            <w:right w:w="0" w:type="dxa"/>
          </w:tblCellMar>
        </w:tblPrEx>
        <w:trPr>
          <w:trHeight w:val="97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jc w:val="center"/>
              <w:textAlignment w:val="center"/>
              <w:rPr>
                <w:color w:val="000000"/>
                <w:sz w:val="24"/>
              </w:rPr>
            </w:pPr>
            <w:r>
              <w:rPr>
                <w:rFonts w:ascii="宋体" w:hAnsi="宋体"/>
                <w:color w:val="000000"/>
                <w:sz w:val="24"/>
              </w:rPr>
              <w:t>生态效益</w:t>
            </w:r>
            <w:r>
              <w:rPr>
                <w:rFonts w:ascii="宋体" w:hAnsi="宋体"/>
                <w:color w:val="000000"/>
                <w:sz w:val="24"/>
              </w:rPr>
              <w:br w:type="textWrapping"/>
            </w:r>
            <w:r>
              <w:rPr>
                <w:rFonts w:ascii="宋体" w:hAnsi="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医疗废物处理和污水排放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达标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达标</w:t>
            </w:r>
          </w:p>
        </w:tc>
      </w:tr>
      <w:tr>
        <w:tblPrEx>
          <w:tblCellMar>
            <w:top w:w="0" w:type="dxa"/>
            <w:left w:w="0" w:type="dxa"/>
            <w:bottom w:w="0" w:type="dxa"/>
            <w:right w:w="0" w:type="dxa"/>
          </w:tblCellMar>
        </w:tblPrEx>
        <w:trPr>
          <w:trHeight w:val="835"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jc w:val="center"/>
              <w:textAlignment w:val="center"/>
              <w:rPr>
                <w:color w:val="000000"/>
                <w:sz w:val="24"/>
              </w:rPr>
            </w:pPr>
            <w:r>
              <w:rPr>
                <w:rFonts w:ascii="宋体" w:hAns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utoSpaceDN w:val="0"/>
              <w:jc w:val="left"/>
              <w:textAlignment w:val="center"/>
              <w:rPr>
                <w:color w:val="000000"/>
                <w:sz w:val="24"/>
              </w:rPr>
            </w:pPr>
            <w:r>
              <w:rPr>
                <w:rFonts w:ascii="宋体" w:hAnsi="宋体"/>
                <w:color w:val="000000"/>
                <w:sz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olor w:val="000000"/>
                <w:sz w:val="24"/>
              </w:rPr>
              <w:t>98%</w:t>
            </w:r>
          </w:p>
        </w:tc>
      </w:tr>
    </w:tbl>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年部门整体支出绩效评价情况开展自评，《攀枝花市铁路医院</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本部门自行组织对机关事业养老金改革补助项目绩效</w:t>
      </w:r>
      <w:r>
        <w:rPr>
          <w:rFonts w:hint="eastAsia" w:eastAsia="仿宋_GB2312"/>
          <w:sz w:val="32"/>
          <w:szCs w:val="32"/>
        </w:rPr>
        <w:t>项目开展了绩效评价</w:t>
      </w:r>
      <w:r>
        <w:rPr>
          <w:rFonts w:hint="eastAsia" w:ascii="仿宋_GB2312" w:hAnsi="仿宋_GB2312" w:eastAsia="仿宋_GB2312" w:cs="仿宋_GB2312"/>
          <w:sz w:val="32"/>
          <w:szCs w:val="32"/>
        </w:rPr>
        <w:t>，《机关事业养老金改革补助</w:t>
      </w:r>
      <w:r>
        <w:rPr>
          <w:rFonts w:hint="eastAsia" w:eastAsia="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numPr>
          <w:ilvl w:val="0"/>
          <w:numId w:val="4"/>
        </w:numPr>
        <w:spacing w:line="600" w:lineRule="exact"/>
        <w:ind w:firstLine="660" w:firstLineChars="150"/>
        <w:jc w:val="center"/>
        <w:outlineLvl w:val="0"/>
        <w:rPr>
          <w:rStyle w:val="16"/>
          <w:rFonts w:ascii="黑体" w:hAnsi="黑体" w:eastAsia="黑体"/>
          <w:b w:val="0"/>
        </w:rPr>
      </w:pPr>
      <w:bookmarkStart w:id="87" w:name="_Toc14340"/>
      <w:bookmarkStart w:id="88" w:name="_Toc15396613"/>
      <w:bookmarkStart w:id="89" w:name="_Toc15377225"/>
      <w:r>
        <w:rPr>
          <w:rFonts w:hint="eastAsia" w:ascii="黑体" w:hAnsi="黑体" w:eastAsia="黑体"/>
          <w:color w:val="000000"/>
          <w:sz w:val="44"/>
          <w:szCs w:val="44"/>
        </w:rPr>
        <w:t>名</w:t>
      </w:r>
      <w:r>
        <w:rPr>
          <w:rStyle w:val="16"/>
          <w:rFonts w:hint="eastAsia" w:ascii="黑体" w:hAnsi="黑体" w:eastAsia="黑体"/>
          <w:b w:val="0"/>
        </w:rPr>
        <w:t>词解释</w:t>
      </w:r>
      <w:bookmarkEnd w:id="87"/>
      <w:bookmarkEnd w:id="88"/>
      <w:bookmarkEnd w:id="89"/>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spacing w:line="600" w:lineRule="exact"/>
        <w:jc w:val="center"/>
        <w:outlineLvl w:val="0"/>
        <w:rPr>
          <w:rStyle w:val="16"/>
          <w:rFonts w:ascii="黑体" w:hAnsi="黑体" w:eastAsia="黑体"/>
          <w:b w:val="0"/>
        </w:rPr>
      </w:pPr>
      <w:bookmarkStart w:id="90" w:name="_Toc15377226"/>
      <w:r>
        <w:rPr>
          <w:rFonts w:ascii="宋体"/>
          <w:b/>
          <w:color w:val="000000"/>
          <w:sz w:val="44"/>
          <w:szCs w:val="44"/>
        </w:rPr>
        <w:br w:type="page"/>
      </w:r>
      <w:bookmarkStart w:id="91" w:name="_Toc15396614"/>
      <w:bookmarkStart w:id="92" w:name="_Toc13752"/>
      <w:r>
        <w:rPr>
          <w:rFonts w:hint="eastAsia" w:ascii="黑体" w:hAnsi="黑体" w:eastAsia="黑体"/>
          <w:color w:val="000000"/>
          <w:sz w:val="44"/>
          <w:szCs w:val="44"/>
        </w:rPr>
        <w:t>第</w:t>
      </w:r>
      <w:r>
        <w:rPr>
          <w:rStyle w:val="16"/>
          <w:rFonts w:hint="eastAsia" w:ascii="黑体" w:hAnsi="黑体" w:eastAsia="黑体"/>
          <w:b w:val="0"/>
        </w:rPr>
        <w:t>四部分</w:t>
      </w:r>
      <w:r>
        <w:rPr>
          <w:rStyle w:val="16"/>
          <w:rFonts w:ascii="黑体" w:hAnsi="黑体" w:eastAsia="黑体"/>
          <w:b w:val="0"/>
        </w:rPr>
        <w:t xml:space="preserve"> </w:t>
      </w:r>
      <w:r>
        <w:rPr>
          <w:rStyle w:val="16"/>
          <w:rFonts w:hint="eastAsia" w:ascii="黑体" w:hAnsi="黑体" w:eastAsia="黑体"/>
          <w:b w:val="0"/>
        </w:rPr>
        <w:t>附件</w:t>
      </w:r>
      <w:bookmarkEnd w:id="91"/>
      <w:bookmarkEnd w:id="92"/>
    </w:p>
    <w:p>
      <w:pPr>
        <w:spacing w:line="600" w:lineRule="exact"/>
        <w:jc w:val="left"/>
        <w:outlineLvl w:val="0"/>
        <w:rPr>
          <w:rFonts w:ascii="方正小标宋简体" w:hAnsi="方正小标宋简体" w:eastAsia="方正小标宋简体" w:cs="方正小标宋简体"/>
          <w:sz w:val="32"/>
          <w:szCs w:val="32"/>
        </w:rPr>
      </w:pPr>
      <w:bookmarkStart w:id="93" w:name="_Toc23046"/>
      <w:r>
        <w:rPr>
          <w:rFonts w:hint="eastAsia" w:ascii="黑体" w:hAnsi="黑体" w:eastAsia="黑体" w:cs="黑体"/>
          <w:sz w:val="32"/>
          <w:szCs w:val="32"/>
        </w:rPr>
        <w:t>附件</w:t>
      </w:r>
      <w:r>
        <w:rPr>
          <w:rFonts w:ascii="黑体" w:hAnsi="黑体" w:eastAsia="黑体" w:cs="黑体"/>
          <w:sz w:val="32"/>
          <w:szCs w:val="32"/>
        </w:rPr>
        <w:t>1</w:t>
      </w:r>
      <w:bookmarkEnd w:id="93"/>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eastAsia="方正小标宋简体"/>
          <w:color w:val="000000"/>
          <w:kern w:val="0"/>
          <w:sz w:val="40"/>
          <w:szCs w:val="44"/>
        </w:rPr>
        <w:t>攀枝花市铁路医院</w:t>
      </w:r>
      <w:r>
        <w:rPr>
          <w:rFonts w:ascii="方正小标宋简体" w:hAnsi="宋体" w:eastAsia="方正小标宋简体"/>
          <w:color w:val="000000"/>
          <w:kern w:val="0"/>
          <w:sz w:val="40"/>
          <w:szCs w:val="44"/>
        </w:rPr>
        <w:t>2020</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jc w:val="left"/>
        <w:rPr>
          <w:rFonts w:hint="eastAsia" w:eastAsia="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eastAsia="仿宋_GB2312"/>
          <w:color w:val="000000"/>
          <w:kern w:val="0"/>
          <w:sz w:val="32"/>
          <w:szCs w:val="32"/>
          <w:shd w:val="clear" w:color="auto" w:fill="FFFFFF"/>
        </w:rPr>
        <w:t xml:space="preserve"> 我院系财政差额拨款事业单位，一级甲等综合医院设置了急诊科、体检中心、内科、外科、妇产科、康复科、影像科、检验科、药械科及机关后勤等科室，并管辖有密地卫生所和桐子林保健站。</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pacing w:line="580" w:lineRule="exact"/>
        <w:ind w:firstLine="640" w:firstLineChars="200"/>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2020年我院在市财政局、市卫计委、攀枝花市学院、市中西医结合医院、院党总支、院行政的领导下，完成了所管辖片区本年度的医疗、防疫、计免、计生、体检、旅客及路外伤人员救治等任务，为医疗覆盖片区人民的身体健康提供了有力的保障。</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spacing w:line="580" w:lineRule="exact"/>
        <w:ind w:firstLine="640" w:firstLineChars="200"/>
        <w:rPr>
          <w:rFonts w:hint="eastAsia" w:eastAsia="仿宋_GB2312"/>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我院年末职工人数94人，其中：在编人员59人，外聘人员35人；离退休人员95人，其中：离休1人，退休94人。</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eastAsia="仿宋_GB2312"/>
          <w:color w:val="000000"/>
          <w:kern w:val="0"/>
          <w:sz w:val="32"/>
          <w:szCs w:val="32"/>
          <w:shd w:val="clear" w:color="auto" w:fill="FFFFFF"/>
        </w:rPr>
        <w:t>2020年财政资金收入总计588.33万元，其中一般公共预算财政拨款216.33万元，政府性基金预算财政拨款372万元。</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jc w:val="left"/>
        <w:rPr>
          <w:rFonts w:hint="eastAsia" w:eastAsia="仿宋_GB2312"/>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2020年财政资金支出总计582.87万元。其中一般公共预算财政拨款基本支出210.87万元，政府性基金预算财政拨款项目支出372万元。</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按照预算管理有关规定，厉行节俭，强化资金合理利用，按期保质完成预算编制。年初部门预算按计划完成。离退休人员费用171.15万元，超预算2.23万元，基本支出1044.45万元，超预算23.65万元。市级项目资金372万元按计划完成。</w:t>
      </w:r>
    </w:p>
    <w:p>
      <w:pPr>
        <w:widowControl/>
        <w:adjustRightInd w:val="0"/>
        <w:snapToGrid w:val="0"/>
        <w:spacing w:line="580" w:lineRule="exact"/>
        <w:ind w:firstLine="640" w:firstLineChars="200"/>
        <w:jc w:val="left"/>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市铁路医院严格按照预算执行，专款专用，预算编制准确严格控制支出无违规纪律。</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 结果应用情况。</w:t>
      </w:r>
    </w:p>
    <w:p>
      <w:pPr>
        <w:widowControl/>
        <w:adjustRightInd w:val="0"/>
        <w:snapToGrid w:val="0"/>
        <w:spacing w:line="580" w:lineRule="exact"/>
        <w:ind w:firstLine="640" w:firstLineChars="200"/>
        <w:jc w:val="left"/>
        <w:rPr>
          <w:rFonts w:hint="eastAsia" w:eastAsia="仿宋_GB2312"/>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本单位严格遵守各项财经纪律，加强医院财务管理工作，制度了相关规章制度，加强和细化了预算编制，严格按照预算执行，确保财务收支平衡，加强了内部监督和控制，保障了医院工作正常开展和促进患者早日康复。</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80" w:lineRule="exact"/>
        <w:ind w:firstLine="640" w:firstLineChars="200"/>
        <w:rPr>
          <w:rFonts w:hint="eastAsia" w:eastAsia="仿宋_GB2312"/>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本单位在预算编制、预算执行和支出绩效方面，都严格按照规定执行，合理安排支出，使财政资金发挥最大效益。</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w:t>
      </w:r>
      <w:r>
        <w:rPr>
          <w:rFonts w:hint="eastAsia" w:eastAsia="仿宋_GB2312"/>
          <w:color w:val="000000"/>
          <w:kern w:val="0"/>
          <w:sz w:val="32"/>
          <w:szCs w:val="32"/>
          <w:shd w:val="clear" w:color="auto" w:fill="FFFFFF"/>
        </w:rPr>
        <w:t>无</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本单位将进一步重视预算编制工作，提高预算编制精确度。</w:t>
      </w: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eastAsia="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“机关事业单位养老保险改革补助”</w:t>
      </w:r>
      <w:r>
        <w:rPr>
          <w:rFonts w:ascii="方正小标宋简体" w:hAnsi="宋体" w:eastAsia="方正小标宋简体"/>
          <w:color w:val="000000"/>
          <w:kern w:val="0"/>
          <w:sz w:val="44"/>
          <w:szCs w:val="44"/>
        </w:rPr>
        <w:t>2020</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eastAsia="仿宋_GB2312"/>
          <w:sz w:val="32"/>
          <w:szCs w:val="32"/>
        </w:rPr>
      </w:pPr>
      <w:r>
        <w:rPr>
          <w:rFonts w:ascii="仿宋_GB2312" w:hAnsi="宋体" w:eastAsia="仿宋_GB2312"/>
          <w:sz w:val="32"/>
          <w:szCs w:val="32"/>
          <w:lang w:val="zh-CN"/>
        </w:rPr>
        <w:t>1</w:t>
      </w:r>
      <w:r>
        <w:rPr>
          <w:rFonts w:hint="eastAsia" w:ascii="仿宋_GB2312" w:hAnsi="宋体" w:eastAsia="仿宋_GB2312"/>
          <w:sz w:val="32"/>
          <w:szCs w:val="32"/>
          <w:lang w:val="zh-CN"/>
        </w:rPr>
        <w:t>．</w:t>
      </w:r>
      <w:r>
        <w:rPr>
          <w:rFonts w:hint="eastAsia" w:eastAsia="仿宋_GB2312"/>
          <w:sz w:val="32"/>
          <w:szCs w:val="32"/>
        </w:rPr>
        <w:t>攀枝花市铁路医院是财政差额拨款事业单位，该项目101万用于缴纳2020年在编59人的养老和职业年金，为提高资金使用效率，根据绩效评价开展工作，我院对财政项目资金专款专用。</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eastAsia="仿宋_GB2312"/>
          <w:sz w:val="32"/>
          <w:szCs w:val="32"/>
          <w:lang w:val="zh-CN"/>
        </w:rPr>
        <w:t>项目立项、资金申报的依据</w:t>
      </w:r>
      <w:r>
        <w:rPr>
          <w:rFonts w:hint="eastAsia" w:eastAsia="仿宋_GB2312"/>
          <w:sz w:val="32"/>
          <w:szCs w:val="32"/>
        </w:rPr>
        <w:t>是参照2019年度申报缴纳在编人员单位部分养老和职业年金</w:t>
      </w:r>
      <w:r>
        <w:rPr>
          <w:rFonts w:hint="eastAsia" w:eastAsia="仿宋_GB2312"/>
          <w:sz w:val="32"/>
          <w:szCs w:val="32"/>
          <w:lang w:val="zh-CN"/>
        </w:rPr>
        <w:t>。</w:t>
      </w:r>
    </w:p>
    <w:p>
      <w:pPr>
        <w:adjustRightInd w:val="0"/>
        <w:snapToGrid w:val="0"/>
        <w:spacing w:line="600" w:lineRule="exact"/>
        <w:ind w:firstLine="720"/>
        <w:rPr>
          <w:rFonts w:hint="eastAsia" w:eastAsia="仿宋_GB2312"/>
          <w:sz w:val="32"/>
          <w:szCs w:val="32"/>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eastAsia="仿宋_GB2312"/>
          <w:sz w:val="32"/>
          <w:szCs w:val="32"/>
          <w:lang w:val="zh-CN"/>
        </w:rPr>
        <w:t>该项目资金全部用于支付本年度在编人员养老金和职业年金。</w:t>
      </w:r>
      <w:r>
        <w:rPr>
          <w:rFonts w:hint="eastAsia" w:eastAsia="仿宋_GB2312"/>
          <w:sz w:val="32"/>
          <w:szCs w:val="32"/>
        </w:rPr>
        <w:t>养老保险和职业年金按照职工工资数乘以16%申报。</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4</w:t>
      </w:r>
      <w:r>
        <w:rPr>
          <w:rFonts w:hint="eastAsia" w:ascii="仿宋_GB2312" w:hAnsi="宋体" w:eastAsia="仿宋_GB2312"/>
          <w:sz w:val="32"/>
          <w:szCs w:val="32"/>
          <w:lang w:val="zh-CN"/>
        </w:rPr>
        <w:t>．</w:t>
      </w:r>
      <w:r>
        <w:rPr>
          <w:rFonts w:hint="eastAsia" w:eastAsia="仿宋_GB2312"/>
          <w:sz w:val="32"/>
          <w:szCs w:val="32"/>
          <w:lang w:val="zh-CN"/>
        </w:rPr>
        <w:t>资金分配的原则实行专款专用。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w:t>
      </w:r>
      <w:r>
        <w:rPr>
          <w:rFonts w:hint="eastAsia" w:eastAsia="仿宋_GB2312"/>
          <w:sz w:val="32"/>
          <w:szCs w:val="32"/>
        </w:rPr>
        <w:t>该项目用于完成2020年度缴纳在编人员机关事业单位养老保险和职业年金单位部分。</w:t>
      </w:r>
    </w:p>
    <w:p>
      <w:pPr>
        <w:adjustRightInd w:val="0"/>
        <w:snapToGrid w:val="0"/>
        <w:spacing w:line="600" w:lineRule="exact"/>
        <w:ind w:firstLine="720"/>
        <w:rPr>
          <w:rFonts w:hint="eastAsia" w:eastAsia="仿宋_GB2312"/>
          <w:sz w:val="32"/>
          <w:szCs w:val="32"/>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eastAsia="仿宋_GB2312"/>
          <w:sz w:val="32"/>
          <w:szCs w:val="32"/>
        </w:rPr>
        <w:t>该项目按预算控制完成，完成质量优，</w:t>
      </w:r>
      <w:r>
        <w:rPr>
          <w:rFonts w:hint="eastAsia" w:eastAsia="仿宋_GB2312"/>
          <w:sz w:val="32"/>
          <w:szCs w:val="32"/>
          <w:lang w:val="zh-CN"/>
        </w:rPr>
        <w:t>职工满意度100%。</w:t>
      </w:r>
    </w:p>
    <w:p>
      <w:pPr>
        <w:adjustRightInd w:val="0"/>
        <w:snapToGrid w:val="0"/>
        <w:spacing w:line="600" w:lineRule="exact"/>
        <w:ind w:firstLine="720"/>
        <w:rPr>
          <w:rFonts w:eastAsia="仿宋_GB2312"/>
          <w:sz w:val="32"/>
          <w:szCs w:val="32"/>
          <w:lang w:val="zh-CN"/>
        </w:rPr>
      </w:pPr>
      <w:r>
        <w:rPr>
          <w:rFonts w:ascii="仿宋_GB2312" w:hAnsi="宋体" w:eastAsia="仿宋_GB2312"/>
          <w:sz w:val="32"/>
          <w:szCs w:val="32"/>
          <w:lang w:val="zh-CN"/>
        </w:rPr>
        <w:t>3</w:t>
      </w:r>
      <w:r>
        <w:rPr>
          <w:rFonts w:hint="eastAsia" w:ascii="仿宋_GB2312" w:hAnsi="宋体" w:eastAsia="仿宋_GB2312"/>
          <w:sz w:val="32"/>
          <w:szCs w:val="32"/>
          <w:lang w:val="zh-CN"/>
        </w:rPr>
        <w:t>．</w:t>
      </w:r>
      <w:r>
        <w:rPr>
          <w:rFonts w:hint="eastAsia" w:eastAsia="仿宋_GB2312"/>
          <w:sz w:val="32"/>
          <w:szCs w:val="32"/>
          <w:lang w:val="zh-CN"/>
        </w:rPr>
        <w:t>分析评价申报内容与实际相符，申报目标</w:t>
      </w:r>
      <w:r>
        <w:rPr>
          <w:rFonts w:hint="eastAsia" w:eastAsia="仿宋_GB2312"/>
          <w:sz w:val="32"/>
          <w:szCs w:val="32"/>
        </w:rPr>
        <w:t>是</w:t>
      </w:r>
      <w:r>
        <w:rPr>
          <w:rFonts w:hint="eastAsia" w:eastAsia="仿宋_GB2312"/>
          <w:sz w:val="32"/>
          <w:szCs w:val="32"/>
          <w:lang w:val="zh-CN"/>
        </w:rPr>
        <w:t>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hint="eastAsia" w:eastAsia="仿宋_GB2312"/>
          <w:sz w:val="32"/>
          <w:szCs w:val="32"/>
        </w:rPr>
      </w:pPr>
      <w:r>
        <w:rPr>
          <w:rFonts w:hint="eastAsia" w:eastAsia="仿宋_GB2312"/>
          <w:sz w:val="32"/>
          <w:szCs w:val="32"/>
        </w:rPr>
        <w:t>按社保要求每月初在社保系统网上缴纳养老保险，银行转账缴纳职业年金。</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该项目资金申报及批复程序严格按市财政规定进行。攀枝花市铁路医院项目资金按市财政统一的预算工作安排编制、上报，经市财政审核批复后实施，如有预算调整按市财政规定执行。</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eastAsia="仿宋_GB2312"/>
          <w:sz w:val="32"/>
          <w:szCs w:val="32"/>
          <w:lang w:val="zh-CN"/>
        </w:rPr>
      </w:pPr>
      <w:r>
        <w:rPr>
          <w:rFonts w:hint="eastAsia" w:eastAsia="楷体_GB2312"/>
          <w:sz w:val="32"/>
          <w:szCs w:val="32"/>
        </w:rPr>
        <w:t>该项目计划101万元，资金全部到位，用于缴纳2020年在编人员59人养老保险金70万元，缴纳在编人员59人职业年金31万元</w:t>
      </w:r>
      <w:r>
        <w:rPr>
          <w:rFonts w:hint="eastAsia" w:eastAsia="楷体_GB2312"/>
          <w:sz w:val="32"/>
          <w:szCs w:val="32"/>
          <w:lang w:val="zh-CN"/>
        </w:rPr>
        <w:t>．</w:t>
      </w:r>
      <w:r>
        <w:rPr>
          <w:rFonts w:hint="eastAsia" w:eastAsia="楷体_GB2312"/>
          <w:sz w:val="32"/>
          <w:szCs w:val="32"/>
        </w:rPr>
        <w:t>该项目</w:t>
      </w:r>
      <w:r>
        <w:rPr>
          <w:rFonts w:hint="eastAsia" w:eastAsia="仿宋_GB2312"/>
          <w:sz w:val="32"/>
          <w:szCs w:val="32"/>
          <w:lang w:val="zh-CN"/>
        </w:rPr>
        <w:t>资金支付范围合理、</w:t>
      </w:r>
      <w:r>
        <w:rPr>
          <w:rFonts w:hint="eastAsia" w:eastAsia="仿宋_GB2312"/>
          <w:sz w:val="32"/>
          <w:szCs w:val="32"/>
        </w:rPr>
        <w:t>合</w:t>
      </w:r>
      <w:r>
        <w:rPr>
          <w:rFonts w:hint="eastAsia" w:eastAsia="仿宋_GB2312"/>
          <w:sz w:val="32"/>
          <w:szCs w:val="32"/>
          <w:lang w:val="zh-CN"/>
        </w:rPr>
        <w:t>标准、</w:t>
      </w:r>
      <w:r>
        <w:rPr>
          <w:rFonts w:hint="eastAsia" w:eastAsia="仿宋_GB2312"/>
          <w:sz w:val="32"/>
          <w:szCs w:val="32"/>
        </w:rPr>
        <w:t>合</w:t>
      </w:r>
      <w:r>
        <w:rPr>
          <w:rFonts w:hint="eastAsia" w:eastAsia="仿宋_GB2312"/>
          <w:sz w:val="32"/>
          <w:szCs w:val="32"/>
          <w:lang w:val="zh-CN"/>
        </w:rPr>
        <w:t>进度，支付依据合规合法，与预算相符。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eastAsia="仿宋_GB2312"/>
          <w:sz w:val="32"/>
          <w:szCs w:val="32"/>
          <w:lang w:val="zh-CN"/>
        </w:rPr>
      </w:pPr>
      <w:r>
        <w:rPr>
          <w:rFonts w:hint="eastAsia" w:eastAsia="仿宋_GB2312"/>
          <w:sz w:val="32"/>
          <w:szCs w:val="32"/>
        </w:rPr>
        <w:t>本单位</w:t>
      </w:r>
      <w:r>
        <w:rPr>
          <w:rFonts w:hint="eastAsia" w:eastAsia="仿宋_GB2312"/>
          <w:sz w:val="32"/>
          <w:szCs w:val="32"/>
          <w:lang w:val="zh-CN"/>
        </w:rPr>
        <w:t>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结合项目组织实施管理办法，经过分析，</w:t>
      </w:r>
      <w:r>
        <w:rPr>
          <w:rFonts w:hint="eastAsia" w:eastAsia="仿宋_GB2312"/>
          <w:sz w:val="32"/>
          <w:szCs w:val="32"/>
        </w:rPr>
        <w:t>未</w:t>
      </w:r>
      <w:r>
        <w:rPr>
          <w:rFonts w:hint="eastAsia" w:eastAsia="仿宋_GB2312"/>
          <w:sz w:val="32"/>
          <w:szCs w:val="32"/>
          <w:lang w:val="zh-CN"/>
        </w:rPr>
        <w:t>发现问题。</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楷体_GB2312" w:hAnsi="宋体" w:eastAsia="楷体_GB2312"/>
          <w:b/>
          <w:sz w:val="32"/>
          <w:szCs w:val="32"/>
          <w:lang w:val="zh-CN"/>
        </w:rPr>
      </w:pPr>
      <w:r>
        <w:rPr>
          <w:rFonts w:hint="eastAsia" w:eastAsia="楷体_GB2312"/>
          <w:bCs/>
          <w:sz w:val="32"/>
          <w:szCs w:val="32"/>
          <w:lang w:val="zh-CN"/>
        </w:rPr>
        <w:t>按规定组织及实施。</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hint="eastAsia" w:eastAsia="仿宋_GB2312"/>
          <w:sz w:val="32"/>
          <w:szCs w:val="32"/>
          <w:lang w:val="zh-CN"/>
        </w:rPr>
      </w:pPr>
      <w:r>
        <w:rPr>
          <w:rFonts w:hint="eastAsia" w:eastAsia="仿宋_GB2312"/>
          <w:sz w:val="32"/>
          <w:szCs w:val="32"/>
          <w:lang w:val="zh-CN"/>
        </w:rPr>
        <w:t>按相关规定执行。财务部门根据医保部门提供的缴纳金额，在该项目资金范围内按月缴纳本年度在编人员养老金及职业年金。</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hint="eastAsia" w:ascii="仿宋_GB2312" w:hAnsi="宋体" w:eastAsia="仿宋_GB2312"/>
          <w:sz w:val="32"/>
          <w:szCs w:val="32"/>
          <w:lang w:val="zh-CN"/>
        </w:rPr>
      </w:pPr>
      <w:r>
        <w:rPr>
          <w:rFonts w:hint="eastAsia" w:eastAsia="仿宋_GB2312"/>
          <w:sz w:val="32"/>
          <w:szCs w:val="32"/>
          <w:lang w:val="zh-CN"/>
        </w:rPr>
        <w:t>财务部门和</w:t>
      </w:r>
      <w:r>
        <w:rPr>
          <w:rFonts w:hint="eastAsia" w:eastAsia="仿宋_GB2312"/>
          <w:sz w:val="32"/>
          <w:szCs w:val="32"/>
        </w:rPr>
        <w:t>社</w:t>
      </w:r>
      <w:r>
        <w:rPr>
          <w:rFonts w:hint="eastAsia" w:eastAsia="仿宋_GB2312"/>
          <w:sz w:val="32"/>
          <w:szCs w:val="32"/>
          <w:lang w:val="zh-CN"/>
        </w:rPr>
        <w:t>保部门按期对账，发现问题及时纠正。</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eastAsia="仿宋_GB2312"/>
          <w:sz w:val="32"/>
          <w:szCs w:val="32"/>
          <w:lang w:val="zh-CN"/>
        </w:rPr>
      </w:pPr>
      <w:r>
        <w:rPr>
          <w:rFonts w:hint="eastAsia" w:eastAsia="仿宋_GB2312"/>
          <w:sz w:val="32"/>
          <w:szCs w:val="32"/>
          <w:lang w:val="zh-CN"/>
        </w:rPr>
        <w:t>完成在编人员5</w:t>
      </w:r>
      <w:r>
        <w:rPr>
          <w:rFonts w:hint="eastAsia" w:eastAsia="仿宋_GB2312"/>
          <w:sz w:val="32"/>
          <w:szCs w:val="32"/>
        </w:rPr>
        <w:t>9</w:t>
      </w:r>
      <w:r>
        <w:rPr>
          <w:rFonts w:hint="eastAsia" w:eastAsia="仿宋_GB2312"/>
          <w:sz w:val="32"/>
          <w:szCs w:val="32"/>
          <w:lang w:val="zh-CN"/>
        </w:rPr>
        <w:t>人员的机关事业单位养老保险和职业年金缴纳社会</w:t>
      </w:r>
      <w:r>
        <w:rPr>
          <w:rFonts w:hint="eastAsia" w:eastAsia="仿宋_GB2312"/>
          <w:sz w:val="32"/>
          <w:szCs w:val="32"/>
        </w:rPr>
        <w:t>,</w:t>
      </w:r>
      <w:r>
        <w:rPr>
          <w:rFonts w:hint="eastAsia" w:eastAsia="仿宋_GB2312"/>
          <w:sz w:val="32"/>
          <w:szCs w:val="32"/>
          <w:lang w:val="zh-CN"/>
        </w:rPr>
        <w:t xml:space="preserve"> 保障编内职工基本养老金和职业年金的缴纳。</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该项目从经济效益上补充人员成本费用、社会效益、可持续效益</w:t>
      </w:r>
      <w:r>
        <w:rPr>
          <w:rFonts w:hint="eastAsia" w:eastAsia="仿宋_GB2312"/>
          <w:sz w:val="32"/>
          <w:szCs w:val="32"/>
        </w:rPr>
        <w:t>上</w:t>
      </w:r>
      <w:r>
        <w:rPr>
          <w:rFonts w:hint="eastAsia" w:eastAsia="仿宋_GB2312"/>
          <w:sz w:val="32"/>
          <w:szCs w:val="32"/>
          <w:lang w:val="zh-CN"/>
        </w:rPr>
        <w:t>保障职工养老金和职业年金正常缴纳、职工满意度</w:t>
      </w:r>
      <w:r>
        <w:rPr>
          <w:rFonts w:hint="eastAsia" w:eastAsia="仿宋_GB2312"/>
          <w:sz w:val="32"/>
          <w:szCs w:val="32"/>
        </w:rPr>
        <w:t>100%</w:t>
      </w:r>
      <w:r>
        <w:rPr>
          <w:rFonts w:hint="eastAsia" w:eastAsia="仿宋_GB2312"/>
          <w:sz w:val="32"/>
          <w:szCs w:val="32"/>
          <w:lang w:val="zh-CN"/>
        </w:rPr>
        <w:t>全面分析评价。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hint="eastAsia" w:eastAsia="仿宋_GB2312"/>
          <w:sz w:val="32"/>
          <w:szCs w:val="32"/>
        </w:rPr>
      </w:pPr>
      <w:r>
        <w:rPr>
          <w:rFonts w:hint="eastAsia" w:eastAsia="仿宋_GB2312"/>
          <w:sz w:val="32"/>
          <w:szCs w:val="32"/>
        </w:rPr>
        <w:t>完成了本单位2020年度机关事业单位养老保险和职业年金缴纳。</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eastAsia="仿宋_GB2312"/>
          <w:sz w:val="32"/>
          <w:szCs w:val="32"/>
        </w:rPr>
        <w:t>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eastAsia="仿宋_GB2312"/>
          <w:sz w:val="32"/>
          <w:szCs w:val="32"/>
        </w:rPr>
        <w:t>无</w:t>
      </w:r>
    </w:p>
    <w:p>
      <w:pPr>
        <w:widowControl/>
        <w:jc w:val="left"/>
        <w:rPr>
          <w:rStyle w:val="16"/>
          <w:rFonts w:hint="eastAsia" w:ascii="黑体" w:hAnsi="黑体" w:eastAsia="黑体"/>
          <w:b w:val="0"/>
        </w:rPr>
      </w:pPr>
    </w:p>
    <w:p>
      <w:pPr>
        <w:spacing w:line="600" w:lineRule="exact"/>
        <w:jc w:val="center"/>
        <w:outlineLvl w:val="0"/>
        <w:rPr>
          <w:rFonts w:hint="eastAsia" w:ascii="黑体" w:hAnsi="黑体" w:eastAsia="黑体"/>
          <w:bCs/>
          <w:kern w:val="44"/>
          <w:sz w:val="44"/>
          <w:szCs w:val="44"/>
        </w:rPr>
      </w:pPr>
      <w:bookmarkStart w:id="94" w:name="_Toc15396618"/>
      <w:bookmarkStart w:id="95" w:name="_Toc26958"/>
      <w:r>
        <w:rPr>
          <w:rFonts w:hint="eastAsia" w:ascii="黑体" w:hAnsi="黑体" w:eastAsia="黑体"/>
          <w:color w:val="000000"/>
          <w:sz w:val="44"/>
          <w:szCs w:val="44"/>
        </w:rPr>
        <w:t>第</w:t>
      </w:r>
      <w:r>
        <w:rPr>
          <w:rStyle w:val="16"/>
          <w:rFonts w:hint="eastAsia" w:ascii="黑体" w:hAnsi="黑体" w:eastAsia="黑体"/>
          <w:b w:val="0"/>
        </w:rPr>
        <w:t>五部分</w:t>
      </w:r>
      <w:r>
        <w:rPr>
          <w:rStyle w:val="16"/>
          <w:rFonts w:ascii="黑体" w:hAnsi="黑体" w:eastAsia="黑体"/>
          <w:b w:val="0"/>
        </w:rPr>
        <w:t xml:space="preserve"> </w:t>
      </w:r>
      <w:r>
        <w:rPr>
          <w:rStyle w:val="16"/>
          <w:rFonts w:hint="eastAsia" w:ascii="黑体" w:hAnsi="黑体" w:eastAsia="黑体"/>
          <w:b w:val="0"/>
        </w:rPr>
        <w:t>附表</w:t>
      </w:r>
      <w:bookmarkEnd w:id="90"/>
      <w:bookmarkEnd w:id="94"/>
      <w:bookmarkEnd w:id="95"/>
    </w:p>
    <w:p>
      <w:pPr>
        <w:pStyle w:val="3"/>
        <w:rPr>
          <w:rFonts w:ascii="仿宋" w:hAnsi="仿宋" w:eastAsia="仿宋"/>
          <w:color w:val="000000"/>
        </w:rPr>
      </w:pPr>
      <w:bookmarkStart w:id="96" w:name="_Toc2451"/>
      <w:bookmarkStart w:id="97"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96"/>
      <w:bookmarkEnd w:id="97"/>
    </w:p>
    <w:p>
      <w:pPr>
        <w:pStyle w:val="3"/>
        <w:rPr>
          <w:rFonts w:ascii="仿宋" w:hAnsi="仿宋" w:eastAsia="仿宋"/>
          <w:color w:val="000000"/>
        </w:rPr>
      </w:pPr>
      <w:bookmarkStart w:id="98" w:name="_Toc13916"/>
      <w:bookmarkStart w:id="99" w:name="_Toc15396620"/>
      <w:r>
        <w:rPr>
          <w:rFonts w:hint="eastAsia" w:ascii="仿宋" w:hAnsi="仿宋" w:eastAsia="仿宋"/>
          <w:b w:val="0"/>
          <w:color w:val="000000"/>
        </w:rPr>
        <w:t>二、收</w:t>
      </w:r>
      <w:r>
        <w:rPr>
          <w:rStyle w:val="17"/>
          <w:rFonts w:hint="eastAsia" w:ascii="仿宋" w:hAnsi="仿宋" w:eastAsia="仿宋"/>
          <w:b w:val="0"/>
          <w:bCs w:val="0"/>
        </w:rPr>
        <w:t>入决算表</w:t>
      </w:r>
      <w:bookmarkEnd w:id="98"/>
      <w:bookmarkEnd w:id="99"/>
    </w:p>
    <w:p>
      <w:pPr>
        <w:pStyle w:val="3"/>
        <w:rPr>
          <w:rFonts w:ascii="仿宋" w:hAnsi="仿宋" w:eastAsia="仿宋"/>
          <w:color w:val="000000"/>
        </w:rPr>
      </w:pPr>
      <w:bookmarkStart w:id="100" w:name="_Toc24424"/>
      <w:bookmarkStart w:id="101"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100"/>
      <w:bookmarkEnd w:id="101"/>
    </w:p>
    <w:p>
      <w:pPr>
        <w:pStyle w:val="3"/>
        <w:rPr>
          <w:rFonts w:ascii="仿宋" w:hAnsi="仿宋" w:eastAsia="仿宋"/>
          <w:b w:val="0"/>
          <w:color w:val="000000"/>
        </w:rPr>
      </w:pPr>
      <w:bookmarkStart w:id="102" w:name="_Toc15396622"/>
      <w:bookmarkStart w:id="103" w:name="_Toc3455"/>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102"/>
      <w:bookmarkEnd w:id="103"/>
    </w:p>
    <w:p>
      <w:pPr>
        <w:pStyle w:val="3"/>
        <w:rPr>
          <w:rStyle w:val="17"/>
          <w:rFonts w:ascii="仿宋" w:hAnsi="仿宋" w:eastAsia="仿宋"/>
          <w:b w:val="0"/>
          <w:bCs w:val="0"/>
        </w:rPr>
      </w:pPr>
      <w:bookmarkStart w:id="104" w:name="_Toc15396623"/>
      <w:bookmarkStart w:id="105" w:name="_Toc8505"/>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104"/>
      <w:bookmarkEnd w:id="105"/>
      <w:bookmarkStart w:id="106" w:name="_Toc15396624"/>
    </w:p>
    <w:p>
      <w:pPr>
        <w:pStyle w:val="3"/>
        <w:rPr>
          <w:rFonts w:ascii="仿宋" w:hAnsi="仿宋" w:eastAsia="仿宋"/>
          <w:color w:val="000000"/>
        </w:rPr>
      </w:pPr>
      <w:bookmarkStart w:id="107" w:name="_Toc32506"/>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106"/>
      <w:bookmarkEnd w:id="107"/>
    </w:p>
    <w:p>
      <w:pPr>
        <w:pStyle w:val="3"/>
        <w:rPr>
          <w:rFonts w:ascii="仿宋" w:hAnsi="仿宋" w:eastAsia="仿宋"/>
          <w:color w:val="000000"/>
        </w:rPr>
      </w:pPr>
      <w:bookmarkStart w:id="108" w:name="_Toc536"/>
      <w:bookmarkStart w:id="109"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108"/>
      <w:bookmarkEnd w:id="109"/>
    </w:p>
    <w:p>
      <w:pPr>
        <w:pStyle w:val="3"/>
        <w:rPr>
          <w:rFonts w:ascii="仿宋" w:hAnsi="仿宋" w:eastAsia="仿宋"/>
          <w:color w:val="000000"/>
        </w:rPr>
      </w:pPr>
      <w:bookmarkStart w:id="110" w:name="_Toc11789"/>
      <w:bookmarkStart w:id="111"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110"/>
      <w:bookmarkEnd w:id="111"/>
    </w:p>
    <w:p>
      <w:pPr>
        <w:pStyle w:val="3"/>
        <w:rPr>
          <w:rFonts w:ascii="仿宋" w:hAnsi="仿宋" w:eastAsia="仿宋"/>
          <w:color w:val="000000"/>
        </w:rPr>
      </w:pPr>
      <w:bookmarkStart w:id="112" w:name="_Toc15396627"/>
      <w:bookmarkStart w:id="113" w:name="_Toc10988"/>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112"/>
      <w:r>
        <w:rPr>
          <w:rStyle w:val="17"/>
          <w:rFonts w:hint="eastAsia" w:ascii="仿宋" w:hAnsi="仿宋" w:eastAsia="仿宋"/>
          <w:b w:val="0"/>
          <w:bCs w:val="0"/>
        </w:rPr>
        <w:t>（本表无数据）</w:t>
      </w:r>
      <w:bookmarkEnd w:id="113"/>
    </w:p>
    <w:p>
      <w:pPr>
        <w:pStyle w:val="3"/>
        <w:rPr>
          <w:rFonts w:hint="eastAsia" w:ascii="仿宋" w:hAnsi="仿宋" w:eastAsia="仿宋"/>
          <w:color w:val="000000"/>
        </w:rPr>
      </w:pPr>
      <w:bookmarkStart w:id="114" w:name="_Toc15396628"/>
      <w:bookmarkStart w:id="115" w:name="_Toc4100"/>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114"/>
      <w:r>
        <w:rPr>
          <w:rStyle w:val="17"/>
          <w:rFonts w:hint="eastAsia" w:ascii="仿宋" w:hAnsi="仿宋" w:eastAsia="仿宋"/>
          <w:b w:val="0"/>
          <w:bCs w:val="0"/>
        </w:rPr>
        <w:t>（本表无数据）</w:t>
      </w:r>
      <w:bookmarkEnd w:id="115"/>
    </w:p>
    <w:p>
      <w:pPr>
        <w:pStyle w:val="3"/>
        <w:rPr>
          <w:rFonts w:ascii="仿宋" w:hAnsi="仿宋" w:eastAsia="仿宋"/>
          <w:color w:val="000000"/>
        </w:rPr>
      </w:pPr>
      <w:bookmarkStart w:id="116" w:name="_Toc29651"/>
      <w:bookmarkStart w:id="117"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116"/>
      <w:bookmarkEnd w:id="117"/>
    </w:p>
    <w:p>
      <w:pPr>
        <w:pStyle w:val="3"/>
        <w:rPr>
          <w:rFonts w:ascii="仿宋" w:hAnsi="仿宋" w:eastAsia="仿宋"/>
          <w:b w:val="0"/>
          <w:bCs w:val="0"/>
        </w:rPr>
      </w:pPr>
      <w:bookmarkStart w:id="118" w:name="_Toc15396630"/>
      <w:bookmarkStart w:id="119" w:name="_Toc23703"/>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118"/>
      <w:r>
        <w:rPr>
          <w:rStyle w:val="17"/>
          <w:rFonts w:hint="eastAsia" w:ascii="仿宋" w:hAnsi="仿宋" w:eastAsia="仿宋"/>
          <w:b w:val="0"/>
          <w:bCs w:val="0"/>
        </w:rPr>
        <w:t>（本表无数据）</w:t>
      </w:r>
      <w:bookmarkEnd w:id="119"/>
    </w:p>
    <w:p>
      <w:pPr>
        <w:rPr>
          <w:rFonts w:hint="eastAsia"/>
        </w:rPr>
      </w:pPr>
    </w:p>
    <w:p>
      <w:pPr>
        <w:pStyle w:val="3"/>
        <w:rPr>
          <w:rStyle w:val="17"/>
          <w:rFonts w:hint="eastAsia" w:ascii="仿宋" w:hAnsi="仿宋" w:eastAsia="仿宋"/>
          <w:b/>
          <w:bCs/>
          <w:color w:val="000000"/>
        </w:rPr>
      </w:pPr>
      <w:bookmarkStart w:id="120" w:name="_Toc15396631"/>
      <w:bookmarkStart w:id="121" w:name="_Toc15715"/>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有资本经营预算财政拨款</w:t>
      </w:r>
      <w:r>
        <w:rPr>
          <w:rStyle w:val="17"/>
          <w:rFonts w:hint="eastAsia" w:ascii="仿宋" w:hAnsi="仿宋"/>
          <w:b w:val="0"/>
          <w:bCs w:val="0"/>
        </w:rPr>
        <w:t>收入</w:t>
      </w:r>
      <w:r>
        <w:rPr>
          <w:rStyle w:val="17"/>
          <w:rFonts w:hint="eastAsia" w:ascii="仿宋" w:hAnsi="仿宋" w:eastAsia="仿宋"/>
          <w:b w:val="0"/>
          <w:bCs w:val="0"/>
        </w:rPr>
        <w:t>支出决算表</w:t>
      </w:r>
      <w:bookmarkEnd w:id="120"/>
      <w:r>
        <w:rPr>
          <w:rStyle w:val="17"/>
          <w:rFonts w:hint="eastAsia" w:ascii="仿宋" w:hAnsi="仿宋" w:eastAsia="仿宋"/>
          <w:b w:val="0"/>
          <w:bCs w:val="0"/>
        </w:rPr>
        <w:t>（本表无数据）</w:t>
      </w:r>
      <w:bookmarkEnd w:id="121"/>
    </w:p>
    <w:p>
      <w:pPr>
        <w:pStyle w:val="3"/>
        <w:rPr>
          <w:rStyle w:val="17"/>
          <w:rFonts w:hint="eastAsia" w:ascii="仿宋" w:hAnsi="仿宋" w:eastAsia="仿宋"/>
          <w:b/>
          <w:bCs/>
          <w:color w:val="000000"/>
        </w:rPr>
      </w:pPr>
      <w:bookmarkStart w:id="122" w:name="_Toc676"/>
      <w:r>
        <w:rPr>
          <w:rStyle w:val="17"/>
          <w:rFonts w:hint="eastAsia" w:ascii="仿宋" w:hAnsi="仿宋" w:eastAsia="仿宋"/>
          <w:b w:val="0"/>
          <w:bCs w:val="0"/>
        </w:rPr>
        <w:t>十四、国有资本经营预算财政拨款支出决算表（本表无数据）</w:t>
      </w:r>
      <w:bookmarkEnd w:id="12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eastAsia="zh-CN"/>
      </w:rPr>
      <w:t>3</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2FEA"/>
    <w:multiLevelType w:val="singleLevel"/>
    <w:tmpl w:val="B7462FEA"/>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962595E"/>
    <w:multiLevelType w:val="singleLevel"/>
    <w:tmpl w:val="E962595E"/>
    <w:lvl w:ilvl="0" w:tentative="0">
      <w:start w:val="1"/>
      <w:numFmt w:val="decimal"/>
      <w:lvlText w:val="%1."/>
      <w:lvlJc w:val="left"/>
      <w:pPr>
        <w:tabs>
          <w:tab w:val="left" w:pos="312"/>
        </w:tabs>
      </w:pPr>
    </w:lvl>
  </w:abstractNum>
  <w:abstractNum w:abstractNumId="4">
    <w:nsid w:val="056300EF"/>
    <w:multiLevelType w:val="singleLevel"/>
    <w:tmpl w:val="056300EF"/>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2C463A6A"/>
    <w:multiLevelType w:val="singleLevel"/>
    <w:tmpl w:val="2C463A6A"/>
    <w:lvl w:ilvl="0" w:tentative="0">
      <w:start w:val="2"/>
      <w:numFmt w:val="chineseCounting"/>
      <w:suff w:val="nothing"/>
      <w:lvlText w:val="（%1）"/>
      <w:lvlJc w:val="left"/>
      <w:rPr>
        <w:rFonts w:hint="eastAsia"/>
      </w:rPr>
    </w:lvl>
  </w:abstractNum>
  <w:num w:numId="1">
    <w:abstractNumId w:val="5"/>
  </w:num>
  <w:num w:numId="2">
    <w:abstractNumId w:val="3"/>
  </w:num>
  <w:num w:numId="3">
    <w:abstractNumId w:val="1"/>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27F0"/>
    <w:rsid w:val="000768F2"/>
    <w:rsid w:val="000917C6"/>
    <w:rsid w:val="0009184B"/>
    <w:rsid w:val="00094236"/>
    <w:rsid w:val="0009593C"/>
    <w:rsid w:val="00097322"/>
    <w:rsid w:val="000A6A92"/>
    <w:rsid w:val="000B047F"/>
    <w:rsid w:val="000B5923"/>
    <w:rsid w:val="000B5A48"/>
    <w:rsid w:val="000B6FF3"/>
    <w:rsid w:val="000C3467"/>
    <w:rsid w:val="000C3CA6"/>
    <w:rsid w:val="000C4460"/>
    <w:rsid w:val="000D1267"/>
    <w:rsid w:val="000D1D50"/>
    <w:rsid w:val="000D5782"/>
    <w:rsid w:val="000E6613"/>
    <w:rsid w:val="000E7119"/>
    <w:rsid w:val="00106F09"/>
    <w:rsid w:val="00114E9B"/>
    <w:rsid w:val="00115301"/>
    <w:rsid w:val="001319E1"/>
    <w:rsid w:val="00142216"/>
    <w:rsid w:val="00144D6A"/>
    <w:rsid w:val="0014729F"/>
    <w:rsid w:val="00155798"/>
    <w:rsid w:val="00157BAB"/>
    <w:rsid w:val="001654D1"/>
    <w:rsid w:val="00174518"/>
    <w:rsid w:val="0018106D"/>
    <w:rsid w:val="001877A7"/>
    <w:rsid w:val="00191536"/>
    <w:rsid w:val="001936C3"/>
    <w:rsid w:val="00196687"/>
    <w:rsid w:val="001C0962"/>
    <w:rsid w:val="001D7531"/>
    <w:rsid w:val="001E737D"/>
    <w:rsid w:val="001F0592"/>
    <w:rsid w:val="001F45BD"/>
    <w:rsid w:val="001F7506"/>
    <w:rsid w:val="002006CD"/>
    <w:rsid w:val="00202B36"/>
    <w:rsid w:val="00204B7A"/>
    <w:rsid w:val="00204CDE"/>
    <w:rsid w:val="0021101A"/>
    <w:rsid w:val="00220536"/>
    <w:rsid w:val="00235629"/>
    <w:rsid w:val="00256262"/>
    <w:rsid w:val="00260C38"/>
    <w:rsid w:val="002616C0"/>
    <w:rsid w:val="00265372"/>
    <w:rsid w:val="002662AA"/>
    <w:rsid w:val="00280496"/>
    <w:rsid w:val="00285842"/>
    <w:rsid w:val="00294DC9"/>
    <w:rsid w:val="00295495"/>
    <w:rsid w:val="00295D5A"/>
    <w:rsid w:val="002A31DE"/>
    <w:rsid w:val="002B2613"/>
    <w:rsid w:val="002D6D05"/>
    <w:rsid w:val="002F1818"/>
    <w:rsid w:val="002F567B"/>
    <w:rsid w:val="003216A9"/>
    <w:rsid w:val="00330B4F"/>
    <w:rsid w:val="00334ABA"/>
    <w:rsid w:val="003356FB"/>
    <w:rsid w:val="00335A74"/>
    <w:rsid w:val="003467E8"/>
    <w:rsid w:val="0036561B"/>
    <w:rsid w:val="0037013F"/>
    <w:rsid w:val="00380C92"/>
    <w:rsid w:val="00393265"/>
    <w:rsid w:val="003A484F"/>
    <w:rsid w:val="003A4883"/>
    <w:rsid w:val="003A6C16"/>
    <w:rsid w:val="003B0BE0"/>
    <w:rsid w:val="003B0C1B"/>
    <w:rsid w:val="003B688C"/>
    <w:rsid w:val="003C0291"/>
    <w:rsid w:val="003C39AE"/>
    <w:rsid w:val="003C7B60"/>
    <w:rsid w:val="003D0C0F"/>
    <w:rsid w:val="003D11E1"/>
    <w:rsid w:val="003D1FB2"/>
    <w:rsid w:val="003D66DA"/>
    <w:rsid w:val="003E1310"/>
    <w:rsid w:val="003E6F55"/>
    <w:rsid w:val="00406254"/>
    <w:rsid w:val="004223DE"/>
    <w:rsid w:val="00426832"/>
    <w:rsid w:val="00432ABB"/>
    <w:rsid w:val="00434489"/>
    <w:rsid w:val="00437085"/>
    <w:rsid w:val="00443880"/>
    <w:rsid w:val="004464F4"/>
    <w:rsid w:val="00455B08"/>
    <w:rsid w:val="00471401"/>
    <w:rsid w:val="00473F31"/>
    <w:rsid w:val="0048263A"/>
    <w:rsid w:val="00485E5F"/>
    <w:rsid w:val="00487E5D"/>
    <w:rsid w:val="004A6B58"/>
    <w:rsid w:val="004A711F"/>
    <w:rsid w:val="004B199D"/>
    <w:rsid w:val="004B4690"/>
    <w:rsid w:val="004C52FD"/>
    <w:rsid w:val="004E0A2D"/>
    <w:rsid w:val="004E206B"/>
    <w:rsid w:val="004E6DF7"/>
    <w:rsid w:val="004F0FBD"/>
    <w:rsid w:val="004F33A6"/>
    <w:rsid w:val="00502181"/>
    <w:rsid w:val="00505A47"/>
    <w:rsid w:val="00512FDA"/>
    <w:rsid w:val="00520DA0"/>
    <w:rsid w:val="005269D7"/>
    <w:rsid w:val="00533D6B"/>
    <w:rsid w:val="005664BB"/>
    <w:rsid w:val="00566FFA"/>
    <w:rsid w:val="0057481D"/>
    <w:rsid w:val="0058486E"/>
    <w:rsid w:val="00585B33"/>
    <w:rsid w:val="0059014D"/>
    <w:rsid w:val="0059194A"/>
    <w:rsid w:val="00596A8C"/>
    <w:rsid w:val="005B5C64"/>
    <w:rsid w:val="005C145A"/>
    <w:rsid w:val="005C5337"/>
    <w:rsid w:val="005C6BD0"/>
    <w:rsid w:val="005D1C8B"/>
    <w:rsid w:val="005D2800"/>
    <w:rsid w:val="005D468D"/>
    <w:rsid w:val="005D5CED"/>
    <w:rsid w:val="005E119B"/>
    <w:rsid w:val="005F1A4C"/>
    <w:rsid w:val="00605688"/>
    <w:rsid w:val="006070AF"/>
    <w:rsid w:val="00607E6C"/>
    <w:rsid w:val="006101B1"/>
    <w:rsid w:val="00614E44"/>
    <w:rsid w:val="0062270A"/>
    <w:rsid w:val="00622830"/>
    <w:rsid w:val="00622C15"/>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B5001"/>
    <w:rsid w:val="006C1937"/>
    <w:rsid w:val="006C744C"/>
    <w:rsid w:val="006E1E3A"/>
    <w:rsid w:val="006E35A5"/>
    <w:rsid w:val="006F020C"/>
    <w:rsid w:val="007037F4"/>
    <w:rsid w:val="007127B7"/>
    <w:rsid w:val="0071798E"/>
    <w:rsid w:val="007416B6"/>
    <w:rsid w:val="00746F48"/>
    <w:rsid w:val="0075404D"/>
    <w:rsid w:val="0076182A"/>
    <w:rsid w:val="00767B7E"/>
    <w:rsid w:val="007770C3"/>
    <w:rsid w:val="00784D24"/>
    <w:rsid w:val="00785FBA"/>
    <w:rsid w:val="00786E4A"/>
    <w:rsid w:val="007875EB"/>
    <w:rsid w:val="0079426B"/>
    <w:rsid w:val="007A58D4"/>
    <w:rsid w:val="007D1682"/>
    <w:rsid w:val="007D312A"/>
    <w:rsid w:val="007D33A3"/>
    <w:rsid w:val="007D3F19"/>
    <w:rsid w:val="007E23B0"/>
    <w:rsid w:val="007E23E5"/>
    <w:rsid w:val="007F1991"/>
    <w:rsid w:val="007F2C2F"/>
    <w:rsid w:val="007F55FC"/>
    <w:rsid w:val="007F5665"/>
    <w:rsid w:val="00800112"/>
    <w:rsid w:val="00800487"/>
    <w:rsid w:val="00813348"/>
    <w:rsid w:val="008158F7"/>
    <w:rsid w:val="008253BB"/>
    <w:rsid w:val="0083706E"/>
    <w:rsid w:val="00837716"/>
    <w:rsid w:val="008408F6"/>
    <w:rsid w:val="008423A5"/>
    <w:rsid w:val="00850434"/>
    <w:rsid w:val="00850625"/>
    <w:rsid w:val="00853718"/>
    <w:rsid w:val="00855221"/>
    <w:rsid w:val="008569F1"/>
    <w:rsid w:val="00860645"/>
    <w:rsid w:val="00867B8C"/>
    <w:rsid w:val="00871F71"/>
    <w:rsid w:val="00872FD8"/>
    <w:rsid w:val="00885AF4"/>
    <w:rsid w:val="008939CD"/>
    <w:rsid w:val="008B768C"/>
    <w:rsid w:val="008C4DB1"/>
    <w:rsid w:val="008C4EAF"/>
    <w:rsid w:val="008C5176"/>
    <w:rsid w:val="008C7FD0"/>
    <w:rsid w:val="008E1DE7"/>
    <w:rsid w:val="008E539D"/>
    <w:rsid w:val="008E707C"/>
    <w:rsid w:val="00900B08"/>
    <w:rsid w:val="00902155"/>
    <w:rsid w:val="00902FA3"/>
    <w:rsid w:val="009067BF"/>
    <w:rsid w:val="00923564"/>
    <w:rsid w:val="0092392E"/>
    <w:rsid w:val="009315F9"/>
    <w:rsid w:val="00933499"/>
    <w:rsid w:val="009334D8"/>
    <w:rsid w:val="00935C98"/>
    <w:rsid w:val="00946945"/>
    <w:rsid w:val="00951248"/>
    <w:rsid w:val="0095152F"/>
    <w:rsid w:val="00954C49"/>
    <w:rsid w:val="00955E37"/>
    <w:rsid w:val="0097099F"/>
    <w:rsid w:val="00971997"/>
    <w:rsid w:val="00971FFC"/>
    <w:rsid w:val="00973770"/>
    <w:rsid w:val="0098660A"/>
    <w:rsid w:val="009931C3"/>
    <w:rsid w:val="009A255C"/>
    <w:rsid w:val="009B1536"/>
    <w:rsid w:val="009B2C43"/>
    <w:rsid w:val="009B3493"/>
    <w:rsid w:val="009B4EAE"/>
    <w:rsid w:val="009B7573"/>
    <w:rsid w:val="009C0D79"/>
    <w:rsid w:val="009C22F4"/>
    <w:rsid w:val="009C2A4B"/>
    <w:rsid w:val="009C2E98"/>
    <w:rsid w:val="009C76C9"/>
    <w:rsid w:val="009C79F7"/>
    <w:rsid w:val="009C7EE7"/>
    <w:rsid w:val="009C7FC1"/>
    <w:rsid w:val="009D3447"/>
    <w:rsid w:val="009D4711"/>
    <w:rsid w:val="009D630A"/>
    <w:rsid w:val="009D78A9"/>
    <w:rsid w:val="009E0527"/>
    <w:rsid w:val="009F1185"/>
    <w:rsid w:val="009F18CD"/>
    <w:rsid w:val="009F2A13"/>
    <w:rsid w:val="009F7527"/>
    <w:rsid w:val="00A01402"/>
    <w:rsid w:val="00A04EB0"/>
    <w:rsid w:val="00A13CC1"/>
    <w:rsid w:val="00A16847"/>
    <w:rsid w:val="00A237D8"/>
    <w:rsid w:val="00A268C4"/>
    <w:rsid w:val="00A307CD"/>
    <w:rsid w:val="00A331C8"/>
    <w:rsid w:val="00A40A00"/>
    <w:rsid w:val="00A4142F"/>
    <w:rsid w:val="00A416CA"/>
    <w:rsid w:val="00A422EB"/>
    <w:rsid w:val="00A45BB7"/>
    <w:rsid w:val="00A56DF2"/>
    <w:rsid w:val="00A56E6E"/>
    <w:rsid w:val="00A67AB5"/>
    <w:rsid w:val="00A67E52"/>
    <w:rsid w:val="00A733B2"/>
    <w:rsid w:val="00A741C2"/>
    <w:rsid w:val="00A91760"/>
    <w:rsid w:val="00A93B00"/>
    <w:rsid w:val="00A93C21"/>
    <w:rsid w:val="00AA680D"/>
    <w:rsid w:val="00AB64C9"/>
    <w:rsid w:val="00AC3C6A"/>
    <w:rsid w:val="00AD5620"/>
    <w:rsid w:val="00AD656B"/>
    <w:rsid w:val="00AD7C1B"/>
    <w:rsid w:val="00AE16BA"/>
    <w:rsid w:val="00AE1EBE"/>
    <w:rsid w:val="00AF4CEA"/>
    <w:rsid w:val="00B03C9D"/>
    <w:rsid w:val="00B060AE"/>
    <w:rsid w:val="00B10517"/>
    <w:rsid w:val="00B14BDB"/>
    <w:rsid w:val="00B14E76"/>
    <w:rsid w:val="00B161B8"/>
    <w:rsid w:val="00B2048C"/>
    <w:rsid w:val="00B310B9"/>
    <w:rsid w:val="00B31175"/>
    <w:rsid w:val="00B35F3F"/>
    <w:rsid w:val="00B36CBB"/>
    <w:rsid w:val="00B425E0"/>
    <w:rsid w:val="00B440AA"/>
    <w:rsid w:val="00B44B70"/>
    <w:rsid w:val="00B53C56"/>
    <w:rsid w:val="00B57DAF"/>
    <w:rsid w:val="00B71DF4"/>
    <w:rsid w:val="00B77EA6"/>
    <w:rsid w:val="00B81598"/>
    <w:rsid w:val="00B841F1"/>
    <w:rsid w:val="00B90E4E"/>
    <w:rsid w:val="00B92C4B"/>
    <w:rsid w:val="00B944D6"/>
    <w:rsid w:val="00B965DC"/>
    <w:rsid w:val="00BA45A4"/>
    <w:rsid w:val="00BA62A9"/>
    <w:rsid w:val="00BB0972"/>
    <w:rsid w:val="00BB4DF0"/>
    <w:rsid w:val="00BC289F"/>
    <w:rsid w:val="00BC2D50"/>
    <w:rsid w:val="00BC5361"/>
    <w:rsid w:val="00BC5460"/>
    <w:rsid w:val="00BC6B50"/>
    <w:rsid w:val="00BD0E25"/>
    <w:rsid w:val="00BF5BD6"/>
    <w:rsid w:val="00C03E31"/>
    <w:rsid w:val="00C04799"/>
    <w:rsid w:val="00C11C3C"/>
    <w:rsid w:val="00C33E72"/>
    <w:rsid w:val="00C354B2"/>
    <w:rsid w:val="00C35554"/>
    <w:rsid w:val="00C42709"/>
    <w:rsid w:val="00C4584A"/>
    <w:rsid w:val="00C533CC"/>
    <w:rsid w:val="00C5751C"/>
    <w:rsid w:val="00C61BFC"/>
    <w:rsid w:val="00C62B85"/>
    <w:rsid w:val="00C65438"/>
    <w:rsid w:val="00C87FD8"/>
    <w:rsid w:val="00C91381"/>
    <w:rsid w:val="00C91CBB"/>
    <w:rsid w:val="00CB4E70"/>
    <w:rsid w:val="00CC001B"/>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6B8E"/>
    <w:rsid w:val="00D66494"/>
    <w:rsid w:val="00D7035F"/>
    <w:rsid w:val="00D75A9B"/>
    <w:rsid w:val="00DA634F"/>
    <w:rsid w:val="00DA65AC"/>
    <w:rsid w:val="00DB1913"/>
    <w:rsid w:val="00DB4452"/>
    <w:rsid w:val="00DB758A"/>
    <w:rsid w:val="00DC410D"/>
    <w:rsid w:val="00DC5A81"/>
    <w:rsid w:val="00DC68CA"/>
    <w:rsid w:val="00DC7CBA"/>
    <w:rsid w:val="00DD73B7"/>
    <w:rsid w:val="00DF28BC"/>
    <w:rsid w:val="00DF34B9"/>
    <w:rsid w:val="00E01053"/>
    <w:rsid w:val="00E07ACF"/>
    <w:rsid w:val="00E21BCE"/>
    <w:rsid w:val="00E32CAD"/>
    <w:rsid w:val="00E331A1"/>
    <w:rsid w:val="00E33202"/>
    <w:rsid w:val="00E336A9"/>
    <w:rsid w:val="00E472B1"/>
    <w:rsid w:val="00E50624"/>
    <w:rsid w:val="00E568DF"/>
    <w:rsid w:val="00E64269"/>
    <w:rsid w:val="00E82267"/>
    <w:rsid w:val="00E853CE"/>
    <w:rsid w:val="00E867B6"/>
    <w:rsid w:val="00E90ACE"/>
    <w:rsid w:val="00EA010F"/>
    <w:rsid w:val="00EB7D59"/>
    <w:rsid w:val="00EC3915"/>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55C73"/>
    <w:rsid w:val="00F602DF"/>
    <w:rsid w:val="00F63581"/>
    <w:rsid w:val="00F748C9"/>
    <w:rsid w:val="00F74AF5"/>
    <w:rsid w:val="00F754A1"/>
    <w:rsid w:val="00F81FD9"/>
    <w:rsid w:val="00F841AA"/>
    <w:rsid w:val="00F84A94"/>
    <w:rsid w:val="00F87E96"/>
    <w:rsid w:val="00FA035F"/>
    <w:rsid w:val="00FA23E8"/>
    <w:rsid w:val="00FA7523"/>
    <w:rsid w:val="00FD3CC1"/>
    <w:rsid w:val="00FF1E02"/>
    <w:rsid w:val="00FF30B4"/>
    <w:rsid w:val="0A2032A3"/>
    <w:rsid w:val="0F7B07B2"/>
    <w:rsid w:val="10C055FF"/>
    <w:rsid w:val="118107EC"/>
    <w:rsid w:val="16BB723D"/>
    <w:rsid w:val="1BB05988"/>
    <w:rsid w:val="1D155CEE"/>
    <w:rsid w:val="240371BF"/>
    <w:rsid w:val="29FD04D3"/>
    <w:rsid w:val="2F5A09A8"/>
    <w:rsid w:val="319F7F4E"/>
    <w:rsid w:val="35AC7C2F"/>
    <w:rsid w:val="3DB22EB0"/>
    <w:rsid w:val="45BD4F72"/>
    <w:rsid w:val="487C44EB"/>
    <w:rsid w:val="4ECE2238"/>
    <w:rsid w:val="5F23254F"/>
    <w:rsid w:val="60007C76"/>
    <w:rsid w:val="678604B7"/>
    <w:rsid w:val="6C4A05C8"/>
    <w:rsid w:val="72734D90"/>
    <w:rsid w:val="7B124EDE"/>
    <w:rsid w:val="7B2A64C8"/>
    <w:rsid w:val="7E52266E"/>
    <w:rsid w:val="FFFF1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19"/>
    <w:qFormat/>
    <w:uiPriority w:val="99"/>
    <w:pPr>
      <w:spacing w:beforeLines="30"/>
    </w:pPr>
    <w:rPr>
      <w:rFonts w:ascii="仿宋_GB2312" w:eastAsia="仿宋_GB2312"/>
      <w:kern w:val="0"/>
      <w:sz w:val="24"/>
      <w:szCs w:val="2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0"/>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qFormat/>
    <w:uiPriority w:val="0"/>
    <w:rPr>
      <w:rFonts w:cs="Times New Roman"/>
      <w:b/>
    </w:rPr>
  </w:style>
  <w:style w:type="character" w:styleId="15">
    <w:name w:val="Hyperlink"/>
    <w:unhideWhenUsed/>
    <w:qFormat/>
    <w:uiPriority w:val="99"/>
    <w:rPr>
      <w:rFonts w:cs="Times New Roman"/>
      <w:color w:val="0000FF"/>
      <w:u w:val="single"/>
    </w:rPr>
  </w:style>
  <w:style w:type="character" w:customStyle="1" w:styleId="16">
    <w:name w:val="标题 1 字符"/>
    <w:link w:val="2"/>
    <w:qFormat/>
    <w:locked/>
    <w:uiPriority w:val="9"/>
    <w:rPr>
      <w:rFonts w:ascii="Times New Roman" w:hAnsi="Times New Roman" w:cs="Times New Roman"/>
      <w:b/>
      <w:bCs/>
      <w:kern w:val="44"/>
      <w:sz w:val="44"/>
      <w:szCs w:val="44"/>
    </w:rPr>
  </w:style>
  <w:style w:type="character" w:customStyle="1" w:styleId="17">
    <w:name w:val="标题 2 字符"/>
    <w:link w:val="3"/>
    <w:qFormat/>
    <w:locked/>
    <w:uiPriority w:val="9"/>
    <w:rPr>
      <w:rFonts w:ascii="Cambria" w:hAnsi="Cambria" w:eastAsia="宋体" w:cs="Times New Roman"/>
      <w:b/>
      <w:bCs/>
      <w:kern w:val="2"/>
      <w:sz w:val="32"/>
      <w:szCs w:val="32"/>
    </w:rPr>
  </w:style>
  <w:style w:type="character" w:customStyle="1" w:styleId="18">
    <w:name w:val="标题 3 字符"/>
    <w:link w:val="4"/>
    <w:qFormat/>
    <w:locked/>
    <w:uiPriority w:val="9"/>
    <w:rPr>
      <w:rFonts w:ascii="Times New Roman" w:hAnsi="Times New Roman" w:cs="Times New Roman"/>
      <w:b/>
      <w:bCs/>
      <w:kern w:val="2"/>
      <w:sz w:val="32"/>
      <w:szCs w:val="32"/>
    </w:rPr>
  </w:style>
  <w:style w:type="character" w:customStyle="1" w:styleId="19">
    <w:name w:val="正文文本 字符"/>
    <w:link w:val="5"/>
    <w:qFormat/>
    <w:locked/>
    <w:uiPriority w:val="99"/>
    <w:rPr>
      <w:rFonts w:ascii="仿宋_GB2312" w:hAnsi="Times New Roman" w:eastAsia="仿宋_GB2312"/>
      <w:sz w:val="24"/>
    </w:rPr>
  </w:style>
  <w:style w:type="character" w:customStyle="1" w:styleId="20">
    <w:name w:val="批注框文本 字符"/>
    <w:link w:val="7"/>
    <w:semiHidden/>
    <w:qFormat/>
    <w:locked/>
    <w:uiPriority w:val="99"/>
    <w:rPr>
      <w:rFonts w:ascii="Times New Roman" w:hAnsi="Times New Roman" w:cs="Times New Roman"/>
      <w:kern w:val="2"/>
      <w:sz w:val="18"/>
      <w:szCs w:val="18"/>
    </w:rPr>
  </w:style>
  <w:style w:type="character" w:customStyle="1" w:styleId="21">
    <w:name w:val="页脚 字符"/>
    <w:link w:val="8"/>
    <w:qFormat/>
    <w:locked/>
    <w:uiPriority w:val="99"/>
    <w:rPr>
      <w:sz w:val="18"/>
    </w:rPr>
  </w:style>
  <w:style w:type="character" w:customStyle="1" w:styleId="22">
    <w:name w:val="页眉 字符"/>
    <w:link w:val="9"/>
    <w:semiHidden/>
    <w:qFormat/>
    <w:locked/>
    <w:uiPriority w:val="99"/>
    <w:rPr>
      <w:sz w:val="18"/>
    </w:rPr>
  </w:style>
  <w:style w:type="character" w:customStyle="1" w:styleId="23">
    <w:name w:val="Body Text Char"/>
    <w:semiHidden/>
    <w:qFormat/>
    <w:uiPriority w:val="99"/>
    <w:rPr>
      <w:rFonts w:ascii="Times New Roman" w:hAnsi="Times New Roman" w:cs="Times New Roman"/>
      <w:sz w:val="24"/>
      <w:szCs w:val="24"/>
    </w:rPr>
  </w:style>
  <w:style w:type="character" w:customStyle="1" w:styleId="24">
    <w:name w:val="Footer Char"/>
    <w:semiHidden/>
    <w:qFormat/>
    <w:uiPriority w:val="99"/>
    <w:rPr>
      <w:rFonts w:ascii="Times New Roman" w:hAnsi="Times New Roman" w:cs="Times New Roman"/>
      <w:sz w:val="18"/>
      <w:szCs w:val="18"/>
    </w:rPr>
  </w:style>
  <w:style w:type="character" w:customStyle="1" w:styleId="25">
    <w:name w:val="Header Char"/>
    <w:semiHidden/>
    <w:qFormat/>
    <w:uiPriority w:val="99"/>
    <w:rPr>
      <w:rFonts w:ascii="Times New Roman" w:hAnsi="Times New Roman" w:cs="Times New Roman"/>
      <w:sz w:val="18"/>
      <w:szCs w:val="18"/>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paragraph" w:customStyle="1" w:styleId="28">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9">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141592920354"/>
          <c:y val="0.0982142857142857"/>
          <c:w val="0.495575221238938"/>
          <c:h val="0.71875"/>
        </c:manualLayout>
      </c:layout>
      <c:barChart>
        <c:barDir val="col"/>
        <c:grouping val="clustered"/>
        <c:varyColors val="0"/>
        <c:ser>
          <c:idx val="0"/>
          <c:order val="0"/>
          <c:tx>
            <c:strRef>
              <c:f>Sheet1!$A$2</c:f>
              <c:strCache>
                <c:ptCount val="1"/>
                <c:pt idx="0">
                  <c:v>2020年收入</c:v>
                </c:pt>
              </c:strCache>
            </c:strRef>
          </c:tx>
          <c:spPr>
            <a:solidFill>
              <a:srgbClr val="9999FF"/>
            </a:solidFill>
            <a:ln w="7120">
              <a:solidFill>
                <a:srgbClr val="000000"/>
              </a:solidFill>
              <a:prstDash val="solid"/>
            </a:ln>
          </c:spPr>
          <c:invertIfNegative val="0"/>
          <c:dLbls>
            <c:delete val="1"/>
          </c:dLbls>
          <c:cat>
            <c:strRef>
              <c:f>Sheet1!$B$1:$B$1</c:f>
              <c:strCache>
                <c:ptCount val="1"/>
                <c:pt idx="0">
                  <c:v>全年</c:v>
                </c:pt>
              </c:strCache>
            </c:strRef>
          </c:cat>
          <c:val>
            <c:numRef>
              <c:f>Sheet1!$B$2:$B$2</c:f>
              <c:numCache>
                <c:formatCode>g/"通""用""格""式"</c:formatCode>
                <c:ptCount val="1"/>
                <c:pt idx="0">
                  <c:v>1549.68</c:v>
                </c:pt>
              </c:numCache>
            </c:numRef>
          </c:val>
        </c:ser>
        <c:ser>
          <c:idx val="1"/>
          <c:order val="1"/>
          <c:tx>
            <c:strRef>
              <c:f>Sheet1!$A$3</c:f>
              <c:strCache>
                <c:ptCount val="1"/>
                <c:pt idx="0">
                  <c:v>2019年收入</c:v>
                </c:pt>
              </c:strCache>
            </c:strRef>
          </c:tx>
          <c:spPr>
            <a:solidFill>
              <a:srgbClr val="993366"/>
            </a:solidFill>
            <a:ln w="7120">
              <a:solidFill>
                <a:srgbClr val="000000"/>
              </a:solidFill>
              <a:prstDash val="solid"/>
            </a:ln>
          </c:spPr>
          <c:invertIfNegative val="0"/>
          <c:dLbls>
            <c:delete val="1"/>
          </c:dLbls>
          <c:cat>
            <c:strRef>
              <c:f>Sheet1!$B$1:$B$1</c:f>
              <c:strCache>
                <c:ptCount val="1"/>
                <c:pt idx="0">
                  <c:v>全年</c:v>
                </c:pt>
              </c:strCache>
            </c:strRef>
          </c:cat>
          <c:val>
            <c:numRef>
              <c:f>Sheet1!$B$3:$B$3</c:f>
              <c:numCache>
                <c:formatCode>g/"通""用""格""式"</c:formatCode>
                <c:ptCount val="1"/>
                <c:pt idx="0">
                  <c:v>1740.63</c:v>
                </c:pt>
              </c:numCache>
            </c:numRef>
          </c:val>
        </c:ser>
        <c:ser>
          <c:idx val="2"/>
          <c:order val="2"/>
          <c:tx>
            <c:strRef>
              <c:f>Sheet1!$A$4</c:f>
              <c:strCache>
                <c:ptCount val="1"/>
                <c:pt idx="0">
                  <c:v>2020年支出</c:v>
                </c:pt>
              </c:strCache>
            </c:strRef>
          </c:tx>
          <c:spPr>
            <a:solidFill>
              <a:srgbClr val="FFFFCC"/>
            </a:solidFill>
            <a:ln w="7120">
              <a:solidFill>
                <a:srgbClr val="000000"/>
              </a:solidFill>
              <a:prstDash val="solid"/>
            </a:ln>
          </c:spPr>
          <c:invertIfNegative val="0"/>
          <c:dLbls>
            <c:delete val="1"/>
          </c:dLbls>
          <c:cat>
            <c:strRef>
              <c:f>Sheet1!$B$1:$B$1</c:f>
              <c:strCache>
                <c:ptCount val="1"/>
                <c:pt idx="0">
                  <c:v>全年</c:v>
                </c:pt>
              </c:strCache>
            </c:strRef>
          </c:cat>
          <c:val>
            <c:numRef>
              <c:f>Sheet1!$B$4:$B$4</c:f>
              <c:numCache>
                <c:formatCode>g/"通""用""格""式"</c:formatCode>
                <c:ptCount val="1"/>
                <c:pt idx="0">
                  <c:v>1587.6</c:v>
                </c:pt>
              </c:numCache>
            </c:numRef>
          </c:val>
        </c:ser>
        <c:ser>
          <c:idx val="3"/>
          <c:order val="3"/>
          <c:tx>
            <c:strRef>
              <c:f>Sheet1!$A$5</c:f>
              <c:strCache>
                <c:ptCount val="1"/>
                <c:pt idx="0">
                  <c:v>2019年支出</c:v>
                </c:pt>
              </c:strCache>
            </c:strRef>
          </c:tx>
          <c:spPr>
            <a:solidFill>
              <a:srgbClr val="CCFFFF"/>
            </a:solidFill>
            <a:ln w="7120">
              <a:solidFill>
                <a:srgbClr val="000000"/>
              </a:solidFill>
              <a:prstDash val="solid"/>
            </a:ln>
          </c:spPr>
          <c:invertIfNegative val="0"/>
          <c:dLbls>
            <c:delete val="1"/>
          </c:dLbls>
          <c:cat>
            <c:strRef>
              <c:f>Sheet1!$B$1:$B$1</c:f>
              <c:strCache>
                <c:ptCount val="1"/>
                <c:pt idx="0">
                  <c:v>全年</c:v>
                </c:pt>
              </c:strCache>
            </c:strRef>
          </c:cat>
          <c:val>
            <c:numRef>
              <c:f>Sheet1!$B$5:$B$5</c:f>
              <c:numCache>
                <c:formatCode>g/"通""用""格""式"</c:formatCode>
                <c:ptCount val="1"/>
                <c:pt idx="0">
                  <c:v>1786.43</c:v>
                </c:pt>
              </c:numCache>
            </c:numRef>
          </c:val>
        </c:ser>
        <c:dLbls>
          <c:showLegendKey val="0"/>
          <c:showVal val="0"/>
          <c:showCatName val="0"/>
          <c:showSerName val="0"/>
          <c:showPercent val="0"/>
          <c:showBubbleSize val="0"/>
        </c:dLbls>
        <c:gapWidth val="150"/>
        <c:axId val="263901584"/>
        <c:axId val="1"/>
      </c:barChart>
      <c:catAx>
        <c:axId val="263901584"/>
        <c:scaling>
          <c:orientation val="minMax"/>
        </c:scaling>
        <c:delete val="0"/>
        <c:axPos val="b"/>
        <c:numFmt formatCode="General" sourceLinked="1"/>
        <c:majorTickMark val="in"/>
        <c:minorTickMark val="none"/>
        <c:tickLblPos val="nextTo"/>
        <c:spPr>
          <a:ln w="1780" cap="flat" cmpd="sng" algn="ctr">
            <a:solidFill>
              <a:srgbClr val="000000"/>
            </a:solidFill>
            <a:prstDash val="solid"/>
            <a:round/>
          </a:ln>
        </c:spPr>
        <c:txPr>
          <a:bodyPr rot="0" spcFirstLastPara="0" vertOverflow="ellipsis" vert="horz" wrap="square" anchor="ctr" anchorCtr="1"/>
          <a:lstStyle/>
          <a:p>
            <a:pPr>
              <a:defRPr lang="zh-CN" sz="6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majorGridlines>
          <c:spPr>
            <a:ln w="1780" cap="flat" cmpd="sng" algn="ctr">
              <a:solidFill>
                <a:srgbClr val="000000"/>
              </a:solidFill>
              <a:prstDash val="solid"/>
              <a:round/>
            </a:ln>
          </c:spPr>
        </c:majorGridlines>
        <c:numFmt formatCode="g/&quot;通&quot;&quot;用&quot;&quot;格&quot;&quot;式&quot;" sourceLinked="1"/>
        <c:majorTickMark val="in"/>
        <c:minorTickMark val="none"/>
        <c:tickLblPos val="nextTo"/>
        <c:spPr>
          <a:ln w="1780" cap="flat" cmpd="sng" algn="ctr">
            <a:solidFill>
              <a:srgbClr val="000000"/>
            </a:solidFill>
            <a:prstDash val="solid"/>
            <a:round/>
          </a:ln>
        </c:spPr>
        <c:txPr>
          <a:bodyPr rot="0" spcFirstLastPara="0" vertOverflow="ellipsis" vert="horz" wrap="square" anchor="ctr" anchorCtr="1"/>
          <a:lstStyle/>
          <a:p>
            <a:pPr>
              <a:defRPr lang="zh-CN" sz="6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63901584"/>
        <c:crosses val="autoZero"/>
        <c:crossBetween val="between"/>
      </c:valAx>
      <c:spPr>
        <a:solidFill>
          <a:srgbClr val="C0C0C0"/>
        </a:solidFill>
        <a:ln w="7120">
          <a:solidFill>
            <a:srgbClr val="808080"/>
          </a:solidFill>
          <a:prstDash val="solid"/>
        </a:ln>
      </c:spPr>
    </c:plotArea>
    <c:legend>
      <c:legendPos val="r"/>
      <c:layout>
        <c:manualLayout>
          <c:xMode val="edge"/>
          <c:yMode val="edge"/>
          <c:x val="0.693215339233038"/>
          <c:y val="0.272321428571429"/>
          <c:w val="0.294985250737463"/>
          <c:h val="0.361607142857143"/>
        </c:manualLayout>
      </c:layout>
      <c:overlay val="0"/>
      <c:spPr>
        <a:noFill/>
        <a:ln w="1780">
          <a:solidFill>
            <a:srgbClr val="000000"/>
          </a:solidFill>
          <a:prstDash val="solid"/>
        </a:ln>
      </c:spPr>
      <c:txPr>
        <a:bodyPr rot="0" spcFirstLastPara="0" vertOverflow="ellipsis" vert="horz" wrap="square" anchor="ctr" anchorCtr="1"/>
        <a:lstStyle/>
        <a:p>
          <a:pPr>
            <a:defRPr lang="zh-CN" sz="56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6350" cap="flat" cmpd="sng" algn="ctr">
      <a:noFill/>
      <a:prstDash val="solid"/>
      <a:round/>
    </a:ln>
  </c:spPr>
  <c:txPr>
    <a:bodyPr/>
    <a:lstStyle/>
    <a:p>
      <a:pPr>
        <a:defRPr lang="zh-CN" sz="61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3229813664596"/>
          <c:y val="0.108490566037736"/>
          <c:w val="0.521739130434783"/>
          <c:h val="0.792452830188679"/>
        </c:manualLayout>
      </c:layout>
      <c:pieChart>
        <c:varyColors val="1"/>
        <c:ser>
          <c:idx val="0"/>
          <c:order val="0"/>
          <c:tx>
            <c:strRef>
              <c:f>Sheet1!$A$2</c:f>
              <c:strCache>
                <c:ptCount val="1"/>
                <c:pt idx="0">
                  <c:v/>
                </c:pt>
              </c:strCache>
            </c:strRef>
          </c:tx>
          <c:spPr>
            <a:solidFill>
              <a:srgbClr val="9999FF"/>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Lbls>
            <c:delete val="1"/>
          </c:dLbls>
          <c:cat>
            <c:strRef>
              <c:f>Sheet1!$B$1:$E$1</c:f>
              <c:strCache>
                <c:ptCount val="4"/>
                <c:pt idx="0">
                  <c:v>一般公共预算财政拨款</c:v>
                </c:pt>
                <c:pt idx="1">
                  <c:v>政府性基金预算</c:v>
                </c:pt>
                <c:pt idx="2">
                  <c:v>事业收入</c:v>
                </c:pt>
                <c:pt idx="3">
                  <c:v>其他收入</c:v>
                </c:pt>
              </c:strCache>
            </c:strRef>
          </c:cat>
          <c:val>
            <c:numRef>
              <c:f>Sheet1!$B$2:$E$2</c:f>
              <c:numCache>
                <c:formatCode>g/"通""用""格""式"</c:formatCode>
                <c:ptCount val="4"/>
                <c:pt idx="0">
                  <c:v>216.33</c:v>
                </c:pt>
                <c:pt idx="1">
                  <c:v>372</c:v>
                </c:pt>
                <c:pt idx="2">
                  <c:v>914.73</c:v>
                </c:pt>
                <c:pt idx="3">
                  <c:v>46.62</c:v>
                </c:pt>
              </c:numCache>
            </c:numRef>
          </c:val>
        </c:ser>
        <c:ser>
          <c:idx val="1"/>
          <c:order val="1"/>
          <c:tx>
            <c:strRef>
              <c:f>Sheet1!$A$3</c:f>
              <c:strCache>
                <c:ptCount val="1"/>
                <c:pt idx="0">
                  <c:v/>
                </c:pt>
              </c:strCache>
            </c:strRef>
          </c:tx>
          <c:spPr>
            <a:solidFill>
              <a:srgbClr val="993366"/>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Lbls>
            <c:delete val="1"/>
          </c:dLbls>
          <c:cat>
            <c:strRef>
              <c:f>Sheet1!$B$1:$E$1</c:f>
              <c:strCache>
                <c:ptCount val="4"/>
                <c:pt idx="0">
                  <c:v>一般公共预算财政拨款</c:v>
                </c:pt>
                <c:pt idx="1">
                  <c:v>政府性基金预算</c:v>
                </c:pt>
                <c:pt idx="2">
                  <c:v>事业收入</c:v>
                </c:pt>
                <c:pt idx="3">
                  <c:v>其他收入</c:v>
                </c:pt>
              </c:strCache>
            </c:strRef>
          </c:cat>
          <c:val>
            <c:numRef>
              <c:f>Sheet1!$B$3:$E$3</c:f>
              <c:numCache>
                <c:formatCode>General</c:formatCode>
                <c:ptCount val="4"/>
              </c:numCache>
            </c:numRef>
          </c:val>
        </c:ser>
        <c:ser>
          <c:idx val="2"/>
          <c:order val="2"/>
          <c:tx>
            <c:strRef>
              <c:f>Sheet1!$A$4</c:f>
              <c:strCache>
                <c:ptCount val="1"/>
                <c:pt idx="0">
                  <c:v/>
                </c:pt>
              </c:strCache>
            </c:strRef>
          </c:tx>
          <c:spPr>
            <a:solidFill>
              <a:srgbClr val="FFFFCC"/>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Lbls>
            <c:delete val="1"/>
          </c:dLbls>
          <c:cat>
            <c:strRef>
              <c:f>Sheet1!$B$1:$E$1</c:f>
              <c:strCache>
                <c:ptCount val="4"/>
                <c:pt idx="0">
                  <c:v>一般公共预算财政拨款</c:v>
                </c:pt>
                <c:pt idx="1">
                  <c:v>政府性基金预算</c:v>
                </c:pt>
                <c:pt idx="2">
                  <c:v>事业收入</c:v>
                </c:pt>
                <c:pt idx="3">
                  <c:v>其他收入</c:v>
                </c:pt>
              </c:strCache>
            </c:strRef>
          </c:cat>
          <c:val>
            <c:numRef>
              <c:f>Sheet1!$B$4:$E$4</c:f>
              <c:numCache>
                <c:formatCode>General</c:formatCode>
                <c:ptCount val="4"/>
              </c:numCache>
            </c:numRef>
          </c:val>
        </c:ser>
        <c:ser>
          <c:idx val="3"/>
          <c:order val="3"/>
          <c:tx>
            <c:strRef>
              <c:f>Sheet1!$A$5</c:f>
              <c:strCache>
                <c:ptCount val="1"/>
                <c:pt idx="0">
                  <c:v/>
                </c:pt>
              </c:strCache>
            </c:strRef>
          </c:tx>
          <c:spPr>
            <a:solidFill>
              <a:srgbClr val="CCFFFF"/>
            </a:solidFill>
            <a:ln w="9521">
              <a:solidFill>
                <a:srgbClr val="000000"/>
              </a:solidFill>
              <a:prstDash val="solid"/>
            </a:ln>
          </c:spPr>
          <c:explosion val="0"/>
          <c:dPt>
            <c:idx val="0"/>
            <c:bubble3D val="0"/>
            <c:spPr>
              <a:solidFill>
                <a:srgbClr val="9999FF"/>
              </a:solidFill>
              <a:ln w="9521">
                <a:solidFill>
                  <a:srgbClr val="000000"/>
                </a:solidFill>
                <a:prstDash val="solid"/>
              </a:ln>
            </c:spPr>
          </c:dPt>
          <c:dPt>
            <c:idx val="1"/>
            <c:bubble3D val="0"/>
            <c:spPr>
              <a:solidFill>
                <a:srgbClr val="993366"/>
              </a:solidFill>
              <a:ln w="9521">
                <a:solidFill>
                  <a:srgbClr val="000000"/>
                </a:solidFill>
                <a:prstDash val="solid"/>
              </a:ln>
            </c:spPr>
          </c:dPt>
          <c:dPt>
            <c:idx val="2"/>
            <c:bubble3D val="0"/>
            <c:spPr>
              <a:solidFill>
                <a:srgbClr val="FFFFCC"/>
              </a:solidFill>
              <a:ln w="9521">
                <a:solidFill>
                  <a:srgbClr val="000000"/>
                </a:solidFill>
                <a:prstDash val="solid"/>
              </a:ln>
            </c:spPr>
          </c:dPt>
          <c:dPt>
            <c:idx val="3"/>
            <c:bubble3D val="0"/>
            <c:spPr>
              <a:solidFill>
                <a:srgbClr val="CCFFFF"/>
              </a:solidFill>
              <a:ln w="9521">
                <a:solidFill>
                  <a:srgbClr val="000000"/>
                </a:solidFill>
                <a:prstDash val="solid"/>
              </a:ln>
            </c:spPr>
          </c:dPt>
          <c:dLbls>
            <c:delete val="1"/>
          </c:dLbls>
          <c:cat>
            <c:strRef>
              <c:f>Sheet1!$B$1:$E$1</c:f>
              <c:strCache>
                <c:ptCount val="4"/>
                <c:pt idx="0">
                  <c:v>一般公共预算财政拨款</c:v>
                </c:pt>
                <c:pt idx="1">
                  <c:v>政府性基金预算</c:v>
                </c:pt>
                <c:pt idx="2">
                  <c:v>事业收入</c:v>
                </c:pt>
                <c:pt idx="3">
                  <c:v>其他收入</c:v>
                </c:pt>
              </c:strCache>
            </c:strRef>
          </c:cat>
          <c:val>
            <c:numRef>
              <c:f>Sheet1!$B$5:$E$5</c:f>
              <c:numCache>
                <c:formatCode>General</c:formatCode>
                <c:ptCount val="4"/>
              </c:numCache>
            </c:numRef>
          </c:val>
        </c:ser>
        <c:dLbls>
          <c:showLegendKey val="0"/>
          <c:showVal val="0"/>
          <c:showCatName val="0"/>
          <c:showSerName val="0"/>
          <c:showPercent val="0"/>
          <c:showBubbleSize val="0"/>
          <c:showLeaderLines val="1"/>
        </c:dLbls>
        <c:firstSliceAng val="0"/>
      </c:pieChart>
      <c:spPr>
        <a:solidFill>
          <a:srgbClr val="C0C0C0"/>
        </a:solidFill>
        <a:ln w="9521">
          <a:solidFill>
            <a:srgbClr val="808080"/>
          </a:solidFill>
          <a:prstDash val="solid"/>
        </a:ln>
      </c:spPr>
    </c:plotArea>
    <c:legend>
      <c:legendPos val="r"/>
      <c:layout>
        <c:manualLayout>
          <c:xMode val="edge"/>
          <c:yMode val="edge"/>
          <c:x val="0.658385093167702"/>
          <c:y val="0.169811320754717"/>
          <c:w val="0.329192546583851"/>
          <c:h val="0.665094339622642"/>
        </c:manualLayout>
      </c:layout>
      <c:overlay val="0"/>
      <c:spPr>
        <a:noFill/>
        <a:ln w="2380">
          <a:solidFill>
            <a:srgbClr val="000000"/>
          </a:solidFill>
          <a:prstDash val="solid"/>
        </a:ln>
      </c:spPr>
      <c:txPr>
        <a:bodyPr rot="0" spcFirstLastPara="0" vertOverflow="ellipsis" vert="horz" wrap="square" anchor="ctr" anchorCtr="1"/>
        <a:lstStyle/>
        <a:p>
          <a:pPr>
            <a:defRPr lang="zh-CN" sz="7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78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7"/>
          <c:y val="0.115384615384615"/>
          <c:w val="0.507194244604317"/>
          <c:h val="0.774725274725275"/>
        </c:manualLayout>
      </c:layout>
      <c:pieChart>
        <c:varyColors val="1"/>
        <c:ser>
          <c:idx val="0"/>
          <c:order val="0"/>
          <c:tx>
            <c:strRef>
              <c:f>Sheet1!$A$2</c:f>
              <c:strCache>
                <c:ptCount val="1"/>
                <c:pt idx="0">
                  <c:v/>
                </c:pt>
              </c:strCache>
            </c:strRef>
          </c:tx>
          <c:spPr>
            <a:solidFill>
              <a:srgbClr val="9999FF"/>
            </a:solidFill>
            <a:ln w="9516">
              <a:solidFill>
                <a:srgbClr val="000000"/>
              </a:solidFill>
              <a:prstDash val="solid"/>
            </a:ln>
          </c:spPr>
          <c:explosion val="0"/>
          <c:dPt>
            <c:idx val="0"/>
            <c:bubble3D val="0"/>
            <c:spPr>
              <a:solidFill>
                <a:srgbClr val="9999FF"/>
              </a:solidFill>
              <a:ln w="9516">
                <a:solidFill>
                  <a:srgbClr val="000000"/>
                </a:solidFill>
                <a:prstDash val="solid"/>
              </a:ln>
            </c:spPr>
          </c:dPt>
          <c:dPt>
            <c:idx val="1"/>
            <c:bubble3D val="0"/>
            <c:spPr>
              <a:solidFill>
                <a:srgbClr val="993366"/>
              </a:solidFill>
              <a:ln w="9516">
                <a:solidFill>
                  <a:srgbClr val="000000"/>
                </a:solidFill>
                <a:prstDash val="solid"/>
              </a:ln>
            </c:spPr>
          </c:dPt>
          <c:dPt>
            <c:idx val="2"/>
            <c:bubble3D val="0"/>
            <c:spPr>
              <a:solidFill>
                <a:srgbClr val="FFFFCC"/>
              </a:solidFill>
              <a:ln w="9516">
                <a:solidFill>
                  <a:srgbClr val="000000"/>
                </a:solidFill>
                <a:prstDash val="solid"/>
              </a:ln>
            </c:spPr>
          </c:dPt>
          <c:dPt>
            <c:idx val="3"/>
            <c:bubble3D val="0"/>
            <c:spPr>
              <a:solidFill>
                <a:srgbClr val="CCFFFF"/>
              </a:solidFill>
              <a:ln w="9516">
                <a:solidFill>
                  <a:srgbClr val="000000"/>
                </a:solidFill>
                <a:prstDash val="solid"/>
              </a:ln>
            </c:spPr>
          </c:dPt>
          <c:dLbls>
            <c:delete val="1"/>
          </c:dLbls>
          <c:cat>
            <c:strRef>
              <c:f>Sheet1!$B$1:$E$1</c:f>
              <c:strCache>
                <c:ptCount val="4"/>
                <c:pt idx="0">
                  <c:v>一般公共预算财政拨款</c:v>
                </c:pt>
                <c:pt idx="1">
                  <c:v>政府性基金预算拨款</c:v>
                </c:pt>
                <c:pt idx="2">
                  <c:v> </c:v>
                </c:pt>
                <c:pt idx="3">
                  <c:v> </c:v>
                </c:pt>
              </c:strCache>
            </c:strRef>
          </c:cat>
          <c:val>
            <c:numRef>
              <c:f>Sheet1!$B$2:$E$2</c:f>
              <c:numCache>
                <c:formatCode>g/"通""用""格""式"</c:formatCode>
                <c:ptCount val="4"/>
                <c:pt idx="0">
                  <c:v>216.33</c:v>
                </c:pt>
                <c:pt idx="1">
                  <c:v>372</c:v>
                </c:pt>
                <c:pt idx="2">
                  <c:v>0</c:v>
                </c:pt>
                <c:pt idx="3">
                  <c:v>0</c:v>
                </c:pt>
              </c:numCache>
            </c:numRef>
          </c:val>
        </c:ser>
        <c:ser>
          <c:idx val="1"/>
          <c:order val="1"/>
          <c:tx>
            <c:strRef>
              <c:f>Sheet1!$A$3</c:f>
              <c:strCache>
                <c:ptCount val="1"/>
                <c:pt idx="0">
                  <c:v/>
                </c:pt>
              </c:strCache>
            </c:strRef>
          </c:tx>
          <c:spPr>
            <a:solidFill>
              <a:srgbClr val="993366"/>
            </a:solidFill>
            <a:ln w="9516">
              <a:solidFill>
                <a:srgbClr val="000000"/>
              </a:solidFill>
              <a:prstDash val="solid"/>
            </a:ln>
          </c:spPr>
          <c:explosion val="0"/>
          <c:dPt>
            <c:idx val="0"/>
            <c:bubble3D val="0"/>
            <c:spPr>
              <a:solidFill>
                <a:srgbClr val="9999FF"/>
              </a:solidFill>
              <a:ln w="9516">
                <a:solidFill>
                  <a:srgbClr val="000000"/>
                </a:solidFill>
                <a:prstDash val="solid"/>
              </a:ln>
            </c:spPr>
          </c:dPt>
          <c:dPt>
            <c:idx val="1"/>
            <c:bubble3D val="0"/>
            <c:spPr>
              <a:solidFill>
                <a:srgbClr val="993366"/>
              </a:solidFill>
              <a:ln w="9516">
                <a:solidFill>
                  <a:srgbClr val="000000"/>
                </a:solidFill>
                <a:prstDash val="solid"/>
              </a:ln>
            </c:spPr>
          </c:dPt>
          <c:dPt>
            <c:idx val="2"/>
            <c:bubble3D val="0"/>
            <c:spPr>
              <a:solidFill>
                <a:srgbClr val="FFFFCC"/>
              </a:solidFill>
              <a:ln w="9516">
                <a:solidFill>
                  <a:srgbClr val="000000"/>
                </a:solidFill>
                <a:prstDash val="solid"/>
              </a:ln>
            </c:spPr>
          </c:dPt>
          <c:dPt>
            <c:idx val="3"/>
            <c:bubble3D val="0"/>
            <c:spPr>
              <a:solidFill>
                <a:srgbClr val="CCFFFF"/>
              </a:solidFill>
              <a:ln w="9516">
                <a:solidFill>
                  <a:srgbClr val="000000"/>
                </a:solidFill>
                <a:prstDash val="solid"/>
              </a:ln>
            </c:spPr>
          </c:dPt>
          <c:dLbls>
            <c:delete val="1"/>
          </c:dLbls>
          <c:cat>
            <c:strRef>
              <c:f>Sheet1!$B$1:$E$1</c:f>
              <c:strCache>
                <c:ptCount val="4"/>
                <c:pt idx="0">
                  <c:v>一般公共预算财政拨款</c:v>
                </c:pt>
                <c:pt idx="1">
                  <c:v>政府性基金预算拨款</c:v>
                </c:pt>
                <c:pt idx="2">
                  <c:v> </c:v>
                </c:pt>
                <c:pt idx="3">
                  <c:v> </c:v>
                </c:pt>
              </c:strCache>
            </c:strRef>
          </c:cat>
          <c:val>
            <c:numRef>
              <c:f>Sheet1!$B$3:$E$3</c:f>
              <c:numCache>
                <c:formatCode>g/"通""用""格""式"</c:formatCode>
                <c:ptCount val="4"/>
                <c:pt idx="0">
                  <c:v>0</c:v>
                </c:pt>
                <c:pt idx="1">
                  <c:v>0</c:v>
                </c:pt>
                <c:pt idx="2">
                  <c:v>0</c:v>
                </c:pt>
                <c:pt idx="3">
                  <c:v>0</c:v>
                </c:pt>
              </c:numCache>
            </c:numRef>
          </c:val>
        </c:ser>
        <c:ser>
          <c:idx val="2"/>
          <c:order val="2"/>
          <c:tx>
            <c:strRef>
              <c:f>Sheet1!$A$4</c:f>
              <c:strCache>
                <c:ptCount val="1"/>
                <c:pt idx="0">
                  <c:v/>
                </c:pt>
              </c:strCache>
            </c:strRef>
          </c:tx>
          <c:spPr>
            <a:solidFill>
              <a:srgbClr val="FFFFCC"/>
            </a:solidFill>
            <a:ln w="9516">
              <a:solidFill>
                <a:srgbClr val="000000"/>
              </a:solidFill>
              <a:prstDash val="solid"/>
            </a:ln>
          </c:spPr>
          <c:explosion val="0"/>
          <c:dPt>
            <c:idx val="0"/>
            <c:bubble3D val="0"/>
            <c:spPr>
              <a:solidFill>
                <a:srgbClr val="9999FF"/>
              </a:solidFill>
              <a:ln w="9516">
                <a:solidFill>
                  <a:srgbClr val="000000"/>
                </a:solidFill>
                <a:prstDash val="solid"/>
              </a:ln>
            </c:spPr>
          </c:dPt>
          <c:dPt>
            <c:idx val="1"/>
            <c:bubble3D val="0"/>
            <c:spPr>
              <a:solidFill>
                <a:srgbClr val="993366"/>
              </a:solidFill>
              <a:ln w="9516">
                <a:solidFill>
                  <a:srgbClr val="000000"/>
                </a:solidFill>
                <a:prstDash val="solid"/>
              </a:ln>
            </c:spPr>
          </c:dPt>
          <c:dPt>
            <c:idx val="2"/>
            <c:bubble3D val="0"/>
            <c:spPr>
              <a:solidFill>
                <a:srgbClr val="FFFFCC"/>
              </a:solidFill>
              <a:ln w="9516">
                <a:solidFill>
                  <a:srgbClr val="000000"/>
                </a:solidFill>
                <a:prstDash val="solid"/>
              </a:ln>
            </c:spPr>
          </c:dPt>
          <c:dPt>
            <c:idx val="3"/>
            <c:bubble3D val="0"/>
            <c:spPr>
              <a:solidFill>
                <a:srgbClr val="CCFFFF"/>
              </a:solidFill>
              <a:ln w="9516">
                <a:solidFill>
                  <a:srgbClr val="000000"/>
                </a:solidFill>
                <a:prstDash val="solid"/>
              </a:ln>
            </c:spPr>
          </c:dPt>
          <c:dLbls>
            <c:delete val="1"/>
          </c:dLbls>
          <c:cat>
            <c:strRef>
              <c:f>Sheet1!$B$1:$E$1</c:f>
              <c:strCache>
                <c:ptCount val="4"/>
                <c:pt idx="0">
                  <c:v>一般公共预算财政拨款</c:v>
                </c:pt>
                <c:pt idx="1">
                  <c:v>政府性基金预算拨款</c:v>
                </c:pt>
                <c:pt idx="2">
                  <c:v> </c:v>
                </c:pt>
                <c:pt idx="3">
                  <c:v> </c:v>
                </c:pt>
              </c:strCache>
            </c:strRef>
          </c:cat>
          <c:val>
            <c:numRef>
              <c:f>Sheet1!$B$4:$E$4</c:f>
              <c:numCache>
                <c:formatCode>g/"通""用""格""式"</c:formatCode>
                <c:ptCount val="4"/>
                <c:pt idx="0">
                  <c:v>0</c:v>
                </c:pt>
                <c:pt idx="1">
                  <c:v>0</c:v>
                </c:pt>
                <c:pt idx="2">
                  <c:v>0</c:v>
                </c:pt>
                <c:pt idx="3">
                  <c:v>0</c:v>
                </c:pt>
              </c:numCache>
            </c:numRef>
          </c:val>
        </c:ser>
        <c:dLbls>
          <c:showLegendKey val="0"/>
          <c:showVal val="0"/>
          <c:showCatName val="0"/>
          <c:showSerName val="0"/>
          <c:showPercent val="0"/>
          <c:showBubbleSize val="0"/>
          <c:showLeaderLines val="1"/>
        </c:dLbls>
        <c:firstSliceAng val="0"/>
      </c:pieChart>
      <c:spPr>
        <a:solidFill>
          <a:srgbClr val="C0C0C0"/>
        </a:solidFill>
        <a:ln w="9516">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0"/>
      <c:spPr>
        <a:noFill/>
        <a:ln w="2379">
          <a:solidFill>
            <a:srgbClr val="000000"/>
          </a:solidFill>
          <a:prstDash val="solid"/>
        </a:ln>
      </c:spPr>
      <c:txPr>
        <a:bodyPr rot="0" spcFirstLastPara="0" vertOverflow="ellipsis" vert="horz" wrap="square" anchor="ctr" anchorCtr="1"/>
        <a:lstStyle/>
        <a:p>
          <a:pPr>
            <a:defRPr lang="zh-CN" sz="6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6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82014388489"/>
          <c:y val="0.10989010989011"/>
          <c:w val="0.471223021582734"/>
          <c:h val="0.692307692307692"/>
        </c:manualLayout>
      </c:layout>
      <c:barChart>
        <c:barDir val="col"/>
        <c:grouping val="clustered"/>
        <c:varyColors val="0"/>
        <c:ser>
          <c:idx val="0"/>
          <c:order val="0"/>
          <c:tx>
            <c:strRef>
              <c:f>Sheet1!$A$2</c:f>
              <c:strCache>
                <c:ptCount val="1"/>
                <c:pt idx="0">
                  <c:v>2020年财政拨款收入</c:v>
                </c:pt>
              </c:strCache>
            </c:strRef>
          </c:tx>
          <c:spPr>
            <a:solidFill>
              <a:srgbClr val="9999FF"/>
            </a:solidFill>
            <a:ln w="9522">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Sheet1!$B$2:$E$2</c:f>
              <c:numCache>
                <c:formatCode>g/"通""用""格""式"</c:formatCode>
                <c:ptCount val="4"/>
                <c:pt idx="0">
                  <c:v>588.33</c:v>
                </c:pt>
                <c:pt idx="1">
                  <c:v>0</c:v>
                </c:pt>
                <c:pt idx="2">
                  <c:v>0</c:v>
                </c:pt>
                <c:pt idx="3">
                  <c:v>0</c:v>
                </c:pt>
              </c:numCache>
            </c:numRef>
          </c:val>
        </c:ser>
        <c:ser>
          <c:idx val="1"/>
          <c:order val="1"/>
          <c:tx>
            <c:strRef>
              <c:f>Sheet1!$A$3</c:f>
              <c:strCache>
                <c:ptCount val="1"/>
                <c:pt idx="0">
                  <c:v>2020年财政拨款支出</c:v>
                </c:pt>
              </c:strCache>
            </c:strRef>
          </c:tx>
          <c:spPr>
            <a:solidFill>
              <a:srgbClr val="993366"/>
            </a:solidFill>
            <a:ln w="9522">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Sheet1!$B$3:$E$3</c:f>
              <c:numCache>
                <c:formatCode>g/"通""用""格""式"</c:formatCode>
                <c:ptCount val="4"/>
                <c:pt idx="0">
                  <c:v>582.87</c:v>
                </c:pt>
                <c:pt idx="1">
                  <c:v>0</c:v>
                </c:pt>
                <c:pt idx="2">
                  <c:v>0</c:v>
                </c:pt>
                <c:pt idx="3">
                  <c:v>0</c:v>
                </c:pt>
              </c:numCache>
            </c:numRef>
          </c:val>
        </c:ser>
        <c:ser>
          <c:idx val="2"/>
          <c:order val="2"/>
          <c:tx>
            <c:strRef>
              <c:f>Sheet1!$A$4</c:f>
              <c:strCache>
                <c:ptCount val="1"/>
                <c:pt idx="0">
                  <c:v>2019年财政拨款收入</c:v>
                </c:pt>
              </c:strCache>
            </c:strRef>
          </c:tx>
          <c:spPr>
            <a:solidFill>
              <a:srgbClr val="FFFFCC"/>
            </a:solidFill>
            <a:ln w="9522">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Sheet1!$B$4:$E$4</c:f>
              <c:numCache>
                <c:formatCode>g/"通""用""格""式"</c:formatCode>
                <c:ptCount val="4"/>
                <c:pt idx="0">
                  <c:v>570.75</c:v>
                </c:pt>
                <c:pt idx="1">
                  <c:v>0</c:v>
                </c:pt>
                <c:pt idx="2">
                  <c:v>0</c:v>
                </c:pt>
                <c:pt idx="3">
                  <c:v>0</c:v>
                </c:pt>
              </c:numCache>
            </c:numRef>
          </c:val>
        </c:ser>
        <c:ser>
          <c:idx val="3"/>
          <c:order val="3"/>
          <c:tx>
            <c:strRef>
              <c:f>Sheet1!$A$5</c:f>
              <c:strCache>
                <c:ptCount val="1"/>
                <c:pt idx="0">
                  <c:v>2019年财政拨款支出</c:v>
                </c:pt>
              </c:strCache>
            </c:strRef>
          </c:tx>
          <c:spPr>
            <a:solidFill>
              <a:srgbClr val="CCFFFF"/>
            </a:solidFill>
            <a:ln w="9522">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Sheet1!$B$5:$E$5</c:f>
              <c:numCache>
                <c:formatCode>g/"通""用""格""式"</c:formatCode>
                <c:ptCount val="4"/>
                <c:pt idx="0">
                  <c:v>570.75</c:v>
                </c:pt>
              </c:numCache>
            </c:numRef>
          </c:val>
        </c:ser>
        <c:dLbls>
          <c:showLegendKey val="0"/>
          <c:showVal val="0"/>
          <c:showCatName val="0"/>
          <c:showSerName val="0"/>
          <c:showPercent val="0"/>
          <c:showBubbleSize val="0"/>
        </c:dLbls>
        <c:gapWidth val="150"/>
        <c:axId val="211928992"/>
        <c:axId val="1"/>
      </c:barChart>
      <c:catAx>
        <c:axId val="211928992"/>
        <c:scaling>
          <c:orientation val="minMax"/>
        </c:scaling>
        <c:delete val="0"/>
        <c:axPos val="b"/>
        <c:numFmt formatCode="General" sourceLinked="1"/>
        <c:majorTickMark val="in"/>
        <c:minorTickMark val="none"/>
        <c:tickLblPos val="nextTo"/>
        <c:spPr>
          <a:ln w="2381"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majorGridlines>
          <c:spPr>
            <a:ln w="2381" cap="flat" cmpd="sng" algn="ctr">
              <a:solidFill>
                <a:srgbClr val="000000"/>
              </a:solidFill>
              <a:prstDash val="solid"/>
              <a:round/>
            </a:ln>
          </c:spPr>
        </c:majorGridlines>
        <c:numFmt formatCode="g/&quot;通&quot;&quot;用&quot;&quot;格&quot;&quot;式&quot;" sourceLinked="1"/>
        <c:majorTickMark val="in"/>
        <c:minorTickMark val="none"/>
        <c:tickLblPos val="nextTo"/>
        <c:spPr>
          <a:ln w="2381" cap="flat" cmpd="sng" algn="ctr">
            <a:solidFill>
              <a:srgbClr val="000000"/>
            </a:solidFill>
            <a:prstDash val="solid"/>
            <a:round/>
          </a:ln>
        </c:spPr>
        <c:txPr>
          <a:bodyPr rot="0" spcFirstLastPara="0" vertOverflow="ellipsis" vert="horz" wrap="square" anchor="ctr" anchorCtr="1"/>
          <a:lstStyle/>
          <a:p>
            <a:pPr>
              <a:defRPr lang="zh-CN" sz="6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11928992"/>
        <c:crosses val="autoZero"/>
        <c:crossBetween val="between"/>
      </c:valAx>
      <c:spPr>
        <a:solidFill>
          <a:srgbClr val="C0C0C0"/>
        </a:solidFill>
        <a:ln w="9522">
          <a:solidFill>
            <a:srgbClr val="808080"/>
          </a:solidFill>
          <a:prstDash val="solid"/>
        </a:ln>
      </c:spPr>
    </c:plotArea>
    <c:legend>
      <c:legendPos val="r"/>
      <c:layout>
        <c:manualLayout>
          <c:xMode val="edge"/>
          <c:yMode val="edge"/>
          <c:x val="0.654676258992806"/>
          <c:y val="0.10989010989011"/>
          <c:w val="0.330935251798561"/>
          <c:h val="0.686813186813187"/>
        </c:manualLayout>
      </c:layout>
      <c:overlay val="0"/>
      <c:spPr>
        <a:noFill/>
        <a:ln w="2381">
          <a:solidFill>
            <a:srgbClr val="000000"/>
          </a:solidFill>
          <a:prstDash val="solid"/>
        </a:ln>
      </c:spPr>
      <c:txPr>
        <a:bodyPr rot="0" spcFirstLastPara="0" vertOverflow="ellipsis" vert="horz" wrap="square" anchor="ctr" anchorCtr="1"/>
        <a:lstStyle/>
        <a:p>
          <a:pPr>
            <a:defRPr lang="zh-CN" sz="6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6350" cap="flat" cmpd="sng" algn="ctr">
      <a:noFill/>
      <a:prstDash val="solid"/>
      <a:round/>
    </a:ln>
  </c:spPr>
  <c:txPr>
    <a:bodyPr/>
    <a:lstStyle/>
    <a:p>
      <a:pPr>
        <a:defRPr lang="zh-CN" sz="67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579150579151"/>
          <c:y val="0.117647058823529"/>
          <c:w val="0.505791505791506"/>
          <c:h val="0.688235294117647"/>
        </c:manualLayout>
      </c:layout>
      <c:barChart>
        <c:barDir val="col"/>
        <c:grouping val="clustered"/>
        <c:varyColors val="0"/>
        <c:ser>
          <c:idx val="0"/>
          <c:order val="0"/>
          <c:tx>
            <c:strRef>
              <c:f>Sheet1!$A$2</c:f>
              <c:strCache>
                <c:ptCount val="1"/>
                <c:pt idx="0">
                  <c:v>2019年支出</c:v>
                </c:pt>
              </c:strCache>
            </c:strRef>
          </c:tx>
          <c:spPr>
            <a:solidFill>
              <a:srgbClr val="9999FF"/>
            </a:solidFill>
            <a:ln w="10299">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Sheet1!$B$2:$E$2</c:f>
              <c:numCache>
                <c:formatCode>g/"通""用""格""式"</c:formatCode>
                <c:ptCount val="4"/>
                <c:pt idx="0">
                  <c:v>299.75</c:v>
                </c:pt>
              </c:numCache>
            </c:numRef>
          </c:val>
        </c:ser>
        <c:ser>
          <c:idx val="1"/>
          <c:order val="1"/>
          <c:tx>
            <c:strRef>
              <c:f>Sheet1!$A$3</c:f>
              <c:strCache>
                <c:ptCount val="1"/>
                <c:pt idx="0">
                  <c:v>2020年支出</c:v>
                </c:pt>
              </c:strCache>
            </c:strRef>
          </c:tx>
          <c:spPr>
            <a:solidFill>
              <a:srgbClr val="993366"/>
            </a:solidFill>
            <a:ln w="10299">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Sheet1!$B$3:$E$3</c:f>
              <c:numCache>
                <c:formatCode>g/"通""用""格""式"</c:formatCode>
                <c:ptCount val="4"/>
                <c:pt idx="0">
                  <c:v>216.33</c:v>
                </c:pt>
              </c:numCache>
            </c:numRef>
          </c:val>
        </c:ser>
        <c:ser>
          <c:idx val="2"/>
          <c:order val="2"/>
          <c:tx>
            <c:strRef>
              <c:f>Sheet1!$A$4</c:f>
              <c:strCache>
                <c:ptCount val="1"/>
                <c:pt idx="0">
                  <c:v> </c:v>
                </c:pt>
              </c:strCache>
            </c:strRef>
          </c:tx>
          <c:spPr>
            <a:solidFill>
              <a:srgbClr val="FFFFCC"/>
            </a:solidFill>
            <a:ln w="10299">
              <a:solidFill>
                <a:srgbClr val="000000"/>
              </a:solidFill>
              <a:prstDash val="solid"/>
            </a:ln>
          </c:spPr>
          <c:invertIfNegative val="0"/>
          <c:dLbls>
            <c:delete val="1"/>
          </c:dLbls>
          <c:cat>
            <c:strRef>
              <c:f>Sheet1!$B$1:$E$1</c:f>
              <c:strCache>
                <c:ptCount val="4"/>
                <c:pt idx="0">
                  <c:v> </c:v>
                </c:pt>
                <c:pt idx="1">
                  <c:v> </c:v>
                </c:pt>
                <c:pt idx="2">
                  <c:v> </c:v>
                </c:pt>
                <c:pt idx="3">
                  <c:v>  </c:v>
                </c:pt>
              </c:strCache>
            </c:strRef>
          </c:cat>
          <c:val>
            <c:numRef>
              <c:f>Sheet1!$B$4:$E$4</c:f>
              <c:numCache>
                <c:formatCode>g/"通""用""格""式"</c:formatCode>
                <c:ptCount val="4"/>
                <c:pt idx="0">
                  <c:v>0</c:v>
                </c:pt>
                <c:pt idx="1">
                  <c:v>0</c:v>
                </c:pt>
                <c:pt idx="2">
                  <c:v>0</c:v>
                </c:pt>
                <c:pt idx="3">
                  <c:v>0</c:v>
                </c:pt>
              </c:numCache>
            </c:numRef>
          </c:val>
        </c:ser>
        <c:dLbls>
          <c:showLegendKey val="0"/>
          <c:showVal val="0"/>
          <c:showCatName val="0"/>
          <c:showSerName val="0"/>
          <c:showPercent val="0"/>
          <c:showBubbleSize val="0"/>
        </c:dLbls>
        <c:gapWidth val="150"/>
        <c:axId val="211928336"/>
        <c:axId val="1"/>
      </c:barChart>
      <c:catAx>
        <c:axId val="211928336"/>
        <c:scaling>
          <c:orientation val="minMax"/>
        </c:scaling>
        <c:delete val="0"/>
        <c:axPos val="b"/>
        <c:numFmt formatCode="General" sourceLinked="1"/>
        <c:majorTickMark val="in"/>
        <c:minorTickMark val="none"/>
        <c:tickLblPos val="nextTo"/>
        <c:spPr>
          <a:ln w="2575" cap="flat" cmpd="sng" algn="ctr">
            <a:solidFill>
              <a:srgbClr val="000000"/>
            </a:solidFill>
            <a:prstDash val="solid"/>
            <a:round/>
          </a:ln>
        </c:spPr>
        <c:txPr>
          <a:bodyPr rot="0" spcFirstLastPara="0" vertOverflow="ellipsis" vert="horz" wrap="square" anchor="ctr" anchorCtr="1"/>
          <a:lstStyle/>
          <a:p>
            <a:pPr>
              <a:defRPr lang="zh-CN" sz="69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1"/>
        <c:lblAlgn val="ctr"/>
        <c:lblOffset val="100"/>
        <c:tickLblSkip val="1"/>
        <c:noMultiLvlLbl val="0"/>
      </c:catAx>
      <c:valAx>
        <c:axId val="1"/>
        <c:scaling>
          <c:orientation val="minMax"/>
        </c:scaling>
        <c:delete val="0"/>
        <c:axPos val="l"/>
        <c:majorGridlines>
          <c:spPr>
            <a:ln w="2575" cap="flat" cmpd="sng" algn="ctr">
              <a:solidFill>
                <a:srgbClr val="000000"/>
              </a:solidFill>
              <a:prstDash val="solid"/>
              <a:round/>
            </a:ln>
          </c:spPr>
        </c:majorGridlines>
        <c:numFmt formatCode="g/&quot;通&quot;&quot;用&quot;&quot;格&quot;&quot;式&quot;" sourceLinked="1"/>
        <c:majorTickMark val="in"/>
        <c:minorTickMark val="none"/>
        <c:tickLblPos val="nextTo"/>
        <c:spPr>
          <a:ln w="2575" cap="flat" cmpd="sng" algn="ctr">
            <a:solidFill>
              <a:srgbClr val="000000"/>
            </a:solidFill>
            <a:prstDash val="solid"/>
            <a:round/>
          </a:ln>
        </c:spPr>
        <c:txPr>
          <a:bodyPr rot="0" spcFirstLastPara="0" vertOverflow="ellipsis" vert="horz" wrap="square" anchor="ctr" anchorCtr="1"/>
          <a:lstStyle/>
          <a:p>
            <a:pPr>
              <a:defRPr lang="zh-CN" sz="69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11928336"/>
        <c:crosses val="autoZero"/>
        <c:crossBetween val="between"/>
      </c:valAx>
      <c:spPr>
        <a:solidFill>
          <a:srgbClr val="C0C0C0"/>
        </a:solidFill>
        <a:ln w="10299">
          <a:solidFill>
            <a:srgbClr val="808080"/>
          </a:solidFill>
          <a:prstDash val="solid"/>
        </a:ln>
      </c:spPr>
    </c:plotArea>
    <c:legend>
      <c:legendPos val="r"/>
      <c:layout>
        <c:manualLayout>
          <c:xMode val="edge"/>
          <c:yMode val="edge"/>
          <c:x val="0.694980694980695"/>
          <c:y val="0.311764705882353"/>
          <c:w val="0.28957528957529"/>
          <c:h val="0.288235294117647"/>
        </c:manualLayout>
      </c:layout>
      <c:overlay val="0"/>
      <c:spPr>
        <a:noFill/>
        <a:ln w="2575">
          <a:solidFill>
            <a:srgbClr val="000000"/>
          </a:solidFill>
          <a:prstDash val="solid"/>
        </a:ln>
      </c:spPr>
      <c:txPr>
        <a:bodyPr rot="0" spcFirstLastPara="0" vertOverflow="ellipsis" vert="horz" wrap="square" anchor="ctr" anchorCtr="1"/>
        <a:lstStyle/>
        <a:p>
          <a:pPr>
            <a:defRPr lang="zh-CN" sz="6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noFill/>
    <a:ln w="6350" cap="flat" cmpd="sng" algn="ctr">
      <a:noFill/>
      <a:prstDash val="solid"/>
      <a:round/>
    </a:ln>
  </c:spPr>
  <c:txPr>
    <a:bodyPr/>
    <a:lstStyle/>
    <a:p>
      <a:pPr>
        <a:defRPr lang="zh-CN" sz="69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5395683453237"/>
          <c:y val="0.115384615384615"/>
          <c:w val="0.507194244604317"/>
          <c:h val="0.774725274725275"/>
        </c:manualLayout>
      </c:layout>
      <c:pieChart>
        <c:varyColors val="1"/>
        <c:ser>
          <c:idx val="0"/>
          <c:order val="0"/>
          <c:tx>
            <c:strRef>
              <c:f>Sheet1!$A$2</c:f>
              <c:strCache>
                <c:ptCount val="1"/>
                <c:pt idx="0">
                  <c:v> </c:v>
                </c:pt>
              </c:strCache>
            </c:strRef>
          </c:tx>
          <c:spPr>
            <a:solidFill>
              <a:srgbClr val="9999FF"/>
            </a:solidFill>
            <a:ln w="9483">
              <a:solidFill>
                <a:srgbClr val="000000"/>
              </a:solidFill>
              <a:prstDash val="solid"/>
            </a:ln>
          </c:spPr>
          <c:explosion val="0"/>
          <c:dPt>
            <c:idx val="0"/>
            <c:bubble3D val="0"/>
            <c:spPr>
              <a:solidFill>
                <a:srgbClr val="9999FF"/>
              </a:solidFill>
              <a:ln w="9483">
                <a:solidFill>
                  <a:srgbClr val="000000"/>
                </a:solidFill>
                <a:prstDash val="solid"/>
              </a:ln>
            </c:spPr>
          </c:dPt>
          <c:dPt>
            <c:idx val="1"/>
            <c:bubble3D val="0"/>
            <c:spPr>
              <a:solidFill>
                <a:srgbClr val="993366"/>
              </a:solidFill>
              <a:ln w="9483">
                <a:solidFill>
                  <a:srgbClr val="000000"/>
                </a:solidFill>
                <a:prstDash val="solid"/>
              </a:ln>
            </c:spPr>
          </c:dPt>
          <c:dPt>
            <c:idx val="2"/>
            <c:bubble3D val="0"/>
            <c:spPr>
              <a:solidFill>
                <a:srgbClr val="FFFFCC"/>
              </a:solidFill>
              <a:ln w="9483">
                <a:solidFill>
                  <a:srgbClr val="000000"/>
                </a:solidFill>
                <a:prstDash val="solid"/>
              </a:ln>
            </c:spPr>
          </c:dPt>
          <c:dPt>
            <c:idx val="3"/>
            <c:bubble3D val="0"/>
            <c:spPr>
              <a:solidFill>
                <a:srgbClr val="CCFFFF"/>
              </a:solidFill>
              <a:ln w="9483">
                <a:solidFill>
                  <a:srgbClr val="000000"/>
                </a:solidFill>
                <a:prstDash val="solid"/>
              </a:ln>
            </c:spPr>
          </c:dPt>
          <c:dLbls>
            <c:delete val="1"/>
          </c:dLbls>
          <c:cat>
            <c:strRef>
              <c:f>Sheet1!$B$1:$E$1</c:f>
              <c:strCache>
                <c:ptCount val="4"/>
                <c:pt idx="0">
                  <c:v>社会保障和就业支出</c:v>
                </c:pt>
                <c:pt idx="1">
                  <c:v>卫生健康支出</c:v>
                </c:pt>
                <c:pt idx="2">
                  <c:v> </c:v>
                </c:pt>
                <c:pt idx="3">
                  <c:v> </c:v>
                </c:pt>
              </c:strCache>
            </c:strRef>
          </c:cat>
          <c:val>
            <c:numRef>
              <c:f>Sheet1!$B$2:$E$2</c:f>
              <c:numCache>
                <c:formatCode>g/"通""用""格""式"</c:formatCode>
                <c:ptCount val="4"/>
                <c:pt idx="0">
                  <c:v>175.39</c:v>
                </c:pt>
                <c:pt idx="1">
                  <c:v>35.48</c:v>
                </c:pt>
                <c:pt idx="2">
                  <c:v>0</c:v>
                </c:pt>
                <c:pt idx="3">
                  <c:v>0</c:v>
                </c:pt>
              </c:numCache>
            </c:numRef>
          </c:val>
        </c:ser>
        <c:ser>
          <c:idx val="1"/>
          <c:order val="1"/>
          <c:tx>
            <c:strRef>
              <c:f>Sheet1!$A$3</c:f>
              <c:strCache>
                <c:ptCount val="1"/>
                <c:pt idx="0">
                  <c:v> </c:v>
                </c:pt>
              </c:strCache>
            </c:strRef>
          </c:tx>
          <c:spPr>
            <a:solidFill>
              <a:srgbClr val="993366"/>
            </a:solidFill>
            <a:ln w="9483">
              <a:solidFill>
                <a:srgbClr val="000000"/>
              </a:solidFill>
              <a:prstDash val="solid"/>
            </a:ln>
          </c:spPr>
          <c:explosion val="0"/>
          <c:dPt>
            <c:idx val="0"/>
            <c:bubble3D val="0"/>
            <c:spPr>
              <a:solidFill>
                <a:srgbClr val="9999FF"/>
              </a:solidFill>
              <a:ln w="9483">
                <a:solidFill>
                  <a:srgbClr val="000000"/>
                </a:solidFill>
                <a:prstDash val="solid"/>
              </a:ln>
            </c:spPr>
          </c:dPt>
          <c:dPt>
            <c:idx val="1"/>
            <c:bubble3D val="0"/>
            <c:spPr>
              <a:solidFill>
                <a:srgbClr val="993366"/>
              </a:solidFill>
              <a:ln w="9483">
                <a:solidFill>
                  <a:srgbClr val="000000"/>
                </a:solidFill>
                <a:prstDash val="solid"/>
              </a:ln>
            </c:spPr>
          </c:dPt>
          <c:dPt>
            <c:idx val="2"/>
            <c:bubble3D val="0"/>
            <c:spPr>
              <a:solidFill>
                <a:srgbClr val="FFFFCC"/>
              </a:solidFill>
              <a:ln w="9483">
                <a:solidFill>
                  <a:srgbClr val="000000"/>
                </a:solidFill>
                <a:prstDash val="solid"/>
              </a:ln>
            </c:spPr>
          </c:dPt>
          <c:dPt>
            <c:idx val="3"/>
            <c:bubble3D val="0"/>
            <c:spPr>
              <a:solidFill>
                <a:srgbClr val="CCFFFF"/>
              </a:solidFill>
              <a:ln w="9483">
                <a:solidFill>
                  <a:srgbClr val="000000"/>
                </a:solidFill>
                <a:prstDash val="solid"/>
              </a:ln>
            </c:spPr>
          </c:dPt>
          <c:dLbls>
            <c:delete val="1"/>
          </c:dLbls>
          <c:cat>
            <c:strRef>
              <c:f>Sheet1!$B$1:$E$1</c:f>
              <c:strCache>
                <c:ptCount val="4"/>
                <c:pt idx="0">
                  <c:v>社会保障和就业支出</c:v>
                </c:pt>
                <c:pt idx="1">
                  <c:v>卫生健康支出</c:v>
                </c:pt>
                <c:pt idx="2">
                  <c:v> </c:v>
                </c:pt>
                <c:pt idx="3">
                  <c:v> </c:v>
                </c:pt>
              </c:strCache>
            </c:strRef>
          </c:cat>
          <c:val>
            <c:numRef>
              <c:f>Sheet1!$B$3:$E$3</c:f>
              <c:numCache>
                <c:formatCode>g/"通""用""格""式"</c:formatCode>
                <c:ptCount val="4"/>
                <c:pt idx="0">
                  <c:v>0</c:v>
                </c:pt>
                <c:pt idx="1">
                  <c:v>0</c:v>
                </c:pt>
                <c:pt idx="2">
                  <c:v>0</c:v>
                </c:pt>
                <c:pt idx="3">
                  <c:v>0</c:v>
                </c:pt>
              </c:numCache>
            </c:numRef>
          </c:val>
        </c:ser>
        <c:ser>
          <c:idx val="2"/>
          <c:order val="2"/>
          <c:tx>
            <c:strRef>
              <c:f>Sheet1!$A$4</c:f>
              <c:strCache>
                <c:ptCount val="1"/>
                <c:pt idx="0">
                  <c:v> </c:v>
                </c:pt>
              </c:strCache>
            </c:strRef>
          </c:tx>
          <c:spPr>
            <a:solidFill>
              <a:srgbClr val="FFFFCC"/>
            </a:solidFill>
            <a:ln w="9483">
              <a:solidFill>
                <a:srgbClr val="000000"/>
              </a:solidFill>
              <a:prstDash val="solid"/>
            </a:ln>
          </c:spPr>
          <c:explosion val="0"/>
          <c:dPt>
            <c:idx val="0"/>
            <c:bubble3D val="0"/>
            <c:spPr>
              <a:solidFill>
                <a:srgbClr val="9999FF"/>
              </a:solidFill>
              <a:ln w="9483">
                <a:solidFill>
                  <a:srgbClr val="000000"/>
                </a:solidFill>
                <a:prstDash val="solid"/>
              </a:ln>
            </c:spPr>
          </c:dPt>
          <c:dPt>
            <c:idx val="1"/>
            <c:bubble3D val="0"/>
            <c:spPr>
              <a:solidFill>
                <a:srgbClr val="993366"/>
              </a:solidFill>
              <a:ln w="9483">
                <a:solidFill>
                  <a:srgbClr val="000000"/>
                </a:solidFill>
                <a:prstDash val="solid"/>
              </a:ln>
            </c:spPr>
          </c:dPt>
          <c:dPt>
            <c:idx val="2"/>
            <c:bubble3D val="0"/>
            <c:spPr>
              <a:solidFill>
                <a:srgbClr val="FFFFCC"/>
              </a:solidFill>
              <a:ln w="9483">
                <a:solidFill>
                  <a:srgbClr val="000000"/>
                </a:solidFill>
                <a:prstDash val="solid"/>
              </a:ln>
            </c:spPr>
          </c:dPt>
          <c:dPt>
            <c:idx val="3"/>
            <c:bubble3D val="0"/>
            <c:spPr>
              <a:solidFill>
                <a:srgbClr val="CCFFFF"/>
              </a:solidFill>
              <a:ln w="9483">
                <a:solidFill>
                  <a:srgbClr val="000000"/>
                </a:solidFill>
                <a:prstDash val="solid"/>
              </a:ln>
            </c:spPr>
          </c:dPt>
          <c:dLbls>
            <c:delete val="1"/>
          </c:dLbls>
          <c:cat>
            <c:strRef>
              <c:f>Sheet1!$B$1:$E$1</c:f>
              <c:strCache>
                <c:ptCount val="4"/>
                <c:pt idx="0">
                  <c:v>社会保障和就业支出</c:v>
                </c:pt>
                <c:pt idx="1">
                  <c:v>卫生健康支出</c:v>
                </c:pt>
                <c:pt idx="2">
                  <c:v> </c:v>
                </c:pt>
                <c:pt idx="3">
                  <c:v> </c:v>
                </c:pt>
              </c:strCache>
            </c:strRef>
          </c:cat>
          <c:val>
            <c:numRef>
              <c:f>Sheet1!$B$4:$E$4</c:f>
              <c:numCache>
                <c:formatCode>g/"通""用""格""式"</c:formatCode>
                <c:ptCount val="4"/>
                <c:pt idx="0">
                  <c:v>0</c:v>
                </c:pt>
                <c:pt idx="1">
                  <c:v>0</c:v>
                </c:pt>
                <c:pt idx="2">
                  <c:v>0</c:v>
                </c:pt>
                <c:pt idx="3">
                  <c:v>0</c:v>
                </c:pt>
              </c:numCache>
            </c:numRef>
          </c:val>
        </c:ser>
        <c:dLbls>
          <c:showLegendKey val="0"/>
          <c:showVal val="0"/>
          <c:showCatName val="0"/>
          <c:showSerName val="0"/>
          <c:showPercent val="0"/>
          <c:showBubbleSize val="0"/>
          <c:showLeaderLines val="1"/>
        </c:dLbls>
        <c:firstSliceAng val="0"/>
      </c:pieChart>
      <c:spPr>
        <a:solidFill>
          <a:srgbClr val="C0C0C0"/>
        </a:solidFill>
        <a:ln w="9483">
          <a:solidFill>
            <a:srgbClr val="808080"/>
          </a:solidFill>
          <a:prstDash val="solid"/>
        </a:ln>
      </c:spPr>
    </c:plotArea>
    <c:legend>
      <c:legendPos val="r"/>
      <c:layout>
        <c:manualLayout>
          <c:xMode val="edge"/>
          <c:yMode val="edge"/>
          <c:x val="0.654676258992806"/>
          <c:y val="0.153846153846154"/>
          <c:w val="0.330935251798561"/>
          <c:h val="0.686813186813187"/>
        </c:manualLayout>
      </c:layout>
      <c:overlay val="0"/>
      <c:spPr>
        <a:noFill/>
        <a:ln w="2371">
          <a:solidFill>
            <a:srgbClr val="000000"/>
          </a:solidFill>
          <a:prstDash val="solid"/>
        </a:ln>
      </c:spPr>
      <c:txPr>
        <a:bodyPr rot="0" spcFirstLastPara="0" vertOverflow="ellipsis" vert="horz" wrap="square" anchor="ctr" anchorCtr="1"/>
        <a:lstStyle/>
        <a:p>
          <a:pPr>
            <a:defRPr lang="zh-CN" sz="61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noFill/>
    <a:ln w="6350" cap="flat" cmpd="sng" algn="ctr">
      <a:noFill/>
      <a:prstDash val="solid"/>
      <a:round/>
    </a:ln>
  </c:spPr>
  <c:txPr>
    <a:bodyPr/>
    <a:lstStyle/>
    <a:p>
      <a:pPr>
        <a:defRPr lang="zh-CN" sz="67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25</Pages>
  <Words>1596</Words>
  <Characters>9099</Characters>
  <Lines>75</Lines>
  <Paragraphs>21</Paragraphs>
  <TotalTime>1</TotalTime>
  <ScaleCrop>false</ScaleCrop>
  <LinksUpToDate>false</LinksUpToDate>
  <CharactersWithSpaces>10674</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2021-09-13T17:23:00Z</dcterms:created>
  <dc:creator>曹颖</dc:creator>
  <cp:lastModifiedBy>Cornflower</cp:lastModifiedBy>
  <cp:lastPrinted>2021-07-29T11:56:00Z</cp:lastPrinted>
  <dcterms:modified xsi:type="dcterms:W3CDTF">2026-08-18T09:42:33Z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C44F202478204A929EF29FBB83E67238</vt:lpwstr>
  </property>
</Properties>
</file>