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72" w:lineRule="exact"/>
        <w:ind w:left="0" w:leftChars="0"/>
        <w:rPr>
          <w:rFonts w:ascii="黑体" w:hAnsi="黑体" w:eastAsia="黑体" w:cs="方正小标宋简体"/>
          <w:sz w:val="32"/>
          <w:szCs w:val="32"/>
        </w:rPr>
      </w:pPr>
      <w:r>
        <w:rPr>
          <w:rFonts w:ascii="黑体" w:hAnsi="黑体" w:eastAsia="黑体" w:cs="方正小标宋简体"/>
          <w:sz w:val="32"/>
          <w:szCs w:val="32"/>
        </w:rPr>
        <w:t>附件1</w:t>
      </w:r>
    </w:p>
    <w:p>
      <w:pPr>
        <w:pStyle w:val="2"/>
        <w:spacing w:before="0" w:beforeAutospacing="0" w:after="0" w:afterAutospacing="0" w:line="572" w:lineRule="exact"/>
        <w:ind w:left="0" w:leftChars="0"/>
        <w:rPr>
          <w:rFonts w:ascii="方正小标宋简体" w:hAnsi="方正小标宋简体" w:eastAsia="方正小标宋简体" w:cs="方正小标宋简体"/>
          <w:sz w:val="44"/>
          <w:szCs w:val="44"/>
        </w:rPr>
      </w:pPr>
    </w:p>
    <w:p>
      <w:pPr>
        <w:pStyle w:val="2"/>
        <w:spacing w:before="0" w:beforeAutospacing="0" w:after="0" w:afterAutospacing="0" w:line="572" w:lineRule="exact"/>
        <w:ind w:left="0" w:lef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攀枝花市</w:t>
      </w:r>
      <w:r>
        <w:rPr>
          <w:rFonts w:hint="eastAsia" w:ascii="方正小标宋简体" w:hAnsi="方正小标宋简体" w:eastAsia="方正小标宋简体" w:cs="方正小标宋简体"/>
          <w:sz w:val="44"/>
          <w:szCs w:val="44"/>
        </w:rPr>
        <w:t>安全生产培训机构书面报告名单（</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家）</w:t>
      </w:r>
    </w:p>
    <w:p>
      <w:pPr>
        <w:pStyle w:val="2"/>
        <w:spacing w:before="0" w:beforeAutospacing="0" w:after="0" w:afterAutospacing="0" w:line="572" w:lineRule="exact"/>
        <w:ind w:left="0" w:leftChars="0"/>
        <w:jc w:val="center"/>
        <w:rPr>
          <w:rFonts w:hint="eastAsia" w:ascii="方正小标宋简体" w:hAnsi="方正小标宋简体" w:eastAsia="方正小标宋简体" w:cs="方正小标宋简体"/>
          <w:sz w:val="44"/>
          <w:szCs w:val="44"/>
        </w:rPr>
      </w:pPr>
    </w:p>
    <w:p>
      <w:pPr>
        <w:spacing w:line="440" w:lineRule="exact"/>
        <w:ind w:firstLine="602" w:firstLineChars="200"/>
        <w:rPr>
          <w:rFonts w:hint="eastAsia" w:ascii="楷体" w:hAnsi="楷体" w:eastAsia="楷体" w:cs="楷体"/>
          <w:b/>
          <w:bCs/>
          <w:sz w:val="30"/>
          <w:szCs w:val="30"/>
        </w:rPr>
      </w:pPr>
      <w:r>
        <w:rPr>
          <w:rFonts w:hint="eastAsia" w:ascii="楷体" w:hAnsi="楷体" w:eastAsia="楷体" w:cs="楷体"/>
          <w:b/>
          <w:bCs/>
          <w:sz w:val="30"/>
          <w:szCs w:val="30"/>
        </w:rPr>
        <w:t>《安全生产培训管理办法》（原国家安全监管总局令第44号）第五条规定：“从事危险物品的生产、经营、储存单位以及矿山、金属冶炼单位主要负责人、安全生产管理人员、特种作业人员以及注册安全工程师等相关人员培训的安全培训机构，应当将教师、教学和实习实训设施等情况书面报告所在地安全生产监督管理部门”。</w:t>
      </w:r>
    </w:p>
    <w:p>
      <w:pPr>
        <w:spacing w:line="440" w:lineRule="exact"/>
        <w:ind w:firstLine="602" w:firstLineChars="200"/>
        <w:rPr>
          <w:rFonts w:hint="default" w:ascii="楷体" w:hAnsi="楷体" w:eastAsia="楷体" w:cs="楷体"/>
          <w:b/>
          <w:bCs/>
          <w:sz w:val="30"/>
          <w:szCs w:val="30"/>
          <w:lang w:val="en-US" w:eastAsia="zh-CN"/>
        </w:rPr>
      </w:pPr>
      <w:r>
        <w:rPr>
          <w:rFonts w:hint="eastAsia" w:ascii="楷体" w:hAnsi="楷体" w:eastAsia="楷体" w:cs="楷体"/>
          <w:b/>
          <w:bCs/>
          <w:sz w:val="30"/>
          <w:szCs w:val="30"/>
        </w:rPr>
        <w:t>《安全生产培训机构基本条件》（AQ 8011—2023</w:t>
      </w:r>
      <w:r>
        <w:rPr>
          <w:rFonts w:hint="eastAsia" w:ascii="楷体" w:hAnsi="楷体" w:eastAsia="楷体" w:cs="楷体"/>
          <w:b/>
          <w:bCs/>
          <w:sz w:val="30"/>
          <w:szCs w:val="30"/>
          <w:lang w:eastAsia="zh-CN"/>
        </w:rPr>
        <w:t>，以下简称《基本条件》</w:t>
      </w:r>
      <w:r>
        <w:rPr>
          <w:rFonts w:hint="eastAsia" w:ascii="楷体" w:hAnsi="楷体" w:eastAsia="楷体" w:cs="楷体"/>
          <w:b/>
          <w:bCs/>
          <w:sz w:val="30"/>
          <w:szCs w:val="30"/>
        </w:rPr>
        <w:t>）</w:t>
      </w:r>
      <w:r>
        <w:rPr>
          <w:rFonts w:hint="eastAsia" w:ascii="楷体" w:hAnsi="楷体" w:eastAsia="楷体" w:cs="楷体"/>
          <w:b/>
          <w:bCs/>
          <w:sz w:val="30"/>
          <w:szCs w:val="30"/>
          <w:lang w:eastAsia="zh-CN"/>
        </w:rPr>
        <w:t>明确</w:t>
      </w:r>
      <w:r>
        <w:rPr>
          <w:rFonts w:hint="eastAsia" w:ascii="楷体" w:hAnsi="楷体" w:eastAsia="楷体" w:cs="楷体"/>
          <w:b/>
          <w:bCs/>
          <w:sz w:val="30"/>
          <w:szCs w:val="30"/>
          <w:lang w:val="en-US" w:eastAsia="zh-CN"/>
        </w:rPr>
        <w:t>：“本文件适用于从事特种作业人员，矿山、危险化学品、石油天然气开采、烟花爆竹、金属冶炼等生产经营单位主要负责人和安全生产管理人员安全生产培训活动的培训机构以及自主开展上述培训活动的生产经营单位”。</w:t>
      </w:r>
    </w:p>
    <w:p>
      <w:pPr>
        <w:spacing w:line="440" w:lineRule="exact"/>
        <w:ind w:firstLine="602" w:firstLineChars="200"/>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截至202</w:t>
      </w:r>
      <w:r>
        <w:rPr>
          <w:rFonts w:hint="eastAsia" w:ascii="楷体" w:hAnsi="楷体" w:eastAsia="楷体" w:cs="楷体"/>
          <w:b/>
          <w:bCs/>
          <w:sz w:val="30"/>
          <w:szCs w:val="30"/>
          <w:highlight w:val="none"/>
          <w:lang w:val="en-US" w:eastAsia="zh-CN"/>
        </w:rPr>
        <w:t>6</w:t>
      </w:r>
      <w:r>
        <w:rPr>
          <w:rFonts w:hint="eastAsia" w:ascii="楷体" w:hAnsi="楷体" w:eastAsia="楷体" w:cs="楷体"/>
          <w:b/>
          <w:bCs/>
          <w:sz w:val="30"/>
          <w:szCs w:val="30"/>
          <w:highlight w:val="none"/>
        </w:rPr>
        <w:t>年</w:t>
      </w:r>
      <w:r>
        <w:rPr>
          <w:rFonts w:hint="eastAsia" w:ascii="楷体" w:hAnsi="楷体" w:eastAsia="楷体" w:cs="楷体"/>
          <w:b/>
          <w:bCs/>
          <w:sz w:val="30"/>
          <w:szCs w:val="30"/>
          <w:highlight w:val="none"/>
          <w:lang w:val="en-US" w:eastAsia="zh-CN"/>
        </w:rPr>
        <w:t>3</w:t>
      </w:r>
      <w:r>
        <w:rPr>
          <w:rFonts w:hint="eastAsia" w:ascii="楷体" w:hAnsi="楷体" w:eastAsia="楷体" w:cs="楷体"/>
          <w:b/>
          <w:bCs/>
          <w:sz w:val="30"/>
          <w:szCs w:val="30"/>
          <w:highlight w:val="none"/>
        </w:rPr>
        <w:t>月</w:t>
      </w:r>
      <w:r>
        <w:rPr>
          <w:rFonts w:hint="eastAsia" w:ascii="楷体" w:hAnsi="楷体" w:eastAsia="楷体" w:cs="楷体"/>
          <w:b/>
          <w:bCs/>
          <w:sz w:val="30"/>
          <w:szCs w:val="30"/>
          <w:highlight w:val="none"/>
          <w:lang w:val="en-US" w:eastAsia="zh-CN"/>
        </w:rPr>
        <w:t>20</w:t>
      </w:r>
      <w:r>
        <w:rPr>
          <w:rFonts w:hint="eastAsia" w:ascii="楷体" w:hAnsi="楷体" w:eastAsia="楷体" w:cs="楷体"/>
          <w:b/>
          <w:bCs/>
          <w:sz w:val="30"/>
          <w:szCs w:val="30"/>
          <w:highlight w:val="none"/>
        </w:rPr>
        <w:t>日，</w:t>
      </w:r>
      <w:r>
        <w:rPr>
          <w:rFonts w:hint="eastAsia" w:ascii="楷体" w:hAnsi="楷体" w:eastAsia="楷体" w:cs="楷体"/>
          <w:b/>
          <w:bCs/>
          <w:sz w:val="30"/>
          <w:szCs w:val="30"/>
          <w:highlight w:val="none"/>
          <w:lang w:eastAsia="zh-CN"/>
        </w:rPr>
        <w:t>全市</w:t>
      </w:r>
      <w:r>
        <w:rPr>
          <w:rFonts w:hint="eastAsia" w:ascii="楷体" w:hAnsi="楷体" w:eastAsia="楷体" w:cs="楷体"/>
          <w:b/>
          <w:bCs/>
          <w:sz w:val="30"/>
          <w:szCs w:val="30"/>
          <w:highlight w:val="none"/>
        </w:rPr>
        <w:t>满足基本条件正常培训的有</w:t>
      </w:r>
      <w:r>
        <w:rPr>
          <w:rFonts w:hint="eastAsia" w:ascii="楷体" w:hAnsi="楷体" w:eastAsia="楷体" w:cs="楷体"/>
          <w:b/>
          <w:bCs/>
          <w:sz w:val="30"/>
          <w:szCs w:val="30"/>
          <w:highlight w:val="none"/>
          <w:lang w:val="en-US" w:eastAsia="zh-CN"/>
        </w:rPr>
        <w:t>8</w:t>
      </w:r>
      <w:r>
        <w:rPr>
          <w:rFonts w:hint="eastAsia" w:ascii="楷体" w:hAnsi="楷体" w:eastAsia="楷体" w:cs="楷体"/>
          <w:b/>
          <w:bCs/>
          <w:sz w:val="30"/>
          <w:szCs w:val="30"/>
          <w:highlight w:val="none"/>
        </w:rPr>
        <w:t>家。现予以公布。</w:t>
      </w:r>
    </w:p>
    <w:p>
      <w:pPr>
        <w:pStyle w:val="2"/>
        <w:rPr>
          <w:rFonts w:hint="eastAsia" w:ascii="楷体" w:hAnsi="楷体" w:eastAsia="楷体" w:cs="楷体"/>
          <w:b/>
          <w:bCs/>
          <w:sz w:val="30"/>
          <w:szCs w:val="30"/>
          <w:highlight w:val="none"/>
        </w:rPr>
      </w:pPr>
    </w:p>
    <w:p>
      <w:pPr>
        <w:pStyle w:val="2"/>
        <w:rPr>
          <w:rFonts w:hint="eastAsia" w:ascii="楷体" w:hAnsi="楷体" w:eastAsia="楷体" w:cs="楷体"/>
          <w:b/>
          <w:bCs/>
          <w:sz w:val="30"/>
          <w:szCs w:val="30"/>
          <w:highlight w:val="none"/>
        </w:rPr>
      </w:pPr>
    </w:p>
    <w:tbl>
      <w:tblPr>
        <w:tblStyle w:val="4"/>
        <w:tblW w:w="482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97"/>
        <w:gridCol w:w="2882"/>
        <w:gridCol w:w="6361"/>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trPr>
        <w:tc>
          <w:tcPr>
            <w:tcW w:w="276" w:type="pct"/>
            <w:noWrap w:val="0"/>
            <w:vAlign w:val="center"/>
          </w:tcPr>
          <w:p>
            <w:pPr>
              <w:numPr>
                <w:ilvl w:val="0"/>
                <w:numId w:val="0"/>
              </w:numPr>
              <w:tabs>
                <w:tab w:val="left" w:pos="420"/>
              </w:tabs>
              <w:spacing w:line="280" w:lineRule="exact"/>
              <w:ind w:leftChars="0"/>
              <w:jc w:val="both"/>
              <w:rPr>
                <w:rFonts w:hint="eastAsia" w:ascii="Times New Roman" w:hAnsi="Times New Roman" w:eastAsia="仿宋"/>
                <w:color w:val="000000"/>
                <w:szCs w:val="21"/>
                <w:lang w:eastAsia="zh-CN"/>
              </w:rPr>
            </w:pPr>
            <w:r>
              <w:rPr>
                <w:rFonts w:hint="eastAsia" w:ascii="Times New Roman" w:hAnsi="Times New Roman" w:eastAsia="仿宋"/>
                <w:color w:val="000000"/>
                <w:szCs w:val="21"/>
                <w:lang w:eastAsia="zh-CN"/>
              </w:rPr>
              <w:t>序号</w:t>
            </w:r>
          </w:p>
        </w:tc>
        <w:tc>
          <w:tcPr>
            <w:tcW w:w="766" w:type="pct"/>
            <w:noWrap w:val="0"/>
            <w:vAlign w:val="center"/>
          </w:tcPr>
          <w:p>
            <w:pPr>
              <w:widowControl/>
              <w:spacing w:line="0" w:lineRule="atLeast"/>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rPr>
              <w:t>机构名称</w:t>
            </w:r>
          </w:p>
        </w:tc>
        <w:tc>
          <w:tcPr>
            <w:tcW w:w="1052" w:type="pct"/>
            <w:noWrap w:val="0"/>
            <w:vAlign w:val="center"/>
          </w:tcPr>
          <w:p>
            <w:pPr>
              <w:widowControl/>
              <w:spacing w:line="0" w:lineRule="atLeast"/>
              <w:jc w:val="center"/>
              <w:textAlignment w:val="center"/>
              <w:rPr>
                <w:rFonts w:hint="eastAsia" w:ascii="黑体" w:hAnsi="黑体" w:eastAsia="黑体" w:cs="黑体"/>
                <w:bCs/>
                <w:kern w:val="2"/>
                <w:sz w:val="21"/>
                <w:szCs w:val="21"/>
                <w:lang w:val="en-US" w:eastAsia="zh-CN" w:bidi="ar-SA"/>
              </w:rPr>
            </w:pPr>
            <w:r>
              <w:rPr>
                <w:rFonts w:hint="eastAsia" w:ascii="黑体" w:hAnsi="黑体" w:eastAsia="黑体" w:cs="黑体"/>
                <w:bCs/>
                <w:kern w:val="0"/>
                <w:szCs w:val="21"/>
              </w:rPr>
              <w:t>培训场所地</w:t>
            </w:r>
            <w:bookmarkStart w:id="0" w:name="_GoBack"/>
            <w:bookmarkEnd w:id="0"/>
            <w:r>
              <w:rPr>
                <w:rFonts w:hint="eastAsia" w:ascii="黑体" w:hAnsi="黑体" w:eastAsia="黑体" w:cs="黑体"/>
                <w:bCs/>
                <w:kern w:val="0"/>
                <w:szCs w:val="21"/>
              </w:rPr>
              <w:t>址</w:t>
            </w:r>
          </w:p>
        </w:tc>
        <w:tc>
          <w:tcPr>
            <w:tcW w:w="2324" w:type="pct"/>
            <w:noWrap w:val="0"/>
            <w:vAlign w:val="center"/>
          </w:tcPr>
          <w:p>
            <w:pPr>
              <w:widowControl/>
              <w:spacing w:line="0" w:lineRule="atLeast"/>
              <w:jc w:val="center"/>
              <w:textAlignment w:val="center"/>
              <w:rPr>
                <w:rFonts w:hint="eastAsia" w:ascii="黑体" w:hAnsi="黑体" w:eastAsia="黑体" w:cs="黑体"/>
                <w:bCs/>
                <w:kern w:val="0"/>
                <w:sz w:val="21"/>
                <w:szCs w:val="21"/>
                <w:lang w:val="en" w:eastAsia="zh-CN" w:bidi="ar-SA"/>
              </w:rPr>
            </w:pPr>
            <w:r>
              <w:rPr>
                <w:rFonts w:hint="eastAsia" w:ascii="黑体" w:hAnsi="黑体" w:eastAsia="黑体" w:cs="黑体"/>
                <w:bCs/>
                <w:kern w:val="0"/>
                <w:szCs w:val="21"/>
                <w:lang w:val="en"/>
              </w:rPr>
              <w:t>可培训项目</w:t>
            </w:r>
          </w:p>
        </w:tc>
        <w:tc>
          <w:tcPr>
            <w:tcW w:w="580" w:type="pct"/>
            <w:noWrap w:val="0"/>
            <w:vAlign w:val="center"/>
          </w:tcPr>
          <w:p>
            <w:pPr>
              <w:widowControl/>
              <w:spacing w:line="0" w:lineRule="atLeast"/>
              <w:jc w:val="center"/>
              <w:textAlignment w:val="center"/>
              <w:rPr>
                <w:rFonts w:hint="eastAsia" w:ascii="黑体" w:hAnsi="黑体" w:eastAsia="黑体" w:cs="黑体"/>
                <w:bCs/>
                <w:kern w:val="0"/>
                <w:sz w:val="21"/>
                <w:szCs w:val="21"/>
                <w:lang w:val="en-US" w:eastAsia="zh-CN" w:bidi="ar-SA"/>
              </w:rPr>
            </w:pPr>
            <w:r>
              <w:rPr>
                <w:rFonts w:hint="eastAsia" w:ascii="黑体" w:hAnsi="黑体" w:eastAsia="黑体" w:cs="黑体"/>
                <w:bCs/>
                <w:kern w:val="0"/>
                <w:szCs w:val="21"/>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trPr>
        <w:tc>
          <w:tcPr>
            <w:tcW w:w="276" w:type="pct"/>
            <w:noWrap w:val="0"/>
            <w:vAlign w:val="center"/>
          </w:tcPr>
          <w:p>
            <w:pPr>
              <w:numPr>
                <w:ilvl w:val="0"/>
                <w:numId w:val="1"/>
              </w:numPr>
              <w:tabs>
                <w:tab w:val="left" w:pos="420"/>
              </w:tabs>
              <w:spacing w:line="280" w:lineRule="exact"/>
              <w:jc w:val="center"/>
              <w:rPr>
                <w:rFonts w:ascii="Times New Roman" w:hAnsi="Times New Roman" w:eastAsia="仿宋"/>
                <w:color w:val="000000"/>
                <w:szCs w:val="21"/>
              </w:rPr>
            </w:pPr>
          </w:p>
        </w:tc>
        <w:tc>
          <w:tcPr>
            <w:tcW w:w="766" w:type="pct"/>
            <w:noWrap w:val="0"/>
            <w:vAlign w:val="center"/>
          </w:tcPr>
          <w:p>
            <w:pPr>
              <w:spacing w:line="250" w:lineRule="exact"/>
              <w:rPr>
                <w:rFonts w:ascii="Times New Roman" w:hAnsi="Times New Roman" w:eastAsia="仿宋"/>
                <w:kern w:val="2"/>
                <w:sz w:val="21"/>
                <w:szCs w:val="21"/>
                <w:lang w:val="en-US" w:eastAsia="zh-CN" w:bidi="ar-SA"/>
              </w:rPr>
            </w:pPr>
            <w:r>
              <w:rPr>
                <w:rFonts w:ascii="Times New Roman" w:hAnsi="Times New Roman" w:eastAsia="仿宋"/>
                <w:szCs w:val="21"/>
              </w:rPr>
              <w:t>攀枝花市职业安全健康协会</w:t>
            </w:r>
          </w:p>
        </w:tc>
        <w:tc>
          <w:tcPr>
            <w:tcW w:w="1052" w:type="pct"/>
            <w:noWrap w:val="0"/>
            <w:vAlign w:val="center"/>
          </w:tcPr>
          <w:p>
            <w:pPr>
              <w:spacing w:line="250" w:lineRule="exact"/>
              <w:rPr>
                <w:rFonts w:hint="eastAsia" w:ascii="Times New Roman" w:hAnsi="Times New Roman" w:eastAsia="仿宋"/>
                <w:kern w:val="2"/>
                <w:sz w:val="21"/>
                <w:szCs w:val="21"/>
                <w:lang w:val="en-US" w:eastAsia="zh-CN" w:bidi="ar-SA"/>
              </w:rPr>
            </w:pPr>
            <w:r>
              <w:rPr>
                <w:rFonts w:ascii="Times New Roman" w:hAnsi="Times New Roman" w:eastAsia="仿宋"/>
                <w:szCs w:val="21"/>
              </w:rPr>
              <w:t>攀枝花市东区临江路62号</w:t>
            </w:r>
            <w:r>
              <w:rPr>
                <w:rFonts w:hint="eastAsia" w:ascii="Times New Roman" w:hAnsi="Times New Roman" w:eastAsia="仿宋"/>
                <w:szCs w:val="21"/>
              </w:rPr>
              <w:t>，</w:t>
            </w:r>
            <w:r>
              <w:rPr>
                <w:rFonts w:ascii="Times New Roman" w:hAnsi="Times New Roman" w:eastAsia="仿宋"/>
                <w:szCs w:val="21"/>
              </w:rPr>
              <w:t>攀枝花市仁和区天宇路47附1号、2号</w:t>
            </w:r>
          </w:p>
        </w:tc>
        <w:tc>
          <w:tcPr>
            <w:tcW w:w="2324" w:type="pct"/>
            <w:noWrap w:val="0"/>
            <w:vAlign w:val="center"/>
          </w:tcPr>
          <w:p>
            <w:pPr>
              <w:spacing w:line="250" w:lineRule="exact"/>
              <w:rPr>
                <w:rFonts w:ascii="Times New Roman" w:hAnsi="Times New Roman" w:eastAsia="仿宋"/>
                <w:kern w:val="2"/>
                <w:sz w:val="21"/>
                <w:szCs w:val="21"/>
                <w:lang w:val="en-US" w:eastAsia="zh-CN" w:bidi="ar-SA"/>
              </w:rPr>
            </w:pPr>
            <w:r>
              <w:rPr>
                <w:rFonts w:hint="eastAsia" w:ascii="Times New Roman" w:hAnsi="Times New Roman" w:eastAsia="仿宋"/>
                <w:b/>
                <w:bCs/>
                <w:szCs w:val="21"/>
              </w:rPr>
              <w:t>安全生产管理人员</w:t>
            </w:r>
            <w:r>
              <w:rPr>
                <w:rFonts w:hint="eastAsia" w:ascii="Times New Roman" w:hAnsi="Times New Roman" w:eastAsia="仿宋"/>
                <w:szCs w:val="21"/>
                <w:lang w:eastAsia="zh-CN"/>
              </w:rPr>
              <w:t>（</w:t>
            </w:r>
            <w:r>
              <w:rPr>
                <w:rFonts w:hint="eastAsia" w:ascii="Times New Roman" w:hAnsi="Times New Roman" w:eastAsia="仿宋"/>
                <w:szCs w:val="21"/>
              </w:rPr>
              <w:t>金属与非金属矿山、危险化学品</w:t>
            </w:r>
            <w:r>
              <w:rPr>
                <w:rFonts w:hint="eastAsia" w:ascii="Times New Roman" w:hAnsi="Times New Roman" w:eastAsia="仿宋"/>
                <w:szCs w:val="21"/>
                <w:lang w:eastAsia="zh-CN"/>
              </w:rPr>
              <w:t>），</w:t>
            </w:r>
            <w:r>
              <w:rPr>
                <w:rFonts w:hint="eastAsia" w:ascii="Times New Roman" w:hAnsi="Times New Roman" w:eastAsia="仿宋"/>
                <w:b/>
                <w:bCs/>
                <w:szCs w:val="21"/>
                <w:lang w:eastAsia="zh-CN"/>
              </w:rPr>
              <w:t>电工作业</w:t>
            </w:r>
            <w:r>
              <w:rPr>
                <w:rFonts w:hint="eastAsia" w:ascii="Times New Roman" w:hAnsi="Times New Roman" w:eastAsia="仿宋"/>
                <w:szCs w:val="21"/>
                <w:lang w:eastAsia="zh-CN"/>
              </w:rPr>
              <w:t>（</w:t>
            </w:r>
            <w:r>
              <w:rPr>
                <w:rFonts w:hint="eastAsia" w:ascii="Times New Roman" w:hAnsi="Times New Roman" w:eastAsia="仿宋"/>
                <w:szCs w:val="21"/>
              </w:rPr>
              <w:t>高压电工作业，低压电工作业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焊接与热切割作业</w:t>
            </w:r>
            <w:r>
              <w:rPr>
                <w:rFonts w:hint="eastAsia" w:ascii="Times New Roman" w:hAnsi="Times New Roman" w:eastAsia="仿宋"/>
                <w:szCs w:val="21"/>
                <w:lang w:eastAsia="zh-CN"/>
              </w:rPr>
              <w:t>（</w:t>
            </w:r>
            <w:r>
              <w:rPr>
                <w:rFonts w:hint="eastAsia" w:ascii="Times New Roman" w:hAnsi="Times New Roman" w:eastAsia="仿宋"/>
                <w:szCs w:val="21"/>
              </w:rPr>
              <w:t>熔化焊接与热切割作业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高处作业</w:t>
            </w:r>
          </w:p>
        </w:tc>
        <w:tc>
          <w:tcPr>
            <w:tcW w:w="580" w:type="pct"/>
            <w:noWrap w:val="0"/>
            <w:vAlign w:val="center"/>
          </w:tcPr>
          <w:p>
            <w:pPr>
              <w:spacing w:line="250" w:lineRule="exact"/>
              <w:jc w:val="center"/>
              <w:rPr>
                <w:rFonts w:hint="eastAsia" w:ascii="Times New Roman" w:hAnsi="Times New Roman" w:eastAsia="仿宋"/>
                <w:szCs w:val="21"/>
              </w:rPr>
            </w:pPr>
            <w:r>
              <w:rPr>
                <w:rFonts w:hint="eastAsia" w:ascii="Times New Roman" w:hAnsi="Times New Roman" w:eastAsia="仿宋"/>
                <w:szCs w:val="21"/>
              </w:rPr>
              <w:t>0812-3359126</w:t>
            </w:r>
          </w:p>
          <w:p>
            <w:pPr>
              <w:spacing w:line="250" w:lineRule="exact"/>
              <w:jc w:val="center"/>
              <w:rPr>
                <w:rFonts w:ascii="Times New Roman" w:hAnsi="Times New Roman" w:eastAsia="仿宋"/>
                <w:kern w:val="2"/>
                <w:sz w:val="21"/>
                <w:szCs w:val="21"/>
                <w:lang w:val="en-US" w:eastAsia="zh-CN" w:bidi="ar-SA"/>
              </w:rPr>
            </w:pPr>
            <w:r>
              <w:rPr>
                <w:rFonts w:hint="eastAsia" w:ascii="Times New Roman" w:hAnsi="Times New Roman" w:eastAsia="仿宋"/>
                <w:szCs w:val="21"/>
              </w:rPr>
              <w:t>13908141717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 w:type="pct"/>
            <w:noWrap w:val="0"/>
            <w:vAlign w:val="center"/>
          </w:tcPr>
          <w:p>
            <w:pPr>
              <w:numPr>
                <w:ilvl w:val="0"/>
                <w:numId w:val="1"/>
              </w:numPr>
              <w:tabs>
                <w:tab w:val="left" w:pos="420"/>
              </w:tabs>
              <w:spacing w:line="280" w:lineRule="exact"/>
              <w:jc w:val="center"/>
              <w:rPr>
                <w:rFonts w:ascii="Times New Roman" w:hAnsi="Times New Roman" w:eastAsia="仿宋"/>
                <w:color w:val="000000"/>
                <w:szCs w:val="21"/>
              </w:rPr>
            </w:pPr>
          </w:p>
        </w:tc>
        <w:tc>
          <w:tcPr>
            <w:tcW w:w="766" w:type="pct"/>
            <w:noWrap w:val="0"/>
            <w:vAlign w:val="center"/>
          </w:tcPr>
          <w:p>
            <w:pPr>
              <w:spacing w:line="250" w:lineRule="exact"/>
              <w:rPr>
                <w:rFonts w:ascii="Times New Roman" w:hAnsi="Times New Roman" w:eastAsia="仿宋"/>
                <w:kern w:val="2"/>
                <w:sz w:val="21"/>
                <w:szCs w:val="21"/>
                <w:lang w:val="en-US" w:eastAsia="zh-CN" w:bidi="ar-SA"/>
              </w:rPr>
            </w:pPr>
            <w:r>
              <w:rPr>
                <w:rFonts w:ascii="Times New Roman" w:hAnsi="Times New Roman" w:eastAsia="仿宋"/>
                <w:szCs w:val="21"/>
              </w:rPr>
              <w:t>四川明杰注册安全工程师事务所有限公司</w:t>
            </w:r>
          </w:p>
        </w:tc>
        <w:tc>
          <w:tcPr>
            <w:tcW w:w="1052" w:type="pct"/>
            <w:noWrap w:val="0"/>
            <w:vAlign w:val="center"/>
          </w:tcPr>
          <w:p>
            <w:pPr>
              <w:spacing w:line="250" w:lineRule="exact"/>
              <w:rPr>
                <w:rFonts w:ascii="Times New Roman" w:hAnsi="Times New Roman" w:eastAsia="仿宋"/>
                <w:kern w:val="2"/>
                <w:sz w:val="21"/>
                <w:szCs w:val="21"/>
                <w:lang w:val="en-US" w:eastAsia="zh-CN" w:bidi="ar-SA"/>
              </w:rPr>
            </w:pPr>
            <w:r>
              <w:rPr>
                <w:rFonts w:hint="eastAsia" w:ascii="Times New Roman" w:hAnsi="Times New Roman" w:eastAsia="仿宋"/>
                <w:szCs w:val="21"/>
              </w:rPr>
              <w:t>攀枝花市东区临江路13号泰坤大厦，攀枝花市机场路铭城酒店</w:t>
            </w:r>
          </w:p>
        </w:tc>
        <w:tc>
          <w:tcPr>
            <w:tcW w:w="2324" w:type="pct"/>
            <w:noWrap w:val="0"/>
            <w:vAlign w:val="center"/>
          </w:tcPr>
          <w:p>
            <w:pPr>
              <w:spacing w:line="250" w:lineRule="exact"/>
              <w:rPr>
                <w:rFonts w:hint="eastAsia" w:ascii="Times New Roman" w:hAnsi="Times New Roman" w:eastAsia="仿宋"/>
                <w:kern w:val="2"/>
                <w:sz w:val="21"/>
                <w:szCs w:val="21"/>
                <w:lang w:val="en-US" w:eastAsia="zh-CN" w:bidi="ar-SA"/>
              </w:rPr>
            </w:pPr>
            <w:r>
              <w:rPr>
                <w:rFonts w:hint="eastAsia" w:ascii="Times New Roman" w:hAnsi="Times New Roman" w:eastAsia="仿宋"/>
                <w:b/>
                <w:bCs/>
                <w:szCs w:val="21"/>
              </w:rPr>
              <w:t>安全生产管理人员</w:t>
            </w:r>
            <w:r>
              <w:rPr>
                <w:rFonts w:hint="eastAsia" w:ascii="Times New Roman" w:hAnsi="Times New Roman" w:eastAsia="仿宋"/>
                <w:szCs w:val="21"/>
                <w:lang w:eastAsia="zh-CN"/>
              </w:rPr>
              <w:t>（</w:t>
            </w:r>
            <w:r>
              <w:rPr>
                <w:rFonts w:hint="eastAsia" w:ascii="Times New Roman" w:hAnsi="Times New Roman" w:eastAsia="仿宋"/>
                <w:szCs w:val="21"/>
              </w:rPr>
              <w:t>金属与非金属矿山、危险化学品</w:t>
            </w:r>
            <w:r>
              <w:rPr>
                <w:rFonts w:hint="eastAsia" w:ascii="Times New Roman" w:hAnsi="Times New Roman" w:eastAsia="仿宋"/>
                <w:szCs w:val="21"/>
                <w:lang w:eastAsia="zh-CN"/>
              </w:rPr>
              <w:t>）</w:t>
            </w:r>
          </w:p>
        </w:tc>
        <w:tc>
          <w:tcPr>
            <w:tcW w:w="580" w:type="pct"/>
            <w:noWrap w:val="0"/>
            <w:vAlign w:val="center"/>
          </w:tcPr>
          <w:p>
            <w:pPr>
              <w:spacing w:line="250" w:lineRule="exact"/>
              <w:jc w:val="center"/>
              <w:rPr>
                <w:rFonts w:hint="eastAsia" w:ascii="Times New Roman" w:hAnsi="Times New Roman" w:eastAsia="仿宋"/>
                <w:szCs w:val="21"/>
              </w:rPr>
            </w:pPr>
            <w:r>
              <w:rPr>
                <w:rFonts w:hint="eastAsia" w:ascii="Times New Roman" w:hAnsi="Times New Roman" w:eastAsia="仿宋"/>
                <w:szCs w:val="21"/>
              </w:rPr>
              <w:t>0812-3335768</w:t>
            </w:r>
          </w:p>
          <w:p>
            <w:pPr>
              <w:spacing w:line="250" w:lineRule="exact"/>
              <w:jc w:val="center"/>
              <w:rPr>
                <w:rFonts w:ascii="Times New Roman" w:hAnsi="Times New Roman" w:eastAsia="仿宋"/>
                <w:kern w:val="2"/>
                <w:sz w:val="21"/>
                <w:szCs w:val="21"/>
                <w:lang w:val="en-US" w:eastAsia="zh-CN" w:bidi="ar-SA"/>
              </w:rPr>
            </w:pPr>
            <w:r>
              <w:rPr>
                <w:rFonts w:hint="eastAsia" w:ascii="Times New Roman" w:hAnsi="Times New Roman" w:eastAsia="仿宋"/>
                <w:szCs w:val="21"/>
              </w:rPr>
              <w:t>13684284704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76" w:type="pct"/>
            <w:noWrap w:val="0"/>
            <w:vAlign w:val="center"/>
          </w:tcPr>
          <w:p>
            <w:pPr>
              <w:numPr>
                <w:ilvl w:val="0"/>
                <w:numId w:val="1"/>
              </w:numPr>
              <w:tabs>
                <w:tab w:val="left" w:pos="420"/>
              </w:tabs>
              <w:spacing w:line="280" w:lineRule="exact"/>
              <w:jc w:val="center"/>
              <w:rPr>
                <w:rFonts w:ascii="Times New Roman" w:hAnsi="Times New Roman" w:eastAsia="仿宋"/>
                <w:color w:val="000000"/>
                <w:szCs w:val="21"/>
              </w:rPr>
            </w:pPr>
          </w:p>
        </w:tc>
        <w:tc>
          <w:tcPr>
            <w:tcW w:w="766" w:type="pct"/>
            <w:noWrap w:val="0"/>
            <w:vAlign w:val="center"/>
          </w:tcPr>
          <w:p>
            <w:pPr>
              <w:spacing w:line="250" w:lineRule="exact"/>
              <w:rPr>
                <w:rFonts w:ascii="Times New Roman" w:hAnsi="Times New Roman" w:eastAsia="仿宋"/>
                <w:kern w:val="2"/>
                <w:sz w:val="21"/>
                <w:szCs w:val="21"/>
                <w:lang w:val="en-US" w:eastAsia="zh-CN" w:bidi="ar-SA"/>
              </w:rPr>
            </w:pPr>
            <w:r>
              <w:rPr>
                <w:rFonts w:ascii="Times New Roman" w:hAnsi="Times New Roman" w:eastAsia="仿宋"/>
                <w:szCs w:val="21"/>
              </w:rPr>
              <w:t>攀枝花技师学院</w:t>
            </w:r>
          </w:p>
        </w:tc>
        <w:tc>
          <w:tcPr>
            <w:tcW w:w="1052" w:type="pct"/>
            <w:noWrap w:val="0"/>
            <w:vAlign w:val="center"/>
          </w:tcPr>
          <w:p>
            <w:pPr>
              <w:spacing w:line="250" w:lineRule="exact"/>
              <w:rPr>
                <w:rFonts w:ascii="Times New Roman" w:hAnsi="Times New Roman" w:eastAsia="仿宋"/>
                <w:kern w:val="2"/>
                <w:sz w:val="21"/>
                <w:szCs w:val="21"/>
                <w:lang w:val="en-US" w:eastAsia="zh-CN" w:bidi="ar-SA"/>
              </w:rPr>
            </w:pPr>
            <w:r>
              <w:rPr>
                <w:rFonts w:hint="eastAsia" w:ascii="Times New Roman" w:hAnsi="Times New Roman" w:eastAsia="仿宋"/>
                <w:szCs w:val="21"/>
              </w:rPr>
              <w:t>攀枝花市东区枣子坪下街91号</w:t>
            </w:r>
          </w:p>
        </w:tc>
        <w:tc>
          <w:tcPr>
            <w:tcW w:w="2324" w:type="pct"/>
            <w:noWrap w:val="0"/>
            <w:vAlign w:val="center"/>
          </w:tcPr>
          <w:p>
            <w:pPr>
              <w:spacing w:line="250" w:lineRule="exact"/>
              <w:rPr>
                <w:rFonts w:hint="eastAsia" w:ascii="Times New Roman" w:hAnsi="Times New Roman" w:eastAsia="仿宋"/>
                <w:kern w:val="2"/>
                <w:sz w:val="21"/>
                <w:szCs w:val="21"/>
                <w:lang w:val="en-US" w:eastAsia="zh-CN" w:bidi="ar-SA"/>
              </w:rPr>
            </w:pPr>
            <w:r>
              <w:rPr>
                <w:rFonts w:hint="eastAsia" w:ascii="Times New Roman" w:hAnsi="Times New Roman" w:eastAsia="仿宋"/>
                <w:b/>
                <w:bCs/>
                <w:szCs w:val="21"/>
                <w:lang w:eastAsia="zh-CN"/>
              </w:rPr>
              <w:t>电工作业</w:t>
            </w:r>
            <w:r>
              <w:rPr>
                <w:rFonts w:hint="eastAsia" w:ascii="Times New Roman" w:hAnsi="Times New Roman" w:eastAsia="仿宋"/>
                <w:szCs w:val="21"/>
                <w:lang w:eastAsia="zh-CN"/>
              </w:rPr>
              <w:t>（</w:t>
            </w:r>
            <w:r>
              <w:rPr>
                <w:rFonts w:hint="eastAsia" w:ascii="Times New Roman" w:hAnsi="Times New Roman" w:eastAsia="仿宋"/>
                <w:szCs w:val="21"/>
              </w:rPr>
              <w:t>高压电工作业，低压电工作业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焊接与热切割作业</w:t>
            </w:r>
            <w:r>
              <w:rPr>
                <w:rFonts w:hint="eastAsia" w:ascii="Times New Roman" w:hAnsi="Times New Roman" w:eastAsia="仿宋"/>
                <w:szCs w:val="21"/>
                <w:lang w:eastAsia="zh-CN"/>
              </w:rPr>
              <w:t>（</w:t>
            </w:r>
            <w:r>
              <w:rPr>
                <w:rFonts w:hint="eastAsia" w:ascii="Times New Roman" w:hAnsi="Times New Roman" w:eastAsia="仿宋"/>
                <w:szCs w:val="21"/>
              </w:rPr>
              <w:t>熔化焊接与热切割作业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高处作业</w:t>
            </w:r>
          </w:p>
        </w:tc>
        <w:tc>
          <w:tcPr>
            <w:tcW w:w="580" w:type="pct"/>
            <w:noWrap w:val="0"/>
            <w:vAlign w:val="center"/>
          </w:tcPr>
          <w:p>
            <w:pPr>
              <w:spacing w:line="250" w:lineRule="exact"/>
              <w:jc w:val="center"/>
              <w:rPr>
                <w:rFonts w:hint="eastAsia" w:ascii="Times New Roman" w:hAnsi="Times New Roman" w:eastAsia="仿宋"/>
                <w:szCs w:val="21"/>
              </w:rPr>
            </w:pPr>
            <w:r>
              <w:rPr>
                <w:rFonts w:hint="eastAsia" w:ascii="Times New Roman" w:hAnsi="Times New Roman" w:eastAsia="仿宋"/>
                <w:szCs w:val="21"/>
              </w:rPr>
              <w:t>0812-3888806</w:t>
            </w:r>
          </w:p>
          <w:p>
            <w:pPr>
              <w:spacing w:line="250" w:lineRule="exact"/>
              <w:jc w:val="center"/>
              <w:rPr>
                <w:rFonts w:ascii="Times New Roman" w:hAnsi="Times New Roman" w:eastAsia="仿宋"/>
                <w:kern w:val="2"/>
                <w:sz w:val="21"/>
                <w:szCs w:val="21"/>
                <w:lang w:val="en-US" w:eastAsia="zh-CN" w:bidi="ar-SA"/>
              </w:rPr>
            </w:pPr>
            <w:r>
              <w:rPr>
                <w:rFonts w:hint="eastAsia" w:ascii="Times New Roman" w:hAnsi="Times New Roman" w:eastAsia="仿宋"/>
                <w:szCs w:val="21"/>
              </w:rPr>
              <w:t>13880684916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76" w:type="pct"/>
            <w:noWrap w:val="0"/>
            <w:vAlign w:val="center"/>
          </w:tcPr>
          <w:p>
            <w:pPr>
              <w:numPr>
                <w:ilvl w:val="0"/>
                <w:numId w:val="1"/>
              </w:numPr>
              <w:tabs>
                <w:tab w:val="left" w:pos="420"/>
              </w:tabs>
              <w:spacing w:line="280" w:lineRule="exact"/>
              <w:jc w:val="center"/>
              <w:rPr>
                <w:rFonts w:ascii="Times New Roman" w:hAnsi="Times New Roman" w:eastAsia="仿宋"/>
                <w:color w:val="000000"/>
                <w:szCs w:val="21"/>
              </w:rPr>
            </w:pPr>
          </w:p>
        </w:tc>
        <w:tc>
          <w:tcPr>
            <w:tcW w:w="766" w:type="pct"/>
            <w:noWrap w:val="0"/>
            <w:vAlign w:val="center"/>
          </w:tcPr>
          <w:p>
            <w:pPr>
              <w:spacing w:line="270" w:lineRule="exact"/>
              <w:rPr>
                <w:rFonts w:ascii="Times New Roman" w:hAnsi="Times New Roman" w:eastAsia="仿宋"/>
                <w:kern w:val="2"/>
                <w:sz w:val="21"/>
                <w:szCs w:val="21"/>
                <w:lang w:val="en-US" w:eastAsia="zh-CN" w:bidi="ar-SA"/>
              </w:rPr>
            </w:pPr>
            <w:r>
              <w:rPr>
                <w:rFonts w:ascii="Times New Roman" w:hAnsi="Times New Roman" w:eastAsia="仿宋"/>
                <w:szCs w:val="21"/>
              </w:rPr>
              <w:t>攀钢集团有限公司安全生产培训中心</w:t>
            </w:r>
          </w:p>
        </w:tc>
        <w:tc>
          <w:tcPr>
            <w:tcW w:w="1052" w:type="pct"/>
            <w:noWrap w:val="0"/>
            <w:vAlign w:val="center"/>
          </w:tcPr>
          <w:p>
            <w:pPr>
              <w:spacing w:line="270" w:lineRule="exact"/>
              <w:rPr>
                <w:rFonts w:ascii="Times New Roman" w:hAnsi="Times New Roman" w:eastAsia="仿宋"/>
                <w:kern w:val="2"/>
                <w:sz w:val="21"/>
                <w:szCs w:val="21"/>
                <w:lang w:val="en-US" w:eastAsia="zh-CN" w:bidi="ar-SA"/>
              </w:rPr>
            </w:pPr>
            <w:r>
              <w:rPr>
                <w:rFonts w:hint="eastAsia" w:ascii="Times New Roman" w:hAnsi="Times New Roman" w:eastAsia="仿宋"/>
                <w:szCs w:val="21"/>
              </w:rPr>
              <w:t>攀枝花市东区弄弄坪中路242号，东区隆庆路140号，市东区马家田路65号</w:t>
            </w:r>
          </w:p>
        </w:tc>
        <w:tc>
          <w:tcPr>
            <w:tcW w:w="2324" w:type="pct"/>
            <w:noWrap w:val="0"/>
            <w:vAlign w:val="center"/>
          </w:tcPr>
          <w:p>
            <w:pPr>
              <w:spacing w:line="270" w:lineRule="exact"/>
              <w:rPr>
                <w:rFonts w:hint="eastAsia" w:ascii="Times New Roman" w:hAnsi="Times New Roman" w:eastAsia="仿宋"/>
                <w:kern w:val="2"/>
                <w:sz w:val="21"/>
                <w:szCs w:val="21"/>
                <w:lang w:val="en-US" w:eastAsia="zh-CN" w:bidi="ar-SA"/>
              </w:rPr>
            </w:pPr>
            <w:r>
              <w:rPr>
                <w:rFonts w:hint="eastAsia" w:ascii="Times New Roman" w:hAnsi="Times New Roman" w:eastAsia="仿宋"/>
                <w:b/>
                <w:bCs/>
                <w:szCs w:val="21"/>
                <w:lang w:eastAsia="zh-CN"/>
              </w:rPr>
              <w:t>电工作业</w:t>
            </w:r>
            <w:r>
              <w:rPr>
                <w:rFonts w:hint="eastAsia" w:ascii="Times New Roman" w:hAnsi="Times New Roman" w:eastAsia="仿宋"/>
                <w:szCs w:val="21"/>
                <w:lang w:eastAsia="zh-CN"/>
              </w:rPr>
              <w:t>（</w:t>
            </w:r>
            <w:r>
              <w:rPr>
                <w:rFonts w:hint="eastAsia" w:ascii="Times New Roman" w:hAnsi="Times New Roman" w:eastAsia="仿宋"/>
                <w:szCs w:val="21"/>
              </w:rPr>
              <w:t>高压电工作业，低压电工作业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lang w:eastAsia="zh-CN"/>
              </w:rPr>
              <w:t>冶金（有色）生产安全作业</w:t>
            </w:r>
            <w:r>
              <w:rPr>
                <w:rFonts w:hint="eastAsia" w:ascii="Times New Roman" w:hAnsi="Times New Roman" w:eastAsia="仿宋"/>
                <w:szCs w:val="21"/>
                <w:lang w:eastAsia="zh-CN"/>
              </w:rPr>
              <w:t>（</w:t>
            </w:r>
            <w:r>
              <w:rPr>
                <w:rFonts w:hint="eastAsia" w:ascii="Times New Roman" w:hAnsi="Times New Roman" w:eastAsia="仿宋"/>
                <w:szCs w:val="21"/>
              </w:rPr>
              <w:t>煤气作业</w:t>
            </w:r>
            <w:r>
              <w:rPr>
                <w:rFonts w:hint="eastAsia" w:ascii="Times New Roman" w:hAnsi="Times New Roman" w:eastAsia="仿宋"/>
                <w:szCs w:val="21"/>
                <w:lang w:eastAsia="zh-CN"/>
              </w:rPr>
              <w:t>）；</w:t>
            </w:r>
            <w:r>
              <w:rPr>
                <w:rFonts w:hint="eastAsia" w:ascii="Times New Roman" w:hAnsi="Times New Roman" w:eastAsia="仿宋"/>
                <w:b/>
                <w:bCs/>
                <w:szCs w:val="21"/>
              </w:rPr>
              <w:t>高处作业</w:t>
            </w:r>
            <w:r>
              <w:rPr>
                <w:rFonts w:hint="eastAsia" w:ascii="Times New Roman" w:hAnsi="Times New Roman" w:eastAsia="仿宋"/>
                <w:szCs w:val="21"/>
                <w:lang w:eastAsia="zh-CN"/>
              </w:rPr>
              <w:t>、</w:t>
            </w:r>
            <w:r>
              <w:rPr>
                <w:rFonts w:hint="eastAsia" w:ascii="Times New Roman" w:hAnsi="Times New Roman" w:eastAsia="仿宋"/>
                <w:b/>
                <w:bCs/>
                <w:szCs w:val="21"/>
                <w:lang w:eastAsia="zh-CN"/>
              </w:rPr>
              <w:t>金属非金属矿山安全作业</w:t>
            </w:r>
            <w:r>
              <w:rPr>
                <w:rFonts w:hint="eastAsia" w:ascii="Times New Roman" w:hAnsi="Times New Roman" w:eastAsia="仿宋"/>
                <w:szCs w:val="21"/>
                <w:lang w:eastAsia="zh-CN"/>
              </w:rPr>
              <w:t>（</w:t>
            </w:r>
            <w:r>
              <w:rPr>
                <w:rFonts w:hint="eastAsia" w:ascii="Times New Roman" w:hAnsi="Times New Roman" w:eastAsia="仿宋"/>
                <w:szCs w:val="21"/>
              </w:rPr>
              <w:t>尾矿作业</w:t>
            </w:r>
            <w:r>
              <w:rPr>
                <w:rFonts w:hint="eastAsia" w:ascii="Times New Roman" w:hAnsi="Times New Roman" w:eastAsia="仿宋"/>
                <w:szCs w:val="21"/>
                <w:lang w:eastAsia="zh-CN"/>
              </w:rPr>
              <w:t>）、</w:t>
            </w:r>
            <w:r>
              <w:rPr>
                <w:rFonts w:hint="eastAsia" w:ascii="Times New Roman" w:hAnsi="Times New Roman" w:eastAsia="仿宋"/>
                <w:b/>
                <w:bCs/>
                <w:szCs w:val="21"/>
              </w:rPr>
              <w:t>焊接与热切割作业</w:t>
            </w:r>
            <w:r>
              <w:rPr>
                <w:rFonts w:hint="eastAsia" w:ascii="Times New Roman" w:hAnsi="Times New Roman" w:eastAsia="仿宋"/>
                <w:szCs w:val="21"/>
                <w:lang w:eastAsia="zh-CN"/>
              </w:rPr>
              <w:t>（</w:t>
            </w:r>
            <w:r>
              <w:rPr>
                <w:rFonts w:hint="eastAsia" w:ascii="Times New Roman" w:hAnsi="Times New Roman" w:eastAsia="仿宋"/>
                <w:szCs w:val="21"/>
              </w:rPr>
              <w:t>熔化焊接与热切割作业</w:t>
            </w:r>
            <w:r>
              <w:rPr>
                <w:rFonts w:hint="eastAsia" w:ascii="Times New Roman" w:hAnsi="Times New Roman" w:eastAsia="仿宋"/>
                <w:szCs w:val="21"/>
                <w:lang w:eastAsia="zh-CN"/>
              </w:rPr>
              <w:t>）、</w:t>
            </w:r>
            <w:r>
              <w:rPr>
                <w:rFonts w:hint="eastAsia" w:ascii="Times New Roman" w:hAnsi="Times New Roman" w:eastAsia="仿宋"/>
                <w:b/>
                <w:bCs/>
                <w:szCs w:val="21"/>
                <w:lang w:eastAsia="zh-CN"/>
              </w:rPr>
              <w:t>危险化学品安全作业</w:t>
            </w:r>
            <w:r>
              <w:rPr>
                <w:rFonts w:hint="eastAsia" w:ascii="Times New Roman" w:hAnsi="Times New Roman" w:eastAsia="仿宋"/>
                <w:szCs w:val="21"/>
                <w:lang w:eastAsia="zh-CN"/>
              </w:rPr>
              <w:t>（</w:t>
            </w:r>
            <w:r>
              <w:rPr>
                <w:rFonts w:hint="eastAsia" w:ascii="Times New Roman" w:hAnsi="Times New Roman" w:eastAsia="仿宋"/>
                <w:szCs w:val="21"/>
              </w:rPr>
              <w:t>氯化工艺作业</w:t>
            </w:r>
            <w:r>
              <w:rPr>
                <w:rFonts w:hint="eastAsia" w:ascii="Times New Roman" w:hAnsi="Times New Roman" w:eastAsia="仿宋"/>
                <w:szCs w:val="21"/>
                <w:lang w:eastAsia="zh-CN"/>
              </w:rPr>
              <w:t>、</w:t>
            </w:r>
            <w:r>
              <w:rPr>
                <w:rFonts w:hint="eastAsia" w:ascii="Times New Roman" w:hAnsi="Times New Roman" w:eastAsia="仿宋"/>
                <w:szCs w:val="21"/>
              </w:rPr>
              <w:t>氧化工艺作业</w:t>
            </w:r>
            <w:r>
              <w:rPr>
                <w:rFonts w:hint="eastAsia" w:ascii="Times New Roman" w:hAnsi="Times New Roman" w:eastAsia="仿宋"/>
                <w:szCs w:val="21"/>
                <w:lang w:eastAsia="zh-CN"/>
              </w:rPr>
              <w:t>、</w:t>
            </w:r>
            <w:r>
              <w:rPr>
                <w:rFonts w:hint="eastAsia" w:ascii="Times New Roman" w:hAnsi="Times New Roman" w:eastAsia="仿宋"/>
                <w:szCs w:val="21"/>
              </w:rPr>
              <w:t>氯碱电解工艺作业</w:t>
            </w:r>
            <w:r>
              <w:rPr>
                <w:rFonts w:hint="eastAsia" w:ascii="Times New Roman" w:hAnsi="Times New Roman" w:eastAsia="仿宋"/>
                <w:szCs w:val="21"/>
                <w:lang w:eastAsia="zh-CN"/>
              </w:rPr>
              <w:t>）等仅复训。</w:t>
            </w:r>
          </w:p>
        </w:tc>
        <w:tc>
          <w:tcPr>
            <w:tcW w:w="580" w:type="pct"/>
            <w:noWrap w:val="0"/>
            <w:vAlign w:val="center"/>
          </w:tcPr>
          <w:p>
            <w:pPr>
              <w:spacing w:line="270" w:lineRule="exact"/>
              <w:jc w:val="center"/>
              <w:rPr>
                <w:rFonts w:hint="eastAsia" w:ascii="Times New Roman" w:hAnsi="Times New Roman" w:eastAsia="仿宋"/>
                <w:szCs w:val="21"/>
              </w:rPr>
            </w:pPr>
            <w:r>
              <w:rPr>
                <w:rFonts w:hint="eastAsia" w:ascii="Times New Roman" w:hAnsi="Times New Roman" w:eastAsia="仿宋"/>
                <w:szCs w:val="21"/>
              </w:rPr>
              <w:t>0812-3396233</w:t>
            </w:r>
          </w:p>
          <w:p>
            <w:pPr>
              <w:spacing w:line="270" w:lineRule="exact"/>
              <w:jc w:val="center"/>
              <w:rPr>
                <w:rFonts w:ascii="Times New Roman" w:hAnsi="Times New Roman" w:eastAsia="仿宋"/>
                <w:kern w:val="2"/>
                <w:sz w:val="21"/>
                <w:szCs w:val="21"/>
                <w:lang w:val="en-US" w:eastAsia="zh-CN" w:bidi="ar-SA"/>
              </w:rPr>
            </w:pPr>
            <w:r>
              <w:rPr>
                <w:rFonts w:hint="eastAsia" w:ascii="Times New Roman" w:hAnsi="Times New Roman" w:eastAsia="仿宋"/>
                <w:szCs w:val="21"/>
              </w:rPr>
              <w:t>15881293335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76" w:type="pct"/>
            <w:noWrap w:val="0"/>
            <w:vAlign w:val="center"/>
          </w:tcPr>
          <w:p>
            <w:pPr>
              <w:numPr>
                <w:ilvl w:val="0"/>
                <w:numId w:val="1"/>
              </w:numPr>
              <w:tabs>
                <w:tab w:val="left" w:pos="420"/>
              </w:tabs>
              <w:spacing w:line="280" w:lineRule="exact"/>
              <w:jc w:val="center"/>
              <w:rPr>
                <w:rFonts w:ascii="Times New Roman" w:hAnsi="Times New Roman" w:eastAsia="仿宋"/>
                <w:color w:val="000000"/>
                <w:szCs w:val="21"/>
              </w:rPr>
            </w:pPr>
          </w:p>
        </w:tc>
        <w:tc>
          <w:tcPr>
            <w:tcW w:w="766" w:type="pct"/>
            <w:noWrap w:val="0"/>
            <w:vAlign w:val="center"/>
          </w:tcPr>
          <w:p>
            <w:pPr>
              <w:spacing w:line="270" w:lineRule="exact"/>
              <w:rPr>
                <w:rFonts w:ascii="Times New Roman" w:hAnsi="Times New Roman" w:eastAsia="仿宋"/>
                <w:kern w:val="2"/>
                <w:sz w:val="21"/>
                <w:szCs w:val="21"/>
                <w:lang w:val="en-US" w:eastAsia="zh-CN" w:bidi="ar-SA"/>
              </w:rPr>
            </w:pPr>
            <w:r>
              <w:rPr>
                <w:rFonts w:ascii="Times New Roman" w:hAnsi="Times New Roman" w:eastAsia="仿宋"/>
                <w:szCs w:val="21"/>
              </w:rPr>
              <w:t>攀枝花运业安全技术咨询服务有限公司</w:t>
            </w:r>
          </w:p>
        </w:tc>
        <w:tc>
          <w:tcPr>
            <w:tcW w:w="1052" w:type="pct"/>
            <w:noWrap w:val="0"/>
            <w:vAlign w:val="center"/>
          </w:tcPr>
          <w:p>
            <w:pPr>
              <w:spacing w:line="270" w:lineRule="exact"/>
              <w:rPr>
                <w:rFonts w:ascii="Times New Roman" w:hAnsi="Times New Roman" w:eastAsia="仿宋"/>
                <w:kern w:val="2"/>
                <w:sz w:val="21"/>
                <w:szCs w:val="21"/>
                <w:lang w:val="en-US" w:eastAsia="zh-CN" w:bidi="ar-SA"/>
              </w:rPr>
            </w:pPr>
            <w:r>
              <w:rPr>
                <w:rFonts w:hint="eastAsia" w:ascii="Times New Roman" w:hAnsi="Times New Roman" w:eastAsia="仿宋"/>
                <w:szCs w:val="21"/>
              </w:rPr>
              <w:t>攀枝花市东区奥林匹克路3号</w:t>
            </w:r>
          </w:p>
        </w:tc>
        <w:tc>
          <w:tcPr>
            <w:tcW w:w="2324" w:type="pct"/>
            <w:noWrap w:val="0"/>
            <w:vAlign w:val="center"/>
          </w:tcPr>
          <w:p>
            <w:pPr>
              <w:spacing w:line="270" w:lineRule="exact"/>
              <w:rPr>
                <w:rFonts w:hint="eastAsia" w:ascii="Times New Roman" w:hAnsi="Times New Roman" w:eastAsia="仿宋"/>
                <w:kern w:val="2"/>
                <w:sz w:val="21"/>
                <w:szCs w:val="21"/>
                <w:lang w:val="en-US" w:eastAsia="zh-CN" w:bidi="ar-SA"/>
              </w:rPr>
            </w:pPr>
            <w:r>
              <w:rPr>
                <w:rFonts w:hint="eastAsia" w:ascii="Times New Roman" w:hAnsi="Times New Roman" w:eastAsia="仿宋"/>
                <w:b/>
                <w:bCs/>
                <w:szCs w:val="21"/>
              </w:rPr>
              <w:t>主要负责人</w:t>
            </w:r>
            <w:r>
              <w:rPr>
                <w:rFonts w:hint="eastAsia" w:ascii="Times New Roman" w:hAnsi="Times New Roman" w:eastAsia="仿宋"/>
                <w:szCs w:val="21"/>
                <w:lang w:eastAsia="zh-CN"/>
              </w:rPr>
              <w:t>（</w:t>
            </w:r>
            <w:r>
              <w:rPr>
                <w:rFonts w:hint="eastAsia" w:ascii="Times New Roman" w:hAnsi="Times New Roman" w:eastAsia="仿宋"/>
                <w:szCs w:val="21"/>
              </w:rPr>
              <w:t>金属与非金属矿山、金属冶炼、危险化学品</w:t>
            </w:r>
            <w:r>
              <w:rPr>
                <w:rFonts w:hint="eastAsia" w:ascii="Times New Roman" w:hAnsi="Times New Roman" w:eastAsia="仿宋"/>
                <w:szCs w:val="21"/>
                <w:lang w:eastAsia="zh-CN"/>
              </w:rPr>
              <w:t>），</w:t>
            </w:r>
            <w:r>
              <w:rPr>
                <w:rFonts w:hint="eastAsia" w:ascii="Times New Roman" w:hAnsi="Times New Roman" w:eastAsia="仿宋"/>
                <w:b/>
                <w:bCs/>
                <w:szCs w:val="21"/>
              </w:rPr>
              <w:t>安全生产管理人员</w:t>
            </w:r>
            <w:r>
              <w:rPr>
                <w:rFonts w:hint="eastAsia" w:ascii="Times New Roman" w:hAnsi="Times New Roman" w:eastAsia="仿宋"/>
                <w:szCs w:val="21"/>
                <w:lang w:eastAsia="zh-CN"/>
              </w:rPr>
              <w:t>（</w:t>
            </w:r>
            <w:r>
              <w:rPr>
                <w:rFonts w:hint="eastAsia" w:ascii="Times New Roman" w:hAnsi="Times New Roman" w:eastAsia="仿宋"/>
                <w:szCs w:val="21"/>
              </w:rPr>
              <w:t>金属与非金属矿山、金属冶炼、危险化学品</w:t>
            </w:r>
            <w:r>
              <w:rPr>
                <w:rFonts w:hint="eastAsia" w:ascii="Times New Roman" w:hAnsi="Times New Roman" w:eastAsia="仿宋"/>
                <w:szCs w:val="21"/>
                <w:lang w:eastAsia="zh-CN"/>
              </w:rPr>
              <w:t>），</w:t>
            </w:r>
            <w:r>
              <w:rPr>
                <w:rFonts w:hint="eastAsia" w:ascii="Times New Roman" w:hAnsi="Times New Roman" w:eastAsia="仿宋"/>
                <w:b/>
                <w:bCs/>
                <w:szCs w:val="21"/>
                <w:lang w:eastAsia="zh-CN"/>
              </w:rPr>
              <w:t>电工作业</w:t>
            </w:r>
            <w:r>
              <w:rPr>
                <w:rFonts w:hint="eastAsia" w:ascii="Times New Roman" w:hAnsi="Times New Roman" w:eastAsia="仿宋"/>
                <w:szCs w:val="21"/>
                <w:lang w:eastAsia="zh-CN"/>
              </w:rPr>
              <w:t>（</w:t>
            </w:r>
            <w:r>
              <w:rPr>
                <w:rFonts w:hint="eastAsia" w:ascii="Times New Roman" w:hAnsi="Times New Roman" w:eastAsia="仿宋"/>
                <w:szCs w:val="21"/>
              </w:rPr>
              <w:t>高压电工作业，低压电工作业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焊接与热切割作业</w:t>
            </w:r>
            <w:r>
              <w:rPr>
                <w:rFonts w:hint="eastAsia" w:ascii="Times New Roman" w:hAnsi="Times New Roman" w:eastAsia="仿宋"/>
                <w:szCs w:val="21"/>
                <w:lang w:eastAsia="zh-CN"/>
              </w:rPr>
              <w:t>（</w:t>
            </w:r>
            <w:r>
              <w:rPr>
                <w:rFonts w:hint="eastAsia" w:ascii="Times New Roman" w:hAnsi="Times New Roman" w:eastAsia="仿宋"/>
                <w:szCs w:val="21"/>
              </w:rPr>
              <w:t>熔化焊接与热切割作业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高处作业</w:t>
            </w:r>
          </w:p>
        </w:tc>
        <w:tc>
          <w:tcPr>
            <w:tcW w:w="580" w:type="pct"/>
            <w:noWrap w:val="0"/>
            <w:vAlign w:val="center"/>
          </w:tcPr>
          <w:p>
            <w:pPr>
              <w:spacing w:line="270" w:lineRule="exact"/>
              <w:jc w:val="center"/>
              <w:rPr>
                <w:rFonts w:ascii="Times New Roman" w:hAnsi="Times New Roman" w:eastAsia="仿宋"/>
                <w:kern w:val="2"/>
                <w:sz w:val="21"/>
                <w:szCs w:val="21"/>
                <w:lang w:val="en-US" w:eastAsia="zh-CN" w:bidi="ar-SA"/>
              </w:rPr>
            </w:pPr>
            <w:r>
              <w:rPr>
                <w:rFonts w:hint="eastAsia" w:ascii="Times New Roman" w:hAnsi="Times New Roman" w:eastAsia="仿宋"/>
                <w:szCs w:val="21"/>
              </w:rPr>
              <w:t>0812-3898886</w:t>
            </w:r>
            <w:r>
              <w:rPr>
                <w:rFonts w:hint="eastAsia" w:ascii="Times New Roman" w:hAnsi="Times New Roman" w:eastAsia="仿宋"/>
                <w:szCs w:val="21"/>
              </w:rPr>
              <w:br w:type="textWrapping"/>
            </w:r>
            <w:r>
              <w:rPr>
                <w:rFonts w:hint="eastAsia" w:ascii="Times New Roman" w:hAnsi="Times New Roman" w:eastAsia="仿宋"/>
                <w:szCs w:val="21"/>
              </w:rPr>
              <w:t>13982381340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6" w:type="pct"/>
            <w:noWrap w:val="0"/>
            <w:vAlign w:val="center"/>
          </w:tcPr>
          <w:p>
            <w:pPr>
              <w:numPr>
                <w:ilvl w:val="0"/>
                <w:numId w:val="1"/>
              </w:numPr>
              <w:tabs>
                <w:tab w:val="left" w:pos="420"/>
              </w:tabs>
              <w:spacing w:line="270" w:lineRule="exact"/>
              <w:jc w:val="center"/>
              <w:rPr>
                <w:rFonts w:ascii="Times New Roman" w:hAnsi="Times New Roman" w:eastAsia="仿宋"/>
                <w:color w:val="000000"/>
                <w:szCs w:val="21"/>
              </w:rPr>
            </w:pPr>
          </w:p>
        </w:tc>
        <w:tc>
          <w:tcPr>
            <w:tcW w:w="766" w:type="pct"/>
            <w:noWrap w:val="0"/>
            <w:vAlign w:val="center"/>
          </w:tcPr>
          <w:p>
            <w:pPr>
              <w:spacing w:line="270" w:lineRule="exact"/>
              <w:rPr>
                <w:rFonts w:ascii="Times New Roman" w:hAnsi="Times New Roman" w:eastAsia="仿宋"/>
                <w:kern w:val="2"/>
                <w:sz w:val="21"/>
                <w:szCs w:val="21"/>
                <w:lang w:val="en-US" w:eastAsia="zh-CN" w:bidi="ar-SA"/>
              </w:rPr>
            </w:pPr>
            <w:r>
              <w:rPr>
                <w:rFonts w:ascii="Times New Roman" w:hAnsi="Times New Roman" w:eastAsia="仿宋"/>
                <w:szCs w:val="21"/>
              </w:rPr>
              <w:t>攀枝花煤矿安全技术培训中心</w:t>
            </w:r>
          </w:p>
        </w:tc>
        <w:tc>
          <w:tcPr>
            <w:tcW w:w="1052" w:type="pct"/>
            <w:noWrap w:val="0"/>
            <w:vAlign w:val="center"/>
          </w:tcPr>
          <w:p>
            <w:pPr>
              <w:spacing w:line="270" w:lineRule="exact"/>
              <w:rPr>
                <w:rFonts w:ascii="Times New Roman" w:hAnsi="Times New Roman" w:eastAsia="仿宋"/>
                <w:kern w:val="2"/>
                <w:sz w:val="21"/>
                <w:szCs w:val="21"/>
                <w:lang w:val="en-US" w:eastAsia="zh-CN" w:bidi="ar-SA"/>
              </w:rPr>
            </w:pPr>
            <w:r>
              <w:rPr>
                <w:rFonts w:hint="eastAsia" w:ascii="Times New Roman" w:hAnsi="Times New Roman" w:eastAsia="仿宋"/>
                <w:szCs w:val="21"/>
              </w:rPr>
              <w:t>攀枝花市西区格里坪马上南巷5号</w:t>
            </w:r>
          </w:p>
        </w:tc>
        <w:tc>
          <w:tcPr>
            <w:tcW w:w="2324" w:type="pct"/>
            <w:noWrap w:val="0"/>
            <w:vAlign w:val="center"/>
          </w:tcPr>
          <w:p>
            <w:pPr>
              <w:spacing w:line="270" w:lineRule="exact"/>
              <w:rPr>
                <w:rFonts w:hint="eastAsia" w:ascii="Times New Roman" w:hAnsi="Times New Roman" w:eastAsia="仿宋"/>
                <w:kern w:val="2"/>
                <w:sz w:val="21"/>
                <w:szCs w:val="21"/>
                <w:lang w:val="en-US" w:eastAsia="zh-CN" w:bidi="ar-SA"/>
              </w:rPr>
            </w:pPr>
            <w:r>
              <w:rPr>
                <w:rFonts w:hint="eastAsia" w:ascii="Times New Roman" w:hAnsi="Times New Roman" w:eastAsia="仿宋"/>
                <w:b/>
                <w:bCs/>
                <w:szCs w:val="21"/>
              </w:rPr>
              <w:t>安全生产管理人员</w:t>
            </w:r>
            <w:r>
              <w:rPr>
                <w:rFonts w:hint="eastAsia" w:ascii="Times New Roman" w:hAnsi="Times New Roman" w:eastAsia="仿宋"/>
                <w:szCs w:val="21"/>
                <w:lang w:eastAsia="zh-CN"/>
              </w:rPr>
              <w:t>（</w:t>
            </w:r>
            <w:r>
              <w:rPr>
                <w:rFonts w:hint="eastAsia" w:ascii="Times New Roman" w:hAnsi="Times New Roman" w:eastAsia="仿宋"/>
                <w:szCs w:val="21"/>
              </w:rPr>
              <w:t>煤矿</w:t>
            </w:r>
            <w:r>
              <w:rPr>
                <w:rFonts w:hint="eastAsia" w:ascii="Times New Roman" w:hAnsi="Times New Roman" w:eastAsia="仿宋"/>
                <w:szCs w:val="21"/>
                <w:lang w:eastAsia="zh-CN"/>
              </w:rPr>
              <w:t>），</w:t>
            </w:r>
            <w:r>
              <w:rPr>
                <w:rFonts w:hint="eastAsia" w:ascii="Times New Roman" w:hAnsi="Times New Roman" w:eastAsia="仿宋"/>
                <w:b/>
                <w:bCs/>
                <w:szCs w:val="21"/>
                <w:lang w:eastAsia="zh-CN"/>
              </w:rPr>
              <w:t>电工作业</w:t>
            </w:r>
            <w:r>
              <w:rPr>
                <w:rFonts w:hint="eastAsia" w:ascii="Times New Roman" w:hAnsi="Times New Roman" w:eastAsia="仿宋"/>
                <w:szCs w:val="21"/>
                <w:lang w:eastAsia="zh-CN"/>
              </w:rPr>
              <w:t>（</w:t>
            </w:r>
            <w:r>
              <w:rPr>
                <w:rFonts w:hint="eastAsia" w:ascii="Times New Roman" w:hAnsi="Times New Roman" w:eastAsia="仿宋"/>
                <w:szCs w:val="21"/>
              </w:rPr>
              <w:t>高压电工作业，低压电工作业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焊接与热切割作业</w:t>
            </w:r>
            <w:r>
              <w:rPr>
                <w:rFonts w:hint="eastAsia" w:ascii="Times New Roman" w:hAnsi="Times New Roman" w:eastAsia="仿宋"/>
                <w:szCs w:val="21"/>
                <w:lang w:eastAsia="zh-CN"/>
              </w:rPr>
              <w:t>（</w:t>
            </w:r>
            <w:r>
              <w:rPr>
                <w:rFonts w:hint="eastAsia" w:ascii="Times New Roman" w:hAnsi="Times New Roman" w:eastAsia="仿宋"/>
                <w:szCs w:val="21"/>
              </w:rPr>
              <w:t>熔化焊接与热切割作业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煤矿安全作业</w:t>
            </w:r>
          </w:p>
        </w:tc>
        <w:tc>
          <w:tcPr>
            <w:tcW w:w="580" w:type="pct"/>
            <w:noWrap w:val="0"/>
            <w:vAlign w:val="center"/>
          </w:tcPr>
          <w:p>
            <w:pPr>
              <w:spacing w:line="270" w:lineRule="exact"/>
              <w:jc w:val="center"/>
              <w:rPr>
                <w:rFonts w:ascii="Times New Roman" w:hAnsi="Times New Roman" w:eastAsia="仿宋"/>
                <w:kern w:val="2"/>
                <w:sz w:val="21"/>
                <w:szCs w:val="21"/>
                <w:lang w:val="en-US" w:eastAsia="zh-CN" w:bidi="ar-SA"/>
              </w:rPr>
            </w:pPr>
            <w:r>
              <w:rPr>
                <w:rFonts w:hint="eastAsia" w:ascii="Times New Roman" w:hAnsi="Times New Roman" w:eastAsia="仿宋"/>
                <w:szCs w:val="21"/>
              </w:rPr>
              <w:t>0812-5990368</w:t>
            </w:r>
            <w:r>
              <w:rPr>
                <w:rFonts w:hint="eastAsia" w:ascii="Times New Roman" w:hAnsi="Times New Roman" w:eastAsia="仿宋"/>
                <w:szCs w:val="21"/>
              </w:rPr>
              <w:br w:type="textWrapping"/>
            </w:r>
            <w:r>
              <w:rPr>
                <w:rFonts w:hint="eastAsia" w:ascii="Times New Roman" w:hAnsi="Times New Roman" w:eastAsia="仿宋"/>
                <w:szCs w:val="21"/>
              </w:rPr>
              <w:t>13378938036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76" w:type="pct"/>
            <w:noWrap w:val="0"/>
            <w:vAlign w:val="center"/>
          </w:tcPr>
          <w:p>
            <w:pPr>
              <w:numPr>
                <w:ilvl w:val="0"/>
                <w:numId w:val="1"/>
              </w:numPr>
              <w:tabs>
                <w:tab w:val="left" w:pos="420"/>
              </w:tabs>
              <w:spacing w:line="270" w:lineRule="exact"/>
              <w:jc w:val="center"/>
              <w:rPr>
                <w:rFonts w:ascii="Times New Roman" w:hAnsi="Times New Roman" w:eastAsia="仿宋"/>
                <w:color w:val="000000"/>
                <w:szCs w:val="21"/>
              </w:rPr>
            </w:pPr>
          </w:p>
        </w:tc>
        <w:tc>
          <w:tcPr>
            <w:tcW w:w="766" w:type="pct"/>
            <w:noWrap w:val="0"/>
            <w:vAlign w:val="center"/>
          </w:tcPr>
          <w:p>
            <w:pPr>
              <w:spacing w:line="270" w:lineRule="exact"/>
              <w:rPr>
                <w:rFonts w:ascii="Times New Roman" w:hAnsi="Times New Roman" w:eastAsia="仿宋"/>
                <w:kern w:val="2"/>
                <w:sz w:val="21"/>
                <w:szCs w:val="21"/>
                <w:lang w:val="en-US" w:eastAsia="zh-CN" w:bidi="ar-SA"/>
              </w:rPr>
            </w:pPr>
            <w:r>
              <w:rPr>
                <w:rFonts w:ascii="Times New Roman" w:hAnsi="Times New Roman" w:eastAsia="仿宋"/>
                <w:szCs w:val="21"/>
              </w:rPr>
              <w:t>攀枝花市鲁班职业技能培训学校有限公司</w:t>
            </w:r>
          </w:p>
        </w:tc>
        <w:tc>
          <w:tcPr>
            <w:tcW w:w="1052" w:type="pct"/>
            <w:noWrap w:val="0"/>
            <w:vAlign w:val="center"/>
          </w:tcPr>
          <w:p>
            <w:pPr>
              <w:spacing w:line="270" w:lineRule="exact"/>
              <w:rPr>
                <w:rFonts w:ascii="Times New Roman" w:hAnsi="Times New Roman" w:eastAsia="仿宋"/>
                <w:kern w:val="2"/>
                <w:sz w:val="21"/>
                <w:szCs w:val="21"/>
                <w:lang w:val="en-US" w:eastAsia="zh-CN" w:bidi="ar-SA"/>
              </w:rPr>
            </w:pPr>
            <w:r>
              <w:rPr>
                <w:rFonts w:hint="eastAsia" w:ascii="Times New Roman" w:hAnsi="Times New Roman" w:eastAsia="仿宋"/>
                <w:szCs w:val="21"/>
              </w:rPr>
              <w:t>攀枝花市米易县攀莲镇铁建路88号、90号</w:t>
            </w:r>
          </w:p>
        </w:tc>
        <w:tc>
          <w:tcPr>
            <w:tcW w:w="2324" w:type="pct"/>
            <w:noWrap w:val="0"/>
            <w:vAlign w:val="center"/>
          </w:tcPr>
          <w:p>
            <w:pPr>
              <w:spacing w:line="270" w:lineRule="exact"/>
              <w:rPr>
                <w:rFonts w:hint="eastAsia" w:ascii="Times New Roman" w:hAnsi="Times New Roman" w:eastAsia="仿宋"/>
                <w:kern w:val="2"/>
                <w:sz w:val="21"/>
                <w:szCs w:val="21"/>
                <w:lang w:val="en-US" w:eastAsia="zh-CN" w:bidi="ar-SA"/>
              </w:rPr>
            </w:pPr>
            <w:r>
              <w:rPr>
                <w:rFonts w:hint="eastAsia" w:ascii="Times New Roman" w:hAnsi="Times New Roman" w:eastAsia="仿宋"/>
                <w:b/>
                <w:bCs/>
                <w:szCs w:val="21"/>
                <w:lang w:eastAsia="zh-CN"/>
              </w:rPr>
              <w:t>电工作业</w:t>
            </w:r>
            <w:r>
              <w:rPr>
                <w:rFonts w:hint="eastAsia" w:ascii="Times New Roman" w:hAnsi="Times New Roman" w:eastAsia="仿宋"/>
                <w:szCs w:val="21"/>
                <w:lang w:eastAsia="zh-CN"/>
              </w:rPr>
              <w:t>（</w:t>
            </w:r>
            <w:r>
              <w:rPr>
                <w:rFonts w:hint="eastAsia" w:ascii="Times New Roman" w:hAnsi="Times New Roman" w:eastAsia="仿宋"/>
                <w:szCs w:val="21"/>
              </w:rPr>
              <w:t>高压电工作业，低压电工作业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焊接与热切割作业</w:t>
            </w:r>
            <w:r>
              <w:rPr>
                <w:rFonts w:hint="eastAsia" w:ascii="Times New Roman" w:hAnsi="Times New Roman" w:eastAsia="仿宋"/>
                <w:szCs w:val="21"/>
                <w:lang w:eastAsia="zh-CN"/>
              </w:rPr>
              <w:t>（</w:t>
            </w:r>
            <w:r>
              <w:rPr>
                <w:rFonts w:hint="eastAsia" w:ascii="Times New Roman" w:hAnsi="Times New Roman" w:eastAsia="仿宋"/>
                <w:szCs w:val="21"/>
              </w:rPr>
              <w:t>熔化焊接与热切割作业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高处作业</w:t>
            </w:r>
          </w:p>
        </w:tc>
        <w:tc>
          <w:tcPr>
            <w:tcW w:w="580" w:type="pct"/>
            <w:noWrap w:val="0"/>
            <w:vAlign w:val="center"/>
          </w:tcPr>
          <w:p>
            <w:pPr>
              <w:spacing w:line="270" w:lineRule="exact"/>
              <w:jc w:val="center"/>
              <w:rPr>
                <w:rFonts w:hint="eastAsia" w:ascii="Times New Roman" w:hAnsi="Times New Roman" w:eastAsia="仿宋"/>
                <w:szCs w:val="21"/>
              </w:rPr>
            </w:pPr>
            <w:r>
              <w:rPr>
                <w:rFonts w:hint="eastAsia" w:ascii="Times New Roman" w:hAnsi="Times New Roman" w:eastAsia="仿宋"/>
                <w:szCs w:val="21"/>
              </w:rPr>
              <w:t>0812-8113467</w:t>
            </w:r>
          </w:p>
          <w:p>
            <w:pPr>
              <w:spacing w:line="270" w:lineRule="exact"/>
              <w:jc w:val="center"/>
              <w:rPr>
                <w:rFonts w:ascii="Times New Roman" w:hAnsi="Times New Roman" w:eastAsia="仿宋"/>
                <w:kern w:val="2"/>
                <w:sz w:val="21"/>
                <w:szCs w:val="21"/>
                <w:lang w:val="en-US" w:eastAsia="zh-CN" w:bidi="ar-SA"/>
              </w:rPr>
            </w:pPr>
            <w:r>
              <w:rPr>
                <w:rFonts w:hint="eastAsia" w:ascii="Times New Roman" w:hAnsi="Times New Roman" w:eastAsia="仿宋"/>
                <w:szCs w:val="21"/>
              </w:rPr>
              <w:t>15608144756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76" w:type="pct"/>
            <w:noWrap w:val="0"/>
            <w:vAlign w:val="center"/>
          </w:tcPr>
          <w:p>
            <w:pPr>
              <w:numPr>
                <w:ilvl w:val="0"/>
                <w:numId w:val="1"/>
              </w:numPr>
              <w:tabs>
                <w:tab w:val="left" w:pos="420"/>
              </w:tabs>
              <w:spacing w:line="270" w:lineRule="exact"/>
              <w:ind w:left="425" w:leftChars="0" w:hanging="425" w:firstLineChars="0"/>
              <w:jc w:val="center"/>
              <w:rPr>
                <w:rFonts w:ascii="Times New Roman" w:hAnsi="Times New Roman" w:eastAsia="仿宋"/>
                <w:color w:val="000000"/>
                <w:szCs w:val="21"/>
              </w:rPr>
            </w:pPr>
          </w:p>
        </w:tc>
        <w:tc>
          <w:tcPr>
            <w:tcW w:w="766" w:type="pct"/>
            <w:noWrap w:val="0"/>
            <w:vAlign w:val="center"/>
          </w:tcPr>
          <w:p>
            <w:pPr>
              <w:spacing w:line="270" w:lineRule="exact"/>
              <w:rPr>
                <w:rFonts w:ascii="Times New Roman" w:hAnsi="Times New Roman" w:eastAsia="仿宋"/>
                <w:szCs w:val="21"/>
              </w:rPr>
            </w:pPr>
            <w:r>
              <w:rPr>
                <w:rFonts w:ascii="Times New Roman" w:hAnsi="Times New Roman" w:eastAsia="仿宋"/>
                <w:szCs w:val="21"/>
              </w:rPr>
              <w:t>攀枝花鸿途安全技术服务有限公司</w:t>
            </w:r>
          </w:p>
        </w:tc>
        <w:tc>
          <w:tcPr>
            <w:tcW w:w="1052" w:type="pct"/>
            <w:noWrap w:val="0"/>
            <w:vAlign w:val="center"/>
          </w:tcPr>
          <w:p>
            <w:pPr>
              <w:spacing w:line="270" w:lineRule="exact"/>
              <w:rPr>
                <w:rFonts w:hint="eastAsia" w:ascii="Times New Roman" w:hAnsi="Times New Roman" w:eastAsia="仿宋"/>
                <w:szCs w:val="21"/>
              </w:rPr>
            </w:pPr>
            <w:r>
              <w:rPr>
                <w:rFonts w:hint="eastAsia" w:ascii="Times New Roman" w:hAnsi="Times New Roman" w:eastAsia="仿宋"/>
                <w:szCs w:val="21"/>
              </w:rPr>
              <w:t>攀枝花市米易县丙谷镇橄榄河村3社101号</w:t>
            </w:r>
          </w:p>
        </w:tc>
        <w:tc>
          <w:tcPr>
            <w:tcW w:w="2324" w:type="pct"/>
            <w:noWrap w:val="0"/>
            <w:vAlign w:val="center"/>
          </w:tcPr>
          <w:p>
            <w:pPr>
              <w:spacing w:line="270" w:lineRule="exact"/>
              <w:rPr>
                <w:rFonts w:hint="eastAsia" w:ascii="Times New Roman" w:hAnsi="Times New Roman" w:eastAsia="仿宋"/>
                <w:b/>
                <w:bCs/>
                <w:szCs w:val="21"/>
                <w:lang w:eastAsia="zh-CN"/>
              </w:rPr>
            </w:pPr>
            <w:r>
              <w:rPr>
                <w:rFonts w:hint="eastAsia" w:ascii="Times New Roman" w:hAnsi="Times New Roman" w:eastAsia="仿宋"/>
                <w:b/>
                <w:bCs/>
                <w:szCs w:val="21"/>
                <w:lang w:eastAsia="zh-CN"/>
              </w:rPr>
              <w:t>电工作业</w:t>
            </w:r>
            <w:r>
              <w:rPr>
                <w:rFonts w:hint="eastAsia" w:ascii="Times New Roman" w:hAnsi="Times New Roman" w:eastAsia="仿宋"/>
                <w:szCs w:val="21"/>
                <w:lang w:eastAsia="zh-CN"/>
              </w:rPr>
              <w:t>（</w:t>
            </w:r>
            <w:r>
              <w:rPr>
                <w:rFonts w:hint="eastAsia" w:ascii="Times New Roman" w:hAnsi="Times New Roman" w:eastAsia="仿宋"/>
                <w:szCs w:val="21"/>
              </w:rPr>
              <w:t>高压电工作业，低压电工作业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焊接与热切割作业</w:t>
            </w:r>
            <w:r>
              <w:rPr>
                <w:rFonts w:hint="eastAsia" w:ascii="Times New Roman" w:hAnsi="Times New Roman" w:eastAsia="仿宋"/>
                <w:szCs w:val="21"/>
                <w:lang w:eastAsia="zh-CN"/>
              </w:rPr>
              <w:t>（</w:t>
            </w:r>
            <w:r>
              <w:rPr>
                <w:rFonts w:hint="eastAsia" w:ascii="Times New Roman" w:hAnsi="Times New Roman" w:eastAsia="仿宋"/>
                <w:szCs w:val="21"/>
              </w:rPr>
              <w:t>熔化焊接与热切割作业</w:t>
            </w:r>
            <w:r>
              <w:rPr>
                <w:rFonts w:hint="eastAsia" w:ascii="Times New Roman" w:hAnsi="Times New Roman" w:eastAsia="仿宋"/>
                <w:szCs w:val="21"/>
                <w:lang w:eastAsia="zh-CN"/>
              </w:rPr>
              <w:t>）</w:t>
            </w:r>
            <w:r>
              <w:rPr>
                <w:rFonts w:hint="eastAsia" w:ascii="Times New Roman" w:hAnsi="Times New Roman" w:eastAsia="仿宋"/>
                <w:szCs w:val="21"/>
              </w:rPr>
              <w:t>，</w:t>
            </w:r>
            <w:r>
              <w:rPr>
                <w:rFonts w:hint="eastAsia" w:ascii="Times New Roman" w:hAnsi="Times New Roman" w:eastAsia="仿宋"/>
                <w:b/>
                <w:bCs/>
                <w:szCs w:val="21"/>
              </w:rPr>
              <w:t>高处作业</w:t>
            </w:r>
          </w:p>
        </w:tc>
        <w:tc>
          <w:tcPr>
            <w:tcW w:w="580" w:type="pct"/>
            <w:noWrap w:val="0"/>
            <w:vAlign w:val="center"/>
          </w:tcPr>
          <w:p>
            <w:pPr>
              <w:spacing w:line="270" w:lineRule="exact"/>
              <w:jc w:val="center"/>
              <w:rPr>
                <w:rFonts w:hint="eastAsia" w:ascii="Times New Roman" w:hAnsi="Times New Roman" w:eastAsia="仿宋"/>
                <w:szCs w:val="21"/>
              </w:rPr>
            </w:pPr>
            <w:r>
              <w:rPr>
                <w:rFonts w:hint="eastAsia" w:ascii="Times New Roman" w:hAnsi="Times New Roman" w:eastAsia="仿宋"/>
                <w:szCs w:val="21"/>
              </w:rPr>
              <w:t>0812-8139994</w:t>
            </w:r>
          </w:p>
          <w:p>
            <w:pPr>
              <w:spacing w:line="270" w:lineRule="exact"/>
              <w:jc w:val="center"/>
              <w:rPr>
                <w:rFonts w:hint="eastAsia" w:ascii="Times New Roman" w:hAnsi="Times New Roman" w:eastAsia="仿宋"/>
                <w:szCs w:val="21"/>
              </w:rPr>
            </w:pPr>
            <w:r>
              <w:rPr>
                <w:rFonts w:hint="eastAsia" w:ascii="Times New Roman" w:hAnsi="Times New Roman" w:eastAsia="仿宋"/>
                <w:szCs w:val="21"/>
              </w:rPr>
              <w:t>13882379132</w:t>
            </w:r>
          </w:p>
        </w:tc>
      </w:tr>
    </w:tbl>
    <w:p>
      <w:pPr>
        <w:pStyle w:val="2"/>
        <w:bidi w:val="0"/>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86CC2"/>
    <w:multiLevelType w:val="singleLevel"/>
    <w:tmpl w:val="BFF86CC2"/>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E16FA"/>
    <w:rsid w:val="277795E2"/>
    <w:rsid w:val="35DBD03B"/>
    <w:rsid w:val="4ADE16FA"/>
    <w:rsid w:val="6EF76E71"/>
    <w:rsid w:val="730FAAF7"/>
    <w:rsid w:val="D5FEF809"/>
    <w:rsid w:val="EFBEF5BB"/>
    <w:rsid w:val="F7CB5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after="100" w:afterAutospacing="1"/>
      <w:ind w:left="200"/>
    </w:pPr>
  </w:style>
  <w:style w:type="paragraph" w:styleId="3">
    <w:name w:val="Body Text 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2026-01-08T08:52:00Z</dcterms:created>
  <dc:creator>user</dc:creator>
  <cp:lastModifiedBy>user</cp:lastModifiedBy>
  <cp:lastPrinted>2026-03-20T15:27:20Z</cp:lastPrinted>
  <dcterms:modified xsi:type="dcterms:W3CDTF">2026-03-20T16:35:00Z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