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5F" w:rsidRDefault="007C2657">
      <w:pPr>
        <w:widowControl/>
        <w:spacing w:line="0" w:lineRule="atLeast"/>
        <w:jc w:val="center"/>
        <w:rPr>
          <w:rFonts w:ascii="Times New Roman" w:eastAsia="方正小标宋_GBK" w:hAnsi="Times New Roman" w:cs="Times New Roman"/>
          <w:b/>
          <w:bCs/>
          <w:kern w:val="0"/>
          <w:sz w:val="44"/>
          <w:szCs w:val="44"/>
        </w:rPr>
      </w:pPr>
      <w:bookmarkStart w:id="0" w:name="_GoBack"/>
      <w:bookmarkEnd w:id="0"/>
      <w:r>
        <w:rPr>
          <w:rFonts w:ascii="Times New Roman" w:eastAsia="方正小标宋_GBK" w:hAnsi="Times New Roman" w:cs="Times New Roman"/>
          <w:b/>
          <w:bCs/>
          <w:kern w:val="0"/>
          <w:sz w:val="44"/>
          <w:szCs w:val="44"/>
        </w:rPr>
        <w:t>攀枝花市支持人工智能产业高质量发展</w:t>
      </w:r>
    </w:p>
    <w:p w:rsidR="002A0D5F" w:rsidRDefault="007C2657">
      <w:pPr>
        <w:widowControl/>
        <w:spacing w:line="0" w:lineRule="atLeast"/>
        <w:jc w:val="center"/>
        <w:rPr>
          <w:rFonts w:ascii="Times New Roman" w:eastAsia="方正小标宋_GBK" w:hAnsi="Times New Roman" w:cs="Times New Roman"/>
          <w:b/>
          <w:bCs/>
          <w:kern w:val="0"/>
          <w:sz w:val="44"/>
          <w:szCs w:val="44"/>
        </w:rPr>
      </w:pPr>
      <w:r>
        <w:rPr>
          <w:rFonts w:ascii="Times New Roman" w:eastAsia="方正小标宋_GBK" w:hAnsi="Times New Roman" w:cs="Times New Roman"/>
          <w:b/>
          <w:bCs/>
          <w:kern w:val="0"/>
          <w:sz w:val="44"/>
          <w:szCs w:val="44"/>
        </w:rPr>
        <w:t>若干政策</w:t>
      </w:r>
    </w:p>
    <w:p w:rsidR="002A0D5F" w:rsidRDefault="007C2657">
      <w:pPr>
        <w:pStyle w:val="a4"/>
        <w:widowControl/>
        <w:spacing w:beforeAutospacing="0" w:afterAutospacing="0" w:line="0" w:lineRule="atLeast"/>
        <w:jc w:val="center"/>
        <w:rPr>
          <w:rFonts w:ascii="Times New Roman" w:eastAsia="方正楷体_GBK" w:hAnsi="Times New Roman" w:cs="Times New Roman"/>
          <w:b/>
          <w:bCs/>
          <w:sz w:val="32"/>
          <w:szCs w:val="32"/>
        </w:rPr>
      </w:pPr>
      <w:r>
        <w:rPr>
          <w:rFonts w:ascii="Times New Roman" w:eastAsia="方正楷体_GBK" w:hAnsi="Times New Roman" w:cs="Times New Roman"/>
          <w:b/>
          <w:bCs/>
          <w:sz w:val="32"/>
          <w:szCs w:val="32"/>
        </w:rPr>
        <w:t>（征求意见稿）</w:t>
      </w:r>
    </w:p>
    <w:p w:rsidR="002A0D5F" w:rsidRDefault="002A0D5F">
      <w:pPr>
        <w:widowControl/>
        <w:adjustRightInd w:val="0"/>
        <w:snapToGrid w:val="0"/>
        <w:ind w:firstLineChars="200" w:firstLine="640"/>
        <w:rPr>
          <w:rFonts w:ascii="Times New Roman" w:eastAsia="方正仿宋_GBK" w:hAnsi="Times New Roman" w:cs="Times New Roman"/>
          <w:kern w:val="0"/>
          <w:sz w:val="32"/>
          <w:szCs w:val="32"/>
        </w:rPr>
      </w:pPr>
    </w:p>
    <w:p w:rsidR="002A0D5F" w:rsidRDefault="007C2657">
      <w:pPr>
        <w:widowControl/>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为全面贯彻落实省委十二届六次全会精神、市委十一届八次全会决策部署，大力推进人工智能</w:t>
      </w:r>
      <w:proofErr w:type="gramStart"/>
      <w:r>
        <w:rPr>
          <w:rFonts w:ascii="Times New Roman" w:eastAsia="方正仿宋_GBK" w:hAnsi="Times New Roman" w:cs="Times New Roman"/>
          <w:kern w:val="0"/>
          <w:sz w:val="32"/>
          <w:szCs w:val="32"/>
        </w:rPr>
        <w:t>产业建圈强链</w:t>
      </w:r>
      <w:proofErr w:type="gramEnd"/>
      <w:r>
        <w:rPr>
          <w:rFonts w:ascii="Times New Roman" w:eastAsia="方正仿宋_GBK" w:hAnsi="Times New Roman" w:cs="Times New Roman"/>
          <w:kern w:val="0"/>
          <w:sz w:val="32"/>
          <w:szCs w:val="32"/>
        </w:rPr>
        <w:t>，营造一流人工智能产业生态圈，推动我市人工智能产业高质量发展，制定如下政策。</w:t>
      </w:r>
    </w:p>
    <w:p w:rsidR="002A0D5F" w:rsidRDefault="007C2657">
      <w:pPr>
        <w:pStyle w:val="a4"/>
        <w:widowControl/>
        <w:spacing w:beforeAutospacing="0" w:afterAutospacing="0"/>
        <w:ind w:firstLineChars="200" w:firstLine="640"/>
        <w:jc w:val="both"/>
        <w:rPr>
          <w:rFonts w:ascii="Times New Roman" w:eastAsia="方正黑体_GBK" w:hAnsi="Times New Roman" w:cs="Times New Roman"/>
          <w:bCs/>
          <w:sz w:val="32"/>
          <w:szCs w:val="32"/>
        </w:rPr>
      </w:pPr>
      <w:r>
        <w:rPr>
          <w:rStyle w:val="a5"/>
          <w:rFonts w:ascii="Times New Roman" w:eastAsia="方正黑体_GBK" w:hAnsi="Times New Roman" w:cs="Times New Roman"/>
          <w:b w:val="0"/>
          <w:bCs/>
          <w:sz w:val="32"/>
          <w:szCs w:val="32"/>
        </w:rPr>
        <w:t>一、加大技术攻关支持力度</w:t>
      </w:r>
    </w:p>
    <w:p w:rsidR="002A0D5F" w:rsidRDefault="007C2657">
      <w:pPr>
        <w:spacing w:line="60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强化人工智能领域技术攻关，实施攀枝花市人工智能科技专项，采取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揭榜挂帅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、竞争性立项、定向委托等方式组织开展技术攻关，单个项目最高支持</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对作为第一牵头单位获得国家级重点研发计划或重大科技专项、省级重大科技专项支持的，按照国家级、省级项目支持资金（</w:t>
      </w:r>
      <w:proofErr w:type="gramStart"/>
      <w:r>
        <w:rPr>
          <w:rFonts w:ascii="Times New Roman" w:eastAsia="方正仿宋_GBK" w:hAnsi="Times New Roman" w:cs="Times New Roman" w:hint="eastAsia"/>
          <w:sz w:val="32"/>
          <w:szCs w:val="32"/>
        </w:rPr>
        <w:t>扣除外拨部分</w:t>
      </w:r>
      <w:proofErr w:type="gramEnd"/>
      <w:r>
        <w:rPr>
          <w:rFonts w:ascii="Times New Roman" w:eastAsia="方正仿宋_GBK" w:hAnsi="Times New Roman" w:cs="Times New Roman" w:hint="eastAsia"/>
          <w:sz w:val="32"/>
          <w:szCs w:val="32"/>
        </w:rPr>
        <w:t>），分别给予</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配套支持，国家级最高不超过</w:t>
      </w:r>
      <w:r>
        <w:rPr>
          <w:rFonts w:ascii="Times New Roman" w:eastAsia="方正仿宋_GBK" w:hAnsi="Times New Roman" w:cs="Times New Roman" w:hint="eastAsia"/>
          <w:sz w:val="32"/>
          <w:szCs w:val="32"/>
        </w:rPr>
        <w:t>200</w:t>
      </w:r>
      <w:r>
        <w:rPr>
          <w:rFonts w:ascii="Times New Roman" w:eastAsia="方正仿宋_GBK" w:hAnsi="Times New Roman" w:cs="Times New Roman" w:hint="eastAsia"/>
          <w:sz w:val="32"/>
          <w:szCs w:val="32"/>
        </w:rPr>
        <w:t>万元、省级最高不超过</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责任单位：市科技局，市财政局、各县（区）人民政府、国家钒钛高新区管委会</w:t>
      </w:r>
      <w:r>
        <w:rPr>
          <w:rFonts w:ascii="Times New Roman" w:eastAsia="方正仿宋_GBK" w:hAnsi="Times New Roman" w:cs="Times New Roman"/>
          <w:sz w:val="32"/>
          <w:szCs w:val="32"/>
        </w:rPr>
        <w:t>。逗号前为牵头单位，下同）</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争取中央预算内或超长期特别国债等支持，鼓励企业、高校院所积极</w:t>
      </w:r>
      <w:proofErr w:type="gramStart"/>
      <w:r>
        <w:rPr>
          <w:rFonts w:ascii="Times New Roman" w:eastAsia="方正仿宋_GBK" w:hAnsi="Times New Roman" w:cs="Times New Roman"/>
          <w:sz w:val="32"/>
          <w:szCs w:val="32"/>
        </w:rPr>
        <w:t>申报国省</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人工智能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攻关工程、示范工程等重大项目。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责任单位：市发展改革委，市经济和信息化局、市科技局、市财政局、攀枝花学院</w:t>
      </w:r>
      <w:r>
        <w:rPr>
          <w:rFonts w:ascii="Times New Roman" w:eastAsia="方正仿宋_GBK" w:hAnsi="Times New Roman" w:cs="Times New Roman"/>
          <w:sz w:val="32"/>
          <w:szCs w:val="32"/>
        </w:rPr>
        <w:t>）</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支持人工智能领域创新平台创新发展，对考核评估通过的人工智能领域重点实验室、工程技术研究中心、产业技术研究院等创新平台，给予定向科研项目支持。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责任单位：市科技局，市财政局、各县（区）人民政府、国家钒钛高新区管委会</w:t>
      </w:r>
      <w:r>
        <w:rPr>
          <w:rFonts w:ascii="Times New Roman" w:eastAsia="方正仿宋_GBK" w:hAnsi="Times New Roman" w:cs="Times New Roman"/>
          <w:sz w:val="32"/>
          <w:szCs w:val="32"/>
        </w:rPr>
        <w:t>）</w:t>
      </w:r>
    </w:p>
    <w:p w:rsidR="002A0D5F" w:rsidRDefault="007C2657">
      <w:pPr>
        <w:pStyle w:val="a4"/>
        <w:widowControl/>
        <w:spacing w:beforeAutospacing="0" w:afterAutospacing="0"/>
        <w:ind w:firstLineChars="200" w:firstLine="640"/>
        <w:jc w:val="both"/>
        <w:rPr>
          <w:rStyle w:val="a5"/>
          <w:rFonts w:ascii="Times New Roman" w:eastAsia="方正黑体_GBK" w:hAnsi="Times New Roman" w:cs="Times New Roman"/>
          <w:b w:val="0"/>
          <w:bCs/>
          <w:sz w:val="32"/>
          <w:szCs w:val="32"/>
        </w:rPr>
      </w:pPr>
      <w:r>
        <w:rPr>
          <w:rStyle w:val="a5"/>
          <w:rFonts w:ascii="Times New Roman" w:eastAsia="方正黑体_GBK" w:hAnsi="Times New Roman" w:cs="Times New Roman"/>
          <w:b w:val="0"/>
          <w:bCs/>
          <w:sz w:val="32"/>
          <w:szCs w:val="32"/>
        </w:rPr>
        <w:t>二、大力支持人工智能产业发展</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大力引进培育</w:t>
      </w:r>
      <w:proofErr w:type="gramStart"/>
      <w:r>
        <w:rPr>
          <w:rFonts w:ascii="Times New Roman" w:eastAsia="方正仿宋_GBK" w:hAnsi="Times New Roman" w:cs="Times New Roman"/>
          <w:sz w:val="32"/>
          <w:szCs w:val="32"/>
        </w:rPr>
        <w:t>人工智能链主企业</w:t>
      </w:r>
      <w:proofErr w:type="gramEnd"/>
      <w:r>
        <w:rPr>
          <w:rFonts w:ascii="Times New Roman" w:eastAsia="方正仿宋_GBK" w:hAnsi="Times New Roman" w:cs="Times New Roman"/>
          <w:sz w:val="32"/>
          <w:szCs w:val="32"/>
        </w:rPr>
        <w:t>，对符合条件的</w:t>
      </w:r>
      <w:proofErr w:type="gramStart"/>
      <w:r>
        <w:rPr>
          <w:rFonts w:ascii="Times New Roman" w:eastAsia="方正仿宋_GBK" w:hAnsi="Times New Roman" w:cs="Times New Roman"/>
          <w:sz w:val="32"/>
          <w:szCs w:val="32"/>
        </w:rPr>
        <w:t>人工智能链主企业</w:t>
      </w:r>
      <w:proofErr w:type="gramEnd"/>
      <w:r>
        <w:rPr>
          <w:rFonts w:ascii="Times New Roman" w:eastAsia="方正仿宋_GBK" w:hAnsi="Times New Roman" w:cs="Times New Roman"/>
          <w:sz w:val="32"/>
          <w:szCs w:val="32"/>
        </w:rPr>
        <w:t>，给予定向科研项目，支持联合上下游配套企业开展行业关键技术攻关。（责任单位：市科技局，市财政局、各县（区）人民政府、国家钒钛高新区管委会）</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加快推动人工智能领域创新成果转移转化，采取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揭榜挂帅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方式组织开展成果转化，单个项目最高支持</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万元。鼓励支持企业、高校院所积极申报省级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聚源兴川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成果转化项目人工智能专题。（责任单位：市科技局，市财政局、各县（区）人民政府、国家钒钛高新区管委会）</w:t>
      </w:r>
    </w:p>
    <w:p w:rsidR="002A0D5F" w:rsidRDefault="007C2657">
      <w:pPr>
        <w:pStyle w:val="a4"/>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鼓励满足政府采购需求的人工智能领域的软硬件产品或服务，依法参与政府采购活动，不收取相关供应商投标保证金；符合合作创新采购规定的，依法享受政府采购支持创新政策。采购人不得在经营年限、经营规模、股权结构、组织形式、产品或服务品牌等方面对人工智能企业实行差别歧视待遇。（责任单位：市财政局，各采购部门、各县（区）人民</w:t>
      </w:r>
      <w:r>
        <w:rPr>
          <w:rFonts w:ascii="Times New Roman" w:eastAsia="方正仿宋_GBK" w:hAnsi="Times New Roman" w:cs="Times New Roman"/>
          <w:sz w:val="32"/>
          <w:szCs w:val="32"/>
        </w:rPr>
        <w:t>政府、国家钒钛高新区管委会）</w:t>
      </w:r>
    </w:p>
    <w:p w:rsidR="002A0D5F" w:rsidRDefault="007C2657">
      <w:pPr>
        <w:pStyle w:val="a4"/>
        <w:widowControl/>
        <w:spacing w:beforeAutospacing="0" w:afterAutospacing="0"/>
        <w:ind w:firstLineChars="200" w:firstLine="640"/>
        <w:jc w:val="both"/>
        <w:rPr>
          <w:rStyle w:val="a5"/>
          <w:rFonts w:ascii="Times New Roman" w:eastAsia="方正黑体_GBK" w:hAnsi="Times New Roman" w:cs="Times New Roman"/>
          <w:b w:val="0"/>
          <w:bCs/>
          <w:sz w:val="32"/>
          <w:szCs w:val="32"/>
        </w:rPr>
      </w:pPr>
      <w:r>
        <w:rPr>
          <w:rStyle w:val="a5"/>
          <w:rFonts w:ascii="Times New Roman" w:eastAsia="方正黑体_GBK" w:hAnsi="Times New Roman" w:cs="Times New Roman"/>
          <w:b w:val="0"/>
          <w:bCs/>
          <w:sz w:val="32"/>
          <w:szCs w:val="32"/>
        </w:rPr>
        <w:lastRenderedPageBreak/>
        <w:t>三、加快推动人工智能终端应用和场景培育</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支持在重点领域（资源利用、工业制造、医疗康养、特色农业、文化旅游、政务服务、防灾减灾等）开展人工智能示范应用，对新纳入省级人工智能应用试点，或入选省级典型应用案例的，给予场景应用单位定向科研项目支持。（责任单位：市科技局，产业相关单位、市财政局、各县（区）人民政府、国家钒钛高新区管委会）</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鼓励开发本土行业垂直大模型，对未获得过省市科技计划项目支持、销售收入超过</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万元的模型，给予开发单位定向科研项目支持。（责任单位：市科技局，产</w:t>
      </w:r>
      <w:r>
        <w:rPr>
          <w:rFonts w:ascii="Times New Roman" w:eastAsia="方正仿宋_GBK" w:hAnsi="Times New Roman" w:cs="Times New Roman"/>
          <w:sz w:val="32"/>
          <w:szCs w:val="32"/>
        </w:rPr>
        <w:t>业相关单位、市财政局、各县（区）人民政府、国家钒钛高新区管委会）</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支持实施人工智能赋能新型工业化行动，面向研发设计、生产制造、运维服务、经营管理、安全质量管</w:t>
      </w:r>
      <w:proofErr w:type="gramStart"/>
      <w:r>
        <w:rPr>
          <w:rFonts w:ascii="Times New Roman" w:eastAsia="方正仿宋_GBK" w:hAnsi="Times New Roman" w:cs="Times New Roman"/>
          <w:sz w:val="32"/>
          <w:szCs w:val="32"/>
        </w:rPr>
        <w:t>控以及</w:t>
      </w:r>
      <w:proofErr w:type="gramEnd"/>
      <w:r>
        <w:rPr>
          <w:rFonts w:ascii="Times New Roman" w:eastAsia="方正仿宋_GBK" w:hAnsi="Times New Roman" w:cs="Times New Roman"/>
          <w:sz w:val="32"/>
          <w:szCs w:val="32"/>
        </w:rPr>
        <w:t>上下游协同等各环节进行融合创新，实现一批在工业领域具有特定功能和实际价值的应用，对符合条件的项目给予补助。（责任单位：市经济和信息化局，市财政局、各县（区）政府、国家钒钛高新区管委会）</w:t>
      </w:r>
    </w:p>
    <w:p w:rsidR="002A0D5F" w:rsidRDefault="007C2657">
      <w:pPr>
        <w:pStyle w:val="a4"/>
        <w:widowControl/>
        <w:spacing w:beforeAutospacing="0" w:afterAutospacing="0"/>
        <w:ind w:firstLineChars="200" w:firstLine="640"/>
        <w:jc w:val="both"/>
        <w:rPr>
          <w:rStyle w:val="a5"/>
          <w:rFonts w:ascii="Times New Roman" w:eastAsia="方正黑体_GBK" w:hAnsi="Times New Roman" w:cs="Times New Roman"/>
          <w:b w:val="0"/>
          <w:bCs/>
          <w:sz w:val="32"/>
          <w:szCs w:val="32"/>
        </w:rPr>
      </w:pPr>
      <w:r>
        <w:rPr>
          <w:rStyle w:val="a5"/>
          <w:rFonts w:ascii="Times New Roman" w:eastAsia="方正黑体_GBK" w:hAnsi="Times New Roman" w:cs="Times New Roman"/>
          <w:b w:val="0"/>
          <w:bCs/>
          <w:sz w:val="32"/>
          <w:szCs w:val="32"/>
        </w:rPr>
        <w:t>四、</w:t>
      </w:r>
      <w:proofErr w:type="gramStart"/>
      <w:r>
        <w:rPr>
          <w:rStyle w:val="a5"/>
          <w:rFonts w:ascii="Times New Roman" w:eastAsia="方正黑体_GBK" w:hAnsi="Times New Roman" w:cs="Times New Roman"/>
          <w:b w:val="0"/>
          <w:bCs/>
          <w:sz w:val="32"/>
          <w:szCs w:val="32"/>
        </w:rPr>
        <w:t>强化算力和</w:t>
      </w:r>
      <w:proofErr w:type="gramEnd"/>
      <w:r>
        <w:rPr>
          <w:rStyle w:val="a5"/>
          <w:rFonts w:ascii="Times New Roman" w:eastAsia="方正黑体_GBK" w:hAnsi="Times New Roman" w:cs="Times New Roman"/>
          <w:b w:val="0"/>
          <w:bCs/>
          <w:sz w:val="32"/>
          <w:szCs w:val="32"/>
        </w:rPr>
        <w:t>数据供给能力</w:t>
      </w:r>
    </w:p>
    <w:p w:rsidR="002A0D5F" w:rsidRDefault="007C2657">
      <w:pPr>
        <w:pStyle w:val="a4"/>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绿电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算力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融合发展，</w:t>
      </w:r>
      <w:r>
        <w:rPr>
          <w:rFonts w:ascii="Times New Roman" w:eastAsia="方正仿宋_GBK" w:hAnsi="Times New Roman" w:cs="Times New Roman" w:hint="eastAsia"/>
          <w:sz w:val="32"/>
          <w:szCs w:val="32"/>
        </w:rPr>
        <w:t>支持</w:t>
      </w:r>
      <w:r>
        <w:rPr>
          <w:rFonts w:ascii="Times New Roman" w:eastAsia="方正仿宋_GBK" w:hAnsi="Times New Roman" w:cs="Times New Roman"/>
          <w:sz w:val="32"/>
          <w:szCs w:val="32"/>
        </w:rPr>
        <w:t>局部区域开展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算力</w:t>
      </w:r>
      <w:proofErr w:type="gramStart"/>
      <w:r>
        <w:rPr>
          <w:rFonts w:ascii="Times New Roman" w:eastAsia="方正仿宋_GBK" w:hAnsi="Times New Roman" w:cs="Times New Roman"/>
          <w:sz w:val="32"/>
          <w:szCs w:val="32"/>
        </w:rPr>
        <w:t>一</w:t>
      </w:r>
      <w:proofErr w:type="gramEnd"/>
      <w:r>
        <w:rPr>
          <w:rFonts w:ascii="Times New Roman" w:eastAsia="方正仿宋_GBK" w:hAnsi="Times New Roman" w:cs="Times New Roman"/>
          <w:sz w:val="32"/>
          <w:szCs w:val="32"/>
        </w:rPr>
        <w:t>电力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协同试点试验。（责任单位：市发展改革委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市经济和信息化局、</w:t>
      </w:r>
      <w:r>
        <w:rPr>
          <w:rFonts w:ascii="Times New Roman" w:eastAsia="方正仿宋_GBK" w:hAnsi="Times New Roman" w:cs="Times New Roman"/>
          <w:sz w:val="32"/>
          <w:szCs w:val="32"/>
        </w:rPr>
        <w:t>各县（区）政府、国家钒钛高新区管委会</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市</w:t>
      </w:r>
      <w:r>
        <w:rPr>
          <w:rFonts w:ascii="Times New Roman" w:eastAsia="方正仿宋_GBK" w:hAnsi="Times New Roman" w:cs="Times New Roman"/>
          <w:sz w:val="32"/>
          <w:szCs w:val="32"/>
        </w:rPr>
        <w:lastRenderedPageBreak/>
        <w:t>国网电力公司</w:t>
      </w:r>
      <w:proofErr w:type="gramEnd"/>
      <w:r>
        <w:rPr>
          <w:rFonts w:ascii="Times New Roman" w:eastAsia="方正仿宋_GBK" w:hAnsi="Times New Roman" w:cs="Times New Roman"/>
          <w:sz w:val="32"/>
          <w:szCs w:val="32"/>
        </w:rPr>
        <w:t>）</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夯实数据基础，鼓励企业牵头建设符合国家相关标准要求的高质量数据集，积极争取中央、省预算内资金支持。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责任单位：市发展改革委，市财政局、各县（区）人民政府、国家钒钛高新区管委会</w:t>
      </w:r>
      <w:r>
        <w:rPr>
          <w:rFonts w:ascii="Times New Roman" w:eastAsia="方正仿宋_GBK" w:hAnsi="Times New Roman" w:cs="Times New Roman"/>
          <w:sz w:val="32"/>
          <w:szCs w:val="32"/>
        </w:rPr>
        <w:t>）</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降低创新企业</w:t>
      </w:r>
      <w:proofErr w:type="gramStart"/>
      <w:r>
        <w:rPr>
          <w:rFonts w:ascii="Times New Roman" w:eastAsia="方正仿宋_GBK" w:hAnsi="Times New Roman" w:cs="Times New Roman"/>
          <w:sz w:val="32"/>
          <w:szCs w:val="32"/>
        </w:rPr>
        <w:t>算力使用</w:t>
      </w:r>
      <w:proofErr w:type="gramEnd"/>
      <w:r>
        <w:rPr>
          <w:rFonts w:ascii="Times New Roman" w:eastAsia="方正仿宋_GBK" w:hAnsi="Times New Roman" w:cs="Times New Roman"/>
          <w:sz w:val="32"/>
          <w:szCs w:val="32"/>
        </w:rPr>
        <w:t>成本，对符合条件的</w:t>
      </w:r>
      <w:proofErr w:type="gramStart"/>
      <w:r>
        <w:rPr>
          <w:rFonts w:ascii="Times New Roman" w:eastAsia="方正仿宋_GBK" w:hAnsi="Times New Roman" w:cs="Times New Roman"/>
          <w:sz w:val="32"/>
          <w:szCs w:val="32"/>
        </w:rPr>
        <w:t>算力购买</w:t>
      </w:r>
      <w:proofErr w:type="gramEnd"/>
      <w:r>
        <w:rPr>
          <w:rFonts w:ascii="Times New Roman" w:eastAsia="方正仿宋_GBK" w:hAnsi="Times New Roman" w:cs="Times New Roman"/>
          <w:sz w:val="32"/>
          <w:szCs w:val="32"/>
        </w:rPr>
        <w:t>企业、</w:t>
      </w:r>
      <w:proofErr w:type="gramStart"/>
      <w:r>
        <w:rPr>
          <w:rFonts w:ascii="Times New Roman" w:eastAsia="方正仿宋_GBK" w:hAnsi="Times New Roman" w:cs="Times New Roman"/>
          <w:sz w:val="32"/>
          <w:szCs w:val="32"/>
        </w:rPr>
        <w:t>算力服务</w:t>
      </w:r>
      <w:proofErr w:type="gramEnd"/>
      <w:r>
        <w:rPr>
          <w:rFonts w:ascii="Times New Roman" w:eastAsia="方正仿宋_GBK" w:hAnsi="Times New Roman" w:cs="Times New Roman"/>
          <w:sz w:val="32"/>
          <w:szCs w:val="32"/>
        </w:rPr>
        <w:t>机构，通过攀枝花市科技创新</w:t>
      </w:r>
      <w:proofErr w:type="gramStart"/>
      <w:r>
        <w:rPr>
          <w:rFonts w:ascii="Times New Roman" w:eastAsia="方正仿宋_GBK" w:hAnsi="Times New Roman" w:cs="Times New Roman"/>
          <w:sz w:val="32"/>
          <w:szCs w:val="32"/>
        </w:rPr>
        <w:t>券</w:t>
      </w:r>
      <w:proofErr w:type="gramEnd"/>
      <w:r>
        <w:rPr>
          <w:rFonts w:ascii="Times New Roman" w:eastAsia="方正仿宋_GBK" w:hAnsi="Times New Roman" w:cs="Times New Roman"/>
          <w:sz w:val="32"/>
          <w:szCs w:val="32"/>
        </w:rPr>
        <w:t>给予补助。（责任单位：市科技局，市发展改革委、市财政局、各县（区）人民政府、国家钒钛高新区管委会）</w:t>
      </w:r>
    </w:p>
    <w:p w:rsidR="002A0D5F" w:rsidRDefault="007C2657">
      <w:pPr>
        <w:pStyle w:val="a4"/>
        <w:widowControl/>
        <w:spacing w:beforeAutospacing="0" w:afterAutospacing="0"/>
        <w:ind w:firstLineChars="200" w:firstLine="640"/>
        <w:jc w:val="both"/>
        <w:rPr>
          <w:rStyle w:val="a5"/>
          <w:rFonts w:ascii="Times New Roman" w:eastAsia="方正黑体_GBK" w:hAnsi="Times New Roman" w:cs="Times New Roman"/>
          <w:b w:val="0"/>
          <w:bCs/>
          <w:sz w:val="32"/>
          <w:szCs w:val="32"/>
        </w:rPr>
      </w:pPr>
      <w:r>
        <w:rPr>
          <w:rStyle w:val="a5"/>
          <w:rFonts w:ascii="Times New Roman" w:eastAsia="方正黑体_GBK" w:hAnsi="Times New Roman" w:cs="Times New Roman"/>
          <w:b w:val="0"/>
          <w:bCs/>
          <w:sz w:val="32"/>
          <w:szCs w:val="32"/>
        </w:rPr>
        <w:t>五、着力构建要素保障体系</w:t>
      </w:r>
    </w:p>
    <w:p w:rsidR="002A0D5F" w:rsidRDefault="007C2657">
      <w:pPr>
        <w:pStyle w:val="a4"/>
        <w:widowControl/>
        <w:spacing w:beforeAutospacing="0" w:afterAutospacing="0"/>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积极争取</w:t>
      </w:r>
      <w:proofErr w:type="gramStart"/>
      <w:r>
        <w:rPr>
          <w:rFonts w:ascii="Times New Roman" w:eastAsia="方正仿宋_GBK" w:hAnsi="Times New Roman" w:cs="Times New Roman"/>
          <w:sz w:val="32"/>
          <w:szCs w:val="32"/>
        </w:rPr>
        <w:t>国省支持</w:t>
      </w:r>
      <w:proofErr w:type="gramEnd"/>
      <w:r>
        <w:rPr>
          <w:rFonts w:ascii="Times New Roman" w:eastAsia="方正仿宋_GBK" w:hAnsi="Times New Roman" w:cs="Times New Roman"/>
          <w:sz w:val="32"/>
          <w:szCs w:val="32"/>
        </w:rPr>
        <w:t>，鼓励符合条件的人工智能产业</w:t>
      </w:r>
      <w:proofErr w:type="gramStart"/>
      <w:r>
        <w:rPr>
          <w:rFonts w:ascii="Times New Roman" w:eastAsia="方正仿宋_GBK" w:hAnsi="Times New Roman" w:cs="Times New Roman"/>
          <w:sz w:val="32"/>
          <w:szCs w:val="32"/>
        </w:rPr>
        <w:t>链领域</w:t>
      </w:r>
      <w:proofErr w:type="gramEnd"/>
      <w:r>
        <w:rPr>
          <w:rFonts w:ascii="Times New Roman" w:eastAsia="方正仿宋_GBK" w:hAnsi="Times New Roman" w:cs="Times New Roman"/>
          <w:sz w:val="32"/>
          <w:szCs w:val="32"/>
        </w:rPr>
        <w:t>重点项目申报超长期特别国债和地方政府专项债券，统筹用好国家和省级重大发展建设类专项资金，保障人工智能产业</w:t>
      </w:r>
      <w:proofErr w:type="gramStart"/>
      <w:r>
        <w:rPr>
          <w:rFonts w:ascii="Times New Roman" w:eastAsia="方正仿宋_GBK" w:hAnsi="Times New Roman" w:cs="Times New Roman"/>
          <w:sz w:val="32"/>
          <w:szCs w:val="32"/>
        </w:rPr>
        <w:t>链领域</w:t>
      </w:r>
      <w:proofErr w:type="gramEnd"/>
      <w:r>
        <w:rPr>
          <w:rFonts w:ascii="Times New Roman" w:eastAsia="方正仿宋_GBK" w:hAnsi="Times New Roman" w:cs="Times New Roman"/>
          <w:sz w:val="32"/>
          <w:szCs w:val="32"/>
        </w:rPr>
        <w:t>重点项目建设。（责任单位：市发展改革委，市经济和信息化局、市科技局、市财政局、各县（区）人民政府、国家钒钛高新区管委会）</w:t>
      </w:r>
    </w:p>
    <w:p w:rsidR="002A0D5F" w:rsidRDefault="007C2657">
      <w:pPr>
        <w:pStyle w:val="a4"/>
        <w:widowControl/>
        <w:spacing w:beforeAutospacing="0" w:afterAutospacing="0"/>
        <w:ind w:firstLineChars="200" w:firstLine="640"/>
        <w:jc w:val="both"/>
        <w:rPr>
          <w:rFonts w:ascii="Times New Roman" w:eastAsia="方正黑体_GBK" w:hAnsi="Times New Roman" w:cs="Times New Roman"/>
          <w:bCs/>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鼓励金融机构提升对人工智能企业的综合金融服务水平，积极引导信贷资源向符合条件的企业倾斜；对生产经营正常、信用状况良好、具备持续经营能力但暂时遇到经营困难或需延长资金使用期限的人工智能企业，</w:t>
      </w:r>
      <w:r>
        <w:rPr>
          <w:rFonts w:ascii="Times New Roman" w:eastAsia="方正仿宋_GBK" w:hAnsi="Times New Roman" w:cs="Times New Roman" w:hint="eastAsia"/>
          <w:sz w:val="32"/>
          <w:szCs w:val="32"/>
        </w:rPr>
        <w:t>合理</w:t>
      </w:r>
      <w:r>
        <w:rPr>
          <w:rFonts w:ascii="Times New Roman" w:eastAsia="方正仿宋_GBK" w:hAnsi="Times New Roman" w:cs="Times New Roman"/>
          <w:sz w:val="32"/>
          <w:szCs w:val="32"/>
        </w:rPr>
        <w:t>提供展期、无还本续贷、延长还款</w:t>
      </w:r>
      <w:r>
        <w:rPr>
          <w:rFonts w:ascii="Times New Roman" w:eastAsia="方正仿宋_GBK" w:hAnsi="Times New Roman" w:cs="Times New Roman"/>
          <w:sz w:val="32"/>
          <w:szCs w:val="32"/>
        </w:rPr>
        <w:t>期限等灵活的金融支持政策；支持符</w:t>
      </w:r>
      <w:r>
        <w:rPr>
          <w:rFonts w:ascii="Times New Roman" w:eastAsia="方正仿宋_GBK" w:hAnsi="Times New Roman" w:cs="Times New Roman"/>
          <w:sz w:val="32"/>
          <w:szCs w:val="32"/>
        </w:rPr>
        <w:lastRenderedPageBreak/>
        <w:t>合条件的人工智能企业利用资本市场股债融资。（责任单位：市财政局，人民银行攀枝花市分行、攀枝花金融监管分局）</w:t>
      </w:r>
    </w:p>
    <w:p w:rsidR="002A0D5F" w:rsidRDefault="007C2657">
      <w:pPr>
        <w:ind w:firstLineChars="200" w:firstLine="640"/>
      </w:pPr>
      <w:r>
        <w:rPr>
          <w:rFonts w:ascii="Times New Roman" w:eastAsia="方正仿宋_GBK" w:hAnsi="Times New Roman" w:cs="Times New Roman" w:hint="eastAsia"/>
          <w:kern w:val="0"/>
          <w:sz w:val="32"/>
          <w:szCs w:val="32"/>
        </w:rPr>
        <w:t>此政策自印发之日起施行，有效期三年</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在政策实施期间，如可同时享受本地区其他</w:t>
      </w:r>
      <w:proofErr w:type="gramStart"/>
      <w:r>
        <w:rPr>
          <w:rFonts w:ascii="Times New Roman" w:eastAsia="方正仿宋_GBK" w:hAnsi="Times New Roman" w:cs="Times New Roman" w:hint="eastAsia"/>
          <w:kern w:val="0"/>
          <w:sz w:val="32"/>
          <w:szCs w:val="32"/>
        </w:rPr>
        <w:t>同类奖补时</w:t>
      </w:r>
      <w:proofErr w:type="gramEnd"/>
      <w:r>
        <w:rPr>
          <w:rFonts w:ascii="Times New Roman" w:eastAsia="方正仿宋_GBK" w:hAnsi="Times New Roman" w:cs="Times New Roman" w:hint="eastAsia"/>
          <w:kern w:val="0"/>
          <w:sz w:val="32"/>
          <w:szCs w:val="32"/>
        </w:rPr>
        <w:t>，按照“就高不重复”原则施行，由攀枝花市科学技术局负责解释。</w:t>
      </w:r>
    </w:p>
    <w:sectPr w:rsidR="002A0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57" w:rsidRDefault="007C2657" w:rsidP="00CC57CC">
      <w:r>
        <w:separator/>
      </w:r>
    </w:p>
  </w:endnote>
  <w:endnote w:type="continuationSeparator" w:id="0">
    <w:p w:rsidR="007C2657" w:rsidRDefault="007C2657" w:rsidP="00CC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兰亭黑_GBK">
    <w:charset w:val="86"/>
    <w:family w:val="script"/>
    <w:pitch w:val="variable"/>
    <w:sig w:usb0="A00002BF"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variable"/>
    <w:sig w:usb0="00000000" w:usb1="38CF7CFA" w:usb2="00082016" w:usb3="00000000" w:csb0="00040001" w:csb1="00000000"/>
  </w:font>
  <w:font w:name="方正楷体_GBK">
    <w:altName w:val="Arial Unicode MS"/>
    <w:charset w:val="86"/>
    <w:family w:val="script"/>
    <w:pitch w:val="variable"/>
    <w:sig w:usb0="00000000" w:usb1="38CF7CFA" w:usb2="00082016" w:usb3="00000000" w:csb0="00040001" w:csb1="00000000"/>
  </w:font>
  <w:font w:name="方正仿宋_GBK">
    <w:altName w:val="Arial Unicode MS"/>
    <w:charset w:val="86"/>
    <w:family w:val="script"/>
    <w:pitch w:val="variable"/>
    <w:sig w:usb0="00000000" w:usb1="38CF7CFA" w:usb2="00082016" w:usb3="00000000" w:csb0="00040001" w:csb1="00000000"/>
  </w:font>
  <w:font w:name="方正黑体_GBK">
    <w:altName w:val="Arial Unicode MS"/>
    <w:charset w:val="86"/>
    <w:family w:val="script"/>
    <w:pitch w:val="variable"/>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57" w:rsidRDefault="007C2657" w:rsidP="00CC57CC">
      <w:r>
        <w:separator/>
      </w:r>
    </w:p>
  </w:footnote>
  <w:footnote w:type="continuationSeparator" w:id="0">
    <w:p w:rsidR="007C2657" w:rsidRDefault="007C2657" w:rsidP="00CC5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rsids>
    <w:rsidRoot w:val="002A0D5F"/>
    <w:rsid w:val="002A0D5F"/>
    <w:rsid w:val="007C2657"/>
    <w:rsid w:val="00CC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pPr>
      <w:ind w:leftChars="200" w:left="200"/>
    </w:pPr>
  </w:style>
  <w:style w:type="paragraph" w:styleId="a4">
    <w:name w:val="Normal (Web)"/>
    <w:basedOn w:val="a"/>
    <w:pPr>
      <w:spacing w:beforeAutospacing="1" w:afterAutospacing="1"/>
      <w:jc w:val="left"/>
    </w:pPr>
    <w:rPr>
      <w:kern w:val="0"/>
      <w:sz w:val="24"/>
    </w:rPr>
  </w:style>
  <w:style w:type="character" w:styleId="a5">
    <w:name w:val="Strong"/>
    <w:basedOn w:val="a1"/>
    <w:rPr>
      <w:b/>
    </w:rPr>
  </w:style>
  <w:style w:type="paragraph" w:styleId="a6">
    <w:name w:val="header"/>
    <w:basedOn w:val="a"/>
    <w:link w:val="Char"/>
    <w:uiPriority w:val="99"/>
    <w:unhideWhenUsed/>
    <w:rsid w:val="00CC5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CC57CC"/>
    <w:rPr>
      <w:rFonts w:ascii="Calibri" w:hAnsi="Calibri" w:cs="Arial"/>
      <w:kern w:val="2"/>
      <w:sz w:val="18"/>
      <w:szCs w:val="18"/>
    </w:rPr>
  </w:style>
  <w:style w:type="paragraph" w:styleId="a7">
    <w:name w:val="footer"/>
    <w:basedOn w:val="a"/>
    <w:link w:val="Char0"/>
    <w:uiPriority w:val="99"/>
    <w:unhideWhenUsed/>
    <w:rsid w:val="00CC57CC"/>
    <w:pPr>
      <w:tabs>
        <w:tab w:val="center" w:pos="4153"/>
        <w:tab w:val="right" w:pos="8306"/>
      </w:tabs>
      <w:snapToGrid w:val="0"/>
      <w:jc w:val="left"/>
    </w:pPr>
    <w:rPr>
      <w:sz w:val="18"/>
      <w:szCs w:val="18"/>
    </w:rPr>
  </w:style>
  <w:style w:type="character" w:customStyle="1" w:styleId="Char0">
    <w:name w:val="页脚 Char"/>
    <w:basedOn w:val="a1"/>
    <w:link w:val="a7"/>
    <w:uiPriority w:val="99"/>
    <w:rsid w:val="00CC57CC"/>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pPr>
      <w:ind w:leftChars="200" w:left="200"/>
    </w:pPr>
  </w:style>
  <w:style w:type="paragraph" w:styleId="a4">
    <w:name w:val="Normal (Web)"/>
    <w:basedOn w:val="a"/>
    <w:pPr>
      <w:spacing w:beforeAutospacing="1" w:afterAutospacing="1"/>
      <w:jc w:val="left"/>
    </w:pPr>
    <w:rPr>
      <w:kern w:val="0"/>
      <w:sz w:val="24"/>
    </w:rPr>
  </w:style>
  <w:style w:type="character" w:styleId="a5">
    <w:name w:val="Strong"/>
    <w:basedOn w:val="a1"/>
    <w:rPr>
      <w:b/>
    </w:rPr>
  </w:style>
  <w:style w:type="paragraph" w:styleId="a6">
    <w:name w:val="header"/>
    <w:basedOn w:val="a"/>
    <w:link w:val="Char"/>
    <w:uiPriority w:val="99"/>
    <w:unhideWhenUsed/>
    <w:rsid w:val="00CC5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CC57CC"/>
    <w:rPr>
      <w:rFonts w:ascii="Calibri" w:hAnsi="Calibri" w:cs="Arial"/>
      <w:kern w:val="2"/>
      <w:sz w:val="18"/>
      <w:szCs w:val="18"/>
    </w:rPr>
  </w:style>
  <w:style w:type="paragraph" w:styleId="a7">
    <w:name w:val="footer"/>
    <w:basedOn w:val="a"/>
    <w:link w:val="Char0"/>
    <w:uiPriority w:val="99"/>
    <w:unhideWhenUsed/>
    <w:rsid w:val="00CC57CC"/>
    <w:pPr>
      <w:tabs>
        <w:tab w:val="center" w:pos="4153"/>
        <w:tab w:val="right" w:pos="8306"/>
      </w:tabs>
      <w:snapToGrid w:val="0"/>
      <w:jc w:val="left"/>
    </w:pPr>
    <w:rPr>
      <w:sz w:val="18"/>
      <w:szCs w:val="18"/>
    </w:rPr>
  </w:style>
  <w:style w:type="character" w:customStyle="1" w:styleId="Char0">
    <w:name w:val="页脚 Char"/>
    <w:basedOn w:val="a1"/>
    <w:link w:val="a7"/>
    <w:uiPriority w:val="99"/>
    <w:rsid w:val="00CC57CC"/>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D37B09E-7CAB-453D-B563-A1C0EE43CEA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314</Words>
  <Characters>1794</Characters>
  <Application>Microsoft Office Word</Application>
  <DocSecurity>0</DocSecurity>
  <Lines>14</Lines>
  <Paragraphs>4</Paragraphs>
  <ScaleCrop>false</ScaleCrop>
  <Company>P R C</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2025-11-06T02:41:00Z</dcterms:created>
  <dcterms:modified xsi:type="dcterms:W3CDTF">2025-11-06T02:41:00Z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235BF65765B84CD9847A5FD1C03616B9</vt:lpwstr>
  </property>
</Properties>
</file>