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199" w:name="_GoBack"/>
      <w:bookmarkEnd w:id="199"/>
      <w:bookmarkStart w:id="0" w:name="_Toc15396475"/>
      <w:bookmarkStart w:id="1" w:name="_Toc15377425"/>
      <w:bookmarkStart w:id="2" w:name="_Toc15396597"/>
      <w:bookmarkStart w:id="3" w:name="_Toc15378441"/>
      <w:bookmarkStart w:id="4" w:name="_Toc15377193"/>
      <w:bookmarkStart w:id="5" w:name="_Toc1530626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市级</w:t>
      </w:r>
      <w:r>
        <w:rPr>
          <w:rFonts w:hint="eastAsia" w:ascii="Times New Roman" w:hAnsi="Times New Roman" w:eastAsia="方正小标宋简体" w:cs="Times New Roman"/>
          <w:color w:val="auto"/>
          <w:kern w:val="2"/>
          <w:sz w:val="44"/>
          <w:szCs w:val="44"/>
          <w:highlight w:val="none"/>
          <w:lang w:val="en-US" w:eastAsia="zh-CN" w:bidi="ar-SA"/>
        </w:rPr>
        <w:t>单位决算</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2"/>
        <w:jc w:val="center"/>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78442"/>
      <w:bookmarkStart w:id="9" w:name="_Toc15396598"/>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攀枝花市人民政府办公室</w:t>
      </w:r>
    </w:p>
    <w:p>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pPr>
        <w:widowControl/>
        <w:jc w:val="center"/>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rPr>
          <w:rFonts w:ascii="Times New Roman" w:hAnsi="Times New Roman" w:eastAsia="方正小标宋简体"/>
          <w:color w:val="auto"/>
          <w:sz w:val="36"/>
          <w:szCs w:val="36"/>
          <w:highlight w:val="none"/>
        </w:rPr>
      </w:pPr>
    </w:p>
    <w:p>
      <w:pPr>
        <w:bidi w:val="0"/>
        <w:jc w:val="left"/>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17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816754740"/>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12" w:name="_Toc1731031580_WPSOffice_Type2"/>
        </w:p>
        <w:p>
          <w:pPr>
            <w:pStyle w:val="37"/>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rPr>
              <w:b/>
              <w:bCs/>
            </w:rPr>
            <w:fldChar w:fldCharType="begin"/>
          </w:r>
          <w:r>
            <w:instrText xml:space="preserve"> HYPERLINK \l _Toc204349368_WPSOffice_Level1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816754740"/>
              <w:placeholder>
                <w:docPart w:val="{f6097144-55e2-49a7-a727-62ccff64b659}"/>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方正小标宋简体" w:cs="方正小标宋简体"/>
                  <w:b/>
                  <w:bCs/>
                </w:rPr>
                <w:t>第一部分  单位概况</w:t>
              </w:r>
            </w:sdtContent>
          </w:sdt>
          <w:r>
            <w:rPr>
              <w:b/>
              <w:bCs/>
            </w:rPr>
            <w:tab/>
          </w:r>
          <w:r>
            <w:rPr>
              <w:rFonts w:hint="eastAsia"/>
              <w:b/>
              <w:bCs/>
              <w:lang w:val="en-US" w:eastAsia="zh-CN"/>
            </w:rPr>
            <w:t>3</w:t>
          </w:r>
          <w:r>
            <w:rPr>
              <w:b/>
              <w:bCs/>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_Toc1731031580_WPSOffice_Level2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478f8be7-5420-4299-8044-b38f49c33ec5}"/>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heme="majorBidi"/>
                </w:rPr>
                <w:t>一、主要职责</w:t>
              </w:r>
            </w:sdtContent>
          </w:sdt>
          <w:r>
            <w:tab/>
          </w:r>
          <w:r>
            <w:rPr>
              <w:rFonts w:hint="eastAsia"/>
              <w:lang w:val="en-US" w:eastAsia="zh-CN"/>
            </w:rPr>
            <w:t>3</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_Toc2005162551_WPSOffice_Level2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0515b897-449c-4b4a-a860-0bcbd786c4a7}"/>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heme="majorBidi"/>
                </w:rPr>
                <w:t>二、机构设置</w:t>
              </w:r>
            </w:sdtContent>
          </w:sdt>
          <w:r>
            <w:tab/>
          </w:r>
          <w:r>
            <w:rPr>
              <w:rFonts w:hint="eastAsia"/>
              <w:lang w:val="en-US" w:eastAsia="zh-CN"/>
            </w:rPr>
            <w:t>5</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rPr>
              <w:b/>
              <w:bCs/>
            </w:rPr>
            <w:fldChar w:fldCharType="begin"/>
          </w:r>
          <w:r>
            <w:instrText xml:space="preserve"> HYPERLINK \l _Toc1731031580_WPSOffice_Level1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816754740"/>
              <w:placeholder>
                <w:docPart w:val="{4bd3e04b-0252-4a0e-9335-63eb1c321b11}"/>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方正小标宋简体" w:cs="方正小标宋简体"/>
                  <w:b/>
                  <w:bCs/>
                </w:rPr>
                <w:t>第二部分  2024年度单位决算情况说明</w:t>
              </w:r>
            </w:sdtContent>
          </w:sdt>
          <w:r>
            <w:rPr>
              <w:b/>
              <w:bCs/>
            </w:rPr>
            <w:tab/>
          </w:r>
          <w:r>
            <w:rPr>
              <w:rFonts w:hint="eastAsia"/>
              <w:b/>
              <w:bCs/>
              <w:lang w:val="en-US" w:eastAsia="zh-CN"/>
            </w:rPr>
            <w:t>6</w:t>
          </w:r>
          <w:r>
            <w:rPr>
              <w:b/>
              <w:bCs/>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_Toc1705856527_WPSOffice_Level2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4b76f297-ea6c-49ea-9c5f-31b6ef083125}"/>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一、收</w:t>
              </w:r>
              <w:r>
                <w:rPr>
                  <w:rFonts w:hint="eastAsia" w:ascii="Times New Roman" w:hAnsi="Times New Roman" w:eastAsia="黑体" w:cstheme="majorBidi"/>
                </w:rPr>
                <w:t>入支出决算总体情况说明</w:t>
              </w:r>
            </w:sdtContent>
          </w:sdt>
          <w:r>
            <w:tab/>
          </w:r>
          <w:r>
            <w:rPr>
              <w:rFonts w:hint="eastAsia"/>
              <w:lang w:val="en-US" w:eastAsia="zh-CN"/>
            </w:rPr>
            <w:t>6</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_Toc1727646274_WPSOffice_Level2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eefc5a22-9001-4d38-a183-442efbf2cecd}"/>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二、收入决算情况说明</w:t>
              </w:r>
            </w:sdtContent>
          </w:sdt>
          <w:r>
            <w:tab/>
          </w:r>
          <w:r>
            <w:rPr>
              <w:rFonts w:hint="eastAsia"/>
              <w:lang w:val="en-US" w:eastAsia="zh-CN"/>
            </w:rPr>
            <w:t>6</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_Toc863913277_WPSOffice_Level2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c2db00bb-4ff8-4ac7-af77-3326a0d20361}"/>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三、支</w:t>
              </w:r>
              <w:r>
                <w:rPr>
                  <w:rFonts w:hint="eastAsia" w:ascii="Times New Roman" w:hAnsi="Times New Roman" w:eastAsia="黑体" w:cstheme="majorBidi"/>
                </w:rPr>
                <w:t>出决算情况说明</w:t>
              </w:r>
            </w:sdtContent>
          </w:sdt>
          <w:r>
            <w:tab/>
          </w:r>
          <w:r>
            <w:rPr>
              <w:rFonts w:hint="eastAsia"/>
              <w:lang w:val="en-US" w:eastAsia="zh-CN"/>
            </w:rPr>
            <w:t>7</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_Toc1614477815_WPSOffice_Level2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de42ce3d-4c15-466e-8730-e9b5e9dbb85c}"/>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四、财</w:t>
              </w:r>
              <w:r>
                <w:rPr>
                  <w:rFonts w:hint="eastAsia" w:ascii="Times New Roman" w:hAnsi="Times New Roman" w:eastAsia="黑体" w:cstheme="majorBidi"/>
                </w:rPr>
                <w:t>政拨款收入支出决算总体情况说明</w:t>
              </w:r>
            </w:sdtContent>
          </w:sdt>
          <w:r>
            <w:tab/>
          </w:r>
          <w:r>
            <w:rPr>
              <w:rFonts w:hint="eastAsia"/>
              <w:lang w:val="en-US" w:eastAsia="zh-CN"/>
            </w:rPr>
            <w:t>8</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_Toc1070458612_WPSOffice_Level2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0bf4b022-1d2c-4af2-a67f-3d249d63c47d}"/>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五、一</w:t>
              </w:r>
              <w:r>
                <w:rPr>
                  <w:rFonts w:hint="eastAsia" w:ascii="Times New Roman" w:hAnsi="Times New Roman" w:eastAsia="黑体" w:cstheme="majorBidi"/>
                </w:rPr>
                <w:t>般公共预算财政拨款支出决算情况说明</w:t>
              </w:r>
            </w:sdtContent>
          </w:sdt>
          <w:r>
            <w:tab/>
          </w:r>
          <w:r>
            <w:rPr>
              <w:rFonts w:hint="eastAsia"/>
              <w:lang w:val="en-US" w:eastAsia="zh-CN"/>
            </w:rPr>
            <w:t>8</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_Toc1689448444_WPSOffice_Level2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f3f55f3c-e46d-45ec-8426-ef81b93d6ddb}"/>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六、一</w:t>
              </w:r>
              <w:r>
                <w:rPr>
                  <w:rFonts w:hint="eastAsia" w:ascii="Times New Roman" w:hAnsi="Times New Roman" w:eastAsia="黑体" w:cstheme="majorBidi"/>
                </w:rPr>
                <w:t>般公共预算财政拨款基本支出决算情况说明</w:t>
              </w:r>
            </w:sdtContent>
          </w:sdt>
          <w:r>
            <w:tab/>
          </w:r>
          <w:bookmarkStart w:id="13" w:name="_Toc1689448444_WPSOffice_Level2Page"/>
          <w:r>
            <w:t>1</w:t>
          </w:r>
          <w:bookmarkEnd w:id="13"/>
          <w:r>
            <w:rPr>
              <w:rFonts w:hint="eastAsia"/>
              <w:lang w:val="en-US" w:eastAsia="zh-CN"/>
            </w:rPr>
            <w:t>2</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_Toc1773026843_WPSOffice_Level2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997a0337-ab34-41bd-a3c3-4012d460d01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七、</w:t>
              </w:r>
              <w:r>
                <w:rPr>
                  <w:rFonts w:hint="eastAsia" w:ascii="Times New Roman" w:hAnsi="Times New Roman" w:eastAsia="黑体" w:cstheme="majorBidi"/>
                </w:rPr>
                <w:t>财政拨款“三公”经费支出决算情况说明</w:t>
              </w:r>
            </w:sdtContent>
          </w:sdt>
          <w:r>
            <w:tab/>
          </w:r>
          <w:bookmarkStart w:id="14" w:name="_Toc1773026843_WPSOffice_Level2Page"/>
          <w:r>
            <w:t>1</w:t>
          </w:r>
          <w:bookmarkEnd w:id="14"/>
          <w:r>
            <w:rPr>
              <w:rFonts w:hint="eastAsia"/>
              <w:lang w:val="en-US" w:eastAsia="zh-CN"/>
            </w:rPr>
            <w:t>2</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_Toc150656862_WPSOffice_Level2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21333c9f-82e6-447b-af31-6586c53589a6}"/>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rPr>
                <w:t>八、</w:t>
              </w:r>
              <w:r>
                <w:rPr>
                  <w:rFonts w:hint="eastAsia" w:ascii="Times New Roman" w:hAnsi="Times New Roman" w:eastAsia="黑体" w:cstheme="majorBidi"/>
                </w:rPr>
                <w:t>政府性基金预算支出决算情况说明</w:t>
              </w:r>
            </w:sdtContent>
          </w:sdt>
          <w:r>
            <w:tab/>
          </w:r>
          <w:bookmarkStart w:id="15" w:name="_Toc150656862_WPSOffice_Level2Page"/>
          <w:r>
            <w:t>1</w:t>
          </w:r>
          <w:bookmarkEnd w:id="15"/>
          <w:r>
            <w:rPr>
              <w:rFonts w:hint="eastAsia"/>
              <w:lang w:val="en-US" w:eastAsia="zh-CN"/>
            </w:rPr>
            <w:t>4</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_Toc620822329_WPSOffice_Level2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cadbd507-70c5-47ab-bb09-e5f6a9858cbd}"/>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heme="majorBidi"/>
                </w:rPr>
                <w:t>九、国有资本经营预算支出决算情况说明</w:t>
              </w:r>
            </w:sdtContent>
          </w:sdt>
          <w:r>
            <w:tab/>
          </w:r>
          <w:bookmarkStart w:id="16" w:name="_Toc620822329_WPSOffice_Level2Page"/>
          <w:r>
            <w:t>1</w:t>
          </w:r>
          <w:bookmarkEnd w:id="16"/>
          <w:r>
            <w:rPr>
              <w:rFonts w:hint="eastAsia"/>
              <w:lang w:val="en-US" w:eastAsia="zh-CN"/>
            </w:rPr>
            <w:t>4</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_Toc320557116_WPSOffice_Level2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7ec27e81-db40-4186-845d-598d569b2bda}"/>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heme="majorBidi"/>
                </w:rPr>
                <w:t>十、其他重要事项的情况说明</w:t>
              </w:r>
            </w:sdtContent>
          </w:sdt>
          <w:r>
            <w:tab/>
          </w:r>
          <w:bookmarkStart w:id="17" w:name="_Toc320557116_WPSOffice_Level2Page"/>
          <w:r>
            <w:t>1</w:t>
          </w:r>
          <w:bookmarkEnd w:id="17"/>
          <w:r>
            <w:rPr>
              <w:rFonts w:hint="eastAsia"/>
              <w:lang w:val="en-US" w:eastAsia="zh-CN"/>
            </w:rPr>
            <w:t>4</w:t>
          </w:r>
          <w: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rPr>
              <w:b/>
              <w:bCs/>
            </w:rPr>
            <w:fldChar w:fldCharType="begin"/>
          </w:r>
          <w:r>
            <w:instrText xml:space="preserve"> HYPERLINK \l _Toc2005162551_WPSOffice_Level1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816754740"/>
              <w:placeholder>
                <w:docPart w:val="{3f8d39e2-471c-4eb9-93d4-2004f606606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第三部分  名词解释</w:t>
              </w:r>
            </w:sdtContent>
          </w:sdt>
          <w:r>
            <w:rPr>
              <w:b/>
              <w:bCs/>
            </w:rPr>
            <w:tab/>
          </w:r>
          <w:bookmarkStart w:id="18" w:name="_Toc2005162551_WPSOffice_Level1Page"/>
          <w:r>
            <w:rPr>
              <w:b/>
              <w:bCs/>
            </w:rPr>
            <w:t>1</w:t>
          </w:r>
          <w:bookmarkEnd w:id="18"/>
          <w:r>
            <w:rPr>
              <w:rFonts w:hint="eastAsia"/>
              <w:b/>
              <w:bCs/>
              <w:lang w:val="en-US" w:eastAsia="zh-CN"/>
            </w:rPr>
            <w:t>6</w:t>
          </w:r>
          <w:r>
            <w:rPr>
              <w:b/>
              <w:bCs/>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rPr>
              <w:b/>
              <w:bCs/>
            </w:rPr>
            <w:fldChar w:fldCharType="begin"/>
          </w:r>
          <w:r>
            <w:instrText xml:space="preserve"> HYPERLINK \l _Toc1705856527_WPSOffice_Level1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816754740"/>
              <w:placeholder>
                <w:docPart w:val="{e9fc3531-dc01-42bf-b79f-07303b3baf48}"/>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第四部分  附件</w:t>
              </w:r>
            </w:sdtContent>
          </w:sdt>
          <w:r>
            <w:rPr>
              <w:b/>
              <w:bCs/>
            </w:rPr>
            <w:tab/>
          </w:r>
          <w:bookmarkStart w:id="19" w:name="_Toc1705856527_WPSOffice_Level1Page"/>
          <w:r>
            <w:rPr>
              <w:b/>
              <w:bCs/>
            </w:rPr>
            <w:t>2</w:t>
          </w:r>
          <w:bookmarkEnd w:id="19"/>
          <w:r>
            <w:rPr>
              <w:rFonts w:hint="eastAsia"/>
              <w:b/>
              <w:bCs/>
              <w:lang w:val="en-US" w:eastAsia="zh-CN"/>
            </w:rPr>
            <w:t>0</w:t>
          </w:r>
          <w:r>
            <w:rPr>
              <w:b/>
              <w:bCs/>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rPr>
              <w:b/>
              <w:bCs/>
            </w:rPr>
            <w:fldChar w:fldCharType="begin"/>
          </w:r>
          <w:r>
            <w:instrText xml:space="preserve"> HYPERLINK \l _Toc1727646274_WPSOffice_Level1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816754740"/>
              <w:placeholder>
                <w:docPart w:val="{bd4cc7b2-627a-408a-9453-9f7bf877783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黑体" w:cs="Times New Roman"/>
                  <w:b/>
                  <w:bCs/>
                </w:rPr>
                <w:t>第五部分 附表</w:t>
              </w:r>
            </w:sdtContent>
          </w:sdt>
          <w:r>
            <w:rPr>
              <w:b/>
              <w:bCs/>
            </w:rPr>
            <w:tab/>
          </w:r>
          <w:bookmarkStart w:id="20" w:name="_Toc1727646274_WPSOffice_Level1Page"/>
          <w:r>
            <w:rPr>
              <w:b/>
              <w:bCs/>
            </w:rPr>
            <w:t>2</w:t>
          </w:r>
          <w:r>
            <w:rPr>
              <w:rFonts w:hint="eastAsia"/>
              <w:b/>
              <w:bCs/>
              <w:lang w:val="en-US" w:eastAsia="zh-CN"/>
            </w:rPr>
            <w:t>0</w:t>
          </w:r>
          <w:bookmarkEnd w:id="20"/>
          <w:r>
            <w:rPr>
              <w:b/>
              <w:bCs/>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_Toc1640683570_WPSOffice_Level2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3eea80dc-9248-47ad-a3c2-15a274d6cbd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一、收入支出决算总表</w:t>
              </w:r>
            </w:sdtContent>
          </w:sdt>
          <w:r>
            <w:tab/>
          </w:r>
          <w:bookmarkStart w:id="21" w:name="_Toc1640683570_WPSOffice_Level2Page"/>
          <w:r>
            <w:t>2</w:t>
          </w:r>
          <w:bookmarkEnd w:id="21"/>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_Toc130479404_WPSOffice_Level2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e623334f-fe19-4c41-ba24-0949f4957ce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二、收入决算表</w:t>
              </w:r>
            </w:sdtContent>
          </w:sdt>
          <w:r>
            <w:tab/>
          </w:r>
          <w:bookmarkStart w:id="22" w:name="_Toc130479404_WPSOffice_Level2Page"/>
          <w:r>
            <w:t>2</w:t>
          </w:r>
          <w:bookmarkEnd w:id="22"/>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_Toc1288739566_WPSOffice_Level2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6e268ae7-a815-4212-81d6-84d20c02c9c9}"/>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三、支出决算表</w:t>
              </w:r>
            </w:sdtContent>
          </w:sdt>
          <w:r>
            <w:tab/>
          </w:r>
          <w:bookmarkStart w:id="23" w:name="_Toc1288739566_WPSOffice_Level2Page"/>
          <w:r>
            <w:t>2</w:t>
          </w:r>
          <w:bookmarkEnd w:id="23"/>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_Toc710317184_WPSOffice_Level2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b0fa8657-3acf-48e6-b554-d62577eea75e}"/>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四、财政拨款收入支出决算总表</w:t>
              </w:r>
            </w:sdtContent>
          </w:sdt>
          <w:r>
            <w:tab/>
          </w:r>
          <w:bookmarkStart w:id="24" w:name="_Toc710317184_WPSOffice_Level2Page"/>
          <w:r>
            <w:t>2</w:t>
          </w:r>
          <w:bookmarkEnd w:id="24"/>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_Toc1957025982_WPSOffice_Level2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a356e931-35ee-4713-8474-643eda73c80b}"/>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五、财政拨款支出决算明细表</w:t>
              </w:r>
            </w:sdtContent>
          </w:sdt>
          <w:r>
            <w:tab/>
          </w:r>
          <w:bookmarkStart w:id="25" w:name="_Toc1957025982_WPSOffice_Level2Page"/>
          <w:r>
            <w:t>2</w:t>
          </w:r>
          <w:bookmarkEnd w:id="25"/>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_Toc1995945080_WPSOffice_Level2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6b36350d-c884-4b9b-a30b-957d4027fd2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六、一般公共预算财政拨款支出决算表</w:t>
              </w:r>
            </w:sdtContent>
          </w:sdt>
          <w:r>
            <w:tab/>
          </w:r>
          <w:bookmarkStart w:id="26" w:name="_Toc1995945080_WPSOffice_Level2Page"/>
          <w:r>
            <w:t>2</w:t>
          </w:r>
          <w:bookmarkEnd w:id="26"/>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_Toc1739650329_WPSOffice_Level2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5680a8d8-1a44-42c3-a60b-c187a881b914}"/>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七、一般公共预算财政拨款支出决算明细表</w:t>
              </w:r>
            </w:sdtContent>
          </w:sdt>
          <w:r>
            <w:tab/>
          </w:r>
          <w:bookmarkStart w:id="27" w:name="_Toc1739650329_WPSOffice_Level2Page"/>
          <w:r>
            <w:t>2</w:t>
          </w:r>
          <w:bookmarkEnd w:id="27"/>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_Toc1256447869_WPSOffice_Level2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0ec9d608-fd9f-426b-a55b-f3ca62d57c0e}"/>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八、一般公共预算财政拨款基本支出决算表</w:t>
              </w:r>
            </w:sdtContent>
          </w:sdt>
          <w:r>
            <w:tab/>
          </w:r>
          <w:bookmarkStart w:id="28" w:name="_Toc1256447869_WPSOffice_Level2Page"/>
          <w:r>
            <w:t>2</w:t>
          </w:r>
          <w:bookmarkEnd w:id="28"/>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_Toc1118286855_WPSOffice_Level2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e8128a04-6c96-4474-90bc-8c4afe625219}"/>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九、一般公共预算财政拨款项目支出决算表</w:t>
              </w:r>
            </w:sdtContent>
          </w:sdt>
          <w:r>
            <w:tab/>
          </w:r>
          <w:bookmarkStart w:id="29" w:name="_Toc1118286855_WPSOffice_Level2Page"/>
          <w:r>
            <w:t>2</w:t>
          </w:r>
          <w:bookmarkEnd w:id="29"/>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_Toc1298670193_WPSOffice_Level2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ef4d12b5-bd09-4b74-af3d-206227b12657}"/>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十、政府性基金预算财政拨款收入支出决算表</w:t>
              </w:r>
            </w:sdtContent>
          </w:sdt>
          <w:r>
            <w:tab/>
          </w:r>
          <w:bookmarkStart w:id="30" w:name="_Toc1298670193_WPSOffice_Level2Page"/>
          <w:r>
            <w:t>2</w:t>
          </w:r>
          <w:bookmarkEnd w:id="30"/>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_Toc1387656186_WPSOffice_Level2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22fc2e1f-fdbd-4ca2-8373-dc7fc7ff553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十一、国有资本经营预算财政拨款收入支出决算表</w:t>
              </w:r>
            </w:sdtContent>
          </w:sdt>
          <w:r>
            <w:tab/>
          </w:r>
          <w:bookmarkStart w:id="31" w:name="_Toc1387656186_WPSOffice_Level2Page"/>
          <w:r>
            <w:t>2</w:t>
          </w:r>
          <w:bookmarkEnd w:id="31"/>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_Toc31090444_WPSOffice_Level2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a6ceab21-e630-48e1-93a3-4303f3d93ee0}"/>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十二、国有资本经营预算财政拨款支出决算表</w:t>
              </w:r>
            </w:sdtContent>
          </w:sdt>
          <w:r>
            <w:tab/>
          </w:r>
          <w:bookmarkStart w:id="32" w:name="_Toc31090444_WPSOffice_Level2Page"/>
          <w:r>
            <w:t>2</w:t>
          </w:r>
          <w:bookmarkEnd w:id="32"/>
          <w:r>
            <w:rPr>
              <w:rFonts w:hint="eastAsia"/>
              <w:lang w:val="en-US" w:eastAsia="zh-CN"/>
            </w:rPr>
            <w:t>0</w:t>
          </w:r>
          <w: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370" w:lineRule="exact"/>
            <w:textAlignment w:val="auto"/>
          </w:pPr>
          <w:r>
            <w:fldChar w:fldCharType="begin"/>
          </w:r>
          <w:r>
            <w:instrText xml:space="preserve"> HYPERLINK \l _Toc602395552_WPSOffice_Level2 </w:instrText>
          </w:r>
          <w:r>
            <w:fldChar w:fldCharType="separate"/>
          </w:r>
          <w:sdt>
            <w:sdtPr>
              <w:rPr>
                <w:rFonts w:ascii="Times New Roman" w:hAnsi="Times New Roman" w:eastAsia="宋体" w:cs="Times New Roman"/>
                <w:b/>
                <w:bCs/>
                <w:kern w:val="44"/>
                <w:sz w:val="44"/>
                <w:szCs w:val="44"/>
                <w:lang w:val="en-US" w:eastAsia="zh-CN" w:bidi="ar-SA"/>
              </w:rPr>
              <w:id w:val="816754740"/>
              <w:placeholder>
                <w:docPart w:val="{ac1abae8-ed02-46af-8086-28d4af9bfa63}"/>
              </w:placeholder>
            </w:sdtPr>
            <w:sdtEndPr>
              <w:rPr>
                <w:rFonts w:ascii="Times New Roman" w:hAnsi="Times New Roman" w:eastAsia="宋体" w:cs="Times New Roman"/>
                <w:b/>
                <w:bCs/>
                <w:kern w:val="44"/>
                <w:sz w:val="44"/>
                <w:szCs w:val="44"/>
                <w:lang w:val="en-US" w:eastAsia="zh-CN" w:bidi="ar-SA"/>
              </w:rPr>
            </w:sdtEndPr>
            <w:sdtContent>
              <w:r>
                <w:rPr>
                  <w:rFonts w:hint="eastAsia" w:ascii="Times New Roman" w:hAnsi="Times New Roman" w:eastAsia="仿宋_GB2312" w:cs="仿宋_GB2312"/>
                </w:rPr>
                <w:t>十三、财政拨款“三公”经费支出决算表</w:t>
              </w:r>
            </w:sdtContent>
          </w:sdt>
          <w:r>
            <w:tab/>
          </w:r>
          <w:bookmarkStart w:id="33" w:name="_Toc602395552_WPSOffice_Level2Page"/>
          <w:r>
            <w:t>2</w:t>
          </w:r>
          <w:bookmarkEnd w:id="33"/>
          <w:r>
            <w:rPr>
              <w:rFonts w:hint="eastAsia"/>
              <w:lang w:val="en-US" w:eastAsia="zh-CN"/>
            </w:rPr>
            <w:t>0</w:t>
          </w:r>
          <w:r>
            <w:fldChar w:fldCharType="end"/>
          </w:r>
          <w:bookmarkEnd w:id="12"/>
        </w:p>
      </w:sdtContent>
    </w:sdt>
    <w:p>
      <w:pPr>
        <w:pStyle w:val="3"/>
        <w:jc w:val="center"/>
        <w:rPr>
          <w:rStyle w:val="30"/>
          <w:rFonts w:hint="eastAsia" w:ascii="Times New Roman" w:hAnsi="Times New Roman" w:eastAsia="方正小标宋简体" w:cs="方正小标宋简体"/>
          <w:b/>
          <w:bCs w:val="0"/>
          <w:color w:val="auto"/>
          <w:highlight w:val="none"/>
        </w:rPr>
      </w:pPr>
      <w:bookmarkStart w:id="34" w:name="_Toc204349368_WPSOffice_Level1"/>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34"/>
    </w:p>
    <w:p>
      <w:pPr>
        <w:widowControl/>
        <w:jc w:val="left"/>
        <w:rPr>
          <w:rFonts w:ascii="Times New Roman" w:hAnsi="Times New Roman" w:eastAsia="黑体"/>
          <w:color w:val="auto"/>
          <w:sz w:val="32"/>
          <w:szCs w:val="32"/>
          <w:highlight w:val="none"/>
        </w:rPr>
      </w:pPr>
    </w:p>
    <w:p>
      <w:pPr>
        <w:pStyle w:val="4"/>
        <w:pageBreakBefore w:val="0"/>
        <w:widowControl w:val="0"/>
        <w:kinsoku/>
        <w:wordWrap/>
        <w:overflowPunct/>
        <w:topLinePunct w:val="0"/>
        <w:autoSpaceDE/>
        <w:autoSpaceDN/>
        <w:bidi w:val="0"/>
        <w:spacing w:before="0" w:after="0" w:line="240" w:lineRule="auto"/>
        <w:ind w:left="0" w:firstLine="640" w:firstLineChars="200"/>
        <w:textAlignment w:val="auto"/>
        <w:rPr>
          <w:rFonts w:hint="default" w:ascii="Times New Roman" w:hAnsi="Times New Roman" w:eastAsia="黑体"/>
          <w:b w:val="0"/>
          <w:color w:val="auto"/>
          <w:highlight w:val="none"/>
          <w:lang w:val="en-US" w:eastAsia="zh-CN"/>
        </w:rPr>
      </w:pPr>
      <w:bookmarkStart w:id="35" w:name="_Toc1731031580_WPSOffice_Level2"/>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rPr>
        <w:t>、</w:t>
      </w:r>
      <w:r>
        <w:rPr>
          <w:rFonts w:hint="eastAsia" w:ascii="Times New Roman" w:hAnsi="Times New Roman" w:eastAsia="黑体"/>
          <w:b w:val="0"/>
          <w:color w:val="auto"/>
          <w:highlight w:val="none"/>
          <w:lang w:eastAsia="zh-CN"/>
        </w:rPr>
        <w:t>主要职责</w:t>
      </w:r>
      <w:bookmarkEnd w:id="35"/>
      <w:bookmarkStart w:id="36" w:name="_Toc2003080004_WPSOffice_Level2"/>
      <w:bookmarkStart w:id="37" w:name="_Toc598249215_WPSOffice_Level2"/>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firstLineChars="200"/>
        <w:jc w:val="left"/>
        <w:textAlignment w:val="auto"/>
        <w:rPr>
          <w:rFonts w:hint="default" w:ascii="Times New Roman" w:hAnsi="Times New Roman" w:eastAsia="楷体_GB2312" w:cs="Times New Roman"/>
          <w:b/>
          <w:color w:val="auto"/>
          <w:kern w:val="2"/>
          <w:sz w:val="32"/>
          <w:szCs w:val="32"/>
          <w:highlight w:val="none"/>
          <w:lang w:val="en-US" w:eastAsia="zh-CN" w:bidi="ar-SA"/>
        </w:rPr>
      </w:pPr>
      <w:bookmarkStart w:id="38" w:name="_Toc4440"/>
      <w:bookmarkStart w:id="39" w:name="_Toc29819"/>
      <w:bookmarkStart w:id="40" w:name="_Toc363"/>
      <w:r>
        <w:rPr>
          <w:rFonts w:hint="eastAsia" w:ascii="Times New Roman" w:hAnsi="Times New Roman" w:eastAsia="楷体_GB2312" w:cs="Times New Roman"/>
          <w:b/>
          <w:color w:val="auto"/>
          <w:kern w:val="2"/>
          <w:sz w:val="32"/>
          <w:szCs w:val="32"/>
          <w:highlight w:val="none"/>
          <w:lang w:val="en-US" w:eastAsia="zh-CN" w:bidi="ar-SA"/>
        </w:rPr>
        <w:t>（一）市政府办公室职能简介。</w:t>
      </w:r>
      <w:bookmarkEnd w:id="36"/>
      <w:bookmarkEnd w:id="37"/>
      <w:bookmarkEnd w:id="38"/>
      <w:bookmarkEnd w:id="39"/>
      <w:bookmarkEnd w:id="40"/>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协助市政府领导同志组织起草或审核以市政府、市政府办公室名义发布的公文。办理省政府、省政府办公厅及省直部门发送市政府的文电。指导全市行政机关公文处理工作。</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2</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研究市政府部门和县（区）人民政府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请示市政府的事项，提出审核意见，报市政府领导同志审批。</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3</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负责市政府会议的准备工作，协助市政府领导同志组织实施会议决定事项。</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4</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督促检查市政府部门和县（区）人民政府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对市政府决定事项及市政府领导同志指示的贯彻落实情况，及时向市政府领导同志报告。</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5</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根据市政府领导同志的指示，对市政府部门间争议问题提出处理意见和建议，报市政府领导同志决定。</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6</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负责市政府值班工作，指导市政府部门和县（区）人民政府</w:t>
      </w:r>
      <w:r>
        <w:rPr>
          <w:rFonts w:hint="eastAsia" w:ascii="方正仿宋_GBK" w:hAnsi="方正仿宋_GBK" w:eastAsia="方正仿宋_GBK" w:cs="方正仿宋_GBK"/>
          <w:b w:val="0"/>
          <w:bCs w:val="0"/>
          <w:color w:val="333333"/>
          <w:spacing w:val="0"/>
          <w:sz w:val="32"/>
          <w:szCs w:val="32"/>
          <w:lang w:eastAsia="zh-CN"/>
        </w:rPr>
        <w:t>、市政府派出机构</w:t>
      </w:r>
      <w:r>
        <w:rPr>
          <w:rFonts w:hint="eastAsia" w:ascii="方正仿宋_GBK" w:hAnsi="方正仿宋_GBK" w:eastAsia="方正仿宋_GBK" w:cs="方正仿宋_GBK"/>
          <w:b w:val="0"/>
          <w:bCs w:val="0"/>
          <w:color w:val="333333"/>
          <w:spacing w:val="0"/>
          <w:sz w:val="32"/>
          <w:szCs w:val="32"/>
        </w:rPr>
        <w:t>值班工作，及时报告重要情况。</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7</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指导、监督全市政府信息公开工作，指导、监督全市政府系统电子政务工作和政府网站建设。</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8</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rPr>
        <w:t>围绕市政府中心工作和市政府领导同志的指示，组织专题调查研究，及时反映情况，提出政策性建议。</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color w:val="333333"/>
          <w:spacing w:val="0"/>
          <w:sz w:val="32"/>
          <w:szCs w:val="32"/>
        </w:rPr>
        <w:t>9</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val="en-US" w:eastAsia="zh-CN"/>
        </w:rPr>
        <w:t>统筹管理全市外事工作，归口管理全市因公出国（境）工作，负责全市涉外管理、相关礼宾接待、国际友好城市缔结和对外友协工作，办理其他相关涉外事务。</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lang w:eastAsia="zh-CN"/>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b w:val="0"/>
          <w:bCs w:val="0"/>
          <w:color w:val="333333"/>
          <w:spacing w:val="0"/>
          <w:sz w:val="32"/>
          <w:szCs w:val="32"/>
          <w:lang w:val="en-US" w:eastAsia="zh-CN"/>
        </w:rPr>
        <w:t>0</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eastAsia="zh-CN"/>
        </w:rPr>
        <w:t>负责市政府驻外机构的管理工作。</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b w:val="0"/>
          <w:bCs w:val="0"/>
          <w:color w:val="333333"/>
          <w:spacing w:val="0"/>
          <w:sz w:val="32"/>
          <w:szCs w:val="32"/>
        </w:rPr>
      </w:pPr>
      <w:r>
        <w:rPr>
          <w:rFonts w:hint="eastAsia" w:ascii="方正仿宋_GBK" w:hAnsi="方正仿宋_GBK" w:eastAsia="方正仿宋_GBK" w:cs="方正仿宋_GBK"/>
          <w:b w:val="0"/>
          <w:bCs w:val="0"/>
          <w:color w:val="333333"/>
          <w:spacing w:val="0"/>
          <w:sz w:val="32"/>
          <w:szCs w:val="32"/>
        </w:rPr>
        <w:t>1</w:t>
      </w:r>
      <w:r>
        <w:rPr>
          <w:rFonts w:hint="eastAsia" w:ascii="方正仿宋_GBK" w:hAnsi="方正仿宋_GBK" w:eastAsia="方正仿宋_GBK" w:cs="方正仿宋_GBK"/>
          <w:b w:val="0"/>
          <w:bCs w:val="0"/>
          <w:color w:val="333333"/>
          <w:spacing w:val="0"/>
          <w:sz w:val="32"/>
          <w:szCs w:val="32"/>
          <w:lang w:val="en-US" w:eastAsia="zh-CN"/>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b w:val="0"/>
          <w:bCs w:val="0"/>
          <w:color w:val="333333"/>
          <w:spacing w:val="0"/>
          <w:sz w:val="32"/>
          <w:szCs w:val="32"/>
          <w:lang w:eastAsia="zh-CN"/>
        </w:rPr>
        <w:t>承担市政府公布的有关行政审批事项</w:t>
      </w:r>
      <w:r>
        <w:rPr>
          <w:rFonts w:hint="eastAsia" w:ascii="方正仿宋_GBK" w:hAnsi="方正仿宋_GBK" w:eastAsia="方正仿宋_GBK" w:cs="方正仿宋_GBK"/>
          <w:b w:val="0"/>
          <w:bCs w:val="0"/>
          <w:color w:val="333333"/>
          <w:spacing w:val="0"/>
          <w:sz w:val="32"/>
          <w:szCs w:val="32"/>
        </w:rPr>
        <w:t>。</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2" w:firstLineChars="200"/>
        <w:jc w:val="left"/>
        <w:textAlignment w:val="auto"/>
        <w:rPr>
          <w:rFonts w:hint="default" w:ascii="Times New Roman" w:hAnsi="Times New Roman" w:eastAsia="仿宋" w:cs="Times New Roman"/>
          <w:color w:val="333333"/>
          <w:spacing w:val="0"/>
          <w:sz w:val="32"/>
          <w:szCs w:val="32"/>
        </w:rPr>
      </w:pPr>
      <w:bookmarkStart w:id="41" w:name="_Toc1934651194_WPSOffice_Level2"/>
      <w:bookmarkStart w:id="42" w:name="_Toc425292185_WPSOffice_Level2"/>
      <w:r>
        <w:rPr>
          <w:rFonts w:hint="default" w:ascii="Times New Roman" w:hAnsi="Times New Roman" w:eastAsia="楷体_GB2312" w:cs="Times New Roman"/>
          <w:b/>
          <w:color w:val="auto"/>
          <w:kern w:val="2"/>
          <w:sz w:val="32"/>
          <w:szCs w:val="32"/>
          <w:highlight w:val="none"/>
          <w:lang w:val="en-US" w:eastAsia="zh-CN" w:bidi="ar-SA"/>
        </w:rPr>
        <w:t>（二）市</w:t>
      </w:r>
      <w:r>
        <w:rPr>
          <w:rFonts w:hint="eastAsia" w:ascii="Times New Roman" w:hAnsi="Times New Roman" w:eastAsia="楷体_GB2312" w:cs="Times New Roman"/>
          <w:b/>
          <w:color w:val="auto"/>
          <w:kern w:val="2"/>
          <w:sz w:val="32"/>
          <w:szCs w:val="32"/>
          <w:highlight w:val="none"/>
          <w:lang w:val="en-US" w:eastAsia="zh-CN" w:bidi="ar-SA"/>
        </w:rPr>
        <w:t>网站事务</w:t>
      </w:r>
      <w:r>
        <w:rPr>
          <w:rFonts w:hint="default" w:ascii="Times New Roman" w:hAnsi="Times New Roman" w:eastAsia="楷体_GB2312" w:cs="Times New Roman"/>
          <w:b/>
          <w:color w:val="auto"/>
          <w:kern w:val="2"/>
          <w:sz w:val="32"/>
          <w:szCs w:val="32"/>
          <w:highlight w:val="none"/>
          <w:lang w:val="en-US" w:eastAsia="zh-CN" w:bidi="ar-SA"/>
        </w:rPr>
        <w:t>中心职能简介。</w:t>
      </w:r>
      <w:bookmarkEnd w:id="41"/>
      <w:bookmarkEnd w:id="42"/>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1</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333333"/>
          <w:spacing w:val="0"/>
          <w:sz w:val="32"/>
          <w:szCs w:val="32"/>
          <w:lang w:eastAsia="zh-CN"/>
        </w:rPr>
        <w:t>负责攀枝花市政府网站集约化平台建设和运维管理，为政务公开、信息发布、政策解读等相关工作提供支撑服务，参与全市政府网站和政务新媒体绩效评估工作</w:t>
      </w:r>
      <w:r>
        <w:rPr>
          <w:rFonts w:hint="eastAsia" w:ascii="方正仿宋_GBK" w:hAnsi="方正仿宋_GBK" w:eastAsia="方正仿宋_GBK" w:cs="方正仿宋_GBK"/>
          <w:color w:val="333333"/>
          <w:spacing w:val="0"/>
          <w:sz w:val="32"/>
          <w:szCs w:val="32"/>
        </w:rPr>
        <w:t>。</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rPr>
      </w:pPr>
      <w:r>
        <w:rPr>
          <w:rFonts w:hint="eastAsia" w:ascii="方正仿宋_GBK" w:hAnsi="方正仿宋_GBK" w:eastAsia="方正仿宋_GBK" w:cs="方正仿宋_GBK"/>
          <w:color w:val="333333"/>
          <w:spacing w:val="0"/>
          <w:sz w:val="32"/>
          <w:szCs w:val="32"/>
        </w:rPr>
        <w:t>2</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color w:val="333333"/>
          <w:spacing w:val="0"/>
          <w:sz w:val="32"/>
          <w:szCs w:val="32"/>
          <w:lang w:eastAsia="zh-CN"/>
        </w:rPr>
        <w:t>负责对“走好网上群众路线”等群众诉求网络渠道办理情况进行统计分析，并提出建议</w:t>
      </w:r>
      <w:r>
        <w:rPr>
          <w:rFonts w:hint="eastAsia" w:ascii="方正仿宋_GBK" w:hAnsi="方正仿宋_GBK" w:eastAsia="方正仿宋_GBK" w:cs="方正仿宋_GBK"/>
          <w:color w:val="333333"/>
          <w:spacing w:val="0"/>
          <w:sz w:val="32"/>
          <w:szCs w:val="32"/>
        </w:rPr>
        <w:t>。</w:t>
      </w:r>
    </w:p>
    <w:p>
      <w:pPr>
        <w:pStyle w:val="2"/>
        <w:pageBreakBefore w:val="0"/>
        <w:widowControl w:val="0"/>
        <w:kinsoku/>
        <w:wordWrap/>
        <w:overflowPunct/>
        <w:topLinePunct w:val="0"/>
        <w:autoSpaceDE/>
        <w:autoSpaceDN/>
        <w:bidi w:val="0"/>
        <w:adjustRightInd w:val="0"/>
        <w:spacing w:beforeLines="0" w:line="240" w:lineRule="auto"/>
        <w:ind w:left="0" w:firstLine="642" w:firstLineChars="200"/>
        <w:textAlignment w:val="auto"/>
        <w:rPr>
          <w:rFonts w:hint="default" w:ascii="Times New Roman" w:hAnsi="Times New Roman" w:eastAsia="楷体_GB2312" w:cs="Times New Roman"/>
          <w:b/>
          <w:color w:val="auto"/>
          <w:sz w:val="32"/>
          <w:highlight w:val="none"/>
        </w:rPr>
      </w:pPr>
      <w:bookmarkStart w:id="43" w:name="_Toc345528385_WPSOffice_Level2"/>
      <w:bookmarkStart w:id="44" w:name="_Toc58165406_WPSOffice_Level2"/>
      <w:r>
        <w:rPr>
          <w:rFonts w:hint="eastAsia" w:ascii="Times New Roman" w:hAnsi="Times New Roman" w:eastAsia="楷体_GB2312" w:cs="Times New Roman"/>
          <w:b/>
          <w:color w:val="auto"/>
          <w:sz w:val="32"/>
          <w:highlight w:val="none"/>
        </w:rPr>
        <w:t>（三）市决策咨询服务中心职能简介。</w:t>
      </w:r>
      <w:bookmarkEnd w:id="43"/>
      <w:bookmarkEnd w:id="44"/>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rPr>
        <w:t>1</w:t>
      </w:r>
      <w:r>
        <w:rPr>
          <w:rFonts w:hint="eastAsia" w:ascii="方正仿宋_GBK" w:hAnsi="方正仿宋_GBK" w:eastAsia="方正仿宋_GBK" w:cs="方正仿宋_GBK"/>
          <w:color w:val="333333"/>
          <w:spacing w:val="0"/>
          <w:sz w:val="32"/>
          <w:szCs w:val="32"/>
          <w:lang w:val="en-US" w:eastAsia="zh-CN"/>
        </w:rPr>
        <w:t>．</w:t>
      </w:r>
      <w:r>
        <w:rPr>
          <w:rFonts w:hint="eastAsia" w:ascii="方正仿宋_GBK" w:hAnsi="方正仿宋_GBK" w:eastAsia="方正仿宋_GBK" w:cs="方正仿宋_GBK"/>
          <w:color w:val="333333"/>
          <w:spacing w:val="0"/>
          <w:sz w:val="32"/>
          <w:szCs w:val="32"/>
        </w:rPr>
        <w:t>根据市委、市政府和市决咨委安排，组织委员开展全市发展战略、中长期规划、重大决策部署、重大问题、重点项目等咨询论证活动。</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2．负责全市经济社会发展重大决策咨询研究课题的组织实施。</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3．负责市决咨委各专业组决策咨询调研、考察及与相关部门的组织协调工作。</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4．及时整理市决咨委委员和各专业组提出的咨询意见、建议和课题研究成果，报送市委、市政府及有关部门，并进行成果应用的跟踪。</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5．组织委员召开决策咨询研讨会议和决策咨询交流活动。</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6．为委员提供相关信息和资料，组织委员列席市委、市政府重要会议，为委员开展咨询工作提供服务。</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7．负责起草市决咨委的各种工作制度和文件草案，定期向市决咨委办公室领导汇报工作。</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 xml:space="preserve">8．负责市决咨委办公室日常事务工作。 </w:t>
      </w:r>
    </w:p>
    <w:p>
      <w:pPr>
        <w:pStyle w:val="1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方正仿宋_GBK" w:hAnsi="方正仿宋_GBK" w:eastAsia="方正仿宋_GBK" w:cs="方正仿宋_GBK"/>
          <w:color w:val="333333"/>
          <w:spacing w:val="0"/>
          <w:sz w:val="32"/>
          <w:szCs w:val="32"/>
          <w:lang w:val="en-US" w:eastAsia="zh-CN"/>
        </w:rPr>
      </w:pPr>
      <w:r>
        <w:rPr>
          <w:rFonts w:hint="eastAsia" w:ascii="方正仿宋_GBK" w:hAnsi="方正仿宋_GBK" w:eastAsia="方正仿宋_GBK" w:cs="方正仿宋_GBK"/>
          <w:color w:val="333333"/>
          <w:spacing w:val="0"/>
          <w:sz w:val="32"/>
          <w:szCs w:val="32"/>
          <w:lang w:val="en-US" w:eastAsia="zh-CN"/>
        </w:rPr>
        <w:t>9．完成市委、市政府交办的工作和主任委员会确定的其他工作。</w:t>
      </w:r>
    </w:p>
    <w:p>
      <w:pPr>
        <w:pStyle w:val="4"/>
        <w:pageBreakBefore w:val="0"/>
        <w:widowControl w:val="0"/>
        <w:kinsoku/>
        <w:wordWrap/>
        <w:overflowPunct/>
        <w:topLinePunct w:val="0"/>
        <w:autoSpaceDE/>
        <w:autoSpaceDN/>
        <w:bidi w:val="0"/>
        <w:spacing w:before="0" w:after="0" w:line="240" w:lineRule="auto"/>
        <w:ind w:left="0" w:firstLine="640" w:firstLineChars="200"/>
        <w:textAlignment w:val="auto"/>
        <w:rPr>
          <w:rStyle w:val="31"/>
          <w:rFonts w:ascii="Times New Roman" w:hAnsi="Times New Roman"/>
          <w:b w:val="0"/>
          <w:bCs w:val="0"/>
          <w:color w:val="auto"/>
          <w:highlight w:val="none"/>
        </w:rPr>
      </w:pPr>
      <w:bookmarkStart w:id="45" w:name="_Toc15396601"/>
      <w:bookmarkStart w:id="46" w:name="_Toc15377200"/>
      <w:bookmarkStart w:id="47" w:name="_Toc2005162551_WPSOffice_Level2"/>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45"/>
      <w:bookmarkEnd w:id="46"/>
      <w:bookmarkEnd w:id="47"/>
    </w:p>
    <w:p>
      <w:pPr>
        <w:pageBreakBefore w:val="0"/>
        <w:widowControl w:val="0"/>
        <w:suppressAutoHyphen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市政府办公室本级下属非独立核算事业单位2个：市</w:t>
      </w:r>
      <w:r>
        <w:rPr>
          <w:rFonts w:hint="eastAsia" w:ascii="Times New Roman" w:hAnsi="Times New Roman" w:eastAsia="仿宋_GB2312" w:cs="Times New Roman"/>
          <w:sz w:val="32"/>
          <w:szCs w:val="32"/>
          <w:lang w:val="en-US" w:eastAsia="zh-CN"/>
        </w:rPr>
        <w:t>网站事务</w:t>
      </w:r>
      <w:r>
        <w:rPr>
          <w:rFonts w:hint="default" w:ascii="Times New Roman" w:hAnsi="Times New Roman" w:eastAsia="仿宋_GB2312" w:cs="Times New Roman"/>
          <w:sz w:val="32"/>
          <w:szCs w:val="32"/>
        </w:rPr>
        <w:t>中心、市决策咨询服务中心；代管单位1个：原市政府驻昆明办事处。</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hint="eastAsia" w:ascii="Times New Roman" w:hAnsi="Times New Roman" w:eastAsia="方正小标宋简体" w:cs="方正小标宋简体"/>
          <w:b w:val="0"/>
          <w:color w:val="auto"/>
          <w:highlight w:val="none"/>
        </w:rPr>
      </w:pPr>
      <w:bookmarkStart w:id="48" w:name="_Toc15396602"/>
      <w:bookmarkStart w:id="49" w:name="_Toc15377204"/>
      <w:bookmarkStart w:id="50" w:name="_Toc1731031580_WPSOffice_Level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48"/>
      <w:bookmarkEnd w:id="49"/>
      <w:bookmarkEnd w:id="50"/>
    </w:p>
    <w:p>
      <w:pPr>
        <w:rPr>
          <w:rFonts w:ascii="Times New Roman" w:hAnsi="Times New Roman"/>
          <w:color w:val="auto"/>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51" w:name="_Toc15377205"/>
      <w:bookmarkStart w:id="52" w:name="_Toc15396603"/>
      <w:bookmarkStart w:id="53" w:name="_Toc1705856527_WPSOffice_Level2"/>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51"/>
      <w:bookmarkEnd w:id="52"/>
      <w:bookmarkEnd w:id="5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54" w:name="_Toc20331"/>
      <w:bookmarkStart w:id="55" w:name="_Toc19634"/>
      <w:bookmarkStart w:id="56" w:name="_Toc14156"/>
      <w:bookmarkStart w:id="57" w:name="_Toc13617"/>
      <w:r>
        <w:rPr>
          <w:rFonts w:hint="eastAsia" w:ascii="方正仿宋_GBK" w:hAnsi="方正仿宋_GBK" w:eastAsia="方正仿宋_GBK" w:cs="方正仿宋_GBK"/>
          <w:color w:val="333333"/>
          <w:spacing w:val="0"/>
          <w:kern w:val="0"/>
          <w:sz w:val="32"/>
          <w:szCs w:val="32"/>
          <w:lang w:val="en-US" w:eastAsia="zh-CN" w:bidi="ar"/>
        </w:rPr>
        <w:drawing>
          <wp:anchor distT="0" distB="0" distL="114300" distR="114300" simplePos="0" relativeHeight="251659264" behindDoc="0" locked="0" layoutInCell="1" allowOverlap="1">
            <wp:simplePos x="0" y="0"/>
            <wp:positionH relativeFrom="column">
              <wp:posOffset>282575</wp:posOffset>
            </wp:positionH>
            <wp:positionV relativeFrom="paragraph">
              <wp:posOffset>1524000</wp:posOffset>
            </wp:positionV>
            <wp:extent cx="4886325" cy="2752725"/>
            <wp:effectExtent l="0" t="0" r="9525" b="9525"/>
            <wp:wrapNone/>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8"/>
                    <a:stretch>
                      <a:fillRect/>
                    </a:stretch>
                  </pic:blipFill>
                  <pic:spPr>
                    <a:xfrm>
                      <a:off x="0" y="0"/>
                      <a:ext cx="4886325" cy="2752725"/>
                    </a:xfrm>
                    <a:prstGeom prst="rect">
                      <a:avLst/>
                    </a:prstGeom>
                    <a:noFill/>
                    <a:ln>
                      <a:noFill/>
                    </a:ln>
                  </pic:spPr>
                </pic:pic>
              </a:graphicData>
            </a:graphic>
          </wp:anchor>
        </w:drawing>
      </w:r>
      <w:r>
        <w:rPr>
          <w:rFonts w:hint="eastAsia" w:ascii="方正仿宋_GBK" w:hAnsi="方正仿宋_GBK" w:eastAsia="方正仿宋_GBK" w:cs="方正仿宋_GBK"/>
          <w:color w:val="333333"/>
          <w:spacing w:val="0"/>
          <w:kern w:val="0"/>
          <w:sz w:val="32"/>
          <w:szCs w:val="32"/>
          <w:lang w:val="en-US" w:eastAsia="zh-CN" w:bidi="ar"/>
        </w:rPr>
        <w:t>2024年度收入、支出总计均为4184.27万元。与2023年度相比，收入、支出总计各减少221.98万元，下降5.04%。主要变动原因是市大数据中心机构划转，人员减少，经费减少。</w:t>
      </w:r>
      <w:bookmarkEnd w:id="54"/>
      <w:bookmarkEnd w:id="55"/>
      <w:bookmarkEnd w:id="56"/>
      <w:bookmarkEnd w:id="5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pPr>
        <w:pStyle w:val="6"/>
        <w:rPr>
          <w:rFonts w:hint="eastAsia" w:ascii="Times New Roman" w:hAnsi="Times New Roman" w:eastAsia="仿宋_GB2312" w:cs="仿宋_GB2312"/>
          <w:color w:val="auto"/>
          <w:sz w:val="32"/>
          <w:szCs w:val="32"/>
          <w:highlight w:val="none"/>
        </w:rPr>
      </w:pPr>
    </w:p>
    <w:p>
      <w:pPr>
        <w:pStyle w:val="6"/>
        <w:rPr>
          <w:rFonts w:hint="eastAsia" w:ascii="Times New Roman" w:hAnsi="Times New Roman" w:eastAsia="仿宋_GB2312" w:cs="仿宋_GB2312"/>
          <w:color w:val="auto"/>
          <w:sz w:val="32"/>
          <w:szCs w:val="32"/>
          <w:highlight w:val="none"/>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rPr>
          <w:rFonts w:hint="eastAsia" w:ascii="Times New Roman" w:hAnsi="Times New Roman" w:eastAsia="仿宋_GB2312" w:cs="仿宋_GB2312"/>
          <w:color w:val="auto"/>
          <w:sz w:val="32"/>
          <w:szCs w:val="32"/>
          <w:highlight w:val="none"/>
        </w:rPr>
      </w:pPr>
    </w:p>
    <w:p>
      <w:pPr>
        <w:pStyle w:val="6"/>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58" w:name="_Toc15396604"/>
      <w:bookmarkStart w:id="59" w:name="_Toc15377206"/>
      <w:bookmarkStart w:id="60" w:name="_Toc1727646274_WPSOffice_Level2"/>
      <w:r>
        <w:rPr>
          <w:rFonts w:hint="eastAsia" w:ascii="Times New Roman" w:hAnsi="Times New Roman" w:eastAsia="黑体"/>
          <w:color w:val="auto"/>
          <w:sz w:val="32"/>
          <w:szCs w:val="32"/>
          <w:highlight w:val="none"/>
          <w:lang w:eastAsia="zh-CN"/>
        </w:rPr>
        <w:t>二、收入决算情况说明</w:t>
      </w:r>
      <w:bookmarkEnd w:id="58"/>
      <w:bookmarkEnd w:id="59"/>
      <w:bookmarkEnd w:id="6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61" w:name="_Toc17021"/>
      <w:bookmarkStart w:id="62" w:name="_Toc25665"/>
      <w:bookmarkStart w:id="63" w:name="_Toc2961"/>
      <w:bookmarkStart w:id="64" w:name="_Toc6799"/>
      <w:r>
        <w:rPr>
          <w:rFonts w:hint="eastAsia" w:ascii="方正仿宋_GBK" w:hAnsi="方正仿宋_GBK" w:eastAsia="方正仿宋_GBK" w:cs="方正仿宋_GBK"/>
          <w:color w:val="333333"/>
          <w:spacing w:val="0"/>
          <w:kern w:val="0"/>
          <w:sz w:val="32"/>
          <w:szCs w:val="32"/>
          <w:lang w:val="en-US" w:eastAsia="zh-CN" w:bidi="ar"/>
        </w:rPr>
        <w:t>2024年度本年收入合计4163.03万元，其中：一般公共预算财政拨款收入4163.03万元，占100%；政府性基金预算财政拨款收入0万元，占0%；国有资本经营预算财政拨款收入0万元，占0%；上级补助收入0万元，占0%；事业收入0万元，占0%；经营收入0万元，占0%；附属单位上缴收入0万元，占0%；其他收入0万元，占0%。</w:t>
      </w:r>
      <w:bookmarkEnd w:id="61"/>
      <w:bookmarkEnd w:id="62"/>
      <w:bookmarkEnd w:id="63"/>
      <w:bookmarkEnd w:id="6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4384" behindDoc="0" locked="0" layoutInCell="1" allowOverlap="1">
            <wp:simplePos x="0" y="0"/>
            <wp:positionH relativeFrom="column">
              <wp:posOffset>281940</wp:posOffset>
            </wp:positionH>
            <wp:positionV relativeFrom="paragraph">
              <wp:posOffset>20955</wp:posOffset>
            </wp:positionV>
            <wp:extent cx="4806315" cy="3070225"/>
            <wp:effectExtent l="6350" t="6350" r="18415" b="17145"/>
            <wp:wrapNone/>
            <wp:docPr id="103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pPr>
        <w:jc w:val="both"/>
        <w:rPr>
          <w:rFonts w:hint="eastAsia" w:ascii="Times New Roman" w:hAnsi="Times New Roman" w:eastAsia="仿宋_GB2312" w:cs="仿宋_GB2312"/>
          <w:color w:val="auto"/>
          <w:sz w:val="32"/>
          <w:szCs w:val="32"/>
          <w:highlight w:val="none"/>
          <w:lang w:eastAsia="zh-CN"/>
        </w:rPr>
      </w:pP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65" w:name="_Toc15377207"/>
      <w:bookmarkStart w:id="66" w:name="_Toc15396605"/>
      <w:bookmarkStart w:id="67" w:name="_Toc863913277_WPSOffice_Level2"/>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65"/>
      <w:bookmarkEnd w:id="66"/>
      <w:bookmarkEnd w:id="6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68" w:name="_Toc6458"/>
      <w:r>
        <w:rPr>
          <w:rFonts w:hint="eastAsia" w:ascii="方正仿宋_GBK" w:hAnsi="方正仿宋_GBK" w:eastAsia="方正仿宋_GBK" w:cs="方正仿宋_GBK"/>
          <w:color w:val="333333"/>
          <w:spacing w:val="0"/>
          <w:kern w:val="0"/>
          <w:sz w:val="32"/>
          <w:szCs w:val="32"/>
          <w:lang w:val="en-US" w:eastAsia="zh-CN" w:bidi="ar"/>
        </w:rPr>
        <w:t>2024年度本年支出合计4162.54万元，其中：基本支出3432.94万元，占82.47%；项目支出729.6万元，占17.53%；上缴上级支出0万元，占0%；经营支出0万元，占0%；对附属单位补助支出0万元，占0%。</w:t>
      </w:r>
      <w:bookmarkEnd w:id="68"/>
    </w:p>
    <w:p>
      <w:pPr>
        <w:pStyle w:val="6"/>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48260</wp:posOffset>
            </wp:positionH>
            <wp:positionV relativeFrom="paragraph">
              <wp:posOffset>40005</wp:posOffset>
            </wp:positionV>
            <wp:extent cx="5180965" cy="2895600"/>
            <wp:effectExtent l="0" t="0" r="635" b="0"/>
            <wp:wrapNone/>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10"/>
                    <a:stretch>
                      <a:fillRect/>
                    </a:stretch>
                  </pic:blipFill>
                  <pic:spPr>
                    <a:xfrm>
                      <a:off x="0" y="0"/>
                      <a:ext cx="5180965" cy="2895600"/>
                    </a:xfrm>
                    <a:prstGeom prst="rect">
                      <a:avLst/>
                    </a:prstGeom>
                    <a:noFill/>
                    <a:ln>
                      <a:noFill/>
                    </a:ln>
                  </pic:spPr>
                </pic:pic>
              </a:graphicData>
            </a:graphic>
          </wp:anchor>
        </w:drawing>
      </w:r>
    </w:p>
    <w:p>
      <w:pPr>
        <w:rPr>
          <w:rFonts w:hint="eastAsia"/>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rPr>
          <w:rFonts w:hint="eastAsia" w:ascii="Times New Roman" w:hAnsi="Times New Roman" w:eastAsia="仿宋_GB2312" w:cs="仿宋_GB2312"/>
          <w:color w:val="auto"/>
          <w:sz w:val="32"/>
          <w:szCs w:val="32"/>
          <w:highlight w:val="none"/>
          <w:lang w:eastAsia="zh-CN"/>
        </w:rPr>
      </w:pPr>
    </w:p>
    <w:p>
      <w:pPr>
        <w:ind w:firstLine="800" w:firstLineChars="250"/>
        <w:jc w:val="center"/>
        <w:rPr>
          <w:rFonts w:hint="eastAsia" w:ascii="Times New Roman" w:hAnsi="Times New Roman" w:eastAsia="仿宋_GB2312" w:cs="仿宋_GB2312"/>
          <w:color w:val="auto"/>
          <w:sz w:val="32"/>
          <w:szCs w:val="32"/>
          <w:highlight w:val="none"/>
          <w:lang w:eastAsia="zh-CN"/>
        </w:rPr>
      </w:pPr>
    </w:p>
    <w:p>
      <w:pPr>
        <w:ind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pPr>
        <w:ind w:firstLine="800" w:firstLineChars="250"/>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Style w:val="31"/>
          <w:rFonts w:ascii="Times New Roman" w:hAnsi="Times New Roman" w:eastAsia="黑体"/>
          <w:b w:val="0"/>
          <w:color w:val="auto"/>
          <w:highlight w:val="none"/>
        </w:rPr>
      </w:pPr>
      <w:bookmarkStart w:id="69" w:name="_Toc15396606"/>
      <w:bookmarkStart w:id="70" w:name="_Toc15377208"/>
      <w:bookmarkStart w:id="71" w:name="_Toc1614477815_WPSOffice_Level2"/>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69"/>
      <w:bookmarkEnd w:id="70"/>
      <w:bookmarkEnd w:id="7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72" w:name="_Toc2433"/>
      <w:bookmarkStart w:id="73" w:name="_Toc10291"/>
      <w:bookmarkStart w:id="74" w:name="_Toc27344"/>
      <w:bookmarkStart w:id="75" w:name="_Toc2034"/>
      <w:r>
        <w:rPr>
          <w:rFonts w:hint="eastAsia" w:ascii="方正仿宋_GBK" w:hAnsi="方正仿宋_GBK" w:eastAsia="方正仿宋_GBK" w:cs="方正仿宋_GBK"/>
          <w:color w:val="333333"/>
          <w:spacing w:val="0"/>
          <w:kern w:val="0"/>
          <w:sz w:val="32"/>
          <w:szCs w:val="32"/>
          <w:lang w:val="en-US" w:eastAsia="zh-CN" w:bidi="ar"/>
        </w:rPr>
        <w:t>2024年度财政拨款收入、支出总计均为4184.27万元。与2023年度相比，财政拨款收入总计、支出总计各减少221.98万元，下降5.04%。主要变动原因是市大数据中心机构划转，人员减少，经费减少。</w:t>
      </w:r>
      <w:bookmarkEnd w:id="72"/>
      <w:bookmarkEnd w:id="73"/>
      <w:bookmarkEnd w:id="74"/>
      <w:bookmarkEnd w:id="75"/>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111125</wp:posOffset>
            </wp:positionH>
            <wp:positionV relativeFrom="paragraph">
              <wp:posOffset>47625</wp:posOffset>
            </wp:positionV>
            <wp:extent cx="5125720" cy="3191510"/>
            <wp:effectExtent l="0" t="0" r="17780" b="8890"/>
            <wp:wrapNone/>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11"/>
                    <a:stretch>
                      <a:fillRect/>
                    </a:stretch>
                  </pic:blipFill>
                  <pic:spPr>
                    <a:xfrm>
                      <a:off x="0" y="0"/>
                      <a:ext cx="5125720" cy="3191510"/>
                    </a:xfrm>
                    <a:prstGeom prst="rect">
                      <a:avLst/>
                    </a:prstGeom>
                    <a:noFill/>
                    <a:ln>
                      <a:noFill/>
                    </a:ln>
                  </pic:spPr>
                </pic:pic>
              </a:graphicData>
            </a:graphic>
          </wp:anchor>
        </w:drawing>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lang w:val="en-US" w:eastAsia="zh-CN"/>
        </w:rPr>
      </w:pPr>
    </w:p>
    <w:p>
      <w:pPr>
        <w:spacing w:line="600" w:lineRule="exact"/>
        <w:ind w:firstLine="640" w:firstLineChars="20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pPr>
        <w:spacing w:line="600" w:lineRule="exact"/>
        <w:ind w:firstLine="640" w:firstLineChars="200"/>
        <w:outlineLvl w:val="1"/>
        <w:rPr>
          <w:rStyle w:val="31"/>
          <w:rFonts w:ascii="Times New Roman" w:hAnsi="Times New Roman" w:eastAsia="黑体"/>
          <w:b w:val="0"/>
          <w:color w:val="auto"/>
          <w:highlight w:val="none"/>
        </w:rPr>
      </w:pPr>
      <w:bookmarkStart w:id="76" w:name="_Toc15396607"/>
      <w:bookmarkStart w:id="77" w:name="_Toc15377209"/>
      <w:bookmarkStart w:id="78" w:name="_Toc1070458612_WPSOffice_Level2"/>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76"/>
      <w:bookmarkEnd w:id="77"/>
      <w:bookmarkEnd w:id="7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79" w:name="_Toc11308"/>
      <w:bookmarkStart w:id="8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79"/>
      <w:bookmarkEnd w:id="8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81" w:name="_Toc26736"/>
      <w:bookmarkStart w:id="82" w:name="_Toc22293"/>
      <w:bookmarkStart w:id="83" w:name="_Toc3296"/>
      <w:bookmarkStart w:id="84" w:name="_Toc25888"/>
      <w:r>
        <w:rPr>
          <w:rFonts w:hint="eastAsia" w:ascii="方正仿宋_GBK" w:hAnsi="方正仿宋_GBK" w:eastAsia="方正仿宋_GBK" w:cs="方正仿宋_GBK"/>
          <w:color w:val="333333"/>
          <w:spacing w:val="0"/>
          <w:kern w:val="0"/>
          <w:sz w:val="32"/>
          <w:szCs w:val="32"/>
          <w:lang w:val="en-US" w:eastAsia="zh-CN" w:bidi="ar"/>
        </w:rPr>
        <w:t>2024年度一般公共预算财政拨款支出4162.54万元，占本年支出合计的100%。与2023年度相比，一般公共预算财政拨款支出减少222.47万元，下降5.07%。主要变动原因是市大数据中心机构划转，人员减少，经费减少。</w:t>
      </w:r>
      <w:bookmarkEnd w:id="81"/>
      <w:bookmarkEnd w:id="82"/>
      <w:bookmarkEnd w:id="83"/>
      <w:bookmarkEnd w:id="8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60325</wp:posOffset>
            </wp:positionH>
            <wp:positionV relativeFrom="paragraph">
              <wp:posOffset>116205</wp:posOffset>
            </wp:positionV>
            <wp:extent cx="5146040" cy="2663825"/>
            <wp:effectExtent l="0" t="0" r="16510" b="3175"/>
            <wp:wrapNone/>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2"/>
                    <a:stretch>
                      <a:fillRect/>
                    </a:stretch>
                  </pic:blipFill>
                  <pic:spPr>
                    <a:xfrm>
                      <a:off x="0" y="0"/>
                      <a:ext cx="5146040" cy="2663825"/>
                    </a:xfrm>
                    <a:prstGeom prst="rect">
                      <a:avLst/>
                    </a:prstGeom>
                    <a:noFill/>
                    <a:ln>
                      <a:noFill/>
                    </a:ln>
                  </pic:spPr>
                </pic:pic>
              </a:graphicData>
            </a:graphic>
          </wp:anchor>
        </w:drawing>
      </w:r>
    </w:p>
    <w:p>
      <w:pPr>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ascii="Times New Roman" w:hAnsi="Times New Roman" w:eastAsia="仿宋_GB2312" w:cs="仿宋_GB2312"/>
          <w:color w:val="auto"/>
          <w:kern w:val="2"/>
          <w:sz w:val="32"/>
          <w:szCs w:val="32"/>
          <w:highlight w:val="none"/>
          <w:lang w:val="en-US" w:eastAsia="zh-CN" w:bidi="ar-SA"/>
        </w:rPr>
      </w:pPr>
    </w:p>
    <w:p>
      <w:pPr>
        <w:pStyle w:val="6"/>
        <w:rPr>
          <w:rFonts w:hint="eastAsia"/>
          <w:lang w:val="en-US" w:eastAsia="zh-CN"/>
        </w:rPr>
      </w:pPr>
    </w:p>
    <w:p>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5" w:name="_Toc9563"/>
      <w:bookmarkStart w:id="86"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85"/>
      <w:bookmarkEnd w:id="8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87" w:name="_Toc2011"/>
      <w:r>
        <w:rPr>
          <w:rFonts w:hint="eastAsia" w:ascii="方正仿宋_GBK" w:hAnsi="方正仿宋_GBK" w:eastAsia="方正仿宋_GBK" w:cs="方正仿宋_GBK"/>
          <w:color w:val="333333"/>
          <w:spacing w:val="0"/>
          <w:kern w:val="0"/>
          <w:sz w:val="32"/>
          <w:szCs w:val="32"/>
          <w:lang w:val="en-US" w:eastAsia="zh-CN" w:bidi="ar"/>
        </w:rPr>
        <w:t>2024年度一般公共预算财政拨款支出4162.54万元，主要用于以下方面：一般公共服务支出2918.96万元，占70.12%；社会保障和就业支出863.34万元，占20.74%；卫生健康支出167.96万元，占4.04%；住房保障支出212.28万元，占5.10%。</w:t>
      </w:r>
      <w:bookmarkEnd w:id="87"/>
    </w:p>
    <w:p>
      <w:pPr>
        <w:pStyle w:val="6"/>
        <w:rPr>
          <w:rFonts w:hint="eastAsia"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200025</wp:posOffset>
            </wp:positionH>
            <wp:positionV relativeFrom="paragraph">
              <wp:posOffset>46355</wp:posOffset>
            </wp:positionV>
            <wp:extent cx="4838700" cy="3002280"/>
            <wp:effectExtent l="0" t="0" r="0" b="7620"/>
            <wp:wrapNone/>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3"/>
                    <a:stretch>
                      <a:fillRect/>
                    </a:stretch>
                  </pic:blipFill>
                  <pic:spPr>
                    <a:xfrm>
                      <a:off x="0" y="0"/>
                      <a:ext cx="4838700" cy="3002280"/>
                    </a:xfrm>
                    <a:prstGeom prst="rect">
                      <a:avLst/>
                    </a:prstGeom>
                    <a:noFill/>
                    <a:ln>
                      <a:noFill/>
                    </a:ln>
                  </pic:spPr>
                </pic:pic>
              </a:graphicData>
            </a:graphic>
          </wp:anchor>
        </w:drawing>
      </w:r>
    </w:p>
    <w:p>
      <w:pPr>
        <w:rPr>
          <w:rFonts w:hint="eastAsia" w:eastAsia="仿宋_GB2312" w:cs="仿宋_GB2312"/>
          <w:color w:val="auto"/>
          <w:kern w:val="2"/>
          <w:sz w:val="32"/>
          <w:szCs w:val="32"/>
          <w:highlight w:val="none"/>
          <w:lang w:val="en-US" w:eastAsia="zh-CN" w:bidi="ar-SA"/>
        </w:rPr>
      </w:pPr>
    </w:p>
    <w:p>
      <w:pPr>
        <w:pStyle w:val="6"/>
        <w:rPr>
          <w:rFonts w:hint="eastAsia" w:eastAsia="仿宋_GB2312" w:cs="仿宋_GB2312"/>
          <w:color w:val="auto"/>
          <w:kern w:val="2"/>
          <w:sz w:val="32"/>
          <w:szCs w:val="32"/>
          <w:highlight w:val="none"/>
          <w:lang w:val="en-US" w:eastAsia="zh-CN" w:bidi="ar-SA"/>
        </w:rPr>
      </w:pPr>
    </w:p>
    <w:p>
      <w:pPr>
        <w:rPr>
          <w:rFonts w:hint="eastAsia" w:eastAsia="仿宋_GB2312" w:cs="仿宋_GB2312"/>
          <w:color w:val="auto"/>
          <w:kern w:val="2"/>
          <w:sz w:val="32"/>
          <w:szCs w:val="32"/>
          <w:highlight w:val="none"/>
          <w:lang w:val="en-US" w:eastAsia="zh-CN" w:bidi="ar-SA"/>
        </w:rPr>
      </w:pPr>
    </w:p>
    <w:p>
      <w:pPr>
        <w:pStyle w:val="6"/>
        <w:rPr>
          <w:rFonts w:hint="eastAsia" w:eastAsia="仿宋_GB2312" w:cs="仿宋_GB2312"/>
          <w:color w:val="auto"/>
          <w:kern w:val="2"/>
          <w:sz w:val="32"/>
          <w:szCs w:val="32"/>
          <w:highlight w:val="none"/>
          <w:lang w:val="en-US" w:eastAsia="zh-CN" w:bidi="ar-SA"/>
        </w:rPr>
      </w:pPr>
    </w:p>
    <w:p>
      <w:pPr>
        <w:rPr>
          <w:rFonts w:hint="eastAsia"/>
          <w:lang w:val="en-US" w:eastAsia="zh-CN"/>
        </w:rPr>
      </w:pPr>
    </w:p>
    <w:p>
      <w:pPr>
        <w:pStyle w:val="6"/>
        <w:rPr>
          <w:rFonts w:hint="eastAsia" w:eastAsia="仿宋_GB2312" w:cs="仿宋_GB2312"/>
          <w:color w:val="auto"/>
          <w:kern w:val="2"/>
          <w:sz w:val="32"/>
          <w:szCs w:val="32"/>
          <w:highlight w:val="none"/>
          <w:lang w:val="en-US" w:eastAsia="zh-CN" w:bidi="ar-SA"/>
        </w:rPr>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88" w:name="_Toc15377212"/>
      <w:bookmarkStart w:id="89" w:name="_Toc27045"/>
      <w:r>
        <w:rPr>
          <w:rFonts w:hint="eastAsia" w:ascii="Times New Roman" w:hAnsi="Times New Roman" w:eastAsia="楷体_GB2312" w:cs="楷体_GB2312"/>
          <w:b/>
          <w:color w:val="auto"/>
          <w:sz w:val="32"/>
          <w:szCs w:val="32"/>
          <w:highlight w:val="none"/>
        </w:rPr>
        <w:t>（三）一般公共预算财政拨款支出决算具体情况</w:t>
      </w:r>
      <w:bookmarkEnd w:id="88"/>
      <w:bookmarkEnd w:id="8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90" w:name="_Toc15377213"/>
      <w:bookmarkStart w:id="91" w:name="_Toc22208"/>
      <w:bookmarkStart w:id="92" w:name="_Toc15377444"/>
      <w:bookmarkStart w:id="93" w:name="_Toc15378460"/>
      <w:r>
        <w:rPr>
          <w:rFonts w:hint="eastAsia" w:ascii="方正仿宋_GBK" w:hAnsi="方正仿宋_GBK" w:eastAsia="方正仿宋_GBK" w:cs="方正仿宋_GBK"/>
          <w:color w:val="333333"/>
          <w:spacing w:val="0"/>
          <w:kern w:val="0"/>
          <w:sz w:val="32"/>
          <w:szCs w:val="32"/>
          <w:lang w:val="en-US" w:eastAsia="zh-CN" w:bidi="ar"/>
        </w:rPr>
        <w:t>2024年度一般公共预算财政拨款支出决算数为4162.54，完成预算99.48%。其中：</w:t>
      </w:r>
      <w:bookmarkEnd w:id="90"/>
      <w:bookmarkEnd w:id="91"/>
      <w:bookmarkEnd w:id="92"/>
      <w:bookmarkEnd w:id="9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4" w:name="_Toc10687"/>
      <w:r>
        <w:rPr>
          <w:rFonts w:hint="default" w:ascii="方正仿宋_GBK" w:hAnsi="方正仿宋_GBK" w:eastAsia="方正仿宋_GBK" w:cs="方正仿宋_GBK"/>
          <w:color w:val="333333"/>
          <w:spacing w:val="0"/>
          <w:kern w:val="0"/>
          <w:sz w:val="32"/>
          <w:szCs w:val="32"/>
          <w:lang w:val="en-US" w:eastAsia="zh-CN" w:bidi="ar"/>
        </w:rPr>
        <w:t>1.一般公共服务支出（类）政府办公厅（室）及相关机构事务（款）行政运行（项）: 支出决算为</w:t>
      </w:r>
      <w:r>
        <w:rPr>
          <w:rFonts w:hint="eastAsia" w:ascii="方正仿宋_GBK" w:hAnsi="方正仿宋_GBK" w:eastAsia="方正仿宋_GBK" w:cs="方正仿宋_GBK"/>
          <w:color w:val="333333"/>
          <w:spacing w:val="0"/>
          <w:kern w:val="0"/>
          <w:sz w:val="32"/>
          <w:szCs w:val="32"/>
          <w:lang w:val="en-US" w:eastAsia="zh-CN" w:bidi="ar"/>
        </w:rPr>
        <w:t>1977.77</w:t>
      </w:r>
      <w:r>
        <w:rPr>
          <w:rFonts w:hint="default" w:ascii="方正仿宋_GBK" w:hAnsi="方正仿宋_GBK" w:eastAsia="方正仿宋_GBK" w:cs="方正仿宋_GBK"/>
          <w:color w:val="333333"/>
          <w:spacing w:val="0"/>
          <w:kern w:val="0"/>
          <w:sz w:val="32"/>
          <w:szCs w:val="32"/>
          <w:lang w:val="en-US" w:eastAsia="zh-CN" w:bidi="ar"/>
        </w:rPr>
        <w:t>万元，完成预算99.</w:t>
      </w:r>
      <w:r>
        <w:rPr>
          <w:rFonts w:hint="eastAsia" w:ascii="方正仿宋_GBK" w:hAnsi="方正仿宋_GBK" w:eastAsia="方正仿宋_GBK" w:cs="方正仿宋_GBK"/>
          <w:color w:val="333333"/>
          <w:spacing w:val="0"/>
          <w:kern w:val="0"/>
          <w:sz w:val="32"/>
          <w:szCs w:val="32"/>
          <w:lang w:val="en-US" w:eastAsia="zh-CN" w:bidi="ar"/>
        </w:rPr>
        <w:t>11</w:t>
      </w:r>
      <w:r>
        <w:rPr>
          <w:rFonts w:hint="default" w:ascii="方正仿宋_GBK" w:hAnsi="方正仿宋_GBK" w:eastAsia="方正仿宋_GBK" w:cs="方正仿宋_GBK"/>
          <w:color w:val="333333"/>
          <w:spacing w:val="0"/>
          <w:kern w:val="0"/>
          <w:sz w:val="32"/>
          <w:szCs w:val="32"/>
          <w:lang w:val="en-US" w:eastAsia="zh-CN" w:bidi="ar"/>
        </w:rPr>
        <w:t>%，决算数小于预算数的主要原因是结转结余形成。</w:t>
      </w:r>
      <w:bookmarkEnd w:id="9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5" w:name="_Toc13353"/>
      <w:r>
        <w:rPr>
          <w:rFonts w:hint="default" w:ascii="方正仿宋_GBK" w:hAnsi="方正仿宋_GBK" w:eastAsia="方正仿宋_GBK" w:cs="方正仿宋_GBK"/>
          <w:color w:val="333333"/>
          <w:spacing w:val="0"/>
          <w:kern w:val="0"/>
          <w:sz w:val="32"/>
          <w:szCs w:val="32"/>
          <w:lang w:val="en-US" w:eastAsia="zh-CN" w:bidi="ar"/>
        </w:rPr>
        <w:t>2.一般公共服务支出（类）政府办公厅（室）及相关机构事务（款）一般行政管理事务（项）: 支出决算为720.91万元，完成预算</w:t>
      </w:r>
      <w:r>
        <w:rPr>
          <w:rFonts w:hint="eastAsia" w:ascii="方正仿宋_GBK" w:hAnsi="方正仿宋_GBK" w:eastAsia="方正仿宋_GBK" w:cs="方正仿宋_GBK"/>
          <w:color w:val="333333"/>
          <w:spacing w:val="0"/>
          <w:kern w:val="0"/>
          <w:sz w:val="32"/>
          <w:szCs w:val="32"/>
          <w:lang w:val="en-US" w:eastAsia="zh-CN" w:bidi="ar"/>
        </w:rPr>
        <w:t>99.44</w:t>
      </w:r>
      <w:r>
        <w:rPr>
          <w:rFonts w:hint="default" w:ascii="方正仿宋_GBK" w:hAnsi="方正仿宋_GBK" w:eastAsia="方正仿宋_GBK" w:cs="方正仿宋_GBK"/>
          <w:color w:val="333333"/>
          <w:spacing w:val="0"/>
          <w:kern w:val="0"/>
          <w:sz w:val="32"/>
          <w:szCs w:val="32"/>
          <w:lang w:val="en-US" w:eastAsia="zh-CN" w:bidi="ar"/>
        </w:rPr>
        <w:t>%</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决算数小于预算数的主要原因是结转结余形成。</w:t>
      </w:r>
      <w:bookmarkEnd w:id="9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6" w:name="_Toc873"/>
      <w:r>
        <w:rPr>
          <w:rFonts w:hint="default" w:ascii="方正仿宋_GBK" w:hAnsi="方正仿宋_GBK" w:eastAsia="方正仿宋_GBK" w:cs="方正仿宋_GBK"/>
          <w:color w:val="333333"/>
          <w:spacing w:val="0"/>
          <w:kern w:val="0"/>
          <w:sz w:val="32"/>
          <w:szCs w:val="32"/>
          <w:lang w:val="en-US" w:eastAsia="zh-CN" w:bidi="ar"/>
        </w:rPr>
        <w:t>3.一般公共服务支出（类）政府办公厅（室）及相关机构事务（款）事业运行（项）: 支出决算为212.92万元，完成预算100%。</w:t>
      </w:r>
      <w:bookmarkEnd w:id="9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7" w:name="_Toc8227"/>
      <w:r>
        <w:rPr>
          <w:rFonts w:hint="default" w:ascii="方正仿宋_GBK" w:hAnsi="方正仿宋_GBK" w:eastAsia="方正仿宋_GBK" w:cs="方正仿宋_GBK"/>
          <w:color w:val="333333"/>
          <w:spacing w:val="0"/>
          <w:kern w:val="0"/>
          <w:sz w:val="32"/>
          <w:szCs w:val="32"/>
          <w:lang w:val="en-US" w:eastAsia="zh-CN" w:bidi="ar"/>
        </w:rPr>
        <w:t>4.一般公共服务支出（类）组织事务（款）其他组织事务支出（项）: 支出决算为</w:t>
      </w:r>
      <w:r>
        <w:rPr>
          <w:rFonts w:hint="eastAsia" w:ascii="方正仿宋_GBK" w:hAnsi="方正仿宋_GBK" w:eastAsia="方正仿宋_GBK" w:cs="方正仿宋_GBK"/>
          <w:color w:val="333333"/>
          <w:spacing w:val="0"/>
          <w:kern w:val="0"/>
          <w:sz w:val="32"/>
          <w:szCs w:val="32"/>
          <w:lang w:val="en-US" w:eastAsia="zh-CN" w:bidi="ar"/>
        </w:rPr>
        <w:t>7.36</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8" w:name="_Toc26807"/>
      <w:r>
        <w:rPr>
          <w:rFonts w:hint="default" w:ascii="方正仿宋_GBK" w:hAnsi="方正仿宋_GBK" w:eastAsia="方正仿宋_GBK" w:cs="方正仿宋_GBK"/>
          <w:color w:val="333333"/>
          <w:spacing w:val="0"/>
          <w:kern w:val="0"/>
          <w:sz w:val="32"/>
          <w:szCs w:val="32"/>
          <w:lang w:val="en-US" w:eastAsia="zh-CN" w:bidi="ar"/>
        </w:rPr>
        <w:t>5.社会保障和就业支出（类）人力资源和社会保障管理事务（款）其他人力资源和社会保障管理事务支出（项）: 支出决算为</w:t>
      </w:r>
      <w:r>
        <w:rPr>
          <w:rFonts w:hint="eastAsia" w:ascii="方正仿宋_GBK" w:hAnsi="方正仿宋_GBK" w:eastAsia="方正仿宋_GBK" w:cs="方正仿宋_GBK"/>
          <w:color w:val="333333"/>
          <w:spacing w:val="0"/>
          <w:kern w:val="0"/>
          <w:sz w:val="32"/>
          <w:szCs w:val="32"/>
          <w:lang w:val="en-US" w:eastAsia="zh-CN" w:bidi="ar"/>
        </w:rPr>
        <w:t>4</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8"/>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99" w:name="_Toc14371"/>
      <w:r>
        <w:rPr>
          <w:rFonts w:hint="default" w:ascii="方正仿宋_GBK" w:hAnsi="方正仿宋_GBK" w:eastAsia="方正仿宋_GBK" w:cs="方正仿宋_GBK"/>
          <w:color w:val="333333"/>
          <w:spacing w:val="0"/>
          <w:kern w:val="0"/>
          <w:sz w:val="32"/>
          <w:szCs w:val="32"/>
          <w:lang w:val="en-US" w:eastAsia="zh-CN" w:bidi="ar"/>
        </w:rPr>
        <w:t>6．社会保障和就业支出（类）行政事业单位养老支出（款）行政单位离退休（项）: 支出决算为</w:t>
      </w:r>
      <w:r>
        <w:rPr>
          <w:rFonts w:hint="eastAsia" w:ascii="方正仿宋_GBK" w:hAnsi="方正仿宋_GBK" w:eastAsia="方正仿宋_GBK" w:cs="方正仿宋_GBK"/>
          <w:color w:val="333333"/>
          <w:spacing w:val="0"/>
          <w:kern w:val="0"/>
          <w:sz w:val="32"/>
          <w:szCs w:val="32"/>
          <w:lang w:val="en-US" w:eastAsia="zh-CN" w:bidi="ar"/>
        </w:rPr>
        <w:t>452.09</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9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0" w:name="_Toc32278"/>
      <w:r>
        <w:rPr>
          <w:rFonts w:hint="default" w:ascii="方正仿宋_GBK" w:hAnsi="方正仿宋_GBK" w:eastAsia="方正仿宋_GBK" w:cs="方正仿宋_GBK"/>
          <w:color w:val="333333"/>
          <w:spacing w:val="0"/>
          <w:kern w:val="0"/>
          <w:sz w:val="32"/>
          <w:szCs w:val="32"/>
          <w:lang w:val="en-US" w:eastAsia="zh-CN" w:bidi="ar"/>
        </w:rPr>
        <w:t>7．社会保障和就业支出（类）行政事业单位养老支出（款）事业单位离退休（项）: 支出决算为2.</w:t>
      </w:r>
      <w:r>
        <w:rPr>
          <w:rFonts w:hint="eastAsia" w:ascii="方正仿宋_GBK" w:hAnsi="方正仿宋_GBK" w:eastAsia="方正仿宋_GBK" w:cs="方正仿宋_GBK"/>
          <w:color w:val="333333"/>
          <w:spacing w:val="0"/>
          <w:kern w:val="0"/>
          <w:sz w:val="32"/>
          <w:szCs w:val="32"/>
          <w:lang w:val="en-US" w:eastAsia="zh-CN" w:bidi="ar"/>
        </w:rPr>
        <w:t>4</w:t>
      </w:r>
      <w:r>
        <w:rPr>
          <w:rFonts w:hint="default" w:ascii="方正仿宋_GBK" w:hAnsi="方正仿宋_GBK" w:eastAsia="方正仿宋_GBK" w:cs="方正仿宋_GBK"/>
          <w:color w:val="333333"/>
          <w:spacing w:val="0"/>
          <w:kern w:val="0"/>
          <w:sz w:val="32"/>
          <w:szCs w:val="32"/>
          <w:lang w:val="en-US" w:eastAsia="zh-CN" w:bidi="ar"/>
        </w:rPr>
        <w:t>4万元，完成预算100%。</w:t>
      </w:r>
      <w:bookmarkEnd w:id="10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1" w:name="_Toc16520"/>
      <w:r>
        <w:rPr>
          <w:rFonts w:hint="default" w:ascii="方正仿宋_GBK" w:hAnsi="方正仿宋_GBK" w:eastAsia="方正仿宋_GBK" w:cs="方正仿宋_GBK"/>
          <w:color w:val="333333"/>
          <w:spacing w:val="0"/>
          <w:kern w:val="0"/>
          <w:sz w:val="32"/>
          <w:szCs w:val="32"/>
          <w:lang w:val="en-US" w:eastAsia="zh-CN" w:bidi="ar"/>
        </w:rPr>
        <w:t>8．社会保障和就业支出（类）行政事业单位养老支出（款）机关事业单位基本养老保险缴费支出（项）: 支出决算为</w:t>
      </w:r>
      <w:r>
        <w:rPr>
          <w:rFonts w:hint="eastAsia" w:ascii="方正仿宋_GBK" w:hAnsi="方正仿宋_GBK" w:eastAsia="方正仿宋_GBK" w:cs="方正仿宋_GBK"/>
          <w:color w:val="333333"/>
          <w:spacing w:val="0"/>
          <w:kern w:val="0"/>
          <w:sz w:val="32"/>
          <w:szCs w:val="32"/>
          <w:lang w:val="en-US" w:eastAsia="zh-CN" w:bidi="ar"/>
        </w:rPr>
        <w:t>258.14</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2" w:name="_Toc27013"/>
      <w:r>
        <w:rPr>
          <w:rFonts w:hint="default" w:ascii="方正仿宋_GBK" w:hAnsi="方正仿宋_GBK" w:eastAsia="方正仿宋_GBK" w:cs="方正仿宋_GBK"/>
          <w:color w:val="333333"/>
          <w:spacing w:val="0"/>
          <w:kern w:val="0"/>
          <w:sz w:val="32"/>
          <w:szCs w:val="32"/>
          <w:lang w:val="en-US" w:eastAsia="zh-CN" w:bidi="ar"/>
        </w:rPr>
        <w:t>9．社会保障和就业支出（类）行政事业单位养老支出（款）机关事业单位职业年金缴费支出（项）: 支出决算为</w:t>
      </w:r>
      <w:bookmarkEnd w:id="102"/>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left"/>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3" w:name="_Toc22018"/>
      <w:r>
        <w:rPr>
          <w:rFonts w:hint="eastAsia" w:ascii="方正仿宋_GBK" w:hAnsi="方正仿宋_GBK" w:eastAsia="方正仿宋_GBK" w:cs="方正仿宋_GBK"/>
          <w:color w:val="333333"/>
          <w:spacing w:val="0"/>
          <w:kern w:val="0"/>
          <w:sz w:val="32"/>
          <w:szCs w:val="32"/>
          <w:lang w:val="en-US" w:eastAsia="zh-CN" w:bidi="ar"/>
        </w:rPr>
        <w:t>17.61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3"/>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4" w:name="_Toc28890"/>
      <w:r>
        <w:rPr>
          <w:rFonts w:hint="default" w:ascii="方正仿宋_GBK" w:hAnsi="方正仿宋_GBK" w:eastAsia="方正仿宋_GBK" w:cs="方正仿宋_GBK"/>
          <w:color w:val="333333"/>
          <w:spacing w:val="0"/>
          <w:kern w:val="0"/>
          <w:sz w:val="32"/>
          <w:szCs w:val="32"/>
          <w:lang w:val="en-US" w:eastAsia="zh-CN" w:bidi="ar"/>
        </w:rPr>
        <w:t>10．社会保障和就业支出（类）抚恤（款）死亡抚恤（项）: 支出决算为</w:t>
      </w:r>
      <w:r>
        <w:rPr>
          <w:rFonts w:hint="eastAsia" w:ascii="方正仿宋_GBK" w:hAnsi="方正仿宋_GBK" w:eastAsia="方正仿宋_GBK" w:cs="方正仿宋_GBK"/>
          <w:color w:val="333333"/>
          <w:spacing w:val="0"/>
          <w:kern w:val="0"/>
          <w:sz w:val="32"/>
          <w:szCs w:val="32"/>
          <w:lang w:val="en-US" w:eastAsia="zh-CN" w:bidi="ar"/>
        </w:rPr>
        <w:t>128.43</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5" w:name="_Toc31576"/>
      <w:r>
        <w:rPr>
          <w:rFonts w:hint="default" w:ascii="方正仿宋_GBK" w:hAnsi="方正仿宋_GBK" w:eastAsia="方正仿宋_GBK" w:cs="方正仿宋_GBK"/>
          <w:color w:val="333333"/>
          <w:spacing w:val="0"/>
          <w:kern w:val="0"/>
          <w:sz w:val="32"/>
          <w:szCs w:val="32"/>
          <w:lang w:val="en-US" w:eastAsia="zh-CN" w:bidi="ar"/>
        </w:rPr>
        <w:t>11．社会保障和就业支出（类）社会福利（款）儿童福利（项）: 支出决算为0.6</w:t>
      </w:r>
      <w:r>
        <w:rPr>
          <w:rFonts w:hint="eastAsia" w:ascii="方正仿宋_GBK" w:hAnsi="方正仿宋_GBK" w:eastAsia="方正仿宋_GBK" w:cs="方正仿宋_GBK"/>
          <w:color w:val="333333"/>
          <w:spacing w:val="0"/>
          <w:kern w:val="0"/>
          <w:sz w:val="32"/>
          <w:szCs w:val="32"/>
          <w:lang w:val="en-US" w:eastAsia="zh-CN" w:bidi="ar"/>
        </w:rPr>
        <w:t>3</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6" w:name="_Toc5884"/>
      <w:r>
        <w:rPr>
          <w:rFonts w:hint="default" w:ascii="方正仿宋_GBK" w:hAnsi="方正仿宋_GBK" w:eastAsia="方正仿宋_GBK" w:cs="方正仿宋_GBK"/>
          <w:color w:val="333333"/>
          <w:spacing w:val="0"/>
          <w:kern w:val="0"/>
          <w:sz w:val="32"/>
          <w:szCs w:val="32"/>
          <w:lang w:val="en-US" w:eastAsia="zh-CN" w:bidi="ar"/>
        </w:rPr>
        <w:t>12.卫生健康（类）行政事业单位医疗（款）行政单位医疗（项）:支出决算为12</w:t>
      </w:r>
      <w:r>
        <w:rPr>
          <w:rFonts w:hint="eastAsia" w:ascii="方正仿宋_GBK" w:hAnsi="方正仿宋_GBK" w:eastAsia="方正仿宋_GBK" w:cs="方正仿宋_GBK"/>
          <w:color w:val="333333"/>
          <w:spacing w:val="0"/>
          <w:kern w:val="0"/>
          <w:sz w:val="32"/>
          <w:szCs w:val="32"/>
          <w:lang w:val="en-US" w:eastAsia="zh-CN" w:bidi="ar"/>
        </w:rPr>
        <w:t>3</w:t>
      </w:r>
      <w:r>
        <w:rPr>
          <w:rFonts w:hint="default" w:ascii="方正仿宋_GBK" w:hAnsi="方正仿宋_GBK" w:eastAsia="方正仿宋_GBK" w:cs="方正仿宋_GBK"/>
          <w:color w:val="333333"/>
          <w:spacing w:val="0"/>
          <w:kern w:val="0"/>
          <w:sz w:val="32"/>
          <w:szCs w:val="32"/>
          <w:lang w:val="en-US" w:eastAsia="zh-CN" w:bidi="ar"/>
        </w:rPr>
        <w:t>.</w:t>
      </w:r>
      <w:r>
        <w:rPr>
          <w:rFonts w:hint="eastAsia" w:ascii="方正仿宋_GBK" w:hAnsi="方正仿宋_GBK" w:eastAsia="方正仿宋_GBK" w:cs="方正仿宋_GBK"/>
          <w:color w:val="333333"/>
          <w:spacing w:val="0"/>
          <w:kern w:val="0"/>
          <w:sz w:val="32"/>
          <w:szCs w:val="32"/>
          <w:lang w:val="en-US" w:eastAsia="zh-CN" w:bidi="ar"/>
        </w:rPr>
        <w:t>22</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7" w:name="_Toc28192"/>
      <w:r>
        <w:rPr>
          <w:rFonts w:hint="default" w:ascii="方正仿宋_GBK" w:hAnsi="方正仿宋_GBK" w:eastAsia="方正仿宋_GBK" w:cs="方正仿宋_GBK"/>
          <w:color w:val="333333"/>
          <w:spacing w:val="0"/>
          <w:kern w:val="0"/>
          <w:sz w:val="32"/>
          <w:szCs w:val="32"/>
          <w:lang w:val="en-US" w:eastAsia="zh-CN" w:bidi="ar"/>
        </w:rPr>
        <w:t>13.卫生健康（类）行政事业单位医疗（款）事业单位医疗（项）:支出决算为</w:t>
      </w:r>
      <w:r>
        <w:rPr>
          <w:rFonts w:hint="eastAsia" w:ascii="方正仿宋_GBK" w:hAnsi="方正仿宋_GBK" w:eastAsia="方正仿宋_GBK" w:cs="方正仿宋_GBK"/>
          <w:color w:val="333333"/>
          <w:spacing w:val="0"/>
          <w:kern w:val="0"/>
          <w:sz w:val="32"/>
          <w:szCs w:val="32"/>
          <w:lang w:val="en-US" w:eastAsia="zh-CN" w:bidi="ar"/>
        </w:rPr>
        <w:t>13.71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7"/>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8" w:name="_Toc6198"/>
      <w:r>
        <w:rPr>
          <w:rFonts w:hint="default" w:ascii="方正仿宋_GBK" w:hAnsi="方正仿宋_GBK" w:eastAsia="方正仿宋_GBK" w:cs="方正仿宋_GBK"/>
          <w:color w:val="333333"/>
          <w:spacing w:val="0"/>
          <w:kern w:val="0"/>
          <w:sz w:val="32"/>
          <w:szCs w:val="32"/>
          <w:lang w:val="en-US" w:eastAsia="zh-CN" w:bidi="ar"/>
        </w:rPr>
        <w:t>14.卫生健康（类）行政事业单位医疗（款）公务员医疗补助（项）:支出决算为</w:t>
      </w:r>
      <w:r>
        <w:rPr>
          <w:rFonts w:hint="eastAsia" w:ascii="方正仿宋_GBK" w:hAnsi="方正仿宋_GBK" w:eastAsia="方正仿宋_GBK" w:cs="方正仿宋_GBK"/>
          <w:color w:val="333333"/>
          <w:spacing w:val="0"/>
          <w:kern w:val="0"/>
          <w:sz w:val="32"/>
          <w:szCs w:val="32"/>
          <w:lang w:val="en-US" w:eastAsia="zh-CN" w:bidi="ar"/>
        </w:rPr>
        <w:t>12.47</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8"/>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09" w:name="_Toc16993"/>
      <w:r>
        <w:rPr>
          <w:rFonts w:hint="default" w:ascii="方正仿宋_GBK" w:hAnsi="方正仿宋_GBK" w:eastAsia="方正仿宋_GBK" w:cs="方正仿宋_GBK"/>
          <w:color w:val="333333"/>
          <w:spacing w:val="0"/>
          <w:kern w:val="0"/>
          <w:sz w:val="32"/>
          <w:szCs w:val="32"/>
          <w:lang w:val="en-US" w:eastAsia="zh-CN" w:bidi="ar"/>
        </w:rPr>
        <w:t>15.卫生健康（类）行政事业单位医疗（款）其他行政事业单位医疗支出（项）:支出决算为</w:t>
      </w:r>
      <w:r>
        <w:rPr>
          <w:rFonts w:hint="eastAsia" w:ascii="方正仿宋_GBK" w:hAnsi="方正仿宋_GBK" w:eastAsia="方正仿宋_GBK" w:cs="方正仿宋_GBK"/>
          <w:color w:val="333333"/>
          <w:spacing w:val="0"/>
          <w:kern w:val="0"/>
          <w:sz w:val="32"/>
          <w:szCs w:val="32"/>
          <w:lang w:val="en-US" w:eastAsia="zh-CN" w:bidi="ar"/>
        </w:rPr>
        <w:t>17.85</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09"/>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10" w:name="_Toc26059"/>
      <w:r>
        <w:rPr>
          <w:rFonts w:hint="default" w:ascii="方正仿宋_GBK" w:hAnsi="方正仿宋_GBK" w:eastAsia="方正仿宋_GBK" w:cs="方正仿宋_GBK"/>
          <w:color w:val="333333"/>
          <w:spacing w:val="0"/>
          <w:kern w:val="0"/>
          <w:sz w:val="32"/>
          <w:szCs w:val="32"/>
          <w:lang w:val="en-US" w:eastAsia="zh-CN" w:bidi="ar"/>
        </w:rPr>
        <w:t>16.卫生健康（类）其他卫生健康支出（款）其他卫生健康支出（项）:支出决算为</w:t>
      </w:r>
      <w:r>
        <w:rPr>
          <w:rFonts w:hint="eastAsia" w:ascii="方正仿宋_GBK" w:hAnsi="方正仿宋_GBK" w:eastAsia="方正仿宋_GBK" w:cs="方正仿宋_GBK"/>
          <w:color w:val="333333"/>
          <w:spacing w:val="0"/>
          <w:kern w:val="0"/>
          <w:sz w:val="32"/>
          <w:szCs w:val="32"/>
          <w:lang w:val="en-US" w:eastAsia="zh-CN" w:bidi="ar"/>
        </w:rPr>
        <w:t>0.71</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10"/>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111" w:name="_Toc1090"/>
      <w:r>
        <w:rPr>
          <w:rFonts w:hint="default" w:ascii="方正仿宋_GBK" w:hAnsi="方正仿宋_GBK" w:eastAsia="方正仿宋_GBK" w:cs="方正仿宋_GBK"/>
          <w:color w:val="333333"/>
          <w:spacing w:val="0"/>
          <w:kern w:val="0"/>
          <w:sz w:val="32"/>
          <w:szCs w:val="32"/>
          <w:lang w:val="en-US" w:eastAsia="zh-CN" w:bidi="ar"/>
        </w:rPr>
        <w:t>1</w:t>
      </w:r>
      <w:r>
        <w:rPr>
          <w:rFonts w:hint="eastAsia" w:ascii="方正仿宋_GBK" w:hAnsi="方正仿宋_GBK" w:eastAsia="方正仿宋_GBK" w:cs="方正仿宋_GBK"/>
          <w:color w:val="333333"/>
          <w:spacing w:val="0"/>
          <w:kern w:val="0"/>
          <w:sz w:val="32"/>
          <w:szCs w:val="32"/>
          <w:lang w:val="en-US" w:eastAsia="zh-CN" w:bidi="ar"/>
        </w:rPr>
        <w:t>7</w:t>
      </w:r>
      <w:r>
        <w:rPr>
          <w:rFonts w:hint="default" w:ascii="方正仿宋_GBK" w:hAnsi="方正仿宋_GBK" w:eastAsia="方正仿宋_GBK" w:cs="方正仿宋_GBK"/>
          <w:color w:val="333333"/>
          <w:spacing w:val="0"/>
          <w:kern w:val="0"/>
          <w:sz w:val="32"/>
          <w:szCs w:val="32"/>
          <w:lang w:val="en-US" w:eastAsia="zh-CN" w:bidi="ar"/>
        </w:rPr>
        <w:t>．住房保障支出（类）住房改革支出（款）住房公积金（项）:支出决算为</w:t>
      </w:r>
      <w:r>
        <w:rPr>
          <w:rFonts w:hint="eastAsia" w:ascii="方正仿宋_GBK" w:hAnsi="方正仿宋_GBK" w:eastAsia="方正仿宋_GBK" w:cs="方正仿宋_GBK"/>
          <w:color w:val="333333"/>
          <w:spacing w:val="0"/>
          <w:kern w:val="0"/>
          <w:sz w:val="32"/>
          <w:szCs w:val="32"/>
          <w:lang w:val="en-US" w:eastAsia="zh-CN" w:bidi="ar"/>
        </w:rPr>
        <w:t>212.28</w:t>
      </w:r>
      <w:r>
        <w:rPr>
          <w:rFonts w:hint="default" w:ascii="方正仿宋_GBK" w:hAnsi="方正仿宋_GBK" w:eastAsia="方正仿宋_GBK" w:cs="方正仿宋_GBK"/>
          <w:color w:val="333333"/>
          <w:spacing w:val="0"/>
          <w:kern w:val="0"/>
          <w:sz w:val="32"/>
          <w:szCs w:val="32"/>
          <w:lang w:val="en-US" w:eastAsia="zh-CN" w:bidi="ar"/>
        </w:rPr>
        <w:t>万元，完成预算100%。</w:t>
      </w:r>
      <w:bookmarkEnd w:id="111"/>
    </w:p>
    <w:p>
      <w:pPr>
        <w:tabs>
          <w:tab w:val="right" w:pos="8306"/>
        </w:tabs>
        <w:spacing w:line="600" w:lineRule="exact"/>
        <w:ind w:firstLine="640"/>
        <w:outlineLvl w:val="1"/>
        <w:rPr>
          <w:rStyle w:val="31"/>
          <w:rFonts w:ascii="Times New Roman" w:hAnsi="Times New Roman"/>
          <w:color w:val="auto"/>
          <w:highlight w:val="none"/>
        </w:rPr>
      </w:pPr>
      <w:bookmarkStart w:id="112" w:name="_Toc15377214"/>
      <w:bookmarkStart w:id="113" w:name="_Toc15396608"/>
      <w:bookmarkStart w:id="114" w:name="_Toc1689448444_WPSOffice_Level2"/>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112"/>
      <w:bookmarkEnd w:id="113"/>
      <w:bookmarkEnd w:id="114"/>
      <w:r>
        <w:rPr>
          <w:rStyle w:val="31"/>
          <w:rFonts w:ascii="Times New Roman" w:hAnsi="Times New Roman" w:eastAsia="黑体"/>
          <w:b w:val="0"/>
          <w:color w:val="auto"/>
          <w:highlight w:val="none"/>
        </w:rPr>
        <w:tab/>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color w:val="333333"/>
          <w:spacing w:val="0"/>
          <w:kern w:val="0"/>
          <w:sz w:val="32"/>
          <w:szCs w:val="32"/>
          <w:lang w:val="en-US" w:eastAsia="zh-CN" w:bidi="ar"/>
        </w:rPr>
      </w:pPr>
      <w:bookmarkStart w:id="115" w:name="_Toc22577"/>
      <w:r>
        <w:rPr>
          <w:rFonts w:hint="eastAsia" w:ascii="方正仿宋_GBK" w:hAnsi="方正仿宋_GBK" w:eastAsia="方正仿宋_GBK" w:cs="方正仿宋_GBK"/>
          <w:color w:val="333333"/>
          <w:spacing w:val="0"/>
          <w:kern w:val="0"/>
          <w:sz w:val="32"/>
          <w:szCs w:val="32"/>
          <w:lang w:val="en-US" w:eastAsia="zh-CN" w:bidi="ar"/>
        </w:rPr>
        <w:t>2024年度一般公共预算财政拨款基本支出3432.94万元，其中：</w:t>
      </w:r>
      <w:bookmarkEnd w:id="11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方正仿宋_GBK" w:hAnsi="方正仿宋_GBK" w:eastAsia="方正仿宋_GBK" w:cs="方正仿宋_GBK"/>
          <w:color w:val="333333"/>
          <w:spacing w:val="0"/>
          <w:kern w:val="0"/>
          <w:sz w:val="32"/>
          <w:szCs w:val="32"/>
          <w:lang w:val="en-US" w:eastAsia="zh-CN" w:bidi="ar"/>
        </w:rPr>
      </w:pPr>
      <w:bookmarkStart w:id="116" w:name="_Toc32078"/>
      <w:r>
        <w:rPr>
          <w:rFonts w:hint="eastAsia" w:ascii="方正仿宋_GBK" w:hAnsi="方正仿宋_GBK" w:eastAsia="方正仿宋_GBK" w:cs="方正仿宋_GBK"/>
          <w:color w:val="333333"/>
          <w:spacing w:val="0"/>
          <w:kern w:val="0"/>
          <w:sz w:val="32"/>
          <w:szCs w:val="32"/>
          <w:lang w:val="en-US" w:eastAsia="zh-CN" w:bidi="ar"/>
        </w:rPr>
        <w:t>人员经费3026.81万元，主要包括：</w:t>
      </w:r>
      <w:r>
        <w:rPr>
          <w:rFonts w:hint="default" w:ascii="方正仿宋_GBK" w:hAnsi="方正仿宋_GBK" w:eastAsia="方正仿宋_GBK" w:cs="方正仿宋_GBK"/>
          <w:color w:val="333333"/>
          <w:spacing w:val="0"/>
          <w:kern w:val="0"/>
          <w:sz w:val="32"/>
          <w:szCs w:val="32"/>
          <w:lang w:val="en-US" w:eastAsia="zh-CN" w:bidi="ar"/>
        </w:rPr>
        <w:t>基本工资、津贴补贴、奖金、绩效工资、机关事业单位基本养老保险缴费、职业年金缴费、其他社会保障缴费、其他工资福利支出、 奖励金</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其他对个人和家庭的补助</w:t>
      </w:r>
      <w:r>
        <w:rPr>
          <w:rFonts w:hint="eastAsia" w:ascii="方正仿宋_GBK" w:hAnsi="方正仿宋_GBK" w:eastAsia="方正仿宋_GBK" w:cs="方正仿宋_GBK"/>
          <w:color w:val="333333"/>
          <w:spacing w:val="0"/>
          <w:kern w:val="0"/>
          <w:sz w:val="32"/>
          <w:szCs w:val="32"/>
          <w:lang w:val="en-US" w:eastAsia="zh-CN" w:bidi="ar"/>
        </w:rPr>
        <w:t>、</w:t>
      </w:r>
      <w:r>
        <w:rPr>
          <w:rFonts w:hint="default" w:ascii="方正仿宋_GBK" w:hAnsi="方正仿宋_GBK" w:eastAsia="方正仿宋_GBK" w:cs="方正仿宋_GBK"/>
          <w:color w:val="333333"/>
          <w:spacing w:val="0"/>
          <w:kern w:val="0"/>
          <w:sz w:val="32"/>
          <w:szCs w:val="32"/>
          <w:lang w:val="en-US" w:eastAsia="zh-CN" w:bidi="ar"/>
        </w:rPr>
        <w:t>抚恤金、生活补助、医疗费补助、住房公积金等。</w:t>
      </w:r>
      <w:bookmarkEnd w:id="116"/>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117" w:name="_Toc5405"/>
      <w:r>
        <w:rPr>
          <w:rFonts w:hint="eastAsia" w:ascii="方正仿宋_GBK" w:hAnsi="方正仿宋_GBK" w:eastAsia="方正仿宋_GBK" w:cs="方正仿宋_GBK"/>
          <w:color w:val="333333"/>
          <w:spacing w:val="0"/>
          <w:kern w:val="0"/>
          <w:sz w:val="32"/>
          <w:szCs w:val="32"/>
          <w:lang w:val="en-US" w:eastAsia="zh-CN" w:bidi="ar"/>
        </w:rPr>
        <w:t>公用经费406.13万元，主要包括：</w:t>
      </w:r>
      <w:r>
        <w:rPr>
          <w:rFonts w:hint="default" w:ascii="方正仿宋_GBK" w:hAnsi="方正仿宋_GBK" w:eastAsia="方正仿宋_GBK" w:cs="方正仿宋_GBK"/>
          <w:color w:val="333333"/>
          <w:spacing w:val="0"/>
          <w:kern w:val="0"/>
          <w:sz w:val="32"/>
          <w:szCs w:val="32"/>
          <w:lang w:val="en-US" w:eastAsia="zh-CN" w:bidi="ar"/>
        </w:rPr>
        <w:t>办公费、印刷费、水费、电费、邮电费、差旅费、维修（护）费、会议费、培训费、公务接待费、委托业务费、工会经费、福利费、公务用车运行维护费、其他交通费、其他商品和服务支出</w:t>
      </w:r>
      <w:r>
        <w:rPr>
          <w:rFonts w:hint="eastAsia" w:ascii="方正仿宋_GBK" w:hAnsi="方正仿宋_GBK" w:eastAsia="方正仿宋_GBK" w:cs="方正仿宋_GBK"/>
          <w:color w:val="333333"/>
          <w:spacing w:val="0"/>
          <w:kern w:val="0"/>
          <w:sz w:val="32"/>
          <w:szCs w:val="32"/>
          <w:lang w:val="en-US" w:eastAsia="zh-CN" w:bidi="ar"/>
        </w:rPr>
        <w:t>等</w:t>
      </w:r>
      <w:r>
        <w:rPr>
          <w:rFonts w:hint="default" w:ascii="Times New Roman" w:hAnsi="Times New Roman" w:eastAsia="仿宋_GB2312" w:cs="Times New Roman"/>
          <w:snapToGrid w:val="0"/>
          <w:sz w:val="32"/>
          <w:szCs w:val="32"/>
          <w:highlight w:val="none"/>
        </w:rPr>
        <w:t>。</w:t>
      </w:r>
      <w:bookmarkEnd w:id="117"/>
    </w:p>
    <w:p>
      <w:pPr>
        <w:spacing w:line="600" w:lineRule="exact"/>
        <w:ind w:firstLine="640"/>
        <w:outlineLvl w:val="1"/>
        <w:rPr>
          <w:rStyle w:val="31"/>
          <w:rFonts w:ascii="Times New Roman" w:hAnsi="Times New Roman" w:eastAsia="黑体"/>
          <w:b w:val="0"/>
          <w:color w:val="auto"/>
          <w:highlight w:val="none"/>
        </w:rPr>
      </w:pPr>
      <w:bookmarkStart w:id="118" w:name="_Toc15396609"/>
      <w:bookmarkStart w:id="119" w:name="_Toc15377215"/>
      <w:bookmarkStart w:id="120" w:name="_Toc1773026843_WPSOffice_Level2"/>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118"/>
      <w:bookmarkEnd w:id="119"/>
      <w:bookmarkEnd w:id="120"/>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21" w:name="_Toc15377216"/>
      <w:bookmarkStart w:id="122" w:name="_Toc7255"/>
      <w:r>
        <w:rPr>
          <w:rFonts w:hint="eastAsia" w:ascii="Times New Roman" w:hAnsi="Times New Roman" w:eastAsia="楷体_GB2312" w:cs="楷体_GB2312"/>
          <w:b/>
          <w:color w:val="auto"/>
          <w:sz w:val="32"/>
          <w:szCs w:val="32"/>
          <w:highlight w:val="none"/>
        </w:rPr>
        <w:t>（一）“三公”经费财政拨款支出决算总体情况说明</w:t>
      </w:r>
      <w:bookmarkEnd w:id="121"/>
      <w:bookmarkEnd w:id="122"/>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kern w:val="2"/>
          <w:sz w:val="32"/>
          <w:szCs w:val="32"/>
          <w:highlight w:val="none"/>
          <w:lang w:val="en-US" w:eastAsia="zh-CN" w:bidi="ar-SA"/>
        </w:rPr>
      </w:pPr>
      <w:bookmarkStart w:id="123" w:name="_Toc29122"/>
      <w:r>
        <w:rPr>
          <w:rFonts w:hint="eastAsia" w:ascii="方正仿宋_GBK" w:hAnsi="方正仿宋_GBK" w:eastAsia="方正仿宋_GBK" w:cs="方正仿宋_GBK"/>
          <w:color w:val="333333"/>
          <w:spacing w:val="0"/>
          <w:kern w:val="0"/>
          <w:sz w:val="32"/>
          <w:szCs w:val="32"/>
          <w:lang w:val="en-US" w:eastAsia="zh-CN" w:bidi="ar"/>
        </w:rPr>
        <w:t>2024年度“三公”经费财政拨款支出决算为52.80万元，完成预算100%，较上年度增加6.79万元，增长14.76%。决算数与预算数持平。</w:t>
      </w:r>
      <w:bookmarkEnd w:id="12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24" w:name="_Toc11301"/>
      <w:bookmarkStart w:id="12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124"/>
      <w:bookmarkEnd w:id="125"/>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126" w:name="_Toc25258"/>
      <w:r>
        <w:rPr>
          <w:rFonts w:hint="eastAsia" w:ascii="方正仿宋_GBK" w:hAnsi="方正仿宋_GBK" w:eastAsia="方正仿宋_GBK" w:cs="方正仿宋_GBK"/>
          <w:color w:val="333333"/>
          <w:spacing w:val="0"/>
          <w:kern w:val="0"/>
          <w:sz w:val="32"/>
          <w:szCs w:val="32"/>
          <w:lang w:val="en-US" w:eastAsia="zh-CN" w:bidi="ar"/>
        </w:rPr>
        <w:t>2024年度“三公”经费财政拨款支出决算中，因公出国（境）费支出决算11.60万元，占21.97%；公务用车购置及运行维护费支出决算39.66万元，占75.11%；公务接待费支出决算1.54万元，占2.92%。具体情况如下：</w:t>
      </w:r>
      <w:bookmarkEnd w:id="126"/>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5408" behindDoc="0" locked="0" layoutInCell="1" allowOverlap="1">
            <wp:simplePos x="0" y="0"/>
            <wp:positionH relativeFrom="column">
              <wp:posOffset>170180</wp:posOffset>
            </wp:positionH>
            <wp:positionV relativeFrom="paragraph">
              <wp:posOffset>36195</wp:posOffset>
            </wp:positionV>
            <wp:extent cx="4898390" cy="2788285"/>
            <wp:effectExtent l="6350" t="6350" r="17780" b="9525"/>
            <wp:wrapNone/>
            <wp:docPr id="3" name="图表 2" descr="7b0a202020202263686172745265734964223a202232303437363934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pPr>
        <w:spacing w:line="600" w:lineRule="exact"/>
        <w:ind w:firstLine="640"/>
        <w:rPr>
          <w:rFonts w:hint="default" w:ascii="Times New Roman" w:hAnsi="Times New Roman" w:eastAsia="仿宋_GB2312" w:cs="仿宋_GB2312"/>
          <w:color w:val="auto"/>
          <w:kern w:val="2"/>
          <w:sz w:val="32"/>
          <w:szCs w:val="32"/>
          <w:highlight w:val="none"/>
          <w:lang w:val="en"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default" w:eastAsia="仿宋_GB2312" w:cs="仿宋_GB2312"/>
          <w:b/>
          <w:bCs/>
          <w:color w:val="auto"/>
          <w:kern w:val="2"/>
          <w:sz w:val="32"/>
          <w:szCs w:val="32"/>
          <w:highlight w:val="none"/>
          <w:lang w:val="en" w:eastAsia="zh-CN" w:bidi="ar-SA"/>
        </w:rPr>
        <w:t>11.</w:t>
      </w:r>
      <w:r>
        <w:rPr>
          <w:rFonts w:hint="eastAsia" w:eastAsia="仿宋_GB2312" w:cs="仿宋_GB2312"/>
          <w:b/>
          <w:bCs/>
          <w:color w:val="auto"/>
          <w:kern w:val="2"/>
          <w:sz w:val="32"/>
          <w:szCs w:val="32"/>
          <w:highlight w:val="none"/>
          <w:lang w:val="en-US" w:eastAsia="zh-CN" w:bidi="ar-SA"/>
        </w:rPr>
        <w:t>60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default" w:eastAsia="仿宋_GB2312" w:cs="仿宋_GB2312"/>
          <w:b/>
          <w:bCs/>
          <w:color w:val="auto"/>
          <w:kern w:val="2"/>
          <w:sz w:val="32"/>
          <w:szCs w:val="32"/>
          <w:highlight w:val="none"/>
          <w:lang w:val="en"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全年安排因公出国（境）团组2次，出国（境）3人。因公出国（境）支出决算比2023年增加</w:t>
      </w:r>
      <w:r>
        <w:rPr>
          <w:rFonts w:hint="default" w:ascii="方正仿宋_GBK" w:hAnsi="方正仿宋_GBK" w:eastAsia="方正仿宋_GBK" w:cs="方正仿宋_GBK"/>
          <w:color w:val="333333"/>
          <w:spacing w:val="0"/>
          <w:kern w:val="0"/>
          <w:sz w:val="32"/>
          <w:szCs w:val="32"/>
          <w:lang w:val="en" w:eastAsia="zh-CN" w:bidi="ar"/>
        </w:rPr>
        <w:t>11.</w:t>
      </w:r>
      <w:r>
        <w:rPr>
          <w:rFonts w:hint="eastAsia" w:ascii="方正仿宋_GBK" w:hAnsi="方正仿宋_GBK" w:eastAsia="方正仿宋_GBK" w:cs="方正仿宋_GBK"/>
          <w:color w:val="333333"/>
          <w:spacing w:val="0"/>
          <w:kern w:val="0"/>
          <w:sz w:val="32"/>
          <w:szCs w:val="32"/>
          <w:lang w:val="en-US" w:eastAsia="zh-CN" w:bidi="ar"/>
        </w:rPr>
        <w:t>60万元。主要原因是</w:t>
      </w:r>
      <w:r>
        <w:rPr>
          <w:rFonts w:hint="default" w:ascii="方正仿宋_GBK" w:hAnsi="方正仿宋_GBK" w:eastAsia="方正仿宋_GBK" w:cs="方正仿宋_GBK"/>
          <w:color w:val="333333"/>
          <w:spacing w:val="0"/>
          <w:kern w:val="0"/>
          <w:sz w:val="32"/>
          <w:szCs w:val="32"/>
          <w:lang w:val="en" w:eastAsia="zh-CN" w:bidi="ar"/>
        </w:rPr>
        <w:t>2023</w:t>
      </w:r>
      <w:r>
        <w:rPr>
          <w:rFonts w:hint="eastAsia" w:ascii="方正仿宋_GBK" w:hAnsi="方正仿宋_GBK" w:eastAsia="方正仿宋_GBK" w:cs="方正仿宋_GBK"/>
          <w:color w:val="333333"/>
          <w:spacing w:val="0"/>
          <w:kern w:val="0"/>
          <w:sz w:val="32"/>
          <w:szCs w:val="32"/>
          <w:lang w:val="en" w:eastAsia="zh-CN" w:bidi="ar"/>
        </w:rPr>
        <w:t>年未安排</w:t>
      </w:r>
      <w:r>
        <w:rPr>
          <w:rFonts w:hint="eastAsia" w:ascii="方正仿宋_GBK" w:hAnsi="方正仿宋_GBK" w:eastAsia="方正仿宋_GBK" w:cs="方正仿宋_GBK"/>
          <w:color w:val="333333"/>
          <w:spacing w:val="0"/>
          <w:kern w:val="0"/>
          <w:sz w:val="32"/>
          <w:szCs w:val="32"/>
          <w:lang w:val="en-US" w:eastAsia="zh-CN" w:bidi="ar"/>
        </w:rPr>
        <w:t>因公出国（境）。</w:t>
      </w:r>
    </w:p>
    <w:p>
      <w:pPr>
        <w:spacing w:line="600" w:lineRule="exact"/>
        <w:ind w:firstLine="640"/>
        <w:rPr>
          <w:rFonts w:hint="default"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开支内容包括：因公临时出国2批次3人，分别赴日本、老挝、柬埔寨等国家和地区，就钒液流储能、氢能、能源化工、中老班列（攀枝花）铁路物流运输合作进行重点推介及合作洽谈，与外方企业签订意向协议3个。</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39.66万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公务用车购置及运行维护费支出决算比2023年度持平。</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其中：公务用车购置支出0万元。全年按规定更新购置公务用车0辆，其中：轿车0辆、金额0万元，越野车0辆、金额0万元，载客汽车0辆、金额0万元。截至2024年12月31日，单位共有公务用车15辆，其中：轿车4辆、越野车11辆、载客汽车0辆。</w:t>
      </w:r>
    </w:p>
    <w:p>
      <w:pPr>
        <w:spacing w:line="600" w:lineRule="exact"/>
        <w:ind w:firstLine="640"/>
        <w:rPr>
          <w:rFonts w:hint="default"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公务用车运行维护费支出39.66万元。主要用于</w:t>
      </w:r>
      <w:r>
        <w:rPr>
          <w:rFonts w:hint="default" w:ascii="方正仿宋_GBK" w:hAnsi="方正仿宋_GBK" w:eastAsia="方正仿宋_GBK" w:cs="方正仿宋_GBK"/>
          <w:color w:val="333333"/>
          <w:spacing w:val="0"/>
          <w:kern w:val="0"/>
          <w:sz w:val="32"/>
          <w:szCs w:val="32"/>
          <w:lang w:val="en-US" w:eastAsia="zh-CN" w:bidi="ar"/>
        </w:rPr>
        <w:t>保障机关日常工作运转和专项业务工作等所需的公务用车燃料费、维修费、过路过桥费、保险费等支出。</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1.54万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方正仿宋_GBK" w:hAnsi="方正仿宋_GBK" w:eastAsia="方正仿宋_GBK" w:cs="方正仿宋_GBK"/>
          <w:color w:val="333333"/>
          <w:spacing w:val="0"/>
          <w:kern w:val="0"/>
          <w:sz w:val="32"/>
          <w:szCs w:val="32"/>
          <w:lang w:val="en-US" w:eastAsia="zh-CN" w:bidi="ar"/>
        </w:rPr>
        <w:t>公务接待费支出决算比2023年度减少4.81万元，下降75.75%。主要原因是厉行节约，公务接待减少。其中：</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国内公务接待支出1.54万元，主要用于执行公务、开展业务活动开支的交通费、住宿费、用餐费等。国内公务接待6批次，87人次，共计支出1.54万元，具体内容包括：</w:t>
      </w:r>
      <w:r>
        <w:rPr>
          <w:rFonts w:hint="default" w:ascii="方正仿宋_GBK" w:hAnsi="方正仿宋_GBK" w:eastAsia="方正仿宋_GBK" w:cs="方正仿宋_GBK"/>
          <w:color w:val="333333"/>
          <w:spacing w:val="0"/>
          <w:kern w:val="0"/>
          <w:sz w:val="32"/>
          <w:szCs w:val="32"/>
          <w:lang w:val="en-US" w:eastAsia="zh-CN" w:bidi="ar"/>
        </w:rPr>
        <w:t>市政府办公室、市决策咨询服务中心接待省、其他市州来攀考察、学习、调研、督查等。</w:t>
      </w:r>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外事接待支出0万元。外事接待0批次，0人次（不包括陪同人员），共计支出0万元。</w:t>
      </w:r>
      <w:bookmarkStart w:id="127" w:name="_Toc15377218"/>
      <w:bookmarkStart w:id="128" w:name="_Toc15396610"/>
    </w:p>
    <w:p>
      <w:pPr>
        <w:spacing w:line="600" w:lineRule="exact"/>
        <w:ind w:firstLine="640"/>
        <w:outlineLvl w:val="1"/>
        <w:rPr>
          <w:rStyle w:val="31"/>
          <w:rFonts w:ascii="Times New Roman" w:hAnsi="Times New Roman" w:eastAsia="黑体"/>
          <w:color w:val="auto"/>
          <w:highlight w:val="none"/>
        </w:rPr>
      </w:pPr>
      <w:bookmarkStart w:id="129" w:name="_Toc150656862_WPSOffice_Level2"/>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127"/>
      <w:bookmarkEnd w:id="128"/>
      <w:bookmarkEnd w:id="129"/>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bookmarkStart w:id="130" w:name="_Toc16223"/>
      <w:bookmarkStart w:id="131" w:name="_Toc2544"/>
      <w:bookmarkStart w:id="132" w:name="_Toc7530"/>
      <w:r>
        <w:rPr>
          <w:rFonts w:hint="eastAsia" w:ascii="方正仿宋_GBK" w:hAnsi="方正仿宋_GBK" w:eastAsia="方正仿宋_GBK" w:cs="方正仿宋_GBK"/>
          <w:color w:val="333333"/>
          <w:spacing w:val="0"/>
          <w:kern w:val="0"/>
          <w:sz w:val="32"/>
          <w:szCs w:val="32"/>
          <w:lang w:val="en-US" w:eastAsia="zh-CN" w:bidi="ar"/>
        </w:rPr>
        <w:t>2024年度政府性基金预算财政拨款支出0万元。</w:t>
      </w:r>
      <w:bookmarkEnd w:id="130"/>
      <w:bookmarkEnd w:id="131"/>
      <w:bookmarkEnd w:id="132"/>
      <w:bookmarkStart w:id="133" w:name="_Toc15377219"/>
      <w:bookmarkStart w:id="134" w:name="_Toc15396611"/>
    </w:p>
    <w:p>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135" w:name="_Toc620822329_WPSOffice_Level2"/>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133"/>
      <w:bookmarkEnd w:id="134"/>
      <w:bookmarkEnd w:id="135"/>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bookmarkStart w:id="136" w:name="_Toc11675"/>
      <w:bookmarkStart w:id="137" w:name="_Toc15374"/>
      <w:bookmarkStart w:id="138" w:name="_Toc18972"/>
      <w:r>
        <w:rPr>
          <w:rFonts w:hint="eastAsia" w:ascii="方正仿宋_GBK" w:hAnsi="方正仿宋_GBK" w:eastAsia="方正仿宋_GBK" w:cs="方正仿宋_GBK"/>
          <w:color w:val="333333"/>
          <w:spacing w:val="0"/>
          <w:kern w:val="0"/>
          <w:sz w:val="32"/>
          <w:szCs w:val="32"/>
          <w:lang w:val="en-US" w:eastAsia="zh-CN" w:bidi="ar"/>
        </w:rPr>
        <w:t>2024年度国有资本经营预算财政拨款支出0万元。</w:t>
      </w:r>
      <w:bookmarkEnd w:id="136"/>
      <w:bookmarkEnd w:id="137"/>
      <w:bookmarkEnd w:id="138"/>
      <w:bookmarkStart w:id="139" w:name="_Toc15377221"/>
      <w:bookmarkStart w:id="140" w:name="_Toc15396612"/>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141" w:name="_Toc320557116_WPSOffice_Level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139"/>
      <w:bookmarkEnd w:id="140"/>
      <w:bookmarkEnd w:id="14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42" w:name="_Toc26972"/>
      <w:bookmarkStart w:id="143" w:name="_Toc15377222"/>
      <w:r>
        <w:rPr>
          <w:rFonts w:hint="eastAsia" w:ascii="Times New Roman" w:hAnsi="Times New Roman" w:eastAsia="楷体_GB2312" w:cs="楷体_GB2312"/>
          <w:b/>
          <w:color w:val="auto"/>
          <w:sz w:val="32"/>
          <w:szCs w:val="32"/>
          <w:highlight w:val="none"/>
        </w:rPr>
        <w:t>（一）机关运行经费支出情况</w:t>
      </w:r>
      <w:bookmarkEnd w:id="142"/>
      <w:bookmarkEnd w:id="143"/>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2024年度，攀枝花市人民政府办公室机关运行经费支出406.13万元，比2023年度减少2.42万元，下降0.59%。主要原因是市大数据中心机构划转，人员减少。</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44" w:name="_Toc24294"/>
      <w:bookmarkStart w:id="145" w:name="_Toc15377223"/>
      <w:r>
        <w:rPr>
          <w:rFonts w:hint="eastAsia" w:ascii="Times New Roman" w:hAnsi="Times New Roman" w:eastAsia="楷体_GB2312" w:cs="楷体_GB2312"/>
          <w:b/>
          <w:color w:val="auto"/>
          <w:sz w:val="32"/>
          <w:szCs w:val="32"/>
          <w:highlight w:val="none"/>
        </w:rPr>
        <w:t>（二）政府采购支出情况</w:t>
      </w:r>
      <w:bookmarkEnd w:id="144"/>
      <w:bookmarkEnd w:id="145"/>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2024年度，攀枝花市人民政府办公室政府采购支出总额60万元，其中：政府采购货物支出0万元、政府采购工程支出0万元、政府采购服务支出60万元。主要用于</w:t>
      </w:r>
      <w:r>
        <w:rPr>
          <w:rFonts w:hint="default" w:ascii="方正仿宋_GBK" w:hAnsi="方正仿宋_GBK" w:eastAsia="方正仿宋_GBK" w:cs="方正仿宋_GBK"/>
          <w:color w:val="333333"/>
          <w:spacing w:val="0"/>
          <w:kern w:val="0"/>
          <w:sz w:val="32"/>
          <w:szCs w:val="32"/>
          <w:lang w:val="en-US" w:eastAsia="zh-CN" w:bidi="ar"/>
        </w:rPr>
        <w:t>全市网站集约化平台运维和安全防护、政府网站和政务新媒体绩效督查评估、政务云平台运维、信息系统安全等级保护测评服务、物业、安保等工作。</w:t>
      </w:r>
      <w:r>
        <w:rPr>
          <w:rFonts w:hint="eastAsia" w:ascii="方正仿宋_GBK" w:hAnsi="方正仿宋_GBK" w:eastAsia="方正仿宋_GBK" w:cs="方正仿宋_GBK"/>
          <w:color w:val="333333"/>
          <w:spacing w:val="0"/>
          <w:kern w:val="0"/>
          <w:sz w:val="32"/>
          <w:szCs w:val="32"/>
          <w:lang w:val="en-US" w:eastAsia="zh-CN" w:bidi="ar"/>
        </w:rPr>
        <w:t>授予中小企业合同金额60万元，占政府采购支出总额的100%，其中：授予小微企业合同金额0万元，占政府采购支出总额的0%。</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46" w:name="_Toc15377224"/>
      <w:bookmarkStart w:id="147" w:name="_Toc13779"/>
      <w:r>
        <w:rPr>
          <w:rFonts w:hint="eastAsia" w:ascii="Times New Roman" w:hAnsi="Times New Roman" w:eastAsia="楷体_GB2312" w:cs="楷体_GB2312"/>
          <w:b/>
          <w:color w:val="auto"/>
          <w:sz w:val="32"/>
          <w:szCs w:val="32"/>
          <w:highlight w:val="none"/>
        </w:rPr>
        <w:t>（三）国有资产占有使用情况</w:t>
      </w:r>
      <w:bookmarkEnd w:id="146"/>
      <w:bookmarkEnd w:id="147"/>
    </w:p>
    <w:p>
      <w:pPr>
        <w:spacing w:line="600" w:lineRule="exact"/>
        <w:ind w:firstLine="640"/>
        <w:rPr>
          <w:rFonts w:hint="eastAsia" w:ascii="方正仿宋_GBK" w:hAnsi="方正仿宋_GBK" w:eastAsia="方正仿宋_GBK" w:cs="方正仿宋_GBK"/>
          <w:color w:val="333333"/>
          <w:spacing w:val="0"/>
          <w:kern w:val="0"/>
          <w:sz w:val="32"/>
          <w:szCs w:val="32"/>
          <w:lang w:val="en-US" w:eastAsia="zh-CN" w:bidi="ar"/>
        </w:rPr>
      </w:pPr>
      <w:r>
        <w:rPr>
          <w:rFonts w:hint="eastAsia" w:ascii="方正仿宋_GBK" w:hAnsi="方正仿宋_GBK" w:eastAsia="方正仿宋_GBK" w:cs="方正仿宋_GBK"/>
          <w:color w:val="333333"/>
          <w:spacing w:val="0"/>
          <w:kern w:val="0"/>
          <w:sz w:val="32"/>
          <w:szCs w:val="32"/>
          <w:lang w:val="en-US" w:eastAsia="zh-CN" w:bidi="ar"/>
        </w:rPr>
        <w:t>截至2024年12月31日，攀枝花市人民政府办公室共有车辆15辆，其中：主要负责人用车1辆、机要通信用车0辆、应急保障用车11辆、其他用车3辆，其他用车主要是用于</w:t>
      </w:r>
      <w:r>
        <w:rPr>
          <w:rFonts w:hint="default" w:ascii="方正仿宋_GBK" w:hAnsi="方正仿宋_GBK" w:eastAsia="方正仿宋_GBK" w:cs="方正仿宋_GBK"/>
          <w:color w:val="333333"/>
          <w:spacing w:val="0"/>
          <w:kern w:val="0"/>
          <w:sz w:val="32"/>
          <w:szCs w:val="32"/>
          <w:lang w:val="en-US" w:eastAsia="zh-CN" w:bidi="ar"/>
        </w:rPr>
        <w:t>下乡调研、督查督办等业务工作</w:t>
      </w:r>
      <w:r>
        <w:rPr>
          <w:rFonts w:hint="eastAsia" w:ascii="方正仿宋_GBK" w:hAnsi="方正仿宋_GBK" w:eastAsia="方正仿宋_GBK" w:cs="方正仿宋_GBK"/>
          <w:color w:val="333333"/>
          <w:spacing w:val="0"/>
          <w:kern w:val="0"/>
          <w:sz w:val="32"/>
          <w:szCs w:val="32"/>
          <w:lang w:val="en-US" w:eastAsia="zh-CN" w:bidi="ar"/>
        </w:rPr>
        <w:t>。单价100万元（含）以上设备（不含车辆）0台（套）。</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148" w:name="_Toc8924"/>
      <w:r>
        <w:rPr>
          <w:rFonts w:hint="eastAsia" w:ascii="Times New Roman" w:hAnsi="Times New Roman" w:eastAsia="楷体_GB2312" w:cs="楷体_GB2312"/>
          <w:b/>
          <w:color w:val="auto"/>
          <w:sz w:val="32"/>
          <w:szCs w:val="32"/>
          <w:highlight w:val="none"/>
        </w:rPr>
        <w:t>（四）预算绩效管理情况</w:t>
      </w:r>
      <w:bookmarkEnd w:id="148"/>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方正仿宋_GBK" w:hAnsi="方正仿宋_GBK" w:eastAsia="方正仿宋_GBK" w:cs="方正仿宋_GBK"/>
          <w:color w:val="333333"/>
          <w:spacing w:val="0"/>
          <w:kern w:val="0"/>
          <w:sz w:val="32"/>
          <w:szCs w:val="32"/>
          <w:lang w:val="en-US" w:eastAsia="zh-CN" w:bidi="ar"/>
        </w:rPr>
        <w:t>根据预算绩效管理要求，攀枝花市人民政府办公室在2024年度预算编制阶段，组织对</w:t>
      </w:r>
      <w:r>
        <w:rPr>
          <w:rFonts w:hint="default" w:ascii="方正仿宋_GBK" w:hAnsi="方正仿宋_GBK" w:eastAsia="方正仿宋_GBK" w:cs="方正仿宋_GBK"/>
          <w:color w:val="333333"/>
          <w:spacing w:val="0"/>
          <w:kern w:val="0"/>
          <w:sz w:val="32"/>
          <w:szCs w:val="32"/>
          <w:lang w:val="en-US" w:eastAsia="zh-CN" w:bidi="ar"/>
        </w:rPr>
        <w:t>全市政府网站集约化平台运维和安全防护项目、信息系统安全等级保护测评服务、综合业务等</w:t>
      </w:r>
      <w:r>
        <w:rPr>
          <w:rFonts w:hint="eastAsia" w:ascii="方正仿宋_GBK" w:hAnsi="方正仿宋_GBK" w:eastAsia="方正仿宋_GBK" w:cs="方正仿宋_GBK"/>
          <w:color w:val="333333"/>
          <w:spacing w:val="0"/>
          <w:kern w:val="0"/>
          <w:sz w:val="32"/>
          <w:szCs w:val="32"/>
          <w:lang w:val="en-US" w:eastAsia="zh-CN" w:bidi="ar"/>
        </w:rPr>
        <w:t>11</w:t>
      </w:r>
      <w:r>
        <w:rPr>
          <w:rFonts w:hint="default" w:ascii="方正仿宋_GBK" w:hAnsi="方正仿宋_GBK" w:eastAsia="方正仿宋_GBK" w:cs="方正仿宋_GBK"/>
          <w:color w:val="333333"/>
          <w:spacing w:val="0"/>
          <w:kern w:val="0"/>
          <w:sz w:val="32"/>
          <w:szCs w:val="32"/>
          <w:lang w:val="en-US" w:eastAsia="zh-CN" w:bidi="ar"/>
        </w:rPr>
        <w:t>个</w:t>
      </w:r>
      <w:r>
        <w:rPr>
          <w:rFonts w:hint="eastAsia" w:ascii="方正仿宋_GBK" w:hAnsi="方正仿宋_GBK" w:eastAsia="方正仿宋_GBK" w:cs="方正仿宋_GBK"/>
          <w:color w:val="333333"/>
          <w:spacing w:val="0"/>
          <w:kern w:val="0"/>
          <w:sz w:val="32"/>
          <w:szCs w:val="32"/>
          <w:lang w:val="en-US" w:eastAsia="zh-CN" w:bidi="ar"/>
        </w:rPr>
        <w:t>项目开展了预算事前绩效评估，对11个项目编制了绩效目标，预算执行过程中，选取11个项目开展绩效监控。</w:t>
      </w:r>
      <w:r>
        <w:rPr>
          <w:rFonts w:hint="default" w:ascii="方正仿宋_GBK" w:hAnsi="方正仿宋_GBK" w:eastAsia="方正仿宋_GBK" w:cs="方正仿宋_GBK"/>
          <w:color w:val="333333"/>
          <w:spacing w:val="0"/>
          <w:kern w:val="0"/>
          <w:sz w:val="32"/>
          <w:szCs w:val="32"/>
          <w:lang w:val="en-US" w:eastAsia="zh-CN" w:bidi="ar"/>
        </w:rPr>
        <w:t>绩效自评表详见第四部分附件</w:t>
      </w:r>
      <w:r>
        <w:rPr>
          <w:rFonts w:hint="eastAsia" w:ascii="方正仿宋_GBK" w:hAnsi="方正仿宋_GBK" w:eastAsia="方正仿宋_GBK" w:cs="方正仿宋_GBK"/>
          <w:color w:val="333333"/>
          <w:spacing w:val="0"/>
          <w:kern w:val="0"/>
          <w:sz w:val="32"/>
          <w:szCs w:val="32"/>
          <w:lang w:val="en-US" w:eastAsia="zh-CN" w:bidi="ar"/>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49" w:name="_Toc15377225"/>
      <w:bookmarkStart w:id="150" w:name="_Toc15396613"/>
      <w:bookmarkStart w:id="151" w:name="_Toc2005162551_WPSOffice_Level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149"/>
      <w:bookmarkEnd w:id="150"/>
      <w:bookmarkEnd w:id="151"/>
    </w:p>
    <w:p>
      <w:pPr>
        <w:spacing w:line="600" w:lineRule="exact"/>
        <w:jc w:val="left"/>
        <w:rPr>
          <w:rFonts w:ascii="Times New Roman" w:hAnsi="Times New Roman"/>
          <w:b/>
          <w:color w:val="auto"/>
          <w:sz w:val="44"/>
          <w:szCs w:val="44"/>
          <w:highlight w:val="none"/>
        </w:rPr>
      </w:pP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default" w:ascii="Times New Roman" w:hAnsi="Times New Roman" w:eastAsia="仿宋_GB2312" w:cs="Times New Roman"/>
          <w:color w:val="auto"/>
          <w:sz w:val="32"/>
          <w:szCs w:val="32"/>
        </w:rPr>
      </w:pPr>
      <w:bookmarkStart w:id="152" w:name="_Toc26273"/>
      <w:bookmarkStart w:id="153" w:name="_Toc29240"/>
      <w:bookmarkStart w:id="154" w:name="_Toc11348"/>
      <w:bookmarkStart w:id="155" w:name="_Toc21893"/>
      <w:bookmarkStart w:id="156" w:name="_Toc22864"/>
      <w:bookmarkStart w:id="157" w:name="_Toc24344"/>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财政拨款收入：指单位从同级财政部门取得的财政预算资金。</w:t>
      </w:r>
      <w:bookmarkEnd w:id="152"/>
      <w:bookmarkEnd w:id="153"/>
      <w:bookmarkEnd w:id="154"/>
      <w:bookmarkEnd w:id="155"/>
      <w:bookmarkEnd w:id="156"/>
      <w:bookmarkEnd w:id="157"/>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2．事业收入：指事业单位开展专业业务活动及辅助活动取得的收入。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default" w:ascii="Times New Roman" w:hAnsi="Times New Roman" w:eastAsia="仿宋_GB2312" w:cs="Times New Roman"/>
          <w:color w:val="auto"/>
          <w:sz w:val="32"/>
          <w:szCs w:val="32"/>
        </w:rPr>
      </w:pPr>
      <w:bookmarkStart w:id="158" w:name="_Toc15928"/>
      <w:bookmarkStart w:id="159" w:name="_Toc1682"/>
      <w:bookmarkStart w:id="160" w:name="_Toc8778"/>
      <w:bookmarkStart w:id="161" w:name="_Toc28077"/>
      <w:bookmarkStart w:id="162" w:name="_Toc5947"/>
      <w:bookmarkStart w:id="163" w:name="_Toc29700"/>
      <w:r>
        <w:rPr>
          <w:rFonts w:hint="default" w:ascii="Times New Roman" w:hAnsi="Times New Roman" w:eastAsia="仿宋_GB2312" w:cs="Times New Roman"/>
          <w:color w:val="auto"/>
          <w:sz w:val="32"/>
          <w:szCs w:val="32"/>
        </w:rPr>
        <w:t>4．其他收入：指单位取得的除上述收入以外的各项收入。</w:t>
      </w:r>
      <w:bookmarkEnd w:id="158"/>
      <w:bookmarkEnd w:id="159"/>
      <w:bookmarkEnd w:id="160"/>
      <w:bookmarkEnd w:id="161"/>
      <w:bookmarkEnd w:id="162"/>
      <w:bookmarkEnd w:id="163"/>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．年初结转和结余：指以前年度尚未完成、结转到本年按有关规定继续使用的资金。</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．年末结转和结余：指单位按有关规定结转到下年或以后年度继续使用的资金。</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．一般公共服务支出（类）政府办公厅（室）及相关机构事务（款）行政运行（项）：反映行政单位（包括实行公务员管理的事业单位）的基本支出。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．一般公共服务支出（类）政府办公厅（室）及相关机构事务（款）一般行政管理事务（项）：反映行政单位（包括实行公务员管理的事业单位）未单独设置项级科目的其他项目支出。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．一般公共服务支出（类）政府办公厅（室）及相关机构事务（款）事业运行（项）：</w:t>
      </w:r>
      <w:r>
        <w:rPr>
          <w:rFonts w:hint="default" w:ascii="Times New Roman" w:hAnsi="Times New Roman" w:eastAsia="仿宋_GB2312" w:cs="Times New Roman"/>
          <w:color w:val="auto"/>
          <w:sz w:val="32"/>
          <w:szCs w:val="32"/>
          <w:lang w:val="en-US" w:eastAsia="zh-CN"/>
        </w:rPr>
        <w:t>反映事业单位的基本支出，不包括行政单位（包括实行公务员管理的事业单位）后勤服务中心、医务室等附属事业单位。</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一般公共服务支出</w:t>
      </w:r>
      <w:r>
        <w:rPr>
          <w:rFonts w:hint="default" w:ascii="Times New Roman" w:hAnsi="Times New Roman" w:eastAsia="仿宋_GB2312" w:cs="Times New Roman"/>
          <w:color w:val="auto"/>
          <w:sz w:val="32"/>
          <w:szCs w:val="32"/>
          <w:lang w:val="en-US" w:eastAsia="zh-CN"/>
        </w:rPr>
        <w:t>（类）组织事务（款）其他组织事务支出（项）：反映其他用于</w:t>
      </w:r>
      <w:r>
        <w:rPr>
          <w:rFonts w:hint="eastAsia" w:ascii="Times New Roman" w:hAnsi="Times New Roman" w:eastAsia="仿宋_GB2312" w:cs="Times New Roman"/>
          <w:color w:val="auto"/>
          <w:sz w:val="32"/>
          <w:szCs w:val="32"/>
          <w:lang w:val="en-US" w:eastAsia="zh-CN"/>
        </w:rPr>
        <w:t>中国共产党组织部门的事务</w:t>
      </w:r>
      <w:r>
        <w:rPr>
          <w:rFonts w:hint="default" w:ascii="Times New Roman" w:hAnsi="Times New Roman" w:eastAsia="仿宋_GB2312" w:cs="Times New Roman"/>
          <w:color w:val="auto"/>
          <w:sz w:val="32"/>
          <w:szCs w:val="32"/>
          <w:lang w:val="en-US" w:eastAsia="zh-CN"/>
        </w:rPr>
        <w:t>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（类）人力资源和社会保障管理事务（款）其他人力资源和社会保障管理事务支出（项）</w:t>
      </w:r>
      <w:r>
        <w:rPr>
          <w:rFonts w:hint="default" w:ascii="Times New Roman" w:hAnsi="Times New Roman" w:eastAsia="仿宋_GB2312" w:cs="Times New Roman"/>
          <w:color w:val="auto"/>
          <w:sz w:val="32"/>
          <w:szCs w:val="32"/>
          <w:lang w:eastAsia="zh-CN"/>
        </w:rPr>
        <w:t>：反映其他用于人力资源和社会保障管理事务方面的支出。。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（类）行政事业单位养老支出（款）行政单位离退休（项）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反映行政单位（包括实行公务员管理的事业单位）开支的离退休经费。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13．社会保障和就业支出（类）行政事业单位养老支出（款）事业单位离退休（项）：反应事业单位开支的离退休经费。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（类）行政事业单位养老支出（款）机关事业单位基本养老保险缴费支出（项）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反映机关事业单位实施养老保险制度由单位缴纳的基本养老保险费支出。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社会保障和就业支出</w:t>
      </w:r>
      <w:r>
        <w:rPr>
          <w:rFonts w:hint="default" w:ascii="Times New Roman" w:hAnsi="Times New Roman" w:eastAsia="仿宋_GB2312" w:cs="Times New Roman"/>
          <w:color w:val="auto"/>
          <w:sz w:val="32"/>
          <w:szCs w:val="32"/>
        </w:rPr>
        <w:t>（类）行政事业单位养老支出（款）机关事业单位</w:t>
      </w:r>
      <w:r>
        <w:rPr>
          <w:rFonts w:hint="default" w:ascii="Times New Roman" w:hAnsi="Times New Roman" w:eastAsia="仿宋_GB2312" w:cs="Times New Roman"/>
          <w:color w:val="auto"/>
          <w:sz w:val="32"/>
          <w:szCs w:val="32"/>
          <w:lang w:val="en-US" w:eastAsia="zh-CN"/>
        </w:rPr>
        <w:t>职业年金缴费</w:t>
      </w:r>
      <w:r>
        <w:rPr>
          <w:rFonts w:hint="default" w:ascii="Times New Roman" w:hAnsi="Times New Roman" w:eastAsia="仿宋_GB2312" w:cs="Times New Roman"/>
          <w:color w:val="auto"/>
          <w:sz w:val="32"/>
          <w:szCs w:val="32"/>
        </w:rPr>
        <w:t>支出（项）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反映机关事业单位实施养老保险制度由单位实际缴纳的职业年金支出。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．社会保障和就业支出（类）抚恤（款）死亡抚恤（项）：反映按规定用于烈士和牺牲、病故人员家属的一次性和定期抚恤金以及丧葬补助费。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．社会保障和就业支出（类）社会福利（款）儿童福利（项）：反映对儿童提供福利服务方面的支出。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rPr>
        <w:t>单位医疗（项）：反映财政部门安排的事业单位基本医疗保险缴费经费，未参加医疗保险的事业单位的公费医疗经费，按国家规定享受离休人员待遇的医疗经费。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rPr>
        <w:t>（项）：反映财政部门安排的公务员医疗补助经费。</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（类）行政事业单位医疗（款）</w:t>
      </w:r>
      <w:r>
        <w:rPr>
          <w:rFonts w:hint="default" w:ascii="Times New Roman" w:hAnsi="Times New Roman" w:eastAsia="仿宋_GB2312" w:cs="Times New Roman"/>
          <w:color w:val="auto"/>
          <w:sz w:val="32"/>
          <w:szCs w:val="32"/>
          <w:lang w:val="en-US" w:eastAsia="zh-CN"/>
        </w:rPr>
        <w:t>其他行政事业单位医疗支出</w:t>
      </w:r>
      <w:r>
        <w:rPr>
          <w:rFonts w:hint="default" w:ascii="Times New Roman" w:hAnsi="Times New Roman" w:eastAsia="仿宋_GB2312" w:cs="Times New Roman"/>
          <w:color w:val="auto"/>
          <w:sz w:val="32"/>
          <w:szCs w:val="32"/>
        </w:rPr>
        <w:t>（项）：反映其他用于行政事业单位医疗方面的支出。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卫生健康</w:t>
      </w:r>
      <w:r>
        <w:rPr>
          <w:rFonts w:hint="default" w:ascii="Times New Roman" w:hAnsi="Times New Roman" w:eastAsia="仿宋_GB2312" w:cs="Times New Roman"/>
          <w:color w:val="auto"/>
          <w:sz w:val="32"/>
          <w:szCs w:val="32"/>
        </w:rPr>
        <w:t>（类）其他卫生健康支出（款）</w:t>
      </w:r>
      <w:r>
        <w:rPr>
          <w:rFonts w:hint="default" w:ascii="Times New Roman" w:hAnsi="Times New Roman" w:eastAsia="仿宋_GB2312" w:cs="Times New Roman"/>
          <w:color w:val="auto"/>
          <w:sz w:val="32"/>
          <w:szCs w:val="32"/>
          <w:lang w:val="en-US" w:eastAsia="zh-CN"/>
        </w:rPr>
        <w:t>其他卫生健康支出</w:t>
      </w:r>
      <w:r>
        <w:rPr>
          <w:rFonts w:hint="default" w:ascii="Times New Roman" w:hAnsi="Times New Roman" w:eastAsia="仿宋_GB2312" w:cs="Times New Roman"/>
          <w:color w:val="auto"/>
          <w:sz w:val="32"/>
          <w:szCs w:val="32"/>
        </w:rPr>
        <w:t>（项）：反映其他用于卫生健康方面的支出。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住房保障支出（类）住房改革支出（款）住房公积金（项）：反映行政事业单位按人力资源和社会保障部、财政部规定的基本工资和津贴补贴以及规定比例为职工缴纳的住房公积金。</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基本支出：指为保障机构正常运转、完成日常工作任务而发生的人员支出和公用支出。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项目支出：指在基本支出之外为完成特定行政任务和事业发展目标所发生的支出。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“三公”经费：指单位用财政拨款安排的因公出国（境）费、公务用车购置及运行费和公务接待费。其中，因公出国（境）</w:t>
      </w:r>
      <w:bookmarkStart w:id="164" w:name="hmjd_error_2_0_费_黑马提示无建议_11309"/>
      <w:r>
        <w:rPr>
          <w:rFonts w:hint="default" w:ascii="Times New Roman" w:hAnsi="Times New Roman" w:eastAsia="仿宋_GB2312" w:cs="Times New Roman"/>
          <w:color w:val="auto"/>
          <w:sz w:val="32"/>
          <w:szCs w:val="32"/>
          <w:lang w:val="en-US" w:eastAsia="zh-CN"/>
        </w:rPr>
        <w:t>费</w:t>
      </w:r>
      <w:bookmarkEnd w:id="164"/>
      <w:r>
        <w:rPr>
          <w:rFonts w:hint="default" w:ascii="Times New Roman" w:hAnsi="Times New Roman" w:eastAsia="仿宋_GB2312" w:cs="Times New Roman"/>
          <w:color w:val="auto"/>
          <w:sz w:val="32"/>
          <w:szCs w:val="32"/>
          <w:lang w:val="en-US" w:eastAsia="zh-CN"/>
        </w:rPr>
        <w:t>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spacing w:line="600" w:lineRule="exact"/>
        <w:jc w:val="center"/>
        <w:outlineLvl w:val="0"/>
        <w:rPr>
          <w:rStyle w:val="30"/>
          <w:rFonts w:hint="eastAsia" w:ascii="Times New Roman" w:hAnsi="Times New Roman" w:eastAsia="黑体"/>
          <w:b w:val="0"/>
          <w:color w:val="auto"/>
          <w:highlight w:val="none"/>
          <w:lang w:eastAsia="zh-CN"/>
        </w:rPr>
      </w:pPr>
      <w:bookmarkStart w:id="16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166" w:name="_Toc15396614"/>
      <w:bookmarkStart w:id="167" w:name="_Toc1705856527_WPSOffice_Level1"/>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166"/>
      <w:bookmarkEnd w:id="167"/>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68" w:name="_Toc20493"/>
      <w:bookmarkStart w:id="169" w:name="_Toc30236"/>
      <w:bookmarkStart w:id="170" w:name="_Toc29313"/>
      <w:r>
        <w:rPr>
          <w:rFonts w:hint="eastAsia" w:ascii="Times New Roman" w:hAnsi="Times New Roman" w:eastAsia="仿宋_GB2312" w:cs="仿宋_GB2312"/>
          <w:color w:val="auto"/>
          <w:kern w:val="2"/>
          <w:sz w:val="32"/>
          <w:szCs w:val="32"/>
          <w:highlight w:val="none"/>
          <w:lang w:val="en-US" w:eastAsia="zh-CN" w:bidi="ar-SA"/>
        </w:rPr>
        <w:t>部门预算项目支出绩效自评表（2024）</w:t>
      </w:r>
      <w:r>
        <w:rPr>
          <w:rFonts w:hint="default" w:ascii="Times New Roman" w:hAnsi="Times New Roman" w:eastAsia="仿宋_GB2312" w:cs="Times New Roman"/>
          <w:color w:val="auto"/>
          <w:kern w:val="0"/>
          <w:sz w:val="32"/>
          <w:szCs w:val="32"/>
          <w:highlight w:val="none"/>
          <w:lang w:val="en-US" w:eastAsia="zh-CN" w:bidi="ar-SA"/>
        </w:rPr>
        <w:t>见附件3</w:t>
      </w:r>
      <w:bookmarkEnd w:id="168"/>
      <w:bookmarkEnd w:id="169"/>
      <w:bookmarkEnd w:id="170"/>
    </w:p>
    <w:p>
      <w:pPr>
        <w:widowControl/>
        <w:jc w:val="center"/>
        <w:rPr>
          <w:rFonts w:hint="eastAsia" w:ascii="Times New Roman" w:hAnsi="Times New Roman" w:eastAsia="黑体"/>
          <w:color w:val="auto"/>
          <w:sz w:val="44"/>
          <w:szCs w:val="44"/>
          <w:highlight w:val="none"/>
        </w:rPr>
      </w:pPr>
      <w:bookmarkStart w:id="171" w:name="_Toc15396618"/>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172" w:name="_Toc1727646274_WPSOffice_Level1"/>
      <w:r>
        <w:rPr>
          <w:rFonts w:hint="eastAsia" w:ascii="Times New Roman" w:hAnsi="Times New Roman" w:eastAsia="黑体"/>
          <w:color w:val="auto"/>
          <w:sz w:val="44"/>
          <w:szCs w:val="44"/>
          <w:highlight w:val="none"/>
        </w:rPr>
        <w:t>第五部分 附表</w:t>
      </w:r>
      <w:bookmarkEnd w:id="165"/>
      <w:bookmarkEnd w:id="171"/>
      <w:bookmarkEnd w:id="172"/>
      <w:bookmarkStart w:id="173"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74" w:name="_Toc1640683570_WPSOffice_Level2"/>
      <w:r>
        <w:rPr>
          <w:rFonts w:hint="eastAsia" w:ascii="Times New Roman" w:hAnsi="Times New Roman" w:eastAsia="仿宋_GB2312" w:cs="仿宋_GB2312"/>
          <w:color w:val="auto"/>
          <w:kern w:val="2"/>
          <w:sz w:val="32"/>
          <w:szCs w:val="32"/>
          <w:highlight w:val="none"/>
          <w:lang w:val="en-US" w:eastAsia="zh-CN" w:bidi="ar-SA"/>
        </w:rPr>
        <w:t>一、收入支出决算总表</w:t>
      </w:r>
      <w:bookmarkEnd w:id="173"/>
      <w:bookmarkEnd w:id="174"/>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75" w:name="_Toc15396620"/>
      <w:bookmarkStart w:id="176" w:name="_Toc130479404_WPSOffice_Level2"/>
      <w:r>
        <w:rPr>
          <w:rFonts w:hint="eastAsia" w:ascii="Times New Roman" w:hAnsi="Times New Roman" w:eastAsia="仿宋_GB2312" w:cs="仿宋_GB2312"/>
          <w:color w:val="auto"/>
          <w:kern w:val="2"/>
          <w:sz w:val="32"/>
          <w:szCs w:val="32"/>
          <w:highlight w:val="none"/>
          <w:lang w:val="en-US" w:eastAsia="zh-CN" w:bidi="ar-SA"/>
        </w:rPr>
        <w:t>二、收入决算表</w:t>
      </w:r>
      <w:bookmarkEnd w:id="175"/>
      <w:bookmarkEnd w:id="176"/>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77" w:name="_Toc15396621"/>
      <w:bookmarkStart w:id="178" w:name="_Toc1288739566_WPSOffice_Level2"/>
      <w:r>
        <w:rPr>
          <w:rFonts w:hint="eastAsia" w:ascii="Times New Roman" w:hAnsi="Times New Roman" w:eastAsia="仿宋_GB2312" w:cs="仿宋_GB2312"/>
          <w:color w:val="auto"/>
          <w:kern w:val="2"/>
          <w:sz w:val="32"/>
          <w:szCs w:val="32"/>
          <w:highlight w:val="none"/>
          <w:lang w:val="en-US" w:eastAsia="zh-CN" w:bidi="ar-SA"/>
        </w:rPr>
        <w:t>三、支出决算表</w:t>
      </w:r>
      <w:bookmarkEnd w:id="177"/>
      <w:bookmarkEnd w:id="178"/>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79" w:name="_Toc15396622"/>
      <w:bookmarkStart w:id="180" w:name="_Toc710317184_WPSOffice_Level2"/>
      <w:r>
        <w:rPr>
          <w:rFonts w:hint="eastAsia" w:ascii="Times New Roman" w:hAnsi="Times New Roman" w:eastAsia="仿宋_GB2312" w:cs="仿宋_GB2312"/>
          <w:color w:val="auto"/>
          <w:kern w:val="2"/>
          <w:sz w:val="32"/>
          <w:szCs w:val="32"/>
          <w:highlight w:val="none"/>
          <w:lang w:val="en-US" w:eastAsia="zh-CN" w:bidi="ar-SA"/>
        </w:rPr>
        <w:t>四、财政拨款收入支出决算总表</w:t>
      </w:r>
      <w:bookmarkEnd w:id="179"/>
      <w:bookmarkEnd w:id="180"/>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81" w:name="_Toc15396623"/>
      <w:bookmarkStart w:id="182" w:name="_Toc1957025982_WPSOffice_Level2"/>
      <w:r>
        <w:rPr>
          <w:rFonts w:hint="eastAsia" w:ascii="Times New Roman" w:hAnsi="Times New Roman" w:eastAsia="仿宋_GB2312" w:cs="仿宋_GB2312"/>
          <w:color w:val="auto"/>
          <w:kern w:val="2"/>
          <w:sz w:val="32"/>
          <w:szCs w:val="32"/>
          <w:highlight w:val="none"/>
          <w:lang w:val="en-US" w:eastAsia="zh-CN" w:bidi="ar-SA"/>
        </w:rPr>
        <w:t>五、财政拨款支出决算明细表</w:t>
      </w:r>
      <w:bookmarkEnd w:id="181"/>
      <w:bookmarkEnd w:id="182"/>
      <w:bookmarkStart w:id="183" w:name="_Toc15396624"/>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84" w:name="_Toc1995945080_WPSOffice_Level2"/>
      <w:r>
        <w:rPr>
          <w:rFonts w:hint="eastAsia" w:ascii="Times New Roman" w:hAnsi="Times New Roman" w:eastAsia="仿宋_GB2312" w:cs="仿宋_GB2312"/>
          <w:color w:val="auto"/>
          <w:kern w:val="2"/>
          <w:sz w:val="32"/>
          <w:szCs w:val="32"/>
          <w:highlight w:val="none"/>
          <w:lang w:val="en-US" w:eastAsia="zh-CN" w:bidi="ar-SA"/>
        </w:rPr>
        <w:t>六、一般公共预算财政拨款支出决算表</w:t>
      </w:r>
      <w:bookmarkEnd w:id="183"/>
      <w:bookmarkEnd w:id="184"/>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85" w:name="_Toc15396625"/>
      <w:bookmarkStart w:id="186" w:name="_Toc1739650329_WPSOffice_Level2"/>
      <w:r>
        <w:rPr>
          <w:rFonts w:hint="eastAsia" w:ascii="Times New Roman" w:hAnsi="Times New Roman" w:eastAsia="仿宋_GB2312" w:cs="仿宋_GB2312"/>
          <w:color w:val="auto"/>
          <w:kern w:val="2"/>
          <w:sz w:val="32"/>
          <w:szCs w:val="32"/>
          <w:highlight w:val="none"/>
          <w:lang w:val="en-US" w:eastAsia="zh-CN" w:bidi="ar-SA"/>
        </w:rPr>
        <w:t>七、一般公共预算财政拨款支出决算明细表</w:t>
      </w:r>
      <w:bookmarkEnd w:id="185"/>
      <w:bookmarkEnd w:id="186"/>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87" w:name="_Toc15396626"/>
      <w:bookmarkStart w:id="188" w:name="_Toc1256447869_WPSOffice_Level2"/>
      <w:r>
        <w:rPr>
          <w:rFonts w:hint="eastAsia" w:ascii="Times New Roman" w:hAnsi="Times New Roman" w:eastAsia="仿宋_GB2312" w:cs="仿宋_GB2312"/>
          <w:color w:val="auto"/>
          <w:kern w:val="2"/>
          <w:sz w:val="32"/>
          <w:szCs w:val="32"/>
          <w:highlight w:val="none"/>
          <w:lang w:val="en-US" w:eastAsia="zh-CN" w:bidi="ar-SA"/>
        </w:rPr>
        <w:t>八、一般公共预算财政拨款基本支出决算表</w:t>
      </w:r>
      <w:bookmarkEnd w:id="187"/>
      <w:bookmarkEnd w:id="188"/>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89" w:name="_Toc15396627"/>
      <w:bookmarkStart w:id="190" w:name="_Toc1118286855_WPSOffice_Level2"/>
      <w:r>
        <w:rPr>
          <w:rFonts w:hint="eastAsia" w:ascii="Times New Roman" w:hAnsi="Times New Roman" w:eastAsia="仿宋_GB2312" w:cs="仿宋_GB2312"/>
          <w:color w:val="auto"/>
          <w:kern w:val="2"/>
          <w:sz w:val="32"/>
          <w:szCs w:val="32"/>
          <w:highlight w:val="none"/>
          <w:lang w:val="en-US" w:eastAsia="zh-CN" w:bidi="ar-SA"/>
        </w:rPr>
        <w:t>九、一般公共预算财政拨款项目支出决算表</w:t>
      </w:r>
      <w:bookmarkEnd w:id="189"/>
      <w:bookmarkEnd w:id="190"/>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91" w:name="_Toc15396628"/>
      <w:bookmarkStart w:id="192" w:name="_Toc1298670193_WPSOffice_Level2"/>
      <w:r>
        <w:rPr>
          <w:rFonts w:hint="eastAsia" w:ascii="Times New Roman" w:hAnsi="Times New Roman" w:eastAsia="仿宋_GB2312" w:cs="仿宋_GB2312"/>
          <w:color w:val="auto"/>
          <w:kern w:val="2"/>
          <w:sz w:val="32"/>
          <w:szCs w:val="32"/>
          <w:highlight w:val="none"/>
          <w:lang w:val="en-US" w:eastAsia="zh-CN" w:bidi="ar-SA"/>
        </w:rPr>
        <w:t>十、</w:t>
      </w:r>
      <w:bookmarkEnd w:id="191"/>
      <w:r>
        <w:rPr>
          <w:rFonts w:hint="eastAsia" w:ascii="Times New Roman" w:hAnsi="Times New Roman" w:eastAsia="仿宋_GB2312" w:cs="仿宋_GB2312"/>
          <w:color w:val="auto"/>
          <w:kern w:val="2"/>
          <w:sz w:val="32"/>
          <w:szCs w:val="32"/>
          <w:highlight w:val="none"/>
          <w:lang w:val="en-US" w:eastAsia="zh-CN" w:bidi="ar-SA"/>
        </w:rPr>
        <w:t>政府性基金预算财政拨款收入支出决算表</w:t>
      </w:r>
      <w:bookmarkEnd w:id="192"/>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93" w:name="_Toc15396629"/>
      <w:bookmarkStart w:id="194" w:name="_Toc1387656186_WPSOffice_Level2"/>
      <w:r>
        <w:rPr>
          <w:rFonts w:hint="eastAsia" w:ascii="Times New Roman" w:hAnsi="Times New Roman" w:eastAsia="仿宋_GB2312" w:cs="仿宋_GB2312"/>
          <w:color w:val="auto"/>
          <w:kern w:val="2"/>
          <w:sz w:val="32"/>
          <w:szCs w:val="32"/>
          <w:highlight w:val="none"/>
          <w:lang w:val="en-US" w:eastAsia="zh-CN" w:bidi="ar-SA"/>
        </w:rPr>
        <w:t>十一、</w:t>
      </w:r>
      <w:bookmarkEnd w:id="193"/>
      <w:r>
        <w:rPr>
          <w:rFonts w:hint="eastAsia" w:ascii="Times New Roman" w:hAnsi="Times New Roman" w:eastAsia="仿宋_GB2312" w:cs="仿宋_GB2312"/>
          <w:color w:val="auto"/>
          <w:kern w:val="2"/>
          <w:sz w:val="32"/>
          <w:szCs w:val="32"/>
          <w:highlight w:val="none"/>
          <w:lang w:val="en-US" w:eastAsia="zh-CN" w:bidi="ar-SA"/>
        </w:rPr>
        <w:t>国有资本经营预算财政拨款收入支出决算表</w:t>
      </w:r>
      <w:bookmarkEnd w:id="194"/>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95" w:name="_Toc15396630"/>
      <w:bookmarkStart w:id="196" w:name="_Toc31090444_WPSOffice_Level2"/>
      <w:r>
        <w:rPr>
          <w:rFonts w:hint="eastAsia" w:ascii="Times New Roman" w:hAnsi="Times New Roman" w:eastAsia="仿宋_GB2312" w:cs="仿宋_GB2312"/>
          <w:color w:val="auto"/>
          <w:kern w:val="2"/>
          <w:sz w:val="32"/>
          <w:szCs w:val="32"/>
          <w:highlight w:val="none"/>
          <w:lang w:val="en-US" w:eastAsia="zh-CN" w:bidi="ar-SA"/>
        </w:rPr>
        <w:t>十二、</w:t>
      </w:r>
      <w:bookmarkEnd w:id="195"/>
      <w:r>
        <w:rPr>
          <w:rFonts w:hint="eastAsia" w:ascii="Times New Roman" w:hAnsi="Times New Roman" w:eastAsia="仿宋_GB2312" w:cs="仿宋_GB2312"/>
          <w:color w:val="auto"/>
          <w:kern w:val="2"/>
          <w:sz w:val="32"/>
          <w:szCs w:val="32"/>
          <w:highlight w:val="none"/>
          <w:lang w:val="en-US" w:eastAsia="zh-CN" w:bidi="ar-SA"/>
        </w:rPr>
        <w:t>国有资本经营预算财政拨款支出决算表</w:t>
      </w:r>
      <w:bookmarkEnd w:id="196"/>
    </w:p>
    <w:p>
      <w:pPr>
        <w:keepNext w:val="0"/>
        <w:keepLines w:val="0"/>
        <w:pageBreakBefore w:val="0"/>
        <w:kinsoku/>
        <w:wordWrap/>
        <w:overflowPunct/>
        <w:topLinePunct w:val="0"/>
        <w:autoSpaceDE/>
        <w:autoSpaceDN/>
        <w:bidi w:val="0"/>
        <w:spacing w:line="572" w:lineRule="exact"/>
        <w:ind w:firstLine="960" w:firstLineChars="300"/>
        <w:jc w:val="left"/>
        <w:textAlignment w:val="auto"/>
        <w:outlineLvl w:val="0"/>
        <w:rPr>
          <w:rFonts w:hint="eastAsia" w:ascii="Times New Roman" w:hAnsi="Times New Roman" w:eastAsia="仿宋_GB2312" w:cs="仿宋_GB2312"/>
          <w:color w:val="auto"/>
          <w:kern w:val="2"/>
          <w:sz w:val="32"/>
          <w:szCs w:val="32"/>
          <w:highlight w:val="none"/>
          <w:lang w:val="en-US" w:eastAsia="zh-CN" w:bidi="ar-SA"/>
        </w:rPr>
      </w:pPr>
      <w:bookmarkStart w:id="197" w:name="_Toc15396631"/>
      <w:bookmarkStart w:id="198" w:name="_Toc602395552_WPSOffice_Level2"/>
      <w:r>
        <w:rPr>
          <w:rFonts w:hint="eastAsia" w:ascii="Times New Roman" w:hAnsi="Times New Roman" w:eastAsia="仿宋_GB2312" w:cs="仿宋_GB2312"/>
          <w:color w:val="auto"/>
          <w:kern w:val="2"/>
          <w:sz w:val="32"/>
          <w:szCs w:val="32"/>
          <w:highlight w:val="none"/>
          <w:lang w:val="en-US" w:eastAsia="zh-CN" w:bidi="ar-SA"/>
        </w:rPr>
        <w:t>十三、</w:t>
      </w:r>
      <w:bookmarkEnd w:id="197"/>
      <w:r>
        <w:rPr>
          <w:rFonts w:hint="eastAsia" w:ascii="Times New Roman" w:hAnsi="Times New Roman" w:eastAsia="仿宋_GB2312" w:cs="仿宋_GB2312"/>
          <w:color w:val="auto"/>
          <w:kern w:val="2"/>
          <w:sz w:val="32"/>
          <w:szCs w:val="32"/>
          <w:highlight w:val="none"/>
          <w:lang w:val="en-US" w:eastAsia="zh-CN" w:bidi="ar-SA"/>
        </w:rPr>
        <w:t>财政拨款“三公”经费支出决算表</w:t>
      </w:r>
      <w:bookmarkEnd w:id="198"/>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宋体-超大字符集扩"/>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永中宋体">
    <w:panose1 w:val="02010600030101010101"/>
    <w:charset w:val="86"/>
    <w:family w:val="auto"/>
    <w:pitch w:val="default"/>
    <w:sig w:usb0="00000803" w:usb1="080E0000" w:usb2="00000000" w:usb3="00000000" w:csb0="00040001" w:csb1="00000000"/>
  </w:font>
  <w:font w:name="Lucida Sans">
    <w:altName w:val="国标宋体-超大字符集扩"/>
    <w:panose1 w:val="00000000000000000000"/>
    <w:charset w:val="01"/>
    <w:family w:val="auto"/>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xM+CTyQ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BxM+CTyQIAAOwFAAAOAAAAAAAAAAEAIAAAADUBAABkcnMvZTJvRG9jLnhtbFBL&#10;BQYAAAAABgAGAFkBAABw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CrQUMRyQIAAO4FAAAOAAAAAAAAAAEAIAAAADUBAABkcnMvZTJvRG9jLnhtbFBL&#10;BQYAAAAABgAGAFkBAABw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A82C24"/>
    <w:rsid w:val="04916F1E"/>
    <w:rsid w:val="061E35DE"/>
    <w:rsid w:val="066E0107"/>
    <w:rsid w:val="07996F6E"/>
    <w:rsid w:val="07DFD8BA"/>
    <w:rsid w:val="09867E8F"/>
    <w:rsid w:val="0A2032A3"/>
    <w:rsid w:val="0A3436BB"/>
    <w:rsid w:val="0CA8290A"/>
    <w:rsid w:val="0D35B1ED"/>
    <w:rsid w:val="0DA74B0C"/>
    <w:rsid w:val="0E254B6B"/>
    <w:rsid w:val="0F98263C"/>
    <w:rsid w:val="101860EC"/>
    <w:rsid w:val="101F47CC"/>
    <w:rsid w:val="10C055FF"/>
    <w:rsid w:val="11694EBD"/>
    <w:rsid w:val="116B6959"/>
    <w:rsid w:val="11772AA4"/>
    <w:rsid w:val="118107EC"/>
    <w:rsid w:val="12E24EE2"/>
    <w:rsid w:val="13D50BC4"/>
    <w:rsid w:val="14B17F78"/>
    <w:rsid w:val="165E0673"/>
    <w:rsid w:val="16B831D5"/>
    <w:rsid w:val="16BB723D"/>
    <w:rsid w:val="17E50567"/>
    <w:rsid w:val="186504BB"/>
    <w:rsid w:val="18FDDDEA"/>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3265CF"/>
    <w:rsid w:val="2A5E59F6"/>
    <w:rsid w:val="2AA16CEF"/>
    <w:rsid w:val="2BFF7BC6"/>
    <w:rsid w:val="2C8A61B5"/>
    <w:rsid w:val="2DEFFECB"/>
    <w:rsid w:val="2DF04E50"/>
    <w:rsid w:val="2E586DFA"/>
    <w:rsid w:val="2E5EAA32"/>
    <w:rsid w:val="2F040D46"/>
    <w:rsid w:val="2F6B035B"/>
    <w:rsid w:val="2FAE5751"/>
    <w:rsid w:val="2FB1A395"/>
    <w:rsid w:val="2FD9A7D8"/>
    <w:rsid w:val="2FDBF714"/>
    <w:rsid w:val="2FF708AB"/>
    <w:rsid w:val="30901D07"/>
    <w:rsid w:val="30AB6865"/>
    <w:rsid w:val="319F7F4E"/>
    <w:rsid w:val="31FB58A6"/>
    <w:rsid w:val="32BD1EF1"/>
    <w:rsid w:val="3304709D"/>
    <w:rsid w:val="33A773CB"/>
    <w:rsid w:val="349D6851"/>
    <w:rsid w:val="35982D9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BE078"/>
    <w:rsid w:val="3DEE7CF3"/>
    <w:rsid w:val="3E740A63"/>
    <w:rsid w:val="3E78745D"/>
    <w:rsid w:val="3EE17838"/>
    <w:rsid w:val="3F55381A"/>
    <w:rsid w:val="3F7F7599"/>
    <w:rsid w:val="3FF4CAE0"/>
    <w:rsid w:val="3FF7B227"/>
    <w:rsid w:val="42652CB0"/>
    <w:rsid w:val="43E550C6"/>
    <w:rsid w:val="44E268DA"/>
    <w:rsid w:val="450D13D7"/>
    <w:rsid w:val="45506656"/>
    <w:rsid w:val="483D7BF1"/>
    <w:rsid w:val="486A6C7A"/>
    <w:rsid w:val="4A627F82"/>
    <w:rsid w:val="4B0E749A"/>
    <w:rsid w:val="4B2477C4"/>
    <w:rsid w:val="4B4F25DA"/>
    <w:rsid w:val="4BE068DB"/>
    <w:rsid w:val="4C882C6A"/>
    <w:rsid w:val="4D0114AC"/>
    <w:rsid w:val="4D577224"/>
    <w:rsid w:val="4DB03590"/>
    <w:rsid w:val="4DBF1CEB"/>
    <w:rsid w:val="4DF0007C"/>
    <w:rsid w:val="4EAB630A"/>
    <w:rsid w:val="4ECE2238"/>
    <w:rsid w:val="4F833267"/>
    <w:rsid w:val="4FE9BD67"/>
    <w:rsid w:val="4FFB052F"/>
    <w:rsid w:val="5332107D"/>
    <w:rsid w:val="537E6D0A"/>
    <w:rsid w:val="53F74C96"/>
    <w:rsid w:val="53FF844B"/>
    <w:rsid w:val="55170BA8"/>
    <w:rsid w:val="553218C9"/>
    <w:rsid w:val="567E1AA5"/>
    <w:rsid w:val="56E47B74"/>
    <w:rsid w:val="57175D52"/>
    <w:rsid w:val="57BD3DD4"/>
    <w:rsid w:val="594E0FFB"/>
    <w:rsid w:val="5AF92295"/>
    <w:rsid w:val="5B250254"/>
    <w:rsid w:val="5BDD79E6"/>
    <w:rsid w:val="5BF561CA"/>
    <w:rsid w:val="5BFF5DFC"/>
    <w:rsid w:val="5C003417"/>
    <w:rsid w:val="5CD71FC4"/>
    <w:rsid w:val="5D1F11B5"/>
    <w:rsid w:val="5D695134"/>
    <w:rsid w:val="5DAE1B18"/>
    <w:rsid w:val="5DE7D9E5"/>
    <w:rsid w:val="5ECEC941"/>
    <w:rsid w:val="5EDF7BEB"/>
    <w:rsid w:val="5F7A7191"/>
    <w:rsid w:val="5FBF9FF3"/>
    <w:rsid w:val="5FCD4E2C"/>
    <w:rsid w:val="5FEF394A"/>
    <w:rsid w:val="5FF67715"/>
    <w:rsid w:val="6000403D"/>
    <w:rsid w:val="62BF3928"/>
    <w:rsid w:val="63B3701E"/>
    <w:rsid w:val="63DFD1BC"/>
    <w:rsid w:val="647F5392"/>
    <w:rsid w:val="652E0743"/>
    <w:rsid w:val="65E66580"/>
    <w:rsid w:val="664B1D71"/>
    <w:rsid w:val="664B4E8E"/>
    <w:rsid w:val="67277B67"/>
    <w:rsid w:val="67AA3209"/>
    <w:rsid w:val="69450BD9"/>
    <w:rsid w:val="698D0931"/>
    <w:rsid w:val="6A6F132D"/>
    <w:rsid w:val="6A7FE5F3"/>
    <w:rsid w:val="6B053271"/>
    <w:rsid w:val="6BDD78B3"/>
    <w:rsid w:val="6C4A05C8"/>
    <w:rsid w:val="6C8742B8"/>
    <w:rsid w:val="6D5A49FE"/>
    <w:rsid w:val="6DBF5E93"/>
    <w:rsid w:val="6DFF077E"/>
    <w:rsid w:val="6E714EF0"/>
    <w:rsid w:val="6E7E3605"/>
    <w:rsid w:val="6E7FDCC7"/>
    <w:rsid w:val="6ED6A62E"/>
    <w:rsid w:val="6EE00B15"/>
    <w:rsid w:val="6F65120A"/>
    <w:rsid w:val="6F6FB3EB"/>
    <w:rsid w:val="6F8731EA"/>
    <w:rsid w:val="6FCE6052"/>
    <w:rsid w:val="6FD57C00"/>
    <w:rsid w:val="6FDD14C2"/>
    <w:rsid w:val="6FEFFFD8"/>
    <w:rsid w:val="6FF5CC65"/>
    <w:rsid w:val="6FFB47EC"/>
    <w:rsid w:val="6FFF034A"/>
    <w:rsid w:val="70484440"/>
    <w:rsid w:val="712A28F1"/>
    <w:rsid w:val="715C0E4B"/>
    <w:rsid w:val="71992E7C"/>
    <w:rsid w:val="72233669"/>
    <w:rsid w:val="72734D90"/>
    <w:rsid w:val="72F77EFE"/>
    <w:rsid w:val="73160E6D"/>
    <w:rsid w:val="7332FE48"/>
    <w:rsid w:val="73AB61DA"/>
    <w:rsid w:val="73AD73D5"/>
    <w:rsid w:val="73B6EB34"/>
    <w:rsid w:val="73FA497D"/>
    <w:rsid w:val="743273F9"/>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D92A11"/>
    <w:rsid w:val="7AFF7572"/>
    <w:rsid w:val="7B6C7DFB"/>
    <w:rsid w:val="7BBFBED0"/>
    <w:rsid w:val="7BC3E394"/>
    <w:rsid w:val="7BFFC3E6"/>
    <w:rsid w:val="7C1F3737"/>
    <w:rsid w:val="7CBB0C07"/>
    <w:rsid w:val="7CBFC87B"/>
    <w:rsid w:val="7CFE0F48"/>
    <w:rsid w:val="7D272ABC"/>
    <w:rsid w:val="7D7EC23E"/>
    <w:rsid w:val="7DEEFD3A"/>
    <w:rsid w:val="7DEFF7D6"/>
    <w:rsid w:val="7E8ADEBF"/>
    <w:rsid w:val="7EEF11D3"/>
    <w:rsid w:val="7EFE4840"/>
    <w:rsid w:val="7F0971A6"/>
    <w:rsid w:val="7F1D62E7"/>
    <w:rsid w:val="7F3F679B"/>
    <w:rsid w:val="7F4FC4EF"/>
    <w:rsid w:val="7F5E4D54"/>
    <w:rsid w:val="7F5F1FA1"/>
    <w:rsid w:val="7F6E0135"/>
    <w:rsid w:val="7F79F205"/>
    <w:rsid w:val="7FA30C79"/>
    <w:rsid w:val="7FA79C44"/>
    <w:rsid w:val="7FAF8ABF"/>
    <w:rsid w:val="7FB7269E"/>
    <w:rsid w:val="7FC96657"/>
    <w:rsid w:val="7FDA9588"/>
    <w:rsid w:val="7FDF220F"/>
    <w:rsid w:val="7FE61F7F"/>
    <w:rsid w:val="7FEDC5F7"/>
    <w:rsid w:val="7FEDD9DE"/>
    <w:rsid w:val="7FF5890D"/>
    <w:rsid w:val="7FF93490"/>
    <w:rsid w:val="90F7AF17"/>
    <w:rsid w:val="99FF2014"/>
    <w:rsid w:val="9FEF96A5"/>
    <w:rsid w:val="A6DD0D7F"/>
    <w:rsid w:val="ACFF4FBB"/>
    <w:rsid w:val="ADC6F725"/>
    <w:rsid w:val="B1EF1719"/>
    <w:rsid w:val="B7CF06AB"/>
    <w:rsid w:val="B7CFA926"/>
    <w:rsid w:val="B7F8786B"/>
    <w:rsid w:val="BABB6AA1"/>
    <w:rsid w:val="BB2F4199"/>
    <w:rsid w:val="BCFFB442"/>
    <w:rsid w:val="BD079C78"/>
    <w:rsid w:val="BD733540"/>
    <w:rsid w:val="BE7EA5A0"/>
    <w:rsid w:val="BEBC8A91"/>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7BFC3B"/>
    <w:rsid w:val="DFBF85B6"/>
    <w:rsid w:val="DFE9BE81"/>
    <w:rsid w:val="DFFFA9E8"/>
    <w:rsid w:val="E5DF9DDB"/>
    <w:rsid w:val="E5F4E9DC"/>
    <w:rsid w:val="E70FE695"/>
    <w:rsid w:val="EB2E368B"/>
    <w:rsid w:val="ECFED1BC"/>
    <w:rsid w:val="ED1D69BB"/>
    <w:rsid w:val="ED5F5BC6"/>
    <w:rsid w:val="ED7FD312"/>
    <w:rsid w:val="EF2E1AC6"/>
    <w:rsid w:val="EF53993F"/>
    <w:rsid w:val="EF6FD633"/>
    <w:rsid w:val="EFBFB2F4"/>
    <w:rsid w:val="EFBFFA21"/>
    <w:rsid w:val="F2BEBCB8"/>
    <w:rsid w:val="F36FB518"/>
    <w:rsid w:val="F3DE1A04"/>
    <w:rsid w:val="F3F722E5"/>
    <w:rsid w:val="F4FBCD07"/>
    <w:rsid w:val="F7CC4CAF"/>
    <w:rsid w:val="F7FFF3C0"/>
    <w:rsid w:val="FA5F1E70"/>
    <w:rsid w:val="FA5FDB97"/>
    <w:rsid w:val="FB7F486A"/>
    <w:rsid w:val="FBFF5B2E"/>
    <w:rsid w:val="FD7FFE2B"/>
    <w:rsid w:val="FDEE196B"/>
    <w:rsid w:val="FDFE6575"/>
    <w:rsid w:val="FDFF5905"/>
    <w:rsid w:val="FDFF89C2"/>
    <w:rsid w:val="FEDFDDC2"/>
    <w:rsid w:val="FEED32F6"/>
    <w:rsid w:val="FEF781DD"/>
    <w:rsid w:val="FEFF636B"/>
    <w:rsid w:val="FF3F7E3F"/>
    <w:rsid w:val="FF737F84"/>
    <w:rsid w:val="FF7CB9F8"/>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Salutation"/>
    <w:basedOn w:val="1"/>
    <w:next w:val="1"/>
    <w:qFormat/>
    <w:uiPriority w:val="0"/>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2.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Desktop\2024&#24180;&#20915;&#31639;&#20844;&#24320;\&#25991;&#20214;4.xls"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pc\Desktop\2024&#24180;&#20915;&#31639;&#20844;&#24320;\&#25991;&#20214;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rgbClr val="44546A"/>
                </a:solidFill>
                <a:latin typeface="Times New Roman" panose="02020603050405020304"/>
                <a:ea typeface="永中宋体" panose="02010600030101010101" charset="-122"/>
                <a:cs typeface="Lucida Sans"/>
              </a:defRPr>
            </a:pPr>
            <a:r>
              <a:t>收入决算结构图</a:t>
            </a:r>
            <a:endParaRPr sz="1600" b="1" i="0" u="none" strike="noStrike" baseline="0">
              <a:solidFill>
                <a:srgbClr val="44546A"/>
              </a:solidFill>
              <a:latin typeface="Times New Roman" panose="02020603050405020304"/>
              <a:ea typeface="永中宋体" panose="02010600030101010101" charset="-122"/>
              <a:cs typeface="Lucida Sans"/>
            </a:endParaRPr>
          </a:p>
        </c:rich>
      </c:tx>
      <c:layout>
        <c:manualLayout>
          <c:x val="0.004"/>
          <c:y val="0"/>
        </c:manualLayout>
      </c:layout>
      <c:overlay val="false"/>
    </c:title>
    <c:autoTitleDeleted val="false"/>
    <c:plotArea>
      <c:layout>
        <c:manualLayout>
          <c:layoutTarget val="inner"/>
          <c:xMode val="edge"/>
          <c:yMode val="edge"/>
          <c:x val="0.163208762886598"/>
          <c:y val="0.170154840905224"/>
          <c:w val="0.624613402061856"/>
          <c:h val="0.824740513867619"/>
        </c:manualLayout>
      </c:layout>
      <c:pieChart>
        <c:varyColors val="true"/>
        <c:ser>
          <c:idx val="0"/>
          <c:order val="0"/>
          <c:tx>
            <c:strRef>
              <c:f>[文件4.xls]工作表1!$J$2</c:f>
              <c:strCache>
                <c:ptCount val="1"/>
                <c:pt idx="0">
                  <c:v>一般公共预算财政拨款收入</c:v>
                </c:pt>
              </c:strCache>
            </c:strRef>
          </c:tx>
          <c:spPr>
            <a:gradFill>
              <a:gsLst>
                <a:gs pos="0">
                  <a:srgbClr val="6EA9E0">
                    <a:alpha val="100000"/>
                  </a:srgbClr>
                </a:gs>
                <a:gs pos="100000">
                  <a:srgbClr val="418FD7">
                    <a:alpha val="100000"/>
                  </a:srgbClr>
                </a:gs>
              </a:gsLst>
              <a:lin ang="5400000" scaled="true"/>
            </a:gradFill>
            <a:ln w="3175">
              <a:noFill/>
            </a:ln>
          </c:spPr>
          <c:explosion val="0"/>
          <c:dPt>
            <c:idx val="0"/>
            <c:bubble3D val="false"/>
            <c:explosion val="0"/>
            <c:spPr>
              <a:gradFill>
                <a:gsLst>
                  <a:gs pos="0">
                    <a:srgbClr val="6EA9E0">
                      <a:alpha val="100000"/>
                    </a:srgbClr>
                  </a:gs>
                  <a:gs pos="100000">
                    <a:srgbClr val="418FD7">
                      <a:alpha val="100000"/>
                    </a:srgbClr>
                  </a:gs>
                </a:gsLst>
                <a:lin ang="5400000" scaled="true"/>
              </a:gradFill>
              <a:ln w="3175">
                <a:noFill/>
              </a:ln>
            </c:spPr>
          </c:dPt>
          <c:dLbls>
            <c:dLbl>
              <c:idx val="0"/>
              <c:layout>
                <c:manualLayout>
                  <c:x val="0.0117203195994644"/>
                  <c:y val="-0.270263318148868"/>
                </c:manualLayout>
              </c:layout>
              <c:tx>
                <c:rich>
                  <a:bodyPr rot="0" spcFirstLastPara="0" vertOverflow="ellipsis" vert="horz" wrap="square" lIns="38100" tIns="19050" rIns="38100" bIns="19050" anchor="ctr" anchorCtr="true"/>
                  <a:lstStyle/>
                  <a:p>
                    <a:pPr defTabSz="914400">
                      <a:defRPr lang="zh-CN" sz="1100" b="0" i="0" u="none" strike="noStrike" kern="1200" baseline="0">
                        <a:solidFill>
                          <a:srgbClr val="333F4F"/>
                        </a:solidFill>
                        <a:latin typeface="Times New Roman" panose="02020603050405020304"/>
                        <a:ea typeface="永中宋体" panose="02010600030101010101" charset="-122"/>
                        <a:cs typeface="Lucida Sans"/>
                      </a:defRPr>
                    </a:pPr>
                    <a:r>
                      <a:t>一般公共预算财政拨款收入</a:t>
                    </a:r>
                    <a:r>
                      <a:rPr lang="en-US" altLang="zh-CN"/>
                      <a:t>4163.03</a:t>
                    </a:r>
                    <a:r>
                      <a:rPr altLang="en-US"/>
                      <a:t>万元</a:t>
                    </a:r>
                    <a:r>
                      <a:t>，占本年收入100%</a:t>
                    </a:r>
                    <a:endParaRPr sz="1100" b="0" i="0" u="none" strike="noStrike" baseline="0">
                      <a:solidFill>
                        <a:srgbClr val="333F4F"/>
                      </a:solidFill>
                      <a:latin typeface="Times New Roman" panose="02020603050405020304"/>
                      <a:ea typeface="永中宋体" panose="02010600030101010101" charset="-122"/>
                      <a:cs typeface="Lucida Sans"/>
                    </a:endParaRPr>
                  </a:p>
                </c:rich>
              </c:tx>
              <c:numFmt formatCode="0%" sourceLinked="false"/>
              <c:spPr>
                <a:noFill/>
                <a:ln>
                  <a:noFill/>
                </a:ln>
                <a:effectLst/>
              </c:spPr>
              <c:txPr>
                <a:bodyPr rot="0" spcFirstLastPara="0" vertOverflow="ellipsis" vert="horz" wrap="square" lIns="38100" tIns="19050" rIns="38100" bIns="19050" anchor="ctr" anchorCtr="true"/>
                <a:lstStyle/>
                <a:p>
                  <a:pPr>
                    <a:defRPr lang="zh-CN" sz="1100" b="0" i="0" u="none" strike="noStrike" kern="1200" baseline="0">
                      <a:solidFill>
                        <a:srgbClr val="333F4F"/>
                      </a:solidFill>
                      <a:latin typeface="Times New Roman" panose="02020603050405020304"/>
                      <a:ea typeface="永中宋体" panose="02010600030101010101" charset="-122"/>
                      <a:cs typeface="Lucida Sans"/>
                    </a:defRPr>
                  </a:pPr>
                </a:p>
              </c:txPr>
              <c:dLblPos val="bestFit"/>
              <c:showLegendKey val="false"/>
              <c:showVal val="false"/>
              <c:showCatName val="false"/>
              <c:showSerName val="false"/>
              <c:showPercent val="true"/>
              <c:showBubbleSize val="false"/>
              <c:extLst>
                <c:ext xmlns:c15="http://schemas.microsoft.com/office/drawing/2012/chart" uri="{CE6537A1-D6FC-4f65-9D91-7224C49458BB}">
                  <c15:layout>
                    <c:manualLayout>
                      <c:w val="0.417558334407632"/>
                      <c:h val="0.189312977099237"/>
                    </c:manualLayout>
                  </c15:layout>
                </c:ext>
              </c:extLst>
            </c:dLbl>
            <c:numFmt formatCode="0%" sourceLinked="false"/>
            <c:spPr>
              <a:noFill/>
              <a:ln w="12700">
                <a:noFill/>
              </a:ln>
              <a:effectLst/>
            </c:spPr>
            <c:txPr>
              <a:bodyPr rot="0" spcFirstLastPara="0" vertOverflow="ellipsis" vert="horz" wrap="square" lIns="38100" tIns="19050" rIns="38100" bIns="19050" anchor="ctr" anchorCtr="true"/>
              <a:lstStyle/>
              <a:p>
                <a:pPr>
                  <a:defRPr lang="zh-CN" sz="900" b="0" i="0" u="none" strike="noStrike" kern="1200" baseline="0">
                    <a:solidFill>
                      <a:srgbClr val="333F4F"/>
                    </a:solidFill>
                    <a:latin typeface="Times New Roman" panose="02020603050405020304"/>
                    <a:ea typeface="永中宋体" panose="02010600030101010101" charset="-122"/>
                    <a:cs typeface="Lucida San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rgbClr val="000000">
                          <a:alpha val="100000"/>
                        </a:srgbClr>
                      </a:solidFill>
                      <a:prstDash val="solid"/>
                      <a:round/>
                    </a:ln>
                  </c:spPr>
                </c15:leaderLines>
              </c:ext>
            </c:extLst>
          </c:dLbls>
          <c:val>
            <c:numRef>
              <c:f>[文件4.xls]工作表1!$K$2</c:f>
              <c:numCache>
                <c:formatCode>General</c:formatCode>
                <c:ptCount val="1"/>
                <c:pt idx="0">
                  <c:v>4163.03</c:v>
                </c:pt>
              </c:numCache>
            </c:numRef>
          </c:val>
        </c:ser>
        <c:dLbls>
          <c:showLegendKey val="false"/>
          <c:showVal val="false"/>
          <c:showCatName val="false"/>
          <c:showSerName val="false"/>
          <c:showPercent val="false"/>
          <c:showBubbleSize val="false"/>
          <c:showLeaderLines val="true"/>
        </c:dLbls>
        <c:firstSliceAng val="0"/>
      </c:pieChart>
      <c:spPr>
        <a:noFill/>
        <a:ln w="3175">
          <a:noFill/>
        </a:ln>
      </c:spPr>
    </c:plotArea>
    <c:plotVisOnly val="true"/>
    <c:dispBlanksAs val="zero"/>
    <c:showDLblsOverMax val="false"/>
  </c:chart>
  <c:spPr>
    <a:solidFill>
      <a:srgbClr val="FFFFFF">
        <a:alpha val="100000"/>
      </a:srgbClr>
    </a:solidFill>
    <a:ln w="12700" cap="flat" cmpd="sng" algn="ctr">
      <a:solidFill>
        <a:srgbClr val="DFE4EB">
          <a:alpha val="100000"/>
        </a:srgbClr>
      </a:solidFill>
      <a:prstDash val="solid"/>
      <a:round/>
    </a:ln>
  </c:spPr>
  <c:txPr>
    <a:bodyPr rot="0" wrap="square" anchor="ctr" anchorCtr="true"/>
    <a:lstStyle/>
    <a:p>
      <a:pPr>
        <a:defRPr lang="zh-CN" sz="900" b="0" i="0" u="none" strike="noStrike" baseline="0">
          <a:solidFill>
            <a:srgbClr val="000000"/>
          </a:solidFill>
          <a:latin typeface="永中宋体" panose="02010600030101010101" charset="-122"/>
          <a:ea typeface="永中宋体" panose="02010600030101010101" charset="-122"/>
          <a:cs typeface="永中宋体" panose="02010600030101010101"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“三公”经费财政拨款支出结构</a:t>
            </a:r>
          </a:p>
        </c:rich>
      </c:tx>
      <c:layout/>
      <c:overlay val="false"/>
      <c:spPr>
        <a:noFill/>
        <a:ln>
          <a:noFill/>
        </a:ln>
        <a:effectLst/>
      </c:spPr>
    </c:title>
    <c:autoTitleDeleted val="false"/>
    <c:plotArea>
      <c:layout>
        <c:manualLayout>
          <c:layoutTarget val="inner"/>
          <c:xMode val="edge"/>
          <c:yMode val="edge"/>
          <c:x val="0.280921052631579"/>
          <c:y val="0.297786326632444"/>
          <c:w val="0.408016243636231"/>
          <c:h val="0.620557024541795"/>
        </c:manualLayout>
      </c:layout>
      <c:pieChart>
        <c:varyColors val="true"/>
        <c:ser>
          <c:idx val="0"/>
          <c:order val="0"/>
          <c:spPr>
            <a:ln w="31750" cmpd="dbl">
              <a:solidFill>
                <a:schemeClr val="bg1"/>
              </a:solidFill>
              <a:prstDash val="solid"/>
            </a:ln>
            <a:effectLst>
              <a:innerShdw blurRad="63500" dist="114300">
                <a:prstClr val="black">
                  <a:alpha val="50000"/>
                </a:prstClr>
              </a:innerShdw>
            </a:effectLst>
            <a:sp3d contourW="31750"/>
          </c:spPr>
          <c:explosion val="0"/>
          <c:dPt>
            <c:idx val="0"/>
            <c:bubble3D val="false"/>
            <c:spPr>
              <a:solidFill>
                <a:schemeClr val="accent1"/>
              </a:solidFill>
              <a:ln w="31750" cmpd="dbl">
                <a:solidFill>
                  <a:schemeClr val="bg1"/>
                </a:solidFill>
                <a:prstDash val="solid"/>
              </a:ln>
              <a:effectLst>
                <a:innerShdw blurRad="63500" dist="114300">
                  <a:schemeClr val="accent1">
                    <a:lumMod val="50000"/>
                    <a:alpha val="100000"/>
                  </a:schemeClr>
                </a:innerShdw>
              </a:effectLst>
              <a:sp3d contourW="31750"/>
            </c:spPr>
          </c:dPt>
          <c:dPt>
            <c:idx val="1"/>
            <c:bubble3D val="false"/>
            <c:spPr>
              <a:solidFill>
                <a:schemeClr val="accent2"/>
              </a:solidFill>
              <a:ln w="38100" cmpd="dbl">
                <a:solidFill>
                  <a:schemeClr val="bg1"/>
                </a:solidFill>
                <a:prstDash val="solid"/>
              </a:ln>
              <a:effectLst>
                <a:innerShdw blurRad="63500" dist="114300">
                  <a:schemeClr val="accent2">
                    <a:lumMod val="50000"/>
                    <a:alpha val="100000"/>
                  </a:schemeClr>
                </a:innerShdw>
              </a:effectLst>
              <a:sp3d contourW="38100"/>
            </c:spPr>
          </c:dPt>
          <c:dPt>
            <c:idx val="2"/>
            <c:bubble3D val="false"/>
            <c:spPr>
              <a:solidFill>
                <a:schemeClr val="accent3"/>
              </a:solidFill>
              <a:ln w="31750" cmpd="dbl">
                <a:solidFill>
                  <a:schemeClr val="bg1"/>
                </a:solidFill>
                <a:prstDash val="solid"/>
              </a:ln>
              <a:effectLst>
                <a:innerShdw blurRad="63500" dist="114300">
                  <a:schemeClr val="accent3">
                    <a:lumMod val="50000"/>
                    <a:alpha val="100000"/>
                  </a:schemeClr>
                </a:innerShdw>
              </a:effectLst>
              <a:sp3d contourW="31750"/>
            </c:spPr>
          </c:dPt>
          <c:dLbls>
            <c:dLbl>
              <c:idx val="0"/>
              <c:layout>
                <c:manualLayout>
                  <c:x val="0.0836842105263158"/>
                  <c:y val="0.0360216129677807"/>
                </c:manualLayout>
              </c:layout>
              <c:numFmt formatCode="0.00%" sourceLinked="false"/>
              <c:spPr>
                <a:noFill/>
                <a:ln w="12700" cmpd="sng">
                  <a:solidFill>
                    <a:srgbClr val="5B9BD5"/>
                  </a:solidFill>
                  <a:prstDash val="solid"/>
                </a:ln>
                <a:effectLst/>
              </c:spPr>
              <c:txPr>
                <a:bodyPr rot="0" spcFirstLastPara="0" vertOverflow="ellipsis" vert="horz" wrap="square" lIns="38100" tIns="19050" rIns="38100" bIns="19050" anchor="ctr" anchorCtr="true" forceAA="false"/>
                <a:lstStyle/>
                <a:p>
                  <a:pPr>
                    <a:defRPr lang="zh-CN" sz="900" b="0" i="0" u="none" strike="noStrike" kern="1200" baseline="0">
                      <a:gradFill>
                        <a:gsLst>
                          <a:gs pos="50000">
                            <a:schemeClr val="accent1"/>
                          </a:gs>
                          <a:gs pos="0">
                            <a:schemeClr val="accent1">
                              <a:lumMod val="25000"/>
                              <a:lumOff val="75000"/>
                            </a:schemeClr>
                          </a:gs>
                          <a:gs pos="100000">
                            <a:schemeClr val="accent1">
                              <a:lumMod val="85000"/>
                            </a:schemeClr>
                          </a:gs>
                        </a:gsLst>
                        <a:lin ang="5400000" scaled="true"/>
                      </a:gra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108947368421053"/>
                  <c:y val="-0.0408244946968181"/>
                </c:manualLayout>
              </c:layout>
              <c:numFmt formatCode="0.00%" sourceLinked="false"/>
              <c:spPr>
                <a:noFill/>
                <a:ln w="12700" cmpd="sng">
                  <a:solidFill>
                    <a:srgbClr val="5B9BD5"/>
                  </a:solidFill>
                  <a:prstDash val="solid"/>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FFC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dLbl>
              <c:idx val="2"/>
              <c:layout>
                <c:manualLayout>
                  <c:x val="-0.165789473684211"/>
                  <c:y val="0.00480288172903742"/>
                </c:manualLayout>
              </c:layout>
              <c:numFmt formatCode="0.00%" sourceLinked="false"/>
              <c:spPr>
                <a:noFill/>
                <a:ln w="12700" cmpd="sng">
                  <a:solidFill>
                    <a:srgbClr val="5B9BD5"/>
                  </a:solidFill>
                  <a:prstDash val="solid"/>
                </a:ln>
                <a:effectLst/>
              </c:spPr>
              <c:txPr>
                <a:bodyPr rot="0" spcFirstLastPara="0" vertOverflow="ellipsis" vert="horz" wrap="square" lIns="38100" tIns="19050" rIns="38100" bIns="19050" anchor="ctr" anchorCtr="true" forceAA="false"/>
                <a:lstStyle/>
                <a:p>
                  <a:pPr>
                    <a:defRPr lang="zh-CN" sz="900" b="0" i="0" u="none" strike="noStrike" kern="1200" baseline="0">
                      <a:solidFill>
                        <a:srgbClr val="7030A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bestFit"/>
              <c:showLegendKey val="tru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w="12700" cmpd="sng">
                <a:solidFill>
                  <a:srgbClr val="5B9BD5"/>
                </a:solidFill>
                <a:prstDash val="solid"/>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false"/>
            <c:showCatName val="true"/>
            <c:showSerName val="false"/>
            <c:showPercent val="true"/>
            <c:showBubbleSize val="false"/>
            <c:separator> </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[文件4.xls]工作表1!$P$12:$P$14</c:f>
              <c:strCache>
                <c:ptCount val="3"/>
                <c:pt idx="0">
                  <c:v>因公出国（境）费</c:v>
                </c:pt>
                <c:pt idx="1">
                  <c:v>公务用车购置及运行维护费</c:v>
                </c:pt>
                <c:pt idx="2">
                  <c:v>公务接待费</c:v>
                </c:pt>
              </c:strCache>
            </c:strRef>
          </c:cat>
          <c:val>
            <c:numRef>
              <c:f>[文件4.xls]工作表1!$Q$12:$Q$14</c:f>
              <c:numCache>
                <c:formatCode>General</c:formatCode>
                <c:ptCount val="3"/>
                <c:pt idx="0">
                  <c:v>11.6</c:v>
                </c:pt>
                <c:pt idx="1">
                  <c:v>39.66</c:v>
                </c:pt>
                <c:pt idx="2">
                  <c:v>1.54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gap"/>
    <c:showDLblsOverMax val="false"/>
  </c:chart>
  <c:spPr>
    <a:solidFill>
      <a:schemeClr val="bg1"/>
    </a:solidFill>
    <a:ln w="12700" cap="flat" cmpd="sng" algn="ctr">
      <a:solidFill>
        <a:sysClr val="windowText" lastClr="000000">
          <a:lumMod val="50000"/>
          <a:lumOff val="50000"/>
        </a:sysClr>
      </a:solidFill>
      <a:prstDash val="solid"/>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6097144-55e2-49a7-a727-62ccff64b659}"/>
        <w:style w:val=""/>
        <w:category>
          <w:name w:val="常规"/>
          <w:gallery w:val="placeholder"/>
        </w:category>
        <w:types>
          <w:type w:val="bbPlcHdr"/>
        </w:types>
        <w:behaviors>
          <w:behavior w:val="content"/>
        </w:behaviors>
        <w:description w:val=""/>
        <w:guid w:val="{f6097144-55e2-49a7-a727-62ccff64b659}"/>
      </w:docPartPr>
      <w:docPartBody>
        <w:p>
          <w:r>
            <w:rPr>
              <w:color w:val="808080"/>
            </w:rPr>
            <w:t>单击此处输入文字。</w:t>
          </w:r>
        </w:p>
      </w:docPartBody>
    </w:docPart>
    <w:docPart>
      <w:docPartPr>
        <w:name w:val="{478f8be7-5420-4299-8044-b38f49c33ec5}"/>
        <w:style w:val=""/>
        <w:category>
          <w:name w:val="常规"/>
          <w:gallery w:val="placeholder"/>
        </w:category>
        <w:types>
          <w:type w:val="bbPlcHdr"/>
        </w:types>
        <w:behaviors>
          <w:behavior w:val="content"/>
        </w:behaviors>
        <w:description w:val=""/>
        <w:guid w:val="{478f8be7-5420-4299-8044-b38f49c33ec5}"/>
      </w:docPartPr>
      <w:docPartBody>
        <w:p>
          <w:r>
            <w:rPr>
              <w:color w:val="808080"/>
            </w:rPr>
            <w:t>单击此处输入文字。</w:t>
          </w:r>
        </w:p>
      </w:docPartBody>
    </w:docPart>
    <w:docPart>
      <w:docPartPr>
        <w:name w:val="{0515b897-449c-4b4a-a860-0bcbd786c4a7}"/>
        <w:style w:val=""/>
        <w:category>
          <w:name w:val="常规"/>
          <w:gallery w:val="placeholder"/>
        </w:category>
        <w:types>
          <w:type w:val="bbPlcHdr"/>
        </w:types>
        <w:behaviors>
          <w:behavior w:val="content"/>
        </w:behaviors>
        <w:description w:val=""/>
        <w:guid w:val="{0515b897-449c-4b4a-a860-0bcbd786c4a7}"/>
      </w:docPartPr>
      <w:docPartBody>
        <w:p>
          <w:r>
            <w:rPr>
              <w:color w:val="808080"/>
            </w:rPr>
            <w:t>单击此处输入文字。</w:t>
          </w:r>
        </w:p>
      </w:docPartBody>
    </w:docPart>
    <w:docPart>
      <w:docPartPr>
        <w:name w:val="{4bd3e04b-0252-4a0e-9335-63eb1c321b11}"/>
        <w:style w:val=""/>
        <w:category>
          <w:name w:val="常规"/>
          <w:gallery w:val="placeholder"/>
        </w:category>
        <w:types>
          <w:type w:val="bbPlcHdr"/>
        </w:types>
        <w:behaviors>
          <w:behavior w:val="content"/>
        </w:behaviors>
        <w:description w:val=""/>
        <w:guid w:val="{4bd3e04b-0252-4a0e-9335-63eb1c321b11}"/>
      </w:docPartPr>
      <w:docPartBody>
        <w:p>
          <w:r>
            <w:rPr>
              <w:color w:val="808080"/>
            </w:rPr>
            <w:t>单击此处输入文字。</w:t>
          </w:r>
        </w:p>
      </w:docPartBody>
    </w:docPart>
    <w:docPart>
      <w:docPartPr>
        <w:name w:val="{4b76f297-ea6c-49ea-9c5f-31b6ef083125}"/>
        <w:style w:val=""/>
        <w:category>
          <w:name w:val="常规"/>
          <w:gallery w:val="placeholder"/>
        </w:category>
        <w:types>
          <w:type w:val="bbPlcHdr"/>
        </w:types>
        <w:behaviors>
          <w:behavior w:val="content"/>
        </w:behaviors>
        <w:description w:val=""/>
        <w:guid w:val="{4b76f297-ea6c-49ea-9c5f-31b6ef083125}"/>
      </w:docPartPr>
      <w:docPartBody>
        <w:p>
          <w:r>
            <w:rPr>
              <w:color w:val="808080"/>
            </w:rPr>
            <w:t>单击此处输入文字。</w:t>
          </w:r>
        </w:p>
      </w:docPartBody>
    </w:docPart>
    <w:docPart>
      <w:docPartPr>
        <w:name w:val="{eefc5a22-9001-4d38-a183-442efbf2cecd}"/>
        <w:style w:val=""/>
        <w:category>
          <w:name w:val="常规"/>
          <w:gallery w:val="placeholder"/>
        </w:category>
        <w:types>
          <w:type w:val="bbPlcHdr"/>
        </w:types>
        <w:behaviors>
          <w:behavior w:val="content"/>
        </w:behaviors>
        <w:description w:val=""/>
        <w:guid w:val="{eefc5a22-9001-4d38-a183-442efbf2cecd}"/>
      </w:docPartPr>
      <w:docPartBody>
        <w:p>
          <w:r>
            <w:rPr>
              <w:color w:val="808080"/>
            </w:rPr>
            <w:t>单击此处输入文字。</w:t>
          </w:r>
        </w:p>
      </w:docPartBody>
    </w:docPart>
    <w:docPart>
      <w:docPartPr>
        <w:name w:val="{c2db00bb-4ff8-4ac7-af77-3326a0d20361}"/>
        <w:style w:val=""/>
        <w:category>
          <w:name w:val="常规"/>
          <w:gallery w:val="placeholder"/>
        </w:category>
        <w:types>
          <w:type w:val="bbPlcHdr"/>
        </w:types>
        <w:behaviors>
          <w:behavior w:val="content"/>
        </w:behaviors>
        <w:description w:val=""/>
        <w:guid w:val="{c2db00bb-4ff8-4ac7-af77-3326a0d20361}"/>
      </w:docPartPr>
      <w:docPartBody>
        <w:p>
          <w:r>
            <w:rPr>
              <w:color w:val="808080"/>
            </w:rPr>
            <w:t>单击此处输入文字。</w:t>
          </w:r>
        </w:p>
      </w:docPartBody>
    </w:docPart>
    <w:docPart>
      <w:docPartPr>
        <w:name w:val="{de42ce3d-4c15-466e-8730-e9b5e9dbb85c}"/>
        <w:style w:val=""/>
        <w:category>
          <w:name w:val="常规"/>
          <w:gallery w:val="placeholder"/>
        </w:category>
        <w:types>
          <w:type w:val="bbPlcHdr"/>
        </w:types>
        <w:behaviors>
          <w:behavior w:val="content"/>
        </w:behaviors>
        <w:description w:val=""/>
        <w:guid w:val="{de42ce3d-4c15-466e-8730-e9b5e9dbb85c}"/>
      </w:docPartPr>
      <w:docPartBody>
        <w:p>
          <w:r>
            <w:rPr>
              <w:color w:val="808080"/>
            </w:rPr>
            <w:t>单击此处输入文字。</w:t>
          </w:r>
        </w:p>
      </w:docPartBody>
    </w:docPart>
    <w:docPart>
      <w:docPartPr>
        <w:name w:val="{0bf4b022-1d2c-4af2-a67f-3d249d63c47d}"/>
        <w:style w:val=""/>
        <w:category>
          <w:name w:val="常规"/>
          <w:gallery w:val="placeholder"/>
        </w:category>
        <w:types>
          <w:type w:val="bbPlcHdr"/>
        </w:types>
        <w:behaviors>
          <w:behavior w:val="content"/>
        </w:behaviors>
        <w:description w:val=""/>
        <w:guid w:val="{0bf4b022-1d2c-4af2-a67f-3d249d63c47d}"/>
      </w:docPartPr>
      <w:docPartBody>
        <w:p>
          <w:r>
            <w:rPr>
              <w:color w:val="808080"/>
            </w:rPr>
            <w:t>单击此处输入文字。</w:t>
          </w:r>
        </w:p>
      </w:docPartBody>
    </w:docPart>
    <w:docPart>
      <w:docPartPr>
        <w:name w:val="{f3f55f3c-e46d-45ec-8426-ef81b93d6ddb}"/>
        <w:style w:val=""/>
        <w:category>
          <w:name w:val="常规"/>
          <w:gallery w:val="placeholder"/>
        </w:category>
        <w:types>
          <w:type w:val="bbPlcHdr"/>
        </w:types>
        <w:behaviors>
          <w:behavior w:val="content"/>
        </w:behaviors>
        <w:description w:val=""/>
        <w:guid w:val="{f3f55f3c-e46d-45ec-8426-ef81b93d6ddb}"/>
      </w:docPartPr>
      <w:docPartBody>
        <w:p>
          <w:r>
            <w:rPr>
              <w:color w:val="808080"/>
            </w:rPr>
            <w:t>单击此处输入文字。</w:t>
          </w:r>
        </w:p>
      </w:docPartBody>
    </w:docPart>
    <w:docPart>
      <w:docPartPr>
        <w:name w:val="{997a0337-ab34-41bd-a3c3-4012d460d010}"/>
        <w:style w:val=""/>
        <w:category>
          <w:name w:val="常规"/>
          <w:gallery w:val="placeholder"/>
        </w:category>
        <w:types>
          <w:type w:val="bbPlcHdr"/>
        </w:types>
        <w:behaviors>
          <w:behavior w:val="content"/>
        </w:behaviors>
        <w:description w:val=""/>
        <w:guid w:val="{997a0337-ab34-41bd-a3c3-4012d460d010}"/>
      </w:docPartPr>
      <w:docPartBody>
        <w:p>
          <w:r>
            <w:rPr>
              <w:color w:val="808080"/>
            </w:rPr>
            <w:t>单击此处输入文字。</w:t>
          </w:r>
        </w:p>
      </w:docPartBody>
    </w:docPart>
    <w:docPart>
      <w:docPartPr>
        <w:name w:val="{21333c9f-82e6-447b-af31-6586c53589a6}"/>
        <w:style w:val=""/>
        <w:category>
          <w:name w:val="常规"/>
          <w:gallery w:val="placeholder"/>
        </w:category>
        <w:types>
          <w:type w:val="bbPlcHdr"/>
        </w:types>
        <w:behaviors>
          <w:behavior w:val="content"/>
        </w:behaviors>
        <w:description w:val=""/>
        <w:guid w:val="{21333c9f-82e6-447b-af31-6586c53589a6}"/>
      </w:docPartPr>
      <w:docPartBody>
        <w:p>
          <w:r>
            <w:rPr>
              <w:color w:val="808080"/>
            </w:rPr>
            <w:t>单击此处输入文字。</w:t>
          </w:r>
        </w:p>
      </w:docPartBody>
    </w:docPart>
    <w:docPart>
      <w:docPartPr>
        <w:name w:val="{cadbd507-70c5-47ab-bb09-e5f6a9858cbd}"/>
        <w:style w:val=""/>
        <w:category>
          <w:name w:val="常规"/>
          <w:gallery w:val="placeholder"/>
        </w:category>
        <w:types>
          <w:type w:val="bbPlcHdr"/>
        </w:types>
        <w:behaviors>
          <w:behavior w:val="content"/>
        </w:behaviors>
        <w:description w:val=""/>
        <w:guid w:val="{cadbd507-70c5-47ab-bb09-e5f6a9858cbd}"/>
      </w:docPartPr>
      <w:docPartBody>
        <w:p>
          <w:r>
            <w:rPr>
              <w:color w:val="808080"/>
            </w:rPr>
            <w:t>单击此处输入文字。</w:t>
          </w:r>
        </w:p>
      </w:docPartBody>
    </w:docPart>
    <w:docPart>
      <w:docPartPr>
        <w:name w:val="{7ec27e81-db40-4186-845d-598d569b2bda}"/>
        <w:style w:val=""/>
        <w:category>
          <w:name w:val="常规"/>
          <w:gallery w:val="placeholder"/>
        </w:category>
        <w:types>
          <w:type w:val="bbPlcHdr"/>
        </w:types>
        <w:behaviors>
          <w:behavior w:val="content"/>
        </w:behaviors>
        <w:description w:val=""/>
        <w:guid w:val="{7ec27e81-db40-4186-845d-598d569b2bda}"/>
      </w:docPartPr>
      <w:docPartBody>
        <w:p>
          <w:r>
            <w:rPr>
              <w:color w:val="808080"/>
            </w:rPr>
            <w:t>单击此处输入文字。</w:t>
          </w:r>
        </w:p>
      </w:docPartBody>
    </w:docPart>
    <w:docPart>
      <w:docPartPr>
        <w:name w:val="{3f8d39e2-471c-4eb9-93d4-2004f6066063}"/>
        <w:style w:val=""/>
        <w:category>
          <w:name w:val="常规"/>
          <w:gallery w:val="placeholder"/>
        </w:category>
        <w:types>
          <w:type w:val="bbPlcHdr"/>
        </w:types>
        <w:behaviors>
          <w:behavior w:val="content"/>
        </w:behaviors>
        <w:description w:val=""/>
        <w:guid w:val="{3f8d39e2-471c-4eb9-93d4-2004f6066063}"/>
      </w:docPartPr>
      <w:docPartBody>
        <w:p>
          <w:r>
            <w:rPr>
              <w:color w:val="808080"/>
            </w:rPr>
            <w:t>单击此处输入文字。</w:t>
          </w:r>
        </w:p>
      </w:docPartBody>
    </w:docPart>
    <w:docPart>
      <w:docPartPr>
        <w:name w:val="{e9fc3531-dc01-42bf-b79f-07303b3baf48}"/>
        <w:style w:val=""/>
        <w:category>
          <w:name w:val="常规"/>
          <w:gallery w:val="placeholder"/>
        </w:category>
        <w:types>
          <w:type w:val="bbPlcHdr"/>
        </w:types>
        <w:behaviors>
          <w:behavior w:val="content"/>
        </w:behaviors>
        <w:description w:val=""/>
        <w:guid w:val="{e9fc3531-dc01-42bf-b79f-07303b3baf48}"/>
      </w:docPartPr>
      <w:docPartBody>
        <w:p>
          <w:r>
            <w:rPr>
              <w:color w:val="808080"/>
            </w:rPr>
            <w:t>单击此处输入文字。</w:t>
          </w:r>
        </w:p>
      </w:docPartBody>
    </w:docPart>
    <w:docPart>
      <w:docPartPr>
        <w:name w:val="{bd4cc7b2-627a-408a-9453-9f7bf8777834}"/>
        <w:style w:val=""/>
        <w:category>
          <w:name w:val="常规"/>
          <w:gallery w:val="placeholder"/>
        </w:category>
        <w:types>
          <w:type w:val="bbPlcHdr"/>
        </w:types>
        <w:behaviors>
          <w:behavior w:val="content"/>
        </w:behaviors>
        <w:description w:val=""/>
        <w:guid w:val="{bd4cc7b2-627a-408a-9453-9f7bf8777834}"/>
      </w:docPartPr>
      <w:docPartBody>
        <w:p>
          <w:r>
            <w:rPr>
              <w:color w:val="808080"/>
            </w:rPr>
            <w:t>单击此处输入文字。</w:t>
          </w:r>
        </w:p>
      </w:docPartBody>
    </w:docPart>
    <w:docPart>
      <w:docPartPr>
        <w:name w:val="{3eea80dc-9248-47ad-a3c2-15a274d6cbd0}"/>
        <w:style w:val=""/>
        <w:category>
          <w:name w:val="常规"/>
          <w:gallery w:val="placeholder"/>
        </w:category>
        <w:types>
          <w:type w:val="bbPlcHdr"/>
        </w:types>
        <w:behaviors>
          <w:behavior w:val="content"/>
        </w:behaviors>
        <w:description w:val=""/>
        <w:guid w:val="{3eea80dc-9248-47ad-a3c2-15a274d6cbd0}"/>
      </w:docPartPr>
      <w:docPartBody>
        <w:p>
          <w:r>
            <w:rPr>
              <w:color w:val="808080"/>
            </w:rPr>
            <w:t>单击此处输入文字。</w:t>
          </w:r>
        </w:p>
      </w:docPartBody>
    </w:docPart>
    <w:docPart>
      <w:docPartPr>
        <w:name w:val="{e623334f-fe19-4c41-ba24-0949f4957ce3}"/>
        <w:style w:val=""/>
        <w:category>
          <w:name w:val="常规"/>
          <w:gallery w:val="placeholder"/>
        </w:category>
        <w:types>
          <w:type w:val="bbPlcHdr"/>
        </w:types>
        <w:behaviors>
          <w:behavior w:val="content"/>
        </w:behaviors>
        <w:description w:val=""/>
        <w:guid w:val="{e623334f-fe19-4c41-ba24-0949f4957ce3}"/>
      </w:docPartPr>
      <w:docPartBody>
        <w:p>
          <w:r>
            <w:rPr>
              <w:color w:val="808080"/>
            </w:rPr>
            <w:t>单击此处输入文字。</w:t>
          </w:r>
        </w:p>
      </w:docPartBody>
    </w:docPart>
    <w:docPart>
      <w:docPartPr>
        <w:name w:val="{6e268ae7-a815-4212-81d6-84d20c02c9c9}"/>
        <w:style w:val=""/>
        <w:category>
          <w:name w:val="常规"/>
          <w:gallery w:val="placeholder"/>
        </w:category>
        <w:types>
          <w:type w:val="bbPlcHdr"/>
        </w:types>
        <w:behaviors>
          <w:behavior w:val="content"/>
        </w:behaviors>
        <w:description w:val=""/>
        <w:guid w:val="{6e268ae7-a815-4212-81d6-84d20c02c9c9}"/>
      </w:docPartPr>
      <w:docPartBody>
        <w:p>
          <w:r>
            <w:rPr>
              <w:color w:val="808080"/>
            </w:rPr>
            <w:t>单击此处输入文字。</w:t>
          </w:r>
        </w:p>
      </w:docPartBody>
    </w:docPart>
    <w:docPart>
      <w:docPartPr>
        <w:name w:val="{b0fa8657-3acf-48e6-b554-d62577eea75e}"/>
        <w:style w:val=""/>
        <w:category>
          <w:name w:val="常规"/>
          <w:gallery w:val="placeholder"/>
        </w:category>
        <w:types>
          <w:type w:val="bbPlcHdr"/>
        </w:types>
        <w:behaviors>
          <w:behavior w:val="content"/>
        </w:behaviors>
        <w:description w:val=""/>
        <w:guid w:val="{b0fa8657-3acf-48e6-b554-d62577eea75e}"/>
      </w:docPartPr>
      <w:docPartBody>
        <w:p>
          <w:r>
            <w:rPr>
              <w:color w:val="808080"/>
            </w:rPr>
            <w:t>单击此处输入文字。</w:t>
          </w:r>
        </w:p>
      </w:docPartBody>
    </w:docPart>
    <w:docPart>
      <w:docPartPr>
        <w:name w:val="{a356e931-35ee-4713-8474-643eda73c80b}"/>
        <w:style w:val=""/>
        <w:category>
          <w:name w:val="常规"/>
          <w:gallery w:val="placeholder"/>
        </w:category>
        <w:types>
          <w:type w:val="bbPlcHdr"/>
        </w:types>
        <w:behaviors>
          <w:behavior w:val="content"/>
        </w:behaviors>
        <w:description w:val=""/>
        <w:guid w:val="{a356e931-35ee-4713-8474-643eda73c80b}"/>
      </w:docPartPr>
      <w:docPartBody>
        <w:p>
          <w:r>
            <w:rPr>
              <w:color w:val="808080"/>
            </w:rPr>
            <w:t>单击此处输入文字。</w:t>
          </w:r>
        </w:p>
      </w:docPartBody>
    </w:docPart>
    <w:docPart>
      <w:docPartPr>
        <w:name w:val="{6b36350d-c884-4b9b-a30b-957d4027fd23}"/>
        <w:style w:val=""/>
        <w:category>
          <w:name w:val="常规"/>
          <w:gallery w:val="placeholder"/>
        </w:category>
        <w:types>
          <w:type w:val="bbPlcHdr"/>
        </w:types>
        <w:behaviors>
          <w:behavior w:val="content"/>
        </w:behaviors>
        <w:description w:val=""/>
        <w:guid w:val="{6b36350d-c884-4b9b-a30b-957d4027fd23}"/>
      </w:docPartPr>
      <w:docPartBody>
        <w:p>
          <w:r>
            <w:rPr>
              <w:color w:val="808080"/>
            </w:rPr>
            <w:t>单击此处输入文字。</w:t>
          </w:r>
        </w:p>
      </w:docPartBody>
    </w:docPart>
    <w:docPart>
      <w:docPartPr>
        <w:name w:val="{5680a8d8-1a44-42c3-a60b-c187a881b914}"/>
        <w:style w:val=""/>
        <w:category>
          <w:name w:val="常规"/>
          <w:gallery w:val="placeholder"/>
        </w:category>
        <w:types>
          <w:type w:val="bbPlcHdr"/>
        </w:types>
        <w:behaviors>
          <w:behavior w:val="content"/>
        </w:behaviors>
        <w:description w:val=""/>
        <w:guid w:val="{5680a8d8-1a44-42c3-a60b-c187a881b914}"/>
      </w:docPartPr>
      <w:docPartBody>
        <w:p>
          <w:r>
            <w:rPr>
              <w:color w:val="808080"/>
            </w:rPr>
            <w:t>单击此处输入文字。</w:t>
          </w:r>
        </w:p>
      </w:docPartBody>
    </w:docPart>
    <w:docPart>
      <w:docPartPr>
        <w:name w:val="{0ec9d608-fd9f-426b-a55b-f3ca62d57c0e}"/>
        <w:style w:val=""/>
        <w:category>
          <w:name w:val="常规"/>
          <w:gallery w:val="placeholder"/>
        </w:category>
        <w:types>
          <w:type w:val="bbPlcHdr"/>
        </w:types>
        <w:behaviors>
          <w:behavior w:val="content"/>
        </w:behaviors>
        <w:description w:val=""/>
        <w:guid w:val="{0ec9d608-fd9f-426b-a55b-f3ca62d57c0e}"/>
      </w:docPartPr>
      <w:docPartBody>
        <w:p>
          <w:r>
            <w:rPr>
              <w:color w:val="808080"/>
            </w:rPr>
            <w:t>单击此处输入文字。</w:t>
          </w:r>
        </w:p>
      </w:docPartBody>
    </w:docPart>
    <w:docPart>
      <w:docPartPr>
        <w:name w:val="{e8128a04-6c96-4474-90bc-8c4afe625219}"/>
        <w:style w:val=""/>
        <w:category>
          <w:name w:val="常规"/>
          <w:gallery w:val="placeholder"/>
        </w:category>
        <w:types>
          <w:type w:val="bbPlcHdr"/>
        </w:types>
        <w:behaviors>
          <w:behavior w:val="content"/>
        </w:behaviors>
        <w:description w:val=""/>
        <w:guid w:val="{e8128a04-6c96-4474-90bc-8c4afe625219}"/>
      </w:docPartPr>
      <w:docPartBody>
        <w:p>
          <w:r>
            <w:rPr>
              <w:color w:val="808080"/>
            </w:rPr>
            <w:t>单击此处输入文字。</w:t>
          </w:r>
        </w:p>
      </w:docPartBody>
    </w:docPart>
    <w:docPart>
      <w:docPartPr>
        <w:name w:val="{ef4d12b5-bd09-4b74-af3d-206227b12657}"/>
        <w:style w:val=""/>
        <w:category>
          <w:name w:val="常规"/>
          <w:gallery w:val="placeholder"/>
        </w:category>
        <w:types>
          <w:type w:val="bbPlcHdr"/>
        </w:types>
        <w:behaviors>
          <w:behavior w:val="content"/>
        </w:behaviors>
        <w:description w:val=""/>
        <w:guid w:val="{ef4d12b5-bd09-4b74-af3d-206227b12657}"/>
      </w:docPartPr>
      <w:docPartBody>
        <w:p>
          <w:r>
            <w:rPr>
              <w:color w:val="808080"/>
            </w:rPr>
            <w:t>单击此处输入文字。</w:t>
          </w:r>
        </w:p>
      </w:docPartBody>
    </w:docPart>
    <w:docPart>
      <w:docPartPr>
        <w:name w:val="{22fc2e1f-fdbd-4ca2-8373-dc7fc7ff5530}"/>
        <w:style w:val=""/>
        <w:category>
          <w:name w:val="常规"/>
          <w:gallery w:val="placeholder"/>
        </w:category>
        <w:types>
          <w:type w:val="bbPlcHdr"/>
        </w:types>
        <w:behaviors>
          <w:behavior w:val="content"/>
        </w:behaviors>
        <w:description w:val=""/>
        <w:guid w:val="{22fc2e1f-fdbd-4ca2-8373-dc7fc7ff5530}"/>
      </w:docPartPr>
      <w:docPartBody>
        <w:p>
          <w:r>
            <w:rPr>
              <w:color w:val="808080"/>
            </w:rPr>
            <w:t>单击此处输入文字。</w:t>
          </w:r>
        </w:p>
      </w:docPartBody>
    </w:docPart>
    <w:docPart>
      <w:docPartPr>
        <w:name w:val="{a6ceab21-e630-48e1-93a3-4303f3d93ee0}"/>
        <w:style w:val=""/>
        <w:category>
          <w:name w:val="常规"/>
          <w:gallery w:val="placeholder"/>
        </w:category>
        <w:types>
          <w:type w:val="bbPlcHdr"/>
        </w:types>
        <w:behaviors>
          <w:behavior w:val="content"/>
        </w:behaviors>
        <w:description w:val=""/>
        <w:guid w:val="{a6ceab21-e630-48e1-93a3-4303f3d93ee0}"/>
      </w:docPartPr>
      <w:docPartBody>
        <w:p>
          <w:r>
            <w:rPr>
              <w:color w:val="808080"/>
            </w:rPr>
            <w:t>单击此处输入文字。</w:t>
          </w:r>
        </w:p>
      </w:docPartBody>
    </w:docPart>
    <w:docPart>
      <w:docPartPr>
        <w:name w:val="{ac1abae8-ed02-46af-8086-28d4af9bfa63}"/>
        <w:style w:val=""/>
        <w:category>
          <w:name w:val="常规"/>
          <w:gallery w:val="placeholder"/>
        </w:category>
        <w:types>
          <w:type w:val="bbPlcHdr"/>
        </w:types>
        <w:behaviors>
          <w:behavior w:val="content"/>
        </w:behaviors>
        <w:description w:val=""/>
        <w:guid w:val="{ac1abae8-ed02-46af-8086-28d4af9bfa6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彩色2">
    <a:dk1>
      <a:srgbClr val="000000"/>
    </a:dk1>
    <a:lt1>
      <a:srgbClr val="FFFFFF"/>
    </a:lt1>
    <a:dk2>
      <a:srgbClr val="44546A"/>
    </a:dk2>
    <a:lt2>
      <a:srgbClr val="E7E6E6"/>
    </a:lt2>
    <a:accent1>
      <a:srgbClr val="FF5958"/>
    </a:accent1>
    <a:accent2>
      <a:srgbClr val="FABB00"/>
    </a:accent2>
    <a:accent3>
      <a:srgbClr val="AC68FB"/>
    </a:accent3>
    <a:accent4>
      <a:srgbClr val="F75090"/>
    </a:accent4>
    <a:accent5>
      <a:srgbClr val="FF920C"/>
    </a:accent5>
    <a:accent6>
      <a:srgbClr val="ABD500"/>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15</Words>
  <Characters>18</Characters>
  <Lines>61</Lines>
  <Paragraphs>17</Paragraphs>
  <TotalTime>38</TotalTime>
  <ScaleCrop>false</ScaleCrop>
  <LinksUpToDate>false</LinksUpToDate>
  <CharactersWithSpaces>18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2020-08-12T17:49:00Z</dcterms:created>
  <dc:creator>曹颖</dc:creator>
  <cp:lastModifiedBy>靜待婲閞</cp:lastModifiedBy>
  <cp:lastPrinted>2025-09-17T10:45:57Z</cp:lastPrinted>
  <dcterms:modified xsi:type="dcterms:W3CDTF">2025-09-17T10:53:01Z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04787F2533EB45DC91BCDE4AB213247F</vt:lpwstr>
  </property>
  <property fmtid="{D5CDD505-2E9C-101B-9397-08002B2CF9AE}" pid="4" name="KSOTemplateDocerSaveRecord">
    <vt:lpwstr>eyJoZGlkIjoiNzg0NmNiM2Y4ODRiZjExMDFjZDJlYmE0ZjI4ODNmNjAiLCJ1c2VySWQiOiIxMDc5MjkwNzI3In0=</vt:lpwstr>
  </property>
</Properties>
</file>