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06267"/>
      <w:bookmarkStart w:id="2" w:name="_Toc15378441"/>
      <w:bookmarkStart w:id="3" w:name="_Toc15396475"/>
      <w:bookmarkStart w:id="4" w:name="_Toc15396597"/>
      <w:bookmarkStart w:id="5" w:name="_Toc15377425"/>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攀枝花市社会科学界</w:t>
      </w: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p>
      <w:pPr>
        <w:spacing w:line="600" w:lineRule="exact"/>
        <w:jc w:val="center"/>
        <w:outlineLvl w:val="0"/>
        <w:rPr>
          <w:rFonts w:ascii="Times New Roman" w:hAnsi="Times New Roman" w:eastAsia="方正小标宋简体"/>
          <w:color w:val="auto"/>
          <w:sz w:val="72"/>
          <w:szCs w:val="72"/>
          <w:highlight w:val="none"/>
        </w:rPr>
      </w:pP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bookmarkStart w:id="61" w:name="_GoBack"/>
      <w:bookmarkEnd w:id="61"/>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2</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10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11</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13</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17</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18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3"/>
        <w:jc w:val="center"/>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pPr>
      <w:bookmarkStart w:id="6" w:name="_Toc15377196"/>
      <w:bookmarkStart w:id="7" w:name="_Toc15396599"/>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pPr>
        <w:pStyle w:val="4"/>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一、</w:t>
      </w:r>
      <w:r>
        <w:rPr>
          <w:rFonts w:hint="eastAsia" w:ascii="Times New Roman" w:hAnsi="Times New Roman" w:eastAsia="黑体"/>
          <w:b w:val="0"/>
          <w:color w:val="auto"/>
          <w:highlight w:val="none"/>
          <w:lang w:eastAsia="zh-CN"/>
        </w:rPr>
        <w:t>单位职责</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攀枝花市社科联是中共攀枝花市委、攀枝花市人民政府领导下的学术性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群众</w:t>
      </w:r>
      <w:r>
        <w:rPr>
          <w:rFonts w:hint="default" w:ascii="Times New Roman" w:hAnsi="Times New Roman" w:eastAsia="仿宋_GB2312" w:cs="Times New Roman"/>
          <w:color w:val="000000" w:themeColor="text1"/>
          <w:sz w:val="32"/>
          <w:szCs w:val="32"/>
          <w14:textFill>
            <w14:solidFill>
              <w14:schemeClr w14:val="tx1"/>
            </w14:solidFill>
          </w14:textFill>
        </w:rPr>
        <w:t>团体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是市委、市政府联系全市广大社会科学工作者的桥梁和纽带。市社科联与市社会科学研究所一个机构，两块牌子，其主要职责是：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指导和协调所属各社科学会、协会、研究会工作；受市委、市政府委托，对全市性社科学术团体进行审查和管理；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受市委、市政府委托，负责制定全市社会科学研究中长期规划和年度计划，负责全市社会科学研究项目申报、评审立项、鉴定验收和课题的管理工作；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受市委、市政府委托，组织开展全市社会科学优秀科研成果评奖活动；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组织、指导重大的社会科学学术研究活动，促进社会科学学术交流；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普及马克思主义基本理论和社会科学知识，开展社会科学咨询服务工作；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编辑出版全市性社科理论刊物《攀枝花社会科学》；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贯</w:t>
      </w:r>
      <w:r>
        <w:rPr>
          <w:rFonts w:hint="default" w:ascii="Times New Roman" w:hAnsi="Times New Roman" w:eastAsia="仿宋_GB2312" w:cs="Times New Roman"/>
          <w:color w:val="000000" w:themeColor="text1"/>
          <w:sz w:val="32"/>
          <w:szCs w:val="32"/>
          <w14:textFill>
            <w14:solidFill>
              <w14:schemeClr w14:val="tx1"/>
            </w14:solidFill>
          </w14:textFill>
        </w:rPr>
        <w:t>彻党的路线、方针、政策和国家法律、法规，向党和政府反映社会科学界的意见和要求，维护社会科学工作者及社科团体的合法权益；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促进社会科学学术团体之间、理论工作部门与实际工作部门之间、社会科学界与自然科学界之间的联系与合作；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承办市委、市政府交办的其它事项。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pStyle w:val="4"/>
        <w:pageBreakBefore w:val="0"/>
        <w:widowControl w:val="0"/>
        <w:kinsoku/>
        <w:wordWrap/>
        <w:overflowPunct/>
        <w:topLinePunct w:val="0"/>
        <w:autoSpaceDE/>
        <w:autoSpaceDN/>
        <w:bidi w:val="0"/>
        <w:spacing w:before="0" w:after="0"/>
        <w:ind w:firstLine="640" w:firstLineChars="200"/>
        <w:textAlignment w:val="auto"/>
        <w:rPr>
          <w:rStyle w:val="29"/>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市社科联是参照公务员法管理的事业单位，为财政全额拨款二级预算单位，主管部门为市委宣传部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市社科联机关设置办公室、规划评奖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科</w:t>
      </w:r>
      <w:r>
        <w:rPr>
          <w:rFonts w:hint="default" w:ascii="Times New Roman" w:hAnsi="Times New Roman" w:eastAsia="仿宋_GB2312" w:cs="Times New Roman"/>
          <w:color w:val="000000" w:themeColor="text1"/>
          <w:sz w:val="32"/>
          <w:szCs w:val="32"/>
          <w14:textFill>
            <w14:solidFill>
              <w14:schemeClr w14:val="tx1"/>
            </w14:solidFill>
          </w14:textFill>
        </w:rPr>
        <w:t>、学会学术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科</w:t>
      </w:r>
      <w:r>
        <w:rPr>
          <w:rFonts w:hint="default" w:ascii="Times New Roman" w:hAnsi="Times New Roman" w:eastAsia="仿宋_GB2312" w:cs="Times New Roman"/>
          <w:color w:val="000000" w:themeColor="text1"/>
          <w:sz w:val="32"/>
          <w:szCs w:val="32"/>
          <w14:textFill>
            <w14:solidFill>
              <w14:schemeClr w14:val="tx1"/>
            </w14:solidFill>
          </w14:textFill>
        </w:rPr>
        <w:t>3个职能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科</w:t>
      </w:r>
      <w:r>
        <w:rPr>
          <w:rFonts w:hint="default" w:ascii="Times New Roman" w:hAnsi="Times New Roman" w:eastAsia="仿宋_GB2312" w:cs="Times New Roman"/>
          <w:color w:val="000000" w:themeColor="text1"/>
          <w:sz w:val="32"/>
          <w:szCs w:val="32"/>
          <w14:textFill>
            <w14:solidFill>
              <w14:schemeClr w14:val="tx1"/>
            </w14:solidFill>
          </w14:textFill>
        </w:rPr>
        <w:t>室。总编制9个，截至202</w:t>
      </w:r>
      <w:r>
        <w:rPr>
          <w:rFonts w:hint="default" w:eastAsia="仿宋_GB2312" w:cs="Times New Roman"/>
          <w:color w:val="000000" w:themeColor="text1"/>
          <w:sz w:val="32"/>
          <w:szCs w:val="32"/>
          <w:lang w:val="en"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年底在职人员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人。本年度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调入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调出</w:t>
      </w:r>
      <w:r>
        <w:rPr>
          <w:rFonts w:hint="default" w:ascii="Times New Roman" w:hAnsi="Times New Roman" w:eastAsia="仿宋_GB2312" w:cs="Times New Roman"/>
          <w:color w:val="000000" w:themeColor="text1"/>
          <w:sz w:val="32"/>
          <w:szCs w:val="32"/>
          <w14:textFill>
            <w14:solidFill>
              <w14:schemeClr w14:val="tx1"/>
            </w14:solidFill>
          </w14:textFill>
        </w:rPr>
        <w:t>减少1人。</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0"/>
      <w:bookmarkEnd w:id="11"/>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237.22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 w:cs="Times New Roman"/>
          <w:color w:val="000000" w:themeColor="text1"/>
          <w:sz w:val="32"/>
          <w:szCs w:val="32"/>
          <w:lang w:val="en-US" w:eastAsia="zh-CN"/>
          <w14:textFill>
            <w14:solidFill>
              <w14:schemeClr w14:val="tx1"/>
            </w14:solidFill>
          </w14:textFill>
        </w:rPr>
        <w:t>30.4</w:t>
      </w:r>
      <w:r>
        <w:rPr>
          <w:rFonts w:hint="eastAsia" w:ascii="Times New Roman" w:hAnsi="Times New Roman" w:eastAsia="仿宋_GB2312" w:cs="仿宋_GB2312"/>
          <w:color w:val="auto"/>
          <w:sz w:val="32"/>
          <w:szCs w:val="32"/>
          <w:highlight w:val="none"/>
        </w:rPr>
        <w:t>万元，增长</w:t>
      </w:r>
      <w:r>
        <w:rPr>
          <w:rFonts w:hint="eastAsia" w:eastAsia="仿宋" w:cs="Times New Roman"/>
          <w:color w:val="000000" w:themeColor="text1"/>
          <w:sz w:val="32"/>
          <w:szCs w:val="32"/>
          <w:lang w:val="en-US" w:eastAsia="zh-CN"/>
          <w14:textFill>
            <w14:solidFill>
              <w14:schemeClr w14:val="tx1"/>
            </w14:solidFill>
          </w14:textFill>
        </w:rPr>
        <w:t>14.7</w:t>
      </w:r>
      <w:r>
        <w:rPr>
          <w:rFonts w:hint="eastAsia" w:ascii="Times New Roman" w:hAnsi="Times New Roman" w:eastAsia="仿宋_GB2312" w:cs="仿宋_GB2312"/>
          <w:color w:val="auto"/>
          <w:sz w:val="32"/>
          <w:szCs w:val="32"/>
          <w:highlight w:val="none"/>
        </w:rPr>
        <w:t>%。主要变动原因是</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202</w:t>
      </w:r>
      <w:r>
        <w:rPr>
          <w:rFonts w:hint="eastAsia" w:eastAsia="仿宋"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年</w:t>
      </w:r>
      <w:r>
        <w:rPr>
          <w:rFonts w:hint="eastAsia" w:eastAsia="仿宋" w:cs="Times New Roman"/>
          <w:color w:val="000000" w:themeColor="text1"/>
          <w:sz w:val="32"/>
          <w:szCs w:val="32"/>
          <w:lang w:val="en-US" w:eastAsia="zh-CN"/>
          <w14:textFill>
            <w14:solidFill>
              <w14:schemeClr w14:val="tx1"/>
            </w14:solidFill>
          </w14:textFill>
        </w:rPr>
        <w:t>追加了</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项目</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经</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费</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drawing>
          <wp:inline distT="0" distB="0" distL="114300" distR="114300">
            <wp:extent cx="4572000" cy="274320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
        <w:rPr>
          <w:rFonts w:hint="eastAsia"/>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237.22万元，其中：一般公共预算财政拨款收入237.22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pPr>
        <w:ind w:firstLine="525" w:firstLineChars="250"/>
        <w:rPr>
          <w:rFonts w:hint="eastAsia" w:ascii="Times New Roman" w:hAnsi="Times New Roman" w:eastAsia="仿宋_GB2312" w:cs="仿宋_GB2312"/>
          <w:color w:val="auto"/>
          <w:sz w:val="32"/>
          <w:szCs w:val="32"/>
          <w:highlight w:val="none"/>
          <w:lang w:eastAsia="zh-CN"/>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4572000" cy="2743200"/>
            <wp:effectExtent l="4445" t="4445" r="14605"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bookmarkStart w:id="16" w:name="_Toc15396605"/>
      <w:bookmarkStart w:id="17" w:name="_Toc15377207"/>
      <w:r>
        <w:rPr>
          <w:rFonts w:hint="eastAsia" w:ascii="Times New Roman" w:hAnsi="Times New Roman" w:eastAsia="仿宋_GB2312" w:cs="仿宋_GB2312"/>
          <w:color w:val="auto"/>
          <w:sz w:val="32"/>
          <w:szCs w:val="32"/>
          <w:highlight w:val="none"/>
          <w:lang w:eastAsia="zh-CN"/>
        </w:rPr>
        <w:t>（图2：收入决算结构图）（饼状图）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Times New Roman" w:hAnsi="Times New Roman" w:eastAsia="仿宋_GB2312" w:cs="仿宋_GB2312"/>
          <w:color w:val="auto"/>
          <w:kern w:val="2"/>
          <w:sz w:val="32"/>
          <w:szCs w:val="32"/>
          <w:highlight w:val="none"/>
          <w:lang w:val="en-US" w:eastAsia="zh-CN" w:bidi="ar-SA"/>
        </w:rPr>
        <w:t>237.22</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kern w:val="2"/>
          <w:sz w:val="32"/>
          <w:szCs w:val="32"/>
          <w:highlight w:val="none"/>
          <w:lang w:val="en-US" w:eastAsia="zh-CN" w:bidi="ar-SA"/>
        </w:rPr>
        <w:t>210.66万</w:t>
      </w:r>
      <w:r>
        <w:rPr>
          <w:rFonts w:hint="eastAsia" w:ascii="仿宋_GB2312" w:hAnsi="仿宋_GB2312" w:eastAsia="仿宋_GB2312" w:cs="仿宋_GB2312"/>
          <w:color w:val="auto"/>
          <w:sz w:val="32"/>
          <w:szCs w:val="32"/>
          <w:highlight w:val="none"/>
          <w:lang w:eastAsia="zh-CN"/>
        </w:rPr>
        <w:t>元，占</w:t>
      </w:r>
      <w:r>
        <w:rPr>
          <w:rFonts w:hint="eastAsia" w:ascii="仿宋_GB2312" w:hAnsi="仿宋_GB2312" w:eastAsia="仿宋_GB2312" w:cs="仿宋_GB2312"/>
          <w:sz w:val="32"/>
          <w:szCs w:val="32"/>
        </w:rPr>
        <w:t>88.8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26.56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11.19</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371340" cy="3091180"/>
            <wp:effectExtent l="4445" t="4445" r="571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spacing w:line="600" w:lineRule="exact"/>
        <w:ind w:firstLine="640" w:firstLineChars="200"/>
        <w:outlineLvl w:val="1"/>
        <w:rPr>
          <w:rStyle w:val="29"/>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2024年度财政拨款收入、支出总计均为237.22万元。与2023年度相比，财政拨款收入总计、支出总计各增加30.4万元，增长14.7%。主要变动原因是2024年追加了项目经费。</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2"/>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901315"/>
            <wp:effectExtent l="4445" t="4445" r="14605" b="8890"/>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2"/>
        <w:rPr>
          <w:rFonts w:hint="eastAsia" w:ascii="Times New Roman" w:hAnsi="Times New Roman" w:eastAsia="黑体"/>
          <w:color w:val="auto"/>
          <w:sz w:val="32"/>
          <w:szCs w:val="32"/>
          <w:highlight w:val="none"/>
        </w:rPr>
      </w:pPr>
      <w:bookmarkStart w:id="20" w:name="_Toc15377209"/>
      <w:bookmarkStart w:id="21" w:name="_Toc15396607"/>
    </w:p>
    <w:p>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237.22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%。与2023年度相比，一般公共预算财政拨款支出增加30.4万元，增长14.7%。主要变动原因是2024年追加了项目经费。</w:t>
      </w: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pStyle w:val="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237.22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23.4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9.86</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151.67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63.94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35.26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14.86</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11.92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5.02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14.97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rPr>
          <w:rFonts w:hint="eastAsia" w:eastAsia="仿宋_GB2312" w:cs="仿宋_GB2312"/>
          <w:color w:val="auto"/>
          <w:kern w:val="2"/>
          <w:sz w:val="32"/>
          <w:szCs w:val="32"/>
          <w:highlight w:val="none"/>
          <w:lang w:val="en-US" w:eastAsia="zh-CN" w:bidi="ar-SA"/>
        </w:rPr>
      </w:pPr>
    </w:p>
    <w:p>
      <w:pPr>
        <w:pStyle w:val="2"/>
        <w:rPr>
          <w:rFonts w:hint="eastAsia" w:eastAsia="仿宋_GB2312" w:cs="仿宋_GB2312"/>
          <w:color w:val="auto"/>
          <w:kern w:val="2"/>
          <w:sz w:val="32"/>
          <w:szCs w:val="32"/>
          <w:highlight w:val="none"/>
          <w:lang w:val="en-US" w:eastAsia="zh-CN" w:bidi="ar-SA"/>
        </w:rPr>
      </w:pPr>
    </w:p>
    <w:p>
      <w:pPr>
        <w:pStyle w:val="2"/>
        <w:rPr>
          <w:rFonts w:hint="eastAsia" w:eastAsia="仿宋_GB2312" w:cs="仿宋_GB2312"/>
          <w:color w:val="auto"/>
          <w:kern w:val="2"/>
          <w:sz w:val="32"/>
          <w:szCs w:val="32"/>
          <w:highlight w:val="none"/>
          <w:lang w:val="en-US" w:eastAsia="zh-CN" w:bidi="ar-SA"/>
        </w:rPr>
      </w:pPr>
    </w:p>
    <w:p>
      <w:pPr>
        <w:pStyle w:val="2"/>
        <w:rPr>
          <w:rFonts w:hint="eastAsia" w:eastAsia="仿宋_GB2312" w:cs="仿宋_GB2312"/>
          <w:color w:val="auto"/>
          <w:kern w:val="2"/>
          <w:sz w:val="32"/>
          <w:szCs w:val="32"/>
          <w:highlight w:val="none"/>
          <w:lang w:val="en-US" w:eastAsia="zh-CN" w:bidi="ar-SA"/>
        </w:rPr>
      </w:pPr>
    </w:p>
    <w:p>
      <w:pPr>
        <w:pStyle w:val="2"/>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pStyle w:val="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3"/>
      <w:bookmarkStart w:id="26" w:name="_Toc15378460"/>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237.22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其他宣传事务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2.科学技术（类）科学技术管理事务（款）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148.67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.科学技术（类）社会科学（款）其他社会科学（项）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行政单位离退休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.社会保障和就业（类）行政事业单位养老（款）机关事业单位基本养老保险缴费（项）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支出决算为18.24万元，完成预算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.社会保障和就业（类）行政事业单位养老（款）机关事业单位职业年金缴费（项）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支出决算为8.78万元，完成预算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0.91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.卫生健康（类）行政事业单位医疗（款）其他行政事业单位医疗（项）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卫生健康（类）其他卫生健康（款）其他卫生健康（项）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住房保障（类）住房改革（款）住房公积金（项）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14.97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210.66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188.74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费、职工基本医疗保险缴费、公务员医疗补助缴费、其他社会保障缴费、住房公积金、生活补助、医疗费补助、其他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21.92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元，主要包括：办公费、印刷费、水费、电费、邮电费、物业管理费、差旅费、工会经费、福利费、其他交通费用、其他商品和服务支出等。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default" w:eastAsia="仿宋_GB2312" w:cs="仿宋_GB2312"/>
          <w:color w:val="auto"/>
          <w:kern w:val="2"/>
          <w:sz w:val="32"/>
          <w:szCs w:val="32"/>
          <w:highlight w:val="none"/>
          <w:lang w:val="en" w:eastAsia="zh-CN" w:bidi="ar-SA"/>
        </w:rPr>
        <w:t>0.2</w:t>
      </w:r>
      <w:r>
        <w:rPr>
          <w:rFonts w:hint="eastAsia" w:ascii="Times New Roman" w:hAnsi="Times New Roman" w:eastAsia="仿宋_GB2312" w:cs="仿宋_GB2312"/>
          <w:color w:val="auto"/>
          <w:kern w:val="2"/>
          <w:sz w:val="32"/>
          <w:szCs w:val="32"/>
          <w:highlight w:val="none"/>
          <w:lang w:val="en-US" w:eastAsia="zh-CN" w:bidi="ar-SA"/>
        </w:rPr>
        <w:t>万元，增长</w:t>
      </w:r>
      <w:r>
        <w:rPr>
          <w:rFonts w:hint="default" w:eastAsia="仿宋_GB2312" w:cs="仿宋_GB2312"/>
          <w:color w:val="auto"/>
          <w:kern w:val="2"/>
          <w:sz w:val="32"/>
          <w:szCs w:val="32"/>
          <w:highlight w:val="none"/>
          <w:lang w:val="en"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2024年度“三公”经费财政拨款支出决算中，因公出国（境）费支出决算0万元，占0%；公务用车购置及运行维护费支出决算0万元，占0%；公务接待费支出决算0.2万元，占100%。</w:t>
      </w:r>
    </w:p>
    <w:p>
      <w:pPr>
        <w:pStyle w:val="2"/>
        <w:jc w:val="center"/>
        <w:rPr>
          <w:rFonts w:hint="eastAsia"/>
          <w:lang w:val="en-US" w:eastAsia="zh-CN"/>
        </w:rPr>
      </w:pPr>
      <w:r>
        <w:drawing>
          <wp:inline distT="0" distB="0" distL="114300" distR="114300">
            <wp:extent cx="4572000" cy="2906395"/>
            <wp:effectExtent l="4445" t="4445" r="14605" b="22860"/>
            <wp:docPr id="1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1.因公出国（境）经费支出</w:t>
      </w:r>
      <w:r>
        <w:rPr>
          <w:rFonts w:hint="default" w:ascii="Times New Roman" w:hAnsi="Times New Roman" w:eastAsia="仿宋"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Style w:val="17"/>
          <w:rFonts w:hint="default" w:ascii="Times New Roman" w:hAnsi="Times New Roman" w:eastAsia="仿宋" w:cs="Times New Roman"/>
          <w:b w:val="0"/>
          <w:bCs/>
          <w:color w:val="000000" w:themeColor="text1"/>
          <w:sz w:val="32"/>
          <w:szCs w:val="32"/>
          <w14:textFill>
            <w14:solidFill>
              <w14:schemeClr w14:val="tx1"/>
            </w14:solidFill>
          </w14:textFill>
        </w:rPr>
        <w:t>完成预算</w:t>
      </w:r>
      <w:r>
        <w:rPr>
          <w:rStyle w:val="17"/>
          <w:rFonts w:hint="default" w:ascii="Times New Roman" w:hAnsi="Times New Roman" w:eastAsia="仿宋" w:cs="Times New Roman"/>
          <w:bCs/>
          <w:color w:val="000000" w:themeColor="text1"/>
          <w:sz w:val="32"/>
          <w:szCs w:val="32"/>
          <w14:textFill>
            <w14:solidFill>
              <w14:schemeClr w14:val="tx1"/>
            </w14:solidFill>
          </w14:textFill>
        </w:rPr>
        <w:t>0</w:t>
      </w:r>
      <w:r>
        <w:rPr>
          <w:rStyle w:val="17"/>
          <w:rFonts w:hint="default" w:ascii="Times New Roman" w:hAnsi="Times New Roman" w:eastAsia="仿宋" w:cs="Times New Roman"/>
          <w:b w:val="0"/>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全年安排因公出国（境）团组</w:t>
      </w: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次，出国（境）</w:t>
      </w: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人。因公出国（境）支出决算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持平</w:t>
      </w:r>
      <w:r>
        <w:rPr>
          <w:rFonts w:hint="default" w:ascii="Times New Roman" w:hAnsi="Times New Roman" w:eastAsia="仿宋_GB2312" w:cs="Times New Roman"/>
          <w:color w:val="000000" w:themeColor="text1"/>
          <w:sz w:val="32"/>
          <w:szCs w:val="32"/>
          <w14:textFill>
            <w14:solidFill>
              <w14:schemeClr w14:val="tx1"/>
            </w14:solidFill>
          </w14:textFill>
        </w:rPr>
        <w:t>。主要原因是我单位未有因公出国（境）事项。</w:t>
      </w:r>
    </w:p>
    <w:p>
      <w:pPr>
        <w:spacing w:line="600" w:lineRule="exact"/>
        <w:ind w:firstLine="640"/>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2.公务用车购置及运行维护费支出</w:t>
      </w:r>
      <w:r>
        <w:rPr>
          <w:rFonts w:hint="default" w:ascii="Times New Roman" w:hAnsi="Times New Roman" w:eastAsia="仿宋"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Style w:val="17"/>
          <w:rFonts w:hint="default" w:ascii="Times New Roman" w:hAnsi="Times New Roman" w:eastAsia="仿宋" w:cs="Times New Roman"/>
          <w:b w:val="0"/>
          <w:bCs/>
          <w:color w:val="000000" w:themeColor="text1"/>
          <w:sz w:val="32"/>
          <w:szCs w:val="32"/>
          <w14:textFill>
            <w14:solidFill>
              <w14:schemeClr w14:val="tx1"/>
            </w14:solidFill>
          </w14:textFill>
        </w:rPr>
        <w:t>完成预算</w:t>
      </w:r>
      <w:r>
        <w:rPr>
          <w:rStyle w:val="17"/>
          <w:rFonts w:hint="default" w:ascii="Times New Roman" w:hAnsi="Times New Roman" w:eastAsia="仿宋" w:cs="Times New Roman"/>
          <w:bCs/>
          <w:color w:val="000000" w:themeColor="text1"/>
          <w:sz w:val="32"/>
          <w:szCs w:val="32"/>
          <w14:textFill>
            <w14:solidFill>
              <w14:schemeClr w14:val="tx1"/>
            </w14:solidFill>
          </w14:textFill>
        </w:rPr>
        <w:t>0</w:t>
      </w:r>
      <w:r>
        <w:rPr>
          <w:rStyle w:val="17"/>
          <w:rFonts w:hint="default" w:ascii="Times New Roman" w:hAnsi="Times New Roman" w:eastAsia="仿宋" w:cs="Times New Roman"/>
          <w:b w:val="0"/>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公务用车购置及运行维护费支出决算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持平</w:t>
      </w:r>
      <w:r>
        <w:rPr>
          <w:rFonts w:hint="default" w:ascii="Times New Roman" w:hAnsi="Times New Roman" w:eastAsia="仿宋_GB2312" w:cs="Times New Roman"/>
          <w:color w:val="000000" w:themeColor="text1"/>
          <w:sz w:val="32"/>
          <w:szCs w:val="32"/>
          <w14:textFill>
            <w14:solidFill>
              <w14:schemeClr w14:val="tx1"/>
            </w14:solidFill>
          </w14:textFill>
        </w:rPr>
        <w:t>。主要原因是我单位没有公务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用</w:t>
      </w:r>
      <w:r>
        <w:rPr>
          <w:rFonts w:hint="default" w:ascii="Times New Roman" w:hAnsi="Times New Roman" w:eastAsia="仿宋_GB2312" w:cs="Times New Roman"/>
          <w:color w:val="000000" w:themeColor="text1"/>
          <w:sz w:val="32"/>
          <w:szCs w:val="32"/>
          <w14:textFill>
            <w14:solidFill>
              <w14:schemeClr w14:val="tx1"/>
            </w14:solidFill>
          </w14:textFill>
        </w:rPr>
        <w:t>车。</w:t>
      </w:r>
    </w:p>
    <w:p>
      <w:pPr>
        <w:spacing w:line="600" w:lineRule="exact"/>
        <w:ind w:firstLine="640" w:firstLineChars="200"/>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其中：</w:t>
      </w:r>
      <w:r>
        <w:rPr>
          <w:rFonts w:hint="default" w:ascii="Times New Roman" w:hAnsi="Times New Roman" w:eastAsia="仿宋_GB2312" w:cs="Times New Roman"/>
          <w:b/>
          <w:color w:val="000000" w:themeColor="text1"/>
          <w:sz w:val="32"/>
          <w:szCs w:val="32"/>
          <w14:textFill>
            <w14:solidFill>
              <w14:schemeClr w14:val="tx1"/>
            </w14:solidFill>
          </w14:textFill>
        </w:rPr>
        <w:t>公务用车购置支出</w:t>
      </w:r>
      <w:r>
        <w:rPr>
          <w:rFonts w:hint="default" w:ascii="Times New Roman" w:hAnsi="Times New Roman" w:eastAsia="仿宋"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万元。全年按规定更新购置公务用车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辆。截至202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年12月31日，单位共有公务用车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辆。</w:t>
      </w:r>
    </w:p>
    <w:p>
      <w:pPr>
        <w:spacing w:line="60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公务用车运行维护费支出</w:t>
      </w:r>
      <w:r>
        <w:rPr>
          <w:rFonts w:hint="default" w:ascii="Times New Roman" w:hAnsi="Times New Roman" w:eastAsia="仿宋"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default" w:eastAsia="仿宋_GB2312" w:cs="仿宋_GB2312"/>
          <w:color w:val="auto"/>
          <w:kern w:val="2"/>
          <w:sz w:val="32"/>
          <w:szCs w:val="32"/>
          <w:highlight w:val="none"/>
          <w:lang w:val="en" w:eastAsia="zh-CN" w:bidi="ar-SA"/>
        </w:rPr>
        <w:t>0.2</w:t>
      </w:r>
      <w:r>
        <w:rPr>
          <w:rFonts w:hint="eastAsia" w:ascii="Times New Roman" w:hAnsi="Times New Roman" w:eastAsia="仿宋_GB2312" w:cs="仿宋_GB2312"/>
          <w:color w:val="auto"/>
          <w:kern w:val="2"/>
          <w:sz w:val="32"/>
          <w:szCs w:val="32"/>
          <w:highlight w:val="none"/>
          <w:lang w:val="en-US" w:eastAsia="zh-CN" w:bidi="ar-SA"/>
        </w:rPr>
        <w:t>万元，增长</w:t>
      </w:r>
      <w:r>
        <w:rPr>
          <w:rFonts w:hint="default" w:eastAsia="仿宋_GB2312" w:cs="仿宋_GB2312"/>
          <w:color w:val="auto"/>
          <w:kern w:val="2"/>
          <w:sz w:val="32"/>
          <w:szCs w:val="32"/>
          <w:highlight w:val="none"/>
          <w:lang w:val="en"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default" w:eastAsia="仿宋_GB2312" w:cs="仿宋_GB2312"/>
          <w:color w:val="auto"/>
          <w:kern w:val="2"/>
          <w:sz w:val="32"/>
          <w:szCs w:val="32"/>
          <w:highlight w:val="none"/>
          <w:lang w:val="en" w:eastAsia="zh-CN" w:bidi="ar-SA"/>
        </w:rPr>
        <w:t>2023</w:t>
      </w:r>
      <w:r>
        <w:rPr>
          <w:rFonts w:hint="eastAsia" w:eastAsia="仿宋_GB2312" w:cs="仿宋_GB2312"/>
          <w:color w:val="auto"/>
          <w:kern w:val="2"/>
          <w:sz w:val="32"/>
          <w:szCs w:val="32"/>
          <w:highlight w:val="none"/>
          <w:lang w:val="en" w:eastAsia="zh-CN" w:bidi="ar-SA"/>
        </w:rPr>
        <w:t>年未产生公务接待费，</w:t>
      </w:r>
      <w:r>
        <w:rPr>
          <w:rFonts w:hint="eastAsia" w:eastAsia="仿宋_GB2312" w:cs="仿宋_GB2312"/>
          <w:color w:val="auto"/>
          <w:kern w:val="2"/>
          <w:sz w:val="32"/>
          <w:szCs w:val="32"/>
          <w:highlight w:val="none"/>
          <w:lang w:val="en-US" w:eastAsia="zh-CN" w:bidi="ar-SA"/>
        </w:rPr>
        <w:t>2024年产生公务接待0.2万元</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接待德阳市社科联来攀交流调研用餐费0.2万元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96610"/>
      <w:bookmarkStart w:id="35" w:name="_Toc15377218"/>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77219"/>
      <w:bookmarkStart w:id="37"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8" w:name="_Toc15377221"/>
      <w:bookmarkStart w:id="39"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攀枝花市社会科学界联合会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21.92</w:t>
      </w:r>
      <w:r>
        <w:rPr>
          <w:rFonts w:hint="eastAsia" w:ascii="仿宋_GB2312" w:hAnsi="仿宋_GB2312" w:eastAsia="仿宋_GB2312" w:cs="仿宋_GB2312"/>
          <w:sz w:val="32"/>
          <w:szCs w:val="32"/>
          <w:lang w:val="en-US" w:eastAsia="zh-CN"/>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1.55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default" w:eastAsia="仿宋_GB2312" w:cs="仿宋_GB2312"/>
          <w:color w:val="auto"/>
          <w:kern w:val="2"/>
          <w:sz w:val="32"/>
          <w:szCs w:val="32"/>
          <w:highlight w:val="none"/>
          <w:lang w:val="en" w:eastAsia="zh-CN" w:bidi="ar-SA"/>
        </w:rPr>
        <w:t>2023</w:t>
      </w:r>
      <w:r>
        <w:rPr>
          <w:rFonts w:hint="eastAsia" w:eastAsia="仿宋_GB2312" w:cs="仿宋_GB2312"/>
          <w:color w:val="auto"/>
          <w:kern w:val="2"/>
          <w:sz w:val="32"/>
          <w:szCs w:val="32"/>
          <w:highlight w:val="none"/>
          <w:lang w:val="en" w:eastAsia="zh-CN" w:bidi="ar-SA"/>
        </w:rPr>
        <w:t>年底退休</w:t>
      </w:r>
      <w:r>
        <w:rPr>
          <w:rFonts w:hint="eastAsia" w:eastAsia="仿宋_GB2312" w:cs="仿宋_GB2312"/>
          <w:color w:val="auto"/>
          <w:kern w:val="2"/>
          <w:sz w:val="32"/>
          <w:szCs w:val="32"/>
          <w:highlight w:val="none"/>
          <w:lang w:val="en-US" w:eastAsia="zh-CN" w:bidi="ar-SA"/>
        </w:rPr>
        <w:t>1人，2024年预算有所减少。</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攀枝花市社会科学界联合会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攀枝花市社会科学界联合会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攀枝花市社会科学界联合会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在2024年度预算编制阶段，组织对攀枝花市第十四次社会科学优秀成果评奖</w:t>
      </w:r>
      <w:r>
        <w:rPr>
          <w:rFonts w:hint="eastAsia" w:eastAsia="仿宋_GB2312" w:cs="仿宋_GB2312"/>
          <w:color w:val="auto"/>
          <w:kern w:val="2"/>
          <w:sz w:val="32"/>
          <w:szCs w:val="32"/>
          <w:highlight w:val="none"/>
          <w:lang w:val="en-US" w:eastAsia="zh-CN" w:bidi="ar-SA"/>
        </w:rPr>
        <w:t>、攀枝花市社科联第八次代表大会</w:t>
      </w:r>
      <w:r>
        <w:rPr>
          <w:rFonts w:hint="default" w:eastAsia="仿宋_GB2312" w:cs="仿宋_GB2312"/>
          <w:color w:val="auto"/>
          <w:kern w:val="2"/>
          <w:sz w:val="32"/>
          <w:szCs w:val="32"/>
          <w:highlight w:val="none"/>
          <w:lang w:val="en"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pStyle w:val="26"/>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1.财政拨款收入：指单位从同级财政部门取得的财政预算资金。</w:t>
      </w:r>
    </w:p>
    <w:p>
      <w:pPr>
        <w:pStyle w:val="26"/>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 xml:space="preserve">.年初结转和结余：指以前年度尚未完成、结转到本年按有关规定继续使用的资金。 </w:t>
      </w:r>
    </w:p>
    <w:p>
      <w:pPr>
        <w:pStyle w:val="26"/>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.年末结转和结余：指单位按有关规定结转到下年或以后年度继续使用的资金。</w:t>
      </w:r>
    </w:p>
    <w:p>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14:textFill>
            <w14:solidFill>
              <w14:schemeClr w14:val="tx1"/>
            </w14:solidFill>
          </w14:textFill>
        </w:rPr>
        <w:t>.科学技术</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支出</w:t>
      </w:r>
      <w:r>
        <w:rPr>
          <w:rFonts w:hint="default" w:ascii="Times New Roman" w:hAnsi="Times New Roman" w:eastAsia="仿宋_GB2312" w:cs="Times New Roman"/>
          <w:color w:val="000000" w:themeColor="text1"/>
          <w:kern w:val="0"/>
          <w:sz w:val="32"/>
          <w:szCs w:val="32"/>
          <w14:textFill>
            <w14:solidFill>
              <w14:schemeClr w14:val="tx1"/>
            </w14:solidFill>
          </w14:textFill>
        </w:rPr>
        <w:t>（类）科学技术管理事务（款）行政运行（项）</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指行政单位（包括实行公务员管理的事业单位）科学技术管理事务方面的基本支出。</w:t>
      </w:r>
    </w:p>
    <w:p>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14:textFill>
            <w14:solidFill>
              <w14:schemeClr w14:val="tx1"/>
            </w14:solidFill>
          </w14:textFill>
        </w:rPr>
        <w:t>.科学技术</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支出</w:t>
      </w:r>
      <w:r>
        <w:rPr>
          <w:rFonts w:hint="default" w:ascii="Times New Roman" w:hAnsi="Times New Roman" w:eastAsia="仿宋_GB2312" w:cs="Times New Roman"/>
          <w:color w:val="000000" w:themeColor="text1"/>
          <w:kern w:val="0"/>
          <w:sz w:val="32"/>
          <w:szCs w:val="32"/>
          <w14:textFill>
            <w14:solidFill>
              <w14:schemeClr w14:val="tx1"/>
            </w14:solidFill>
          </w14:textFill>
        </w:rPr>
        <w:t>（类）社会科学（款）其他社会科学</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支出</w:t>
      </w:r>
      <w:r>
        <w:rPr>
          <w:rFonts w:hint="default" w:ascii="Times New Roman" w:hAnsi="Times New Roman" w:eastAsia="仿宋_GB2312" w:cs="Times New Roman"/>
          <w:color w:val="000000" w:themeColor="text1"/>
          <w:kern w:val="0"/>
          <w:sz w:val="32"/>
          <w:szCs w:val="32"/>
          <w14:textFill>
            <w14:solidFill>
              <w14:schemeClr w14:val="tx1"/>
            </w14:solidFill>
          </w14:textFill>
        </w:rPr>
        <w:t>（项）：指其他用于社会科学研究方面的支出，包括中国社科院研究生院的支出。</w:t>
      </w:r>
    </w:p>
    <w:p>
      <w:pPr>
        <w:pStyle w:val="2"/>
        <w:ind w:firstLine="640" w:firstLineChars="200"/>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社会保障和就业支出（类）人力资源和社会保障管理事务（款）其他人力资源和社会保障管理事务支出（项）</w:t>
      </w:r>
      <w:r>
        <w:rPr>
          <w:rFonts w:hint="default" w:ascii="Times New Roman" w:hAnsi="Times New Roman" w:cs="Times New Roman"/>
          <w:color w:val="000000" w:themeColor="text1"/>
          <w:kern w:val="0"/>
          <w:sz w:val="32"/>
          <w:szCs w:val="32"/>
          <w:lang w:val="en-US" w:eastAsia="zh-CN" w:bidi="ar-SA"/>
          <w14:textFill>
            <w14:solidFill>
              <w14:schemeClr w14:val="tx1"/>
            </w14:solidFill>
          </w14:textFill>
        </w:rPr>
        <w:t>：指其他用于人力资源和社会保障管理事务方面的支出。</w:t>
      </w:r>
    </w:p>
    <w:p>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kern w:val="0"/>
          <w:sz w:val="32"/>
          <w:szCs w:val="32"/>
          <w14:textFill>
            <w14:solidFill>
              <w14:schemeClr w14:val="tx1"/>
            </w14:solidFill>
          </w14:textFill>
        </w:rPr>
        <w:t>.社会保障和就业</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支出</w:t>
      </w:r>
      <w:r>
        <w:rPr>
          <w:rFonts w:hint="default" w:ascii="Times New Roman" w:hAnsi="Times New Roman" w:eastAsia="仿宋_GB2312" w:cs="Times New Roman"/>
          <w:color w:val="000000" w:themeColor="text1"/>
          <w:kern w:val="0"/>
          <w:sz w:val="32"/>
          <w:szCs w:val="32"/>
          <w14:textFill>
            <w14:solidFill>
              <w14:schemeClr w14:val="tx1"/>
            </w14:solidFill>
          </w14:textFill>
        </w:rPr>
        <w:t>（类）行政事业单位养老支出（款）行政单位离退休（项）</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指行政单位（包括实行公务员管理的事业单位）开支的离退休经费。</w:t>
      </w:r>
    </w:p>
    <w:p>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kern w:val="0"/>
          <w:sz w:val="32"/>
          <w:szCs w:val="32"/>
          <w14:textFill>
            <w14:solidFill>
              <w14:schemeClr w14:val="tx1"/>
            </w14:solidFill>
          </w14:textFill>
        </w:rPr>
        <w:t>社会保障和就业</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支出</w:t>
      </w:r>
      <w:r>
        <w:rPr>
          <w:rFonts w:hint="default" w:ascii="Times New Roman" w:hAnsi="Times New Roman" w:eastAsia="仿宋_GB2312" w:cs="Times New Roman"/>
          <w:color w:val="000000" w:themeColor="text1"/>
          <w:kern w:val="0"/>
          <w:sz w:val="32"/>
          <w:szCs w:val="32"/>
          <w14:textFill>
            <w14:solidFill>
              <w14:schemeClr w14:val="tx1"/>
            </w14:solidFill>
          </w14:textFill>
        </w:rPr>
        <w:t>（类）行政事业单位养老支出（款）机关事业单位基本养老保险缴费支出（项）</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指机关事业单位实施养老保险制度由单位缴纳的基本养老保险支出。</w:t>
      </w:r>
    </w:p>
    <w:p>
      <w:pPr>
        <w:pStyle w:val="2"/>
        <w:ind w:firstLine="640" w:firstLineChars="200"/>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cs="Times New Roman"/>
          <w:color w:val="000000" w:themeColor="text1"/>
          <w:kern w:val="0"/>
          <w:sz w:val="32"/>
          <w:szCs w:val="32"/>
          <w:lang w:val="en-US" w:eastAsia="zh-CN" w:bidi="ar-SA"/>
          <w14:textFill>
            <w14:solidFill>
              <w14:schemeClr w14:val="tx1"/>
            </w14:solidFill>
          </w14:textFill>
        </w:rPr>
        <w:t>9.</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卫生健康支出（类）行政事业单位医疗（款）行政单位医疗（项）</w:t>
      </w:r>
      <w:r>
        <w:rPr>
          <w:rFonts w:hint="default" w:ascii="Times New Roman" w:hAnsi="Times New Roman" w:cs="Times New Roman"/>
          <w:color w:val="000000" w:themeColor="text1"/>
          <w:kern w:val="0"/>
          <w:sz w:val="32"/>
          <w:szCs w:val="32"/>
          <w:lang w:val="en-US" w:eastAsia="zh-CN" w:bidi="ar-SA"/>
          <w14:textFill>
            <w14:solidFill>
              <w14:schemeClr w14:val="tx1"/>
            </w14:solidFill>
          </w14:textFill>
        </w:rPr>
        <w:t>：指财政部门安排的行政单位基本医疗保险缴费经费。</w:t>
      </w:r>
    </w:p>
    <w:p>
      <w:pPr>
        <w:pStyle w:val="2"/>
        <w:ind w:firstLine="640" w:firstLineChars="200"/>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cs="Times New Roman"/>
          <w:color w:val="000000" w:themeColor="text1"/>
          <w:kern w:val="0"/>
          <w:sz w:val="32"/>
          <w:szCs w:val="32"/>
          <w:lang w:val="en-US" w:eastAsia="zh-CN" w:bidi="ar-SA"/>
          <w14:textFill>
            <w14:solidFill>
              <w14:schemeClr w14:val="tx1"/>
            </w14:solidFill>
          </w14:textFill>
        </w:rPr>
        <w:t>10.</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卫生健康支出（类）行政事业单位医疗（款）其他行政事业单位医疗支出（项）</w:t>
      </w:r>
      <w:r>
        <w:rPr>
          <w:rFonts w:hint="default" w:ascii="Times New Roman" w:hAnsi="Times New Roman" w:cs="Times New Roman"/>
          <w:color w:val="000000" w:themeColor="text1"/>
          <w:kern w:val="0"/>
          <w:sz w:val="32"/>
          <w:szCs w:val="32"/>
          <w:lang w:val="en-US" w:eastAsia="zh-CN" w:bidi="ar-SA"/>
          <w14:textFill>
            <w14:solidFill>
              <w14:schemeClr w14:val="tx1"/>
            </w14:solidFill>
          </w14:textFill>
        </w:rPr>
        <w:t>：指其他用于行政事业单位医疗方面的支出。</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kern w:val="0"/>
          <w:sz w:val="32"/>
          <w:szCs w:val="32"/>
          <w14:textFill>
            <w14:solidFill>
              <w14:schemeClr w14:val="tx1"/>
            </w14:solidFill>
          </w14:textFill>
        </w:rPr>
        <w:t>.卫生健康</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支出</w:t>
      </w:r>
      <w:r>
        <w:rPr>
          <w:rFonts w:hint="default" w:ascii="Times New Roman" w:hAnsi="Times New Roman" w:eastAsia="仿宋_GB2312" w:cs="Times New Roman"/>
          <w:color w:val="000000" w:themeColor="text1"/>
          <w:kern w:val="0"/>
          <w:sz w:val="32"/>
          <w:szCs w:val="32"/>
          <w14:textFill>
            <w14:solidFill>
              <w14:schemeClr w14:val="tx1"/>
            </w14:solidFill>
          </w14:textFill>
        </w:rPr>
        <w:t>（类）行政事业单位医疗（款）公务员医疗补助（项）</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指反映财政部门安排的</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公务员医疗补助经费。</w:t>
      </w:r>
    </w:p>
    <w:p>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kern w:val="0"/>
          <w:sz w:val="32"/>
          <w:szCs w:val="32"/>
          <w14:textFill>
            <w14:solidFill>
              <w14:schemeClr w14:val="tx1"/>
            </w14:solidFill>
          </w14:textFill>
        </w:rPr>
        <w:t>.住房保障支出（类）住房改革支出（款）住房公积金（项）：指行政事业单位按人力资源和社会保障、财政部规定的基本工资和津贴补贴以及规定比例为职工缴纳的住房公积金。</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26"/>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14:textFill>
            <w14:solidFill>
              <w14:schemeClr w14:val="tx1"/>
            </w14:solidFill>
          </w14:textFill>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7.基本支出：指为保障机构正常运转、完成日常工作任务而发生的人员支出和公用支出。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 xml:space="preserve">8.项目支出：指在基本支出之外为完成特定行政任务和事业发展目标所发生的支出。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Times New Roman" w:hAnsi="Times New Roman" w:eastAsia="黑体"/>
          <w:color w:val="auto"/>
          <w:sz w:val="44"/>
          <w:szCs w:val="44"/>
          <w:highlight w:val="none"/>
        </w:rPr>
      </w:pPr>
      <w:bookmarkStart w:id="45" w:name="_Toc15396614"/>
      <w:bookmarkStart w:id="46" w:name="_Toc15377226"/>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sectPr>
          <w:footerReference r:id="rId9" w:type="default"/>
          <w:pgSz w:w="11906" w:h="16838"/>
          <w:pgMar w:top="1440" w:right="1800" w:bottom="1440" w:left="1800" w:header="851" w:footer="992" w:gutter="0"/>
          <w:pgNumType w:fmt="numberInDash"/>
          <w:cols w:space="425" w:num="1"/>
          <w:titlePg/>
          <w:docGrid w:type="lines" w:linePitch="312" w:charSpace="0"/>
        </w:sectPr>
      </w:pPr>
    </w:p>
    <w:p>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5"/>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仿宋_GB2312"/>
          <w:b w:val="0"/>
          <w:bCs w:val="0"/>
          <w:kern w:val="0"/>
          <w:position w:val="0"/>
          <w:sz w:val="32"/>
          <w:szCs w:val="32"/>
          <w:highlight w:val="none"/>
          <w:lang w:val="en-US" w:eastAsia="zh-CN" w:bidi="ar-SA"/>
        </w:rPr>
        <w:t>部门预算项目支出绩效自评表（2024年度）</w:t>
      </w:r>
      <w:r>
        <w:rPr>
          <w:rFonts w:hint="eastAsia" w:ascii="Times New Roman" w:eastAsia="仿宋_GB2312" w:cs="仿宋_GB2312"/>
          <w:b w:val="0"/>
          <w:bCs w:val="0"/>
          <w:kern w:val="0"/>
          <w:position w:val="0"/>
          <w:sz w:val="32"/>
          <w:szCs w:val="32"/>
          <w:highlight w:val="none"/>
          <w:lang w:val="en-US" w:eastAsia="zh-CN" w:bidi="ar-SA"/>
        </w:rPr>
        <w:t>见附件3</w:t>
      </w:r>
    </w:p>
    <w:p>
      <w:pPr>
        <w:pStyle w:val="2"/>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widowControl/>
        <w:jc w:val="center"/>
        <w:rPr>
          <w:rFonts w:hint="eastAsia" w:ascii="Times New Roman" w:hAnsi="Times New Roman" w:eastAsia="仿宋"/>
          <w:b w:val="0"/>
          <w:color w:val="auto"/>
          <w:highlight w:val="none"/>
        </w:rPr>
      </w:pPr>
      <w:bookmarkStart w:id="47"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6"/>
      <w:bookmarkEnd w:id="47"/>
      <w:bookmarkStart w:id="4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87B59F2"/>
    <w:rsid w:val="19A445FC"/>
    <w:rsid w:val="19EF3673"/>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3FF8D984"/>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7D0CA4"/>
    <w:rsid w:val="567E1AA5"/>
    <w:rsid w:val="56E47B74"/>
    <w:rsid w:val="57175D52"/>
    <w:rsid w:val="57BD3DD4"/>
    <w:rsid w:val="5AF92295"/>
    <w:rsid w:val="5B1E77AC"/>
    <w:rsid w:val="5B250254"/>
    <w:rsid w:val="5BDD79E6"/>
    <w:rsid w:val="5BF561CA"/>
    <w:rsid w:val="5BFF5DFC"/>
    <w:rsid w:val="5CD71FC4"/>
    <w:rsid w:val="5D1F11B5"/>
    <w:rsid w:val="5D695134"/>
    <w:rsid w:val="5DAE1B18"/>
    <w:rsid w:val="5DE7D9E5"/>
    <w:rsid w:val="5ECEC941"/>
    <w:rsid w:val="5EE7B7DC"/>
    <w:rsid w:val="5FB4A11A"/>
    <w:rsid w:val="5FBF9FF3"/>
    <w:rsid w:val="5FCD4E2C"/>
    <w:rsid w:val="5FEF394A"/>
    <w:rsid w:val="5FF67715"/>
    <w:rsid w:val="62BF3928"/>
    <w:rsid w:val="63B3701E"/>
    <w:rsid w:val="647F5392"/>
    <w:rsid w:val="65E66580"/>
    <w:rsid w:val="664B1D71"/>
    <w:rsid w:val="664B4E8E"/>
    <w:rsid w:val="67277B67"/>
    <w:rsid w:val="67AA3209"/>
    <w:rsid w:val="67F6FE2D"/>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E2B92"/>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D7C18A"/>
    <w:rsid w:val="7BFE1F7A"/>
    <w:rsid w:val="7C1F3737"/>
    <w:rsid w:val="7CBFC87B"/>
    <w:rsid w:val="7CFE0F48"/>
    <w:rsid w:val="7D272ABC"/>
    <w:rsid w:val="7D7EC23E"/>
    <w:rsid w:val="7DF961C2"/>
    <w:rsid w:val="7DFF3523"/>
    <w:rsid w:val="7E7E89F4"/>
    <w:rsid w:val="7E8ADEBF"/>
    <w:rsid w:val="7EA7D97C"/>
    <w:rsid w:val="7EEF11D3"/>
    <w:rsid w:val="7EFE4840"/>
    <w:rsid w:val="7F0971A6"/>
    <w:rsid w:val="7F1D62E7"/>
    <w:rsid w:val="7F3B1A38"/>
    <w:rsid w:val="7F3F679B"/>
    <w:rsid w:val="7F4FC4EF"/>
    <w:rsid w:val="7F5E4D54"/>
    <w:rsid w:val="7F6E0135"/>
    <w:rsid w:val="7F6F65BE"/>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AFDF2BF1"/>
    <w:rsid w:val="AFFE0C40"/>
    <w:rsid w:val="B7CF06AB"/>
    <w:rsid w:val="B7CFA926"/>
    <w:rsid w:val="B7F8786B"/>
    <w:rsid w:val="BABB6AA1"/>
    <w:rsid w:val="BB2F4199"/>
    <w:rsid w:val="BCFFB442"/>
    <w:rsid w:val="BD079C78"/>
    <w:rsid w:val="BD733540"/>
    <w:rsid w:val="BF3735D5"/>
    <w:rsid w:val="BF7F09AC"/>
    <w:rsid w:val="BFD475C3"/>
    <w:rsid w:val="BFDE5EA6"/>
    <w:rsid w:val="BFFE49BD"/>
    <w:rsid w:val="CF6FC6F3"/>
    <w:rsid w:val="CFD3D3D7"/>
    <w:rsid w:val="CFDF1009"/>
    <w:rsid w:val="D7D7B16A"/>
    <w:rsid w:val="D8D6DB89"/>
    <w:rsid w:val="DB6F4CAB"/>
    <w:rsid w:val="DB777682"/>
    <w:rsid w:val="DD1FB521"/>
    <w:rsid w:val="DD3A3F3A"/>
    <w:rsid w:val="DEFBFEAE"/>
    <w:rsid w:val="DF1F3B80"/>
    <w:rsid w:val="DF6F9789"/>
    <w:rsid w:val="DF7FA1D6"/>
    <w:rsid w:val="DFE9BE81"/>
    <w:rsid w:val="DFFFA9E8"/>
    <w:rsid w:val="E5F4E9DC"/>
    <w:rsid w:val="E70FE695"/>
    <w:rsid w:val="EB2E368B"/>
    <w:rsid w:val="ECFED1BC"/>
    <w:rsid w:val="ED1D69BB"/>
    <w:rsid w:val="ED7FD312"/>
    <w:rsid w:val="EF2E1AC6"/>
    <w:rsid w:val="EF53993F"/>
    <w:rsid w:val="EF6FD633"/>
    <w:rsid w:val="EFBFB2F4"/>
    <w:rsid w:val="EFBFE26B"/>
    <w:rsid w:val="EFBFFA21"/>
    <w:rsid w:val="F2BEBCB8"/>
    <w:rsid w:val="F32F9B4E"/>
    <w:rsid w:val="F36FB518"/>
    <w:rsid w:val="F3DE1A04"/>
    <w:rsid w:val="F3F722E5"/>
    <w:rsid w:val="F4FBCD07"/>
    <w:rsid w:val="FA5F1E70"/>
    <w:rsid w:val="FA5FDB97"/>
    <w:rsid w:val="FB7F486A"/>
    <w:rsid w:val="FBFF5B2E"/>
    <w:rsid w:val="FD7FFE2B"/>
    <w:rsid w:val="FDEBD4BC"/>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206.82万元</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237.22万元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[工作簿1]Sheet1!$A$5:$A$6</c:f>
              <c:strCache>
                <c:ptCount val="2"/>
                <c:pt idx="0">
                  <c:v>2023年度收入、支出总计</c:v>
                </c:pt>
                <c:pt idx="1">
                  <c:v>2024年度收入、支出总计</c:v>
                </c:pt>
              </c:strCache>
            </c:strRef>
          </c:cat>
          <c:val>
            <c:numRef>
              <c:f>[工作簿1]Sheet1!$B$5:$B$6</c:f>
              <c:numCache>
                <c:formatCode>General</c:formatCode>
                <c:ptCount val="2"/>
                <c:pt idx="0">
                  <c:v>206.82</c:v>
                </c:pt>
                <c:pt idx="1">
                  <c:v>237.22</c:v>
                </c:pt>
              </c:numCache>
            </c:numRef>
          </c:val>
        </c:ser>
        <c:dLbls>
          <c:showLegendKey val="false"/>
          <c:showVal val="true"/>
          <c:showCatName val="false"/>
          <c:showSerName val="false"/>
          <c:showPercent val="false"/>
          <c:showBubbleSize val="false"/>
        </c:dLbls>
        <c:gapWidth val="219"/>
        <c:overlap val="-27"/>
        <c:axId val="295280550"/>
        <c:axId val="562318852"/>
      </c:barChart>
      <c:catAx>
        <c:axId val="2952805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62318852"/>
        <c:crosses val="autoZero"/>
        <c:auto val="true"/>
        <c:lblAlgn val="ctr"/>
        <c:lblOffset val="100"/>
        <c:noMultiLvlLbl val="false"/>
      </c:catAx>
      <c:valAx>
        <c:axId val="56231885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528055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atin typeface="Times New Roman" panose="02020603050405020304" charset="0"/>
                <a:ea typeface="Times New Roman" panose="02020603050405020304" charset="0"/>
                <a:cs typeface="Times New Roman" panose="02020603050405020304" charset="0"/>
                <a:sym typeface="Times New Roman" panose="02020603050405020304" charset="0"/>
              </a:rPr>
              <a:t>202</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4</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年收入决算结构图</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false"/>
      <c:spPr>
        <a:noFill/>
        <a:ln>
          <a:noFill/>
        </a:ln>
        <a:effectLst/>
      </c:spPr>
    </c:title>
    <c:autoTitleDeleted val="false"/>
    <c:plotArea>
      <c:layout/>
      <c:pieChart>
        <c:varyColors val="true"/>
        <c:ser>
          <c:idx val="0"/>
          <c:order val="0"/>
          <c:tx>
            <c:strRef>
              <c:f>[工作簿1]Sheet1!$A$2</c:f>
              <c:strCache>
                <c:ptCount val="1"/>
                <c:pt idx="0">
                  <c:v>2023年收入决算结构图</c:v>
                </c:pt>
              </c:strCache>
            </c:strRef>
          </c:tx>
          <c:spPr/>
          <c:explosion val="0"/>
          <c:dPt>
            <c:idx val="0"/>
            <c:bubble3D val="false"/>
            <c:spPr>
              <a:solidFill>
                <a:schemeClr val="accent1"/>
              </a:solidFill>
              <a:ln w="19050">
                <a:solidFill>
                  <a:schemeClr val="lt1"/>
                </a:solidFill>
              </a:ln>
              <a:effectLst/>
            </c:spPr>
          </c:dPt>
          <c:dLbls>
            <c:dLbl>
              <c:idx val="0"/>
              <c:layout>
                <c:manualLayout>
                  <c:x val="-8.07496949638183e-7"/>
                  <c:y val="-0.22689112266925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237.22</a:t>
                    </a: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万元</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100%</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[工作簿1]Sheet1!$B$1</c:f>
              <c:strCache>
                <c:ptCount val="1"/>
                <c:pt idx="0">
                  <c:v>一般公共预算财政拨款收入</c:v>
                </c:pt>
              </c:strCache>
            </c:strRef>
          </c:cat>
          <c:val>
            <c:numRef>
              <c:f>[工作簿1]Sheet1!$B$2</c:f>
              <c:numCache>
                <c:formatCode>General</c:formatCode>
                <c:ptCount val="1"/>
                <c:pt idx="0">
                  <c:v>206.82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a:t>
            </a:r>
            <a:r>
              <a:t>支出决算结构图</a:t>
            </a:r>
          </a:p>
        </c:rich>
      </c:tx>
      <c:layout/>
      <c:overlay val="false"/>
      <c:spPr>
        <a:noFill/>
        <a:ln>
          <a:noFill/>
        </a:ln>
        <a:effectLst/>
      </c:spPr>
    </c:title>
    <c:autoTitleDeleted val="false"/>
    <c:plotArea>
      <c:layout/>
      <c:pieChart>
        <c:varyColors val="true"/>
        <c:ser>
          <c:idx val="0"/>
          <c:order val="0"/>
          <c:tx>
            <c:strRef>
              <c:f>Sheet1!$B$1</c:f>
              <c:strCache>
                <c:ptCount val="1"/>
                <c:pt idx="0">
                  <c:v>支出决算结构图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en-US"/>
                      <a:t>210.66</a:t>
                    </a:r>
                    <a:r>
                      <a:rPr altLang="en-US"/>
                      <a:t>万元，</a:t>
                    </a:r>
                    <a:r>
                      <a:t>88.80%</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26.56</a:t>
                    </a:r>
                    <a:r>
                      <a:rPr altLang="en-US"/>
                      <a:t>万元，</a:t>
                    </a:r>
                    <a:r>
                      <a:t>11.19%</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0.888</c:v>
                </c:pt>
                <c:pt idx="1">
                  <c:v>0.1119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财政拨款收入、支出决算总计变动情况图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206.82万元</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237.22万元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[工作簿1]Sheet1!$A$5:$A$6</c:f>
              <c:strCache>
                <c:ptCount val="2"/>
                <c:pt idx="0">
                  <c:v>2023年度收入、支出总计</c:v>
                </c:pt>
                <c:pt idx="1">
                  <c:v>2024年度收入、支出总计</c:v>
                </c:pt>
              </c:strCache>
            </c:strRef>
          </c:cat>
          <c:val>
            <c:numRef>
              <c:f>[工作簿1]Sheet1!$B$5:$B$6</c:f>
              <c:numCache>
                <c:formatCode>General</c:formatCode>
                <c:ptCount val="2"/>
                <c:pt idx="0">
                  <c:v>206.82</c:v>
                </c:pt>
                <c:pt idx="1">
                  <c:v>237.22</c:v>
                </c:pt>
              </c:numCache>
            </c:numRef>
          </c:val>
        </c:ser>
        <c:dLbls>
          <c:showLegendKey val="false"/>
          <c:showVal val="true"/>
          <c:showCatName val="false"/>
          <c:showSerName val="false"/>
          <c:showPercent val="false"/>
          <c:showBubbleSize val="false"/>
        </c:dLbls>
        <c:gapWidth val="219"/>
        <c:overlap val="-27"/>
        <c:axId val="295280550"/>
        <c:axId val="562318852"/>
      </c:barChart>
      <c:catAx>
        <c:axId val="2952805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62318852"/>
        <c:crosses val="autoZero"/>
        <c:auto val="true"/>
        <c:lblAlgn val="ctr"/>
        <c:lblOffset val="100"/>
        <c:noMultiLvlLbl val="false"/>
      </c:catAx>
      <c:valAx>
        <c:axId val="56231885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528055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206.82万元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237.22万元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[工作簿1]Sheet1!$A$23:$A$24</c:f>
              <c:strCache>
                <c:ptCount val="2"/>
                <c:pt idx="0">
                  <c:v>2023年度一般公共预算财政拨款支出</c:v>
                </c:pt>
                <c:pt idx="1">
                  <c:v>2024年度一般公共预算财政拨款支出</c:v>
                </c:pt>
              </c:strCache>
            </c:strRef>
          </c:cat>
          <c:val>
            <c:numRef>
              <c:f>[工作簿1]Sheet1!$B$23:$B$24</c:f>
              <c:numCache>
                <c:formatCode>General</c:formatCode>
                <c:ptCount val="2"/>
                <c:pt idx="0">
                  <c:v>206.82</c:v>
                </c:pt>
                <c:pt idx="1">
                  <c:v>237.22</c:v>
                </c:pt>
              </c:numCache>
            </c:numRef>
          </c:val>
        </c:ser>
        <c:dLbls>
          <c:showLegendKey val="false"/>
          <c:showVal val="true"/>
          <c:showCatName val="false"/>
          <c:showSerName val="false"/>
          <c:showPercent val="false"/>
          <c:showBubbleSize val="false"/>
        </c:dLbls>
        <c:gapWidth val="219"/>
        <c:overlap val="-27"/>
        <c:axId val="185935004"/>
        <c:axId val="949744344"/>
      </c:barChart>
      <c:catAx>
        <c:axId val="18593500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49744344"/>
        <c:crosses val="autoZero"/>
        <c:auto val="true"/>
        <c:lblAlgn val="ctr"/>
        <c:lblOffset val="100"/>
        <c:noMultiLvlLbl val="false"/>
      </c:catAx>
      <c:valAx>
        <c:axId val="94974434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8593500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23.4万元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151.67万元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35.26万元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11.92万元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14.97万元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[工作簿1]Sheet1!$J$24:$J$28</c:f>
              <c:strCache>
                <c:ptCount val="5"/>
                <c:pt idx="0">
                  <c:v>一般公共服务支出</c:v>
                </c:pt>
                <c:pt idx="1">
                  <c:v>科学技术支出</c:v>
                </c:pt>
                <c:pt idx="2">
                  <c:v>社会保障和就业支出</c:v>
                </c:pt>
                <c:pt idx="3">
                  <c:v>卫生健康支出</c:v>
                </c:pt>
                <c:pt idx="4">
                  <c:v>住房保障支出</c:v>
                </c:pt>
              </c:strCache>
            </c:strRef>
          </c:cat>
          <c:val>
            <c:numRef>
              <c:f>[工作簿1]Sheet1!$K$24:$K$28</c:f>
              <c:numCache>
                <c:formatCode>General</c:formatCode>
                <c:ptCount val="5"/>
                <c:pt idx="0">
                  <c:v>23.4</c:v>
                </c:pt>
                <c:pt idx="1">
                  <c:v>151.67</c:v>
                </c:pt>
                <c:pt idx="2">
                  <c:v>35.26</c:v>
                </c:pt>
                <c:pt idx="3">
                  <c:v>11.92</c:v>
                </c:pt>
                <c:pt idx="4">
                  <c:v>14.97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overlay val="false"/>
      <c:spPr>
        <a:noFill/>
        <a:ln>
          <a:noFill/>
        </a:ln>
        <a:effectLst/>
      </c:spPr>
    </c:title>
    <c:autoTitleDeleted val="false"/>
    <c:plotArea>
      <c:layout/>
      <c:pieChart>
        <c:varyColors val="true"/>
        <c:ser>
          <c:idx val="0"/>
          <c:order val="0"/>
          <c:spPr>
            <a:solidFill>
              <a:schemeClr val="accent2"/>
            </a:solidFill>
          </c:spPr>
          <c:explosion val="0"/>
          <c:dPt>
            <c:idx val="0"/>
            <c:bubble3D val="false"/>
            <c:spPr>
              <a:solidFill>
                <a:schemeClr val="accent2"/>
              </a:solidFill>
              <a:ln w="19050">
                <a:solidFill>
                  <a:schemeClr val="lt1"/>
                </a:solidFill>
              </a:ln>
              <a:effectLst/>
            </c:spPr>
          </c:dPt>
          <c:dPt>
            <c:idx val="1"/>
            <c:bubble3D val="false"/>
            <c:spPr>
              <a:solidFill>
                <a:schemeClr val="accent6"/>
              </a:solidFill>
              <a:ln w="19050">
                <a:solidFill>
                  <a:schemeClr val="lt1"/>
                </a:solidFill>
              </a:ln>
              <a:effectLst/>
            </c:spPr>
          </c:dPt>
          <c:dPt>
            <c:idx val="2"/>
            <c:bubble3D val="false"/>
            <c:spPr>
              <a:solidFill>
                <a:schemeClr val="accent1"/>
              </a:solidFill>
              <a:ln w="19050">
                <a:solidFill>
                  <a:schemeClr val="lt1"/>
                </a:solidFill>
              </a:ln>
              <a:effectLst/>
            </c:spPr>
          </c:dPt>
          <c:dLbls>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0.2万元，</a:t>
                    </a:r>
                    <a:r>
                      <a:rPr lang="en-US" altLang="zh-CN"/>
                      <a:t>100%</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[工作簿1]Sheet1!$B$37:$B$39</c:f>
              <c:strCache>
                <c:ptCount val="3"/>
                <c:pt idx="0">
                  <c:v>因公出国（境）费支出</c:v>
                </c:pt>
                <c:pt idx="1">
                  <c:v>公务用车购置及运行维护费支出</c:v>
                </c:pt>
                <c:pt idx="2">
                  <c:v>公务接待费支出</c:v>
                </c:pt>
              </c:strCache>
            </c:strRef>
          </c:cat>
          <c:val>
            <c:numRef>
              <c:f>[工作簿1]Sheet1!$C$37:$C$39</c:f>
              <c:numCache>
                <c:formatCode>General</c:formatCode>
                <c:ptCount val="3"/>
                <c:pt idx="0">
                  <c:v>0</c:v>
                </c:pt>
                <c:pt idx="1">
                  <c:v>0</c:v>
                </c:pt>
                <c:pt idx="2">
                  <c:v>0.2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21</TotalTime>
  <ScaleCrop>false</ScaleCrop>
  <LinksUpToDate>false</LinksUpToDate>
  <CharactersWithSpaces>8692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2020-08-11T17:49:00Z</dcterms:created>
  <dc:creator>曹颖</dc:creator>
  <cp:lastModifiedBy>user</cp:lastModifiedBy>
  <cp:lastPrinted>2025-08-09T01:34:00Z</cp:lastPrinted>
  <dcterms:modified xsi:type="dcterms:W3CDTF">2025-09-15T15:36:39Z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