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06267"/>
      <w:bookmarkStart w:id="1" w:name="_Toc15377425"/>
      <w:bookmarkStart w:id="2" w:name="_Toc15377193"/>
      <w:bookmarkStart w:id="3" w:name="_Toc15396597"/>
      <w:bookmarkStart w:id="4" w:name="_Toc15396475"/>
      <w:bookmarkStart w:id="5" w:name="_Toc15378441"/>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2024年度</w:t>
      </w:r>
    </w:p>
    <w:p>
      <w:pPr>
        <w:pStyle w:val="2"/>
        <w:spacing w:before="93"/>
        <w:jc w:val="center"/>
        <w:rPr>
          <w:rFonts w:hint="eastAsia" w:ascii="Times New Roman" w:eastAsia="方正小标宋简体"/>
          <w:kern w:val="2"/>
          <w:sz w:val="44"/>
          <w:szCs w:val="44"/>
          <w:lang w:eastAsia="zh-CN"/>
        </w:rPr>
      </w:pPr>
      <w:r>
        <w:rPr>
          <w:rFonts w:hint="eastAsia" w:ascii="Times New Roman" w:eastAsia="方正小标宋简体"/>
          <w:kern w:val="2"/>
          <w:sz w:val="44"/>
          <w:szCs w:val="44"/>
          <w:lang w:eastAsia="zh-CN"/>
        </w:rPr>
        <w:t>中共攀枝花市委市直属机关工作委员</w:t>
      </w:r>
    </w:p>
    <w:p>
      <w:pPr>
        <w:pStyle w:val="2"/>
        <w:spacing w:before="93"/>
        <w:jc w:val="center"/>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eastAsia="方正小标宋简体"/>
          <w:kern w:val="2"/>
          <w:sz w:val="44"/>
          <w:szCs w:val="44"/>
        </w:rPr>
        <w:t>部门决算公开说明</w:t>
      </w:r>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 xml:space="preserve">月 </w:t>
      </w:r>
      <w:r>
        <w:rPr>
          <w:rFonts w:hint="default" w:ascii="Times New Roman" w:hAnsi="Times New Roman" w:eastAsia="仿宋_GB2312" w:cs="仿宋_GB2312"/>
          <w:sz w:val="32"/>
          <w:szCs w:val="32"/>
          <w:lang w:val="en"/>
        </w:rPr>
        <w:t>17</w:t>
      </w:r>
      <w:bookmarkStart w:id="59" w:name="_GoBack"/>
      <w:bookmarkEnd w:id="59"/>
      <w:r>
        <w:rPr>
          <w:rFonts w:hint="eastAsia" w:ascii="Times New Roman" w:hAnsi="Times New Roman" w:eastAsia="仿宋_GB2312" w:cs="仿宋_GB2312"/>
          <w:sz w:val="32"/>
          <w:szCs w:val="32"/>
        </w:rPr>
        <w:t xml:space="preserve"> 日</w:t>
      </w:r>
    </w:p>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...................................................................1</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.....................................................................1</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.....................................................................1</w:t>
      </w:r>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..................................2</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.....................................2</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.....................................................2</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.....................................................3</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.....................3</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..............4</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.......7</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...............7</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...........................9</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......................9</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...........................................9</w:t>
      </w:r>
    </w:p>
    <w:p>
      <w:pPr>
        <w:pStyle w:val="13"/>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....................................................................11</w:t>
      </w:r>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............................................................................13</w:t>
      </w:r>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.................18</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.........................18</w:t>
      </w:r>
    </w:p>
    <w:p>
      <w:pPr>
        <w:pStyle w:val="4"/>
        <w:jc w:val="center"/>
        <w:rPr>
          <w:rFonts w:hint="eastAsia" w:eastAsia="方正小标宋简体" w:cs="方正小标宋简体"/>
          <w:b w:val="0"/>
        </w:rPr>
        <w:sectPr>
          <w:headerReference r:id="rId7" w:type="default"/>
          <w:pgSz w:w="11906" w:h="16838"/>
          <w:pgMar w:top="2098" w:right="1474" w:bottom="1984" w:left="1587" w:header="907" w:footer="1644" w:gutter="0"/>
          <w:pgNumType w:fmt="decimal" w:start="2"/>
          <w:cols w:space="720" w:num="1"/>
          <w:rtlGutter w:val="0"/>
          <w:docGrid w:type="lines" w:linePitch="435" w:charSpace="0"/>
        </w:sectPr>
      </w:pPr>
      <w:bookmarkStart w:id="6" w:name="_Toc15396599"/>
      <w:bookmarkStart w:id="7" w:name="_Toc15377196"/>
    </w:p>
    <w:p>
      <w:pPr>
        <w:pStyle w:val="4"/>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pPr>
        <w:pStyle w:val="5"/>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Times New Roman" w:hAnsi="Times New Roman" w:eastAsia="黑体"/>
          <w:b w:val="0"/>
        </w:rPr>
      </w:pPr>
      <w:r>
        <w:rPr>
          <w:rFonts w:hint="eastAsia" w:ascii="Times New Roman" w:hAnsi="Times New Roman" w:eastAsia="黑体"/>
          <w:b w:val="0"/>
        </w:rPr>
        <w:t>部门职责</w:t>
      </w:r>
    </w:p>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Times New Roman" w:hAnsi="Times New Roman" w:eastAsia="仿宋_GB2312" w:cs="仿宋_GB2312"/>
          <w:kern w:val="2"/>
          <w:sz w:val="32"/>
          <w:szCs w:val="32"/>
          <w:lang w:val="en-US" w:eastAsia="zh-CN" w:bidi="ar-SA"/>
        </w:rPr>
        <w:t>中共攀枝花市委市直属机关工作委员是市委的派出机构，负责领导市直机关党的工作，联系指导区（县）机关党的建设。主要职能包括：拟定市直机关党的建设规划并组织实施；分类指导市直机关及有关单位党组织抓好党的思想、组织、作风建设和党员的教育、管理工作。领导市直机关精神文明建设、机关作风建设工作；承担市直机关思想、道德、文化建设工作。负责市直机关领导班子、领导干部的思想政治和作风建设工作；负责审批设立市直机关各部门机关党委（直属总支、支部）和机关纪委以及领导班子人员；负责市直机关各部门直属党组织负责人的考核、任免和培训工作；负责审批直属总支、支部发展的党员等</w:t>
      </w:r>
      <w:r>
        <w:rPr>
          <w:rFonts w:ascii="Times New Roman" w:hAnsi="Times New Roman" w:eastAsia="仿宋_GB2312"/>
          <w:sz w:val="32"/>
          <w:szCs w:val="32"/>
        </w:rPr>
        <w:t>。</w:t>
      </w:r>
    </w:p>
    <w:p>
      <w:pPr>
        <w:pStyle w:val="5"/>
        <w:pageBreakBefore w:val="0"/>
        <w:widowControl w:val="0"/>
        <w:kinsoku/>
        <w:wordWrap/>
        <w:overflowPunct/>
        <w:topLinePunct w:val="0"/>
        <w:autoSpaceDE/>
        <w:autoSpaceDN/>
        <w:bidi w:val="0"/>
        <w:adjustRightInd/>
        <w:snapToGrid/>
        <w:spacing w:line="520" w:lineRule="exact"/>
        <w:textAlignment w:val="auto"/>
        <w:rPr>
          <w:rStyle w:val="30"/>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pPr>
        <w:pageBreakBefore w:val="0"/>
        <w:widowControl w:val="0"/>
        <w:kinsoku/>
        <w:wordWrap/>
        <w:overflowPunct/>
        <w:topLinePunct w:val="0"/>
        <w:autoSpaceDE/>
        <w:autoSpaceDN/>
        <w:bidi w:val="0"/>
        <w:adjustRightInd/>
        <w:snapToGrid/>
        <w:spacing w:line="520" w:lineRule="exact"/>
        <w:ind w:firstLine="800" w:firstLineChars="250"/>
        <w:textAlignment w:val="auto"/>
        <w:rPr>
          <w:rFonts w:eastAsia="仿宋"/>
          <w:kern w:val="0"/>
          <w:sz w:val="32"/>
          <w:szCs w:val="32"/>
        </w:rPr>
      </w:pPr>
      <w:r>
        <w:rPr>
          <w:rFonts w:hint="eastAsia" w:eastAsia="仿宋_GB2312"/>
          <w:sz w:val="32"/>
          <w:szCs w:val="32"/>
          <w:lang w:eastAsia="zh-CN"/>
        </w:rPr>
        <w:t>没有纳入中共攀枝花市委市直属机关工作委员202</w:t>
      </w:r>
      <w:r>
        <w:rPr>
          <w:rFonts w:hint="eastAsia" w:eastAsia="仿宋_GB2312"/>
          <w:sz w:val="32"/>
          <w:szCs w:val="32"/>
          <w:lang w:val="en-US" w:eastAsia="zh-CN"/>
        </w:rPr>
        <w:t>4</w:t>
      </w:r>
      <w:r>
        <w:rPr>
          <w:rFonts w:hint="eastAsia" w:eastAsia="仿宋_GB2312"/>
          <w:sz w:val="32"/>
          <w:szCs w:val="32"/>
          <w:lang w:eastAsia="zh-CN"/>
        </w:rPr>
        <w:t>年度部门决算编制范围的二级预算单位。</w:t>
      </w:r>
      <w:r>
        <w:rPr>
          <w:rFonts w:eastAsia="仿宋"/>
          <w:sz w:val="32"/>
          <w:szCs w:val="32"/>
        </w:rPr>
        <w:br w:type="page"/>
      </w:r>
    </w:p>
    <w:p>
      <w:pPr>
        <w:pStyle w:val="4"/>
        <w:jc w:val="cente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pPr>
        <w:pStyle w:val="28"/>
        <w:spacing w:line="600" w:lineRule="exact"/>
        <w:ind w:firstLine="640"/>
        <w:outlineLvl w:val="1"/>
        <w:rPr>
          <w:rStyle w:val="30"/>
          <w:rFonts w:ascii="Times New Roman" w:hAnsi="Times New Roman" w:eastAsia="黑体"/>
          <w:b w:val="0"/>
        </w:rPr>
      </w:pPr>
      <w:bookmarkStart w:id="12" w:name="_Toc15396603"/>
      <w:bookmarkStart w:id="13"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pPr>
        <w:pStyle w:val="28"/>
        <w:spacing w:line="600" w:lineRule="exact"/>
        <w:ind w:firstLine="640"/>
        <w:outlineLvl w:val="1"/>
        <w:rPr>
          <w:rFonts w:hint="eastAsia" w:eastAsia="仿宋_GB2312" w:cs="仿宋_GB2312"/>
          <w:sz w:val="32"/>
          <w:szCs w:val="32"/>
          <w:lang w:eastAsia="zh-CN"/>
        </w:rPr>
      </w:pPr>
      <w:bookmarkStart w:id="14" w:name="_Toc15377206"/>
      <w:bookmarkStart w:id="15" w:name="_Toc15396604"/>
      <w:r>
        <w:rPr>
          <w:rFonts w:hint="eastAsia" w:eastAsia="仿宋_GB2312" w:cs="仿宋_GB2312"/>
          <w:sz w:val="32"/>
          <w:szCs w:val="32"/>
        </w:rPr>
        <w:t>2024年度收入、支出总计均为519.53万元。与2023年度相比，收入、支出总计各减少</w:t>
      </w:r>
      <w:r>
        <w:rPr>
          <w:rFonts w:hint="eastAsia" w:eastAsia="仿宋_GB2312" w:cs="仿宋_GB2312"/>
          <w:sz w:val="32"/>
          <w:szCs w:val="32"/>
          <w:lang w:val="en-US" w:eastAsia="zh-CN"/>
        </w:rPr>
        <w:t>40.96</w:t>
      </w:r>
      <w:r>
        <w:rPr>
          <w:rFonts w:hint="eastAsia" w:eastAsia="仿宋_GB2312" w:cs="仿宋_GB2312"/>
          <w:sz w:val="32"/>
          <w:szCs w:val="32"/>
        </w:rPr>
        <w:t>万元，下降</w:t>
      </w:r>
      <w:r>
        <w:rPr>
          <w:rFonts w:hint="eastAsia" w:eastAsia="仿宋_GB2312" w:cs="仿宋_GB2312"/>
          <w:sz w:val="32"/>
          <w:szCs w:val="32"/>
          <w:lang w:val="en-US" w:eastAsia="zh-CN"/>
        </w:rPr>
        <w:t>7.3</w:t>
      </w:r>
      <w:r>
        <w:rPr>
          <w:rFonts w:hint="eastAsia" w:eastAsia="仿宋_GB2312" w:cs="仿宋_GB2312"/>
          <w:sz w:val="32"/>
          <w:szCs w:val="32"/>
        </w:rPr>
        <w:t>%。主要变动原因是人员调</w:t>
      </w:r>
      <w:r>
        <w:rPr>
          <w:rFonts w:hint="eastAsia" w:eastAsia="仿宋_GB2312" w:cs="仿宋_GB2312"/>
          <w:sz w:val="32"/>
          <w:szCs w:val="32"/>
          <w:lang w:eastAsia="zh-CN"/>
        </w:rPr>
        <w:t>出</w:t>
      </w:r>
      <w:r>
        <w:rPr>
          <w:rFonts w:hint="eastAsia" w:eastAsia="仿宋_GB2312" w:cs="仿宋_GB2312"/>
          <w:sz w:val="32"/>
          <w:szCs w:val="32"/>
        </w:rPr>
        <w:t>，人员经费和公用经费</w:t>
      </w:r>
      <w:r>
        <w:rPr>
          <w:rFonts w:hint="eastAsia" w:eastAsia="仿宋_GB2312" w:cs="仿宋_GB2312"/>
          <w:sz w:val="32"/>
          <w:szCs w:val="32"/>
          <w:lang w:eastAsia="zh-CN"/>
        </w:rPr>
        <w:t>减少。</w:t>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pStyle w:val="2"/>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183380" cy="2476500"/>
            <wp:effectExtent l="0" t="0" r="7620" b="7620"/>
            <wp:docPr id="1" name="图片 1" descr="17573214041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757321404149"/>
                    <pic:cNvPicPr>
                      <a:picLocks noChangeAspect="true"/>
                    </pic:cNvPicPr>
                  </pic:nvPicPr>
                  <pic:blipFill>
                    <a:blip r:embed="rId12"/>
                    <a:stretch>
                      <a:fillRect/>
                    </a:stretch>
                  </pic:blipFill>
                  <pic:spPr>
                    <a:xfrm>
                      <a:off x="0" y="0"/>
                      <a:ext cx="4183380" cy="2476500"/>
                    </a:xfrm>
                    <a:prstGeom prst="rect">
                      <a:avLst/>
                    </a:prstGeom>
                  </pic:spPr>
                </pic:pic>
              </a:graphicData>
            </a:graphic>
          </wp:inline>
        </w:drawing>
      </w:r>
    </w:p>
    <w:p>
      <w:pPr>
        <w:pStyle w:val="28"/>
        <w:spacing w:line="600" w:lineRule="exact"/>
        <w:ind w:firstLine="640"/>
        <w:outlineLvl w:val="1"/>
        <w:rPr>
          <w:rFonts w:eastAsia="黑体"/>
          <w:sz w:val="32"/>
          <w:szCs w:val="32"/>
        </w:rPr>
      </w:pPr>
      <w:r>
        <w:rPr>
          <w:rFonts w:hint="eastAsia" w:eastAsia="黑体"/>
          <w:sz w:val="32"/>
          <w:szCs w:val="32"/>
        </w:rPr>
        <w:t>二、收入决算情况说明</w:t>
      </w:r>
      <w:bookmarkEnd w:id="14"/>
      <w:bookmarkEnd w:id="15"/>
    </w:p>
    <w:p>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2024年度本年收入合计485.57万元，其中：一般公共预算财政拨款收入485.57万元，占100%。</w:t>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pStyle w:val="2"/>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069080" cy="2400300"/>
            <wp:effectExtent l="0" t="0" r="0" b="7620"/>
            <wp:docPr id="2" name="图片 2" descr="175732192164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757321921644"/>
                    <pic:cNvPicPr>
                      <a:picLocks noChangeAspect="true"/>
                    </pic:cNvPicPr>
                  </pic:nvPicPr>
                  <pic:blipFill>
                    <a:blip r:embed="rId13"/>
                    <a:stretch>
                      <a:fillRect/>
                    </a:stretch>
                  </pic:blipFill>
                  <pic:spPr>
                    <a:xfrm>
                      <a:off x="0" y="0"/>
                      <a:ext cx="4069080" cy="2400300"/>
                    </a:xfrm>
                    <a:prstGeom prst="rect">
                      <a:avLst/>
                    </a:prstGeom>
                  </pic:spPr>
                </pic:pic>
              </a:graphicData>
            </a:graphic>
          </wp:inline>
        </w:drawing>
      </w:r>
    </w:p>
    <w:p/>
    <w:p>
      <w:pPr>
        <w:pStyle w:val="28"/>
        <w:spacing w:line="600" w:lineRule="exact"/>
        <w:ind w:firstLine="640"/>
        <w:outlineLvl w:val="1"/>
        <w:rPr>
          <w:rStyle w:val="30"/>
          <w:rFonts w:ascii="Times New Roman" w:hAnsi="Times New Roman" w:eastAsia="黑体"/>
          <w:b w:val="0"/>
        </w:rPr>
      </w:pPr>
      <w:r>
        <w:rPr>
          <w:rFonts w:hint="eastAsia" w:eastAsia="黑体"/>
          <w:sz w:val="32"/>
          <w:szCs w:val="32"/>
        </w:rPr>
        <w:t>三、支</w:t>
      </w:r>
      <w:r>
        <w:rPr>
          <w:rStyle w:val="30"/>
          <w:rFonts w:hint="eastAsia" w:ascii="Times New Roman" w:hAnsi="Times New Roman" w:eastAsia="黑体"/>
          <w:b w:val="0"/>
        </w:rPr>
        <w:t>出决算情况说明</w:t>
      </w:r>
    </w:p>
    <w:p>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2024年度本年支出合计485.57万元，其中：基本支出474.97万元，占97.8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%；项目支出10.6万元，占2.18%。</w:t>
      </w:r>
    </w:p>
    <w:p>
      <w:pPr>
        <w:ind w:firstLine="800" w:firstLineChars="250"/>
        <w:rPr>
          <w:rFonts w:hint="eastAsia" w:eastAsia="仿宋_GB2312" w:cs="仿宋_GB2312"/>
          <w:sz w:val="32"/>
          <w:szCs w:val="32"/>
        </w:rPr>
      </w:pPr>
      <w:r>
        <w:rPr>
          <w:rFonts w:hint="eastAsia" w:eastAsia="仿宋_GB2312" w:cs="仿宋_GB2312"/>
          <w:sz w:val="32"/>
          <w:szCs w:val="32"/>
        </w:rPr>
        <w:t>（图3：支出决算结构图）（饼状图）</w:t>
      </w:r>
    </w:p>
    <w:p>
      <w:pPr>
        <w:ind w:firstLine="800" w:firstLineChars="250"/>
        <w:jc w:val="center"/>
        <w:rPr>
          <w:rFonts w:eastAsia="仿宋_GB2312" w:cs="仿宋_GB2312"/>
          <w:sz w:val="32"/>
          <w:szCs w:val="32"/>
        </w:rPr>
      </w:pPr>
      <w:r>
        <w:rPr>
          <w:rFonts w:hint="eastAsia" w:eastAsia="仿宋_GB2312" w:cs="仿宋_GB2312"/>
          <w:sz w:val="32"/>
          <w:szCs w:val="32"/>
          <w:lang w:eastAsia="zh-CN"/>
        </w:rPr>
        <w:drawing>
          <wp:inline distT="0" distB="0" distL="114300" distR="114300">
            <wp:extent cx="4077335" cy="2221230"/>
            <wp:effectExtent l="0" t="0" r="6985" b="3810"/>
            <wp:docPr id="3" name="图片 3" descr="17573224790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1757322479034"/>
                    <pic:cNvPicPr>
                      <a:picLocks noChangeAspect="true"/>
                    </pic:cNvPicPr>
                  </pic:nvPicPr>
                  <pic:blipFill>
                    <a:blip r:embed="rId14"/>
                    <a:stretch>
                      <a:fillRect/>
                    </a:stretch>
                  </pic:blipFill>
                  <pic:spPr>
                    <a:xfrm>
                      <a:off x="0" y="0"/>
                      <a:ext cx="4077335" cy="2221230"/>
                    </a:xfrm>
                    <a:prstGeom prst="rect">
                      <a:avLst/>
                    </a:prstGeom>
                  </pic:spPr>
                </pic:pic>
              </a:graphicData>
            </a:graphic>
          </wp:inline>
        </w:drawing>
      </w:r>
    </w:p>
    <w:p>
      <w:pPr>
        <w:spacing w:line="600" w:lineRule="exact"/>
        <w:ind w:firstLine="640" w:firstLineChars="200"/>
        <w:outlineLvl w:val="1"/>
        <w:rPr>
          <w:rStyle w:val="30"/>
          <w:rFonts w:ascii="Times New Roman" w:hAnsi="Times New Roman" w:eastAsia="黑体"/>
          <w:b w:val="0"/>
        </w:rPr>
      </w:pPr>
      <w:bookmarkStart w:id="16" w:name="_Toc15377208"/>
      <w:bookmarkStart w:id="17"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6"/>
      <w:bookmarkEnd w:id="17"/>
    </w:p>
    <w:p>
      <w:pPr>
        <w:pStyle w:val="28"/>
        <w:spacing w:line="600" w:lineRule="exact"/>
        <w:ind w:firstLine="64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485.57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40.96</w:t>
      </w:r>
      <w:r>
        <w:rPr>
          <w:rFonts w:hint="eastAsia" w:eastAsia="仿宋_GB2312" w:cs="仿宋_GB2312"/>
          <w:sz w:val="32"/>
          <w:szCs w:val="32"/>
        </w:rPr>
        <w:t>万元，下降</w:t>
      </w:r>
      <w:r>
        <w:rPr>
          <w:rFonts w:hint="eastAsia" w:eastAsia="仿宋_GB2312" w:cs="仿宋_GB2312"/>
          <w:sz w:val="32"/>
          <w:szCs w:val="32"/>
          <w:lang w:val="en-US" w:eastAsia="zh-CN"/>
        </w:rPr>
        <w:t>7.78</w:t>
      </w:r>
      <w:r>
        <w:rPr>
          <w:rFonts w:hint="eastAsia" w:eastAsia="仿宋_GB2312" w:cs="仿宋_GB2312"/>
          <w:sz w:val="32"/>
          <w:szCs w:val="32"/>
        </w:rPr>
        <w:t>%。主要变动原因是人员调</w:t>
      </w:r>
      <w:r>
        <w:rPr>
          <w:rFonts w:hint="eastAsia" w:eastAsia="仿宋_GB2312" w:cs="仿宋_GB2312"/>
          <w:sz w:val="32"/>
          <w:szCs w:val="32"/>
          <w:lang w:eastAsia="zh-CN"/>
        </w:rPr>
        <w:t>出</w:t>
      </w:r>
      <w:r>
        <w:rPr>
          <w:rFonts w:hint="eastAsia" w:eastAsia="仿宋_GB2312" w:cs="仿宋_GB2312"/>
          <w:sz w:val="32"/>
          <w:szCs w:val="32"/>
        </w:rPr>
        <w:t>，人员经费和公用经费</w:t>
      </w:r>
      <w:r>
        <w:rPr>
          <w:rFonts w:hint="eastAsia" w:eastAsia="仿宋_GB2312" w:cs="仿宋_GB2312"/>
          <w:sz w:val="32"/>
          <w:szCs w:val="32"/>
          <w:lang w:eastAsia="zh-CN"/>
        </w:rPr>
        <w:t>减少。</w:t>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rPr>
          <w:rFonts w:eastAsia="仿宋_GB2312" w:cs="仿宋_GB2312"/>
          <w:sz w:val="32"/>
          <w:szCs w:val="32"/>
        </w:rPr>
      </w:pPr>
    </w:p>
    <w:p>
      <w:pPr>
        <w:pStyle w:val="2"/>
        <w:jc w:val="center"/>
        <w:rPr>
          <w:rFonts w:eastAsia="仿宋_GB2312" w:cs="仿宋_GB2312"/>
          <w:sz w:val="32"/>
          <w:szCs w:val="32"/>
        </w:rPr>
      </w:pPr>
      <w:r>
        <w:rPr>
          <w:rFonts w:hint="eastAsia" w:eastAsia="仿宋_GB2312" w:cs="仿宋_GB2312"/>
          <w:sz w:val="32"/>
          <w:szCs w:val="32"/>
          <w:lang w:eastAsia="zh-CN"/>
        </w:rPr>
        <w:drawing>
          <wp:inline distT="0" distB="0" distL="114300" distR="114300">
            <wp:extent cx="4198620" cy="2240280"/>
            <wp:effectExtent l="0" t="0" r="7620" b="0"/>
            <wp:docPr id="5" name="图片 5" descr="17573233082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1757323308242"/>
                    <pic:cNvPicPr>
                      <a:picLocks noChangeAspect="true"/>
                    </pic:cNvPicPr>
                  </pic:nvPicPr>
                  <pic:blipFill>
                    <a:blip r:embed="rId15"/>
                    <a:stretch>
                      <a:fillRect/>
                    </a:stretch>
                  </pic:blipFill>
                  <pic:spPr>
                    <a:xfrm>
                      <a:off x="0" y="0"/>
                      <a:ext cx="4198620" cy="2240280"/>
                    </a:xfrm>
                    <a:prstGeom prst="rect">
                      <a:avLst/>
                    </a:prstGeom>
                  </pic:spPr>
                </pic:pic>
              </a:graphicData>
            </a:graphic>
          </wp:inline>
        </w:drawing>
      </w:r>
    </w:p>
    <w:p>
      <w:pPr>
        <w:spacing w:line="600" w:lineRule="exact"/>
        <w:ind w:firstLine="640" w:firstLineChars="200"/>
        <w:outlineLvl w:val="1"/>
        <w:rPr>
          <w:rStyle w:val="30"/>
          <w:rFonts w:ascii="Times New Roman" w:hAnsi="Times New Roman" w:eastAsia="黑体"/>
          <w:b w:val="0"/>
        </w:rPr>
      </w:pPr>
      <w:bookmarkStart w:id="18" w:name="_Toc15396607"/>
      <w:bookmarkStart w:id="19"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18"/>
      <w:bookmarkEnd w:id="19"/>
    </w:p>
    <w:p>
      <w:pPr>
        <w:spacing w:line="600" w:lineRule="exact"/>
        <w:ind w:firstLine="642" w:firstLineChars="200"/>
        <w:outlineLvl w:val="2"/>
        <w:rPr>
          <w:rFonts w:eastAsia="楷体_GB2312" w:cs="楷体_GB2312"/>
          <w:b/>
          <w:sz w:val="32"/>
          <w:szCs w:val="32"/>
        </w:rPr>
      </w:pPr>
      <w:bookmarkStart w:id="20" w:name="_Toc15377210"/>
      <w:r>
        <w:rPr>
          <w:rFonts w:hint="eastAsia" w:eastAsia="楷体_GB2312" w:cs="楷体_GB2312"/>
          <w:b/>
          <w:sz w:val="32"/>
          <w:szCs w:val="32"/>
        </w:rPr>
        <w:t>（一）一般公共预算财政拨款支出决算总体情况</w:t>
      </w:r>
      <w:bookmarkEnd w:id="20"/>
    </w:p>
    <w:p>
      <w:pPr>
        <w:pStyle w:val="28"/>
        <w:spacing w:line="600" w:lineRule="exact"/>
        <w:ind w:firstLine="640"/>
        <w:outlineLvl w:val="1"/>
        <w:rPr>
          <w:rFonts w:hint="eastAsia"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2024年度一般公共预算财政拨款支出485.57万元，占本年支出合计的100%。与2023年度相比，一般公共预算财政拨款支出减少</w:t>
      </w:r>
      <w:r>
        <w:rPr>
          <w:rFonts w:hint="eastAsia" w:ascii="仿宋_GB2312" w:hAnsi="仿宋_GB2312" w:eastAsia="仿宋_GB2312" w:cs="仿宋_GB2312"/>
          <w:sz w:val="32"/>
          <w:szCs w:val="32"/>
          <w:lang w:val="en-US" w:eastAsia="zh-CN"/>
        </w:rPr>
        <w:t>40.96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7.78</w:t>
      </w:r>
      <w:r>
        <w:rPr>
          <w:rFonts w:hint="eastAsia" w:ascii="仿宋_GB2312" w:hAnsi="仿宋_GB2312" w:eastAsia="仿宋_GB2312" w:cs="仿宋_GB2312"/>
          <w:sz w:val="32"/>
          <w:szCs w:val="32"/>
        </w:rPr>
        <w:t>%。</w:t>
      </w:r>
      <w:r>
        <w:rPr>
          <w:rFonts w:hint="eastAsia" w:eastAsia="仿宋_GB2312" w:cs="仿宋_GB2312"/>
          <w:sz w:val="32"/>
          <w:szCs w:val="32"/>
        </w:rPr>
        <w:t>主要变动原因是人员调</w:t>
      </w:r>
      <w:r>
        <w:rPr>
          <w:rFonts w:hint="eastAsia" w:eastAsia="仿宋_GB2312" w:cs="仿宋_GB2312"/>
          <w:sz w:val="32"/>
          <w:szCs w:val="32"/>
          <w:lang w:eastAsia="zh-CN"/>
        </w:rPr>
        <w:t>出</w:t>
      </w:r>
      <w:r>
        <w:rPr>
          <w:rFonts w:hint="eastAsia" w:eastAsia="仿宋_GB2312" w:cs="仿宋_GB2312"/>
          <w:sz w:val="32"/>
          <w:szCs w:val="32"/>
        </w:rPr>
        <w:t>，人员经费和公用经费</w:t>
      </w:r>
      <w:r>
        <w:rPr>
          <w:rFonts w:hint="eastAsia" w:eastAsia="仿宋_GB2312" w:cs="仿宋_GB2312"/>
          <w:sz w:val="32"/>
          <w:szCs w:val="32"/>
          <w:lang w:eastAsia="zh-CN"/>
        </w:rPr>
        <w:t>减少。</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rPr>
          <w:rFonts w:eastAsia="仿宋_GB2312" w:cs="仿宋_GB2312"/>
          <w:sz w:val="32"/>
          <w:szCs w:val="32"/>
        </w:rPr>
      </w:pPr>
    </w:p>
    <w:p>
      <w:pPr>
        <w:pStyle w:val="2"/>
        <w:jc w:val="center"/>
        <w:rPr>
          <w:rFonts w:eastAsia="仿宋_GB2312" w:cs="仿宋_GB2312"/>
          <w:b/>
          <w:bCs/>
          <w:sz w:val="32"/>
          <w:szCs w:val="32"/>
        </w:rPr>
      </w:pPr>
      <w:r>
        <w:rPr>
          <w:rFonts w:hint="eastAsia" w:eastAsia="仿宋_GB2312" w:cs="仿宋_GB2312"/>
          <w:sz w:val="32"/>
          <w:szCs w:val="32"/>
          <w:lang w:eastAsia="zh-CN"/>
        </w:rPr>
        <w:drawing>
          <wp:inline distT="0" distB="0" distL="114300" distR="114300">
            <wp:extent cx="4198620" cy="2240280"/>
            <wp:effectExtent l="0" t="0" r="7620" b="0"/>
            <wp:docPr id="6" name="图片 6" descr="17573233082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1757323308242"/>
                    <pic:cNvPicPr>
                      <a:picLocks noChangeAspect="true"/>
                    </pic:cNvPicPr>
                  </pic:nvPicPr>
                  <pic:blipFill>
                    <a:blip r:embed="rId15"/>
                    <a:stretch>
                      <a:fillRect/>
                    </a:stretch>
                  </pic:blipFill>
                  <pic:spPr>
                    <a:xfrm>
                      <a:off x="0" y="0"/>
                      <a:ext cx="4198620" cy="2240280"/>
                    </a:xfrm>
                    <a:prstGeom prst="rect">
                      <a:avLst/>
                    </a:prstGeom>
                  </pic:spPr>
                </pic:pic>
              </a:graphicData>
            </a:graphic>
          </wp:inline>
        </w:drawing>
      </w:r>
    </w:p>
    <w:p>
      <w:pPr>
        <w:spacing w:line="600" w:lineRule="exact"/>
        <w:ind w:firstLine="642" w:firstLineChars="200"/>
        <w:outlineLvl w:val="2"/>
        <w:rPr>
          <w:rFonts w:eastAsia="楷体_GB2312" w:cs="楷体_GB2312"/>
          <w:b/>
          <w:sz w:val="32"/>
          <w:szCs w:val="32"/>
        </w:rPr>
      </w:pPr>
      <w:bookmarkStart w:id="21" w:name="_Toc15377211"/>
      <w:r>
        <w:rPr>
          <w:rFonts w:hint="eastAsia" w:eastAsia="楷体_GB2312" w:cs="楷体_GB2312"/>
          <w:b/>
          <w:sz w:val="32"/>
          <w:szCs w:val="32"/>
        </w:rPr>
        <w:t>（二）一般公共预算财政拨款支出决算结构情况</w:t>
      </w:r>
      <w:bookmarkEnd w:id="21"/>
    </w:p>
    <w:p>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485.57万元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310.75</w:t>
      </w:r>
      <w:r>
        <w:rPr>
          <w:rFonts w:hint="eastAsia" w:eastAsia="仿宋_GB2312" w:cs="仿宋_GB2312"/>
          <w:sz w:val="32"/>
          <w:szCs w:val="32"/>
        </w:rPr>
        <w:t>万元，占</w:t>
      </w:r>
      <w:r>
        <w:rPr>
          <w:rFonts w:hint="eastAsia" w:eastAsia="仿宋_GB2312" w:cs="仿宋_GB2312"/>
          <w:sz w:val="32"/>
          <w:szCs w:val="32"/>
          <w:lang w:val="en-US" w:eastAsia="zh-CN"/>
        </w:rPr>
        <w:t>64</w:t>
      </w:r>
      <w:r>
        <w:rPr>
          <w:rFonts w:hint="eastAsia" w:eastAsia="仿宋_GB2312" w:cs="仿宋_GB2312"/>
          <w:sz w:val="32"/>
          <w:szCs w:val="32"/>
        </w:rPr>
        <w:t>%；社会保障和就业支出</w:t>
      </w:r>
      <w:r>
        <w:rPr>
          <w:rFonts w:hint="eastAsia" w:eastAsia="仿宋_GB2312" w:cs="仿宋_GB2312"/>
          <w:sz w:val="32"/>
          <w:szCs w:val="32"/>
          <w:lang w:val="en-US" w:eastAsia="zh-CN"/>
        </w:rPr>
        <w:t>125.56</w:t>
      </w:r>
      <w:r>
        <w:rPr>
          <w:rFonts w:hint="eastAsia" w:eastAsia="仿宋_GB2312" w:cs="仿宋_GB2312"/>
          <w:sz w:val="32"/>
          <w:szCs w:val="32"/>
        </w:rPr>
        <w:t>万元，占</w:t>
      </w:r>
      <w:r>
        <w:rPr>
          <w:rFonts w:hint="eastAsia" w:eastAsia="仿宋_GB2312" w:cs="仿宋_GB2312"/>
          <w:sz w:val="32"/>
          <w:szCs w:val="32"/>
          <w:lang w:val="en-US" w:eastAsia="zh-CN"/>
        </w:rPr>
        <w:t>25.86</w:t>
      </w:r>
      <w:r>
        <w:rPr>
          <w:rFonts w:hint="eastAsia" w:eastAsia="仿宋_GB2312" w:cs="仿宋_GB2312"/>
          <w:sz w:val="32"/>
          <w:szCs w:val="32"/>
        </w:rPr>
        <w:t>%；卫生健康支出</w:t>
      </w:r>
      <w:r>
        <w:rPr>
          <w:rFonts w:hint="eastAsia" w:eastAsia="仿宋_GB2312" w:cs="仿宋_GB2312"/>
          <w:sz w:val="32"/>
          <w:szCs w:val="32"/>
          <w:lang w:val="en-US" w:eastAsia="zh-CN"/>
        </w:rPr>
        <w:t>20.95</w:t>
      </w:r>
      <w:r>
        <w:rPr>
          <w:rFonts w:hint="eastAsia" w:eastAsia="仿宋_GB2312" w:cs="仿宋_GB2312"/>
          <w:sz w:val="32"/>
          <w:szCs w:val="32"/>
        </w:rPr>
        <w:t>万元，占</w:t>
      </w:r>
      <w:r>
        <w:rPr>
          <w:rFonts w:hint="eastAsia" w:eastAsia="仿宋_GB2312" w:cs="仿宋_GB2312"/>
          <w:sz w:val="32"/>
          <w:szCs w:val="32"/>
          <w:lang w:val="en-US" w:eastAsia="zh-CN"/>
        </w:rPr>
        <w:t>4.31</w:t>
      </w:r>
      <w:r>
        <w:rPr>
          <w:rFonts w:hint="eastAsia" w:eastAsia="仿宋_GB2312" w:cs="仿宋_GB2312"/>
          <w:sz w:val="32"/>
          <w:szCs w:val="32"/>
        </w:rPr>
        <w:t>%；住房保障支出</w:t>
      </w:r>
      <w:r>
        <w:rPr>
          <w:rFonts w:hint="eastAsia" w:eastAsia="仿宋_GB2312" w:cs="仿宋_GB2312"/>
          <w:sz w:val="32"/>
          <w:szCs w:val="32"/>
          <w:lang w:val="en-US" w:eastAsia="zh-CN"/>
        </w:rPr>
        <w:t>28.31</w:t>
      </w:r>
      <w:r>
        <w:rPr>
          <w:rFonts w:hint="eastAsia" w:eastAsia="仿宋_GB2312" w:cs="仿宋_GB2312"/>
          <w:sz w:val="32"/>
          <w:szCs w:val="32"/>
        </w:rPr>
        <w:t>万元，占</w:t>
      </w:r>
      <w:r>
        <w:rPr>
          <w:rFonts w:hint="eastAsia" w:eastAsia="仿宋_GB2312" w:cs="仿宋_GB2312"/>
          <w:sz w:val="32"/>
          <w:szCs w:val="32"/>
          <w:lang w:val="en-US" w:eastAsia="zh-CN"/>
        </w:rPr>
        <w:t>5.83</w:t>
      </w:r>
      <w:r>
        <w:rPr>
          <w:rFonts w:hint="eastAsia" w:eastAsia="仿宋_GB2312" w:cs="仿宋_GB2312"/>
          <w:sz w:val="32"/>
          <w:szCs w:val="32"/>
        </w:rPr>
        <w:t>%</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pStyle w:val="2"/>
        <w:jc w:val="center"/>
      </w:pPr>
      <w:r>
        <w:rPr>
          <w:rFonts w:hint="eastAsia" w:eastAsia="仿宋_GB2312" w:cs="仿宋_GB2312"/>
          <w:sz w:val="32"/>
          <w:szCs w:val="32"/>
          <w:lang w:eastAsia="zh-CN"/>
        </w:rPr>
        <w:drawing>
          <wp:inline distT="0" distB="0" distL="114300" distR="114300">
            <wp:extent cx="4381500" cy="2446020"/>
            <wp:effectExtent l="0" t="0" r="7620" b="7620"/>
            <wp:docPr id="7" name="图片 7" descr="17573236205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1757323620532"/>
                    <pic:cNvPicPr>
                      <a:picLocks noChangeAspect="true"/>
                    </pic:cNvPicPr>
                  </pic:nvPicPr>
                  <pic:blipFill>
                    <a:blip r:embed="rId16"/>
                    <a:stretch>
                      <a:fillRect/>
                    </a:stretch>
                  </pic:blipFill>
                  <pic:spPr>
                    <a:xfrm>
                      <a:off x="0" y="0"/>
                      <a:ext cx="4381500" cy="2446020"/>
                    </a:xfrm>
                    <a:prstGeom prst="rect">
                      <a:avLst/>
                    </a:prstGeom>
                  </pic:spPr>
                </pic:pic>
              </a:graphicData>
            </a:graphic>
          </wp:inline>
        </w:drawing>
      </w:r>
    </w:p>
    <w:p>
      <w:pPr>
        <w:spacing w:line="600" w:lineRule="exact"/>
        <w:ind w:firstLine="642" w:firstLineChars="200"/>
        <w:outlineLvl w:val="2"/>
        <w:rPr>
          <w:rFonts w:eastAsia="楷体_GB2312" w:cs="楷体_GB2312"/>
          <w:b/>
          <w:sz w:val="32"/>
          <w:szCs w:val="32"/>
        </w:rPr>
      </w:pPr>
      <w:bookmarkStart w:id="22" w:name="_Toc15377212"/>
      <w:r>
        <w:rPr>
          <w:rFonts w:hint="eastAsia" w:eastAsia="楷体_GB2312" w:cs="楷体_GB2312"/>
          <w:b/>
          <w:sz w:val="32"/>
          <w:szCs w:val="32"/>
        </w:rPr>
        <w:t>（三）一般公共预算财政拨款支出决算具体情况</w:t>
      </w:r>
      <w:bookmarkEnd w:id="22"/>
    </w:p>
    <w:p>
      <w:pPr>
        <w:spacing w:line="600" w:lineRule="exact"/>
        <w:ind w:firstLine="640"/>
        <w:rPr>
          <w:rFonts w:eastAsia="仿宋_GB2312" w:cs="仿宋_GB2312"/>
          <w:sz w:val="32"/>
          <w:szCs w:val="32"/>
        </w:rPr>
      </w:pPr>
      <w:bookmarkStart w:id="23" w:name="_Toc15377444"/>
      <w:bookmarkStart w:id="24" w:name="_Toc15378460"/>
      <w:bookmarkStart w:id="25"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485.57，</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3"/>
      <w:bookmarkEnd w:id="24"/>
      <w:bookmarkEnd w:id="25"/>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一般公共服务支出（类）纪检监察事务（款）派驻派出机构（项）:支出决算为</w:t>
      </w:r>
      <w:r>
        <w:rPr>
          <w:rFonts w:hint="eastAsia" w:eastAsia="仿宋_GB2312" w:cs="仿宋_GB2312"/>
          <w:sz w:val="32"/>
          <w:szCs w:val="32"/>
          <w:lang w:val="en-US" w:eastAsia="zh-CN"/>
        </w:rPr>
        <w:t>0.93</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一般公共服务支出（类）党委办公厅（室）及相关机构事务（款）行政运行（项）:支出决算为2</w:t>
      </w:r>
      <w:r>
        <w:rPr>
          <w:rFonts w:hint="eastAsia" w:eastAsia="仿宋_GB2312" w:cs="仿宋_GB2312"/>
          <w:sz w:val="32"/>
          <w:szCs w:val="32"/>
          <w:lang w:val="en-US" w:eastAsia="zh-CN"/>
        </w:rPr>
        <w:t>62.35</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3.一般公共服务支出（类）党委办公厅（室）及相关机构事务（款）一般行政管理事务（项）:支出决算为</w:t>
      </w:r>
      <w:r>
        <w:rPr>
          <w:rFonts w:hint="eastAsia" w:eastAsia="仿宋_GB2312" w:cs="仿宋_GB2312"/>
          <w:sz w:val="32"/>
          <w:szCs w:val="32"/>
          <w:lang w:val="en-US" w:eastAsia="zh-CN"/>
        </w:rPr>
        <w:t>10.47</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4.一般公共服务支出（类）党委办公厅（室）及相关机构事务（款）事业运行（项）:支出决算为</w:t>
      </w:r>
      <w:r>
        <w:rPr>
          <w:rFonts w:hint="eastAsia" w:eastAsia="仿宋_GB2312" w:cs="仿宋_GB2312"/>
          <w:sz w:val="32"/>
          <w:szCs w:val="32"/>
          <w:lang w:val="en-US" w:eastAsia="zh-CN"/>
        </w:rPr>
        <w:t>36.79</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5.一般公共服务支出（类）组织事务（款）其他组织事务支出（项）:支出决算为</w:t>
      </w:r>
      <w:r>
        <w:rPr>
          <w:rFonts w:hint="eastAsia" w:eastAsia="仿宋_GB2312" w:cs="仿宋_GB2312"/>
          <w:sz w:val="32"/>
          <w:szCs w:val="32"/>
          <w:lang w:val="en-US" w:eastAsia="zh-CN"/>
        </w:rPr>
        <w:t>0.22</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6.社会保障和就业（类）行政事业单位养老支出（款）行政单位离退休（项）:支出决算为</w:t>
      </w:r>
      <w:r>
        <w:rPr>
          <w:rFonts w:hint="eastAsia" w:eastAsia="仿宋_GB2312" w:cs="仿宋_GB2312"/>
          <w:sz w:val="32"/>
          <w:szCs w:val="32"/>
          <w:lang w:val="en-US" w:eastAsia="zh-CN"/>
        </w:rPr>
        <w:t>90.94</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7.社会保障和就业（类）行政事业单位养老支出（款）机关事业单位基本养老保险缴费支出（项）:支出决算为</w:t>
      </w:r>
      <w:r>
        <w:rPr>
          <w:rFonts w:hint="eastAsia" w:eastAsia="仿宋_GB2312" w:cs="仿宋_GB2312"/>
          <w:sz w:val="32"/>
          <w:szCs w:val="32"/>
          <w:lang w:val="en-US" w:eastAsia="zh-CN"/>
        </w:rPr>
        <w:t>34.49</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8.</w:t>
      </w:r>
      <w:r>
        <w:rPr>
          <w:rFonts w:hint="eastAsia" w:eastAsia="仿宋_GB2312" w:cs="仿宋_GB2312"/>
          <w:sz w:val="32"/>
          <w:szCs w:val="32"/>
        </w:rPr>
        <w:t>社会保障和就业（类）社会福利（款）儿童福利（项）:支出决算为</w:t>
      </w:r>
      <w:r>
        <w:rPr>
          <w:rFonts w:hint="eastAsia" w:eastAsia="仿宋_GB2312" w:cs="仿宋_GB2312"/>
          <w:sz w:val="32"/>
          <w:szCs w:val="32"/>
          <w:lang w:val="en-US" w:eastAsia="zh-CN"/>
        </w:rPr>
        <w:t>0.13</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9</w:t>
      </w:r>
      <w:r>
        <w:rPr>
          <w:rFonts w:hint="eastAsia" w:eastAsia="仿宋_GB2312" w:cs="仿宋_GB2312"/>
          <w:sz w:val="32"/>
          <w:szCs w:val="32"/>
        </w:rPr>
        <w:t>.卫生健康支出（类）行政事业单位医疗（款）行政单位医疗（项）:支出决算为</w:t>
      </w:r>
      <w:r>
        <w:rPr>
          <w:rFonts w:hint="eastAsia" w:eastAsia="仿宋_GB2312" w:cs="仿宋_GB2312"/>
          <w:sz w:val="32"/>
          <w:szCs w:val="32"/>
          <w:lang w:val="en-US" w:eastAsia="zh-CN"/>
        </w:rPr>
        <w:t>15.94</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0</w:t>
      </w:r>
      <w:r>
        <w:rPr>
          <w:rFonts w:hint="eastAsia" w:eastAsia="仿宋_GB2312" w:cs="仿宋_GB2312"/>
          <w:sz w:val="32"/>
          <w:szCs w:val="32"/>
        </w:rPr>
        <w:t>.卫生健康支出（类）行政事业单位医疗（款）事业单位医疗（项）:支出决算为</w:t>
      </w:r>
      <w:r>
        <w:rPr>
          <w:rFonts w:hint="eastAsia" w:eastAsia="仿宋_GB2312" w:cs="仿宋_GB2312"/>
          <w:sz w:val="32"/>
          <w:szCs w:val="32"/>
          <w:lang w:val="en-US" w:eastAsia="zh-CN"/>
        </w:rPr>
        <w:t>2.35</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1</w:t>
      </w:r>
      <w:r>
        <w:rPr>
          <w:rFonts w:hint="eastAsia" w:eastAsia="仿宋_GB2312" w:cs="仿宋_GB2312"/>
          <w:sz w:val="32"/>
          <w:szCs w:val="32"/>
        </w:rPr>
        <w:t>.卫生健康支出（类）行政事业单位医疗（款）公务员医疗补助（项）:支出决算为1.</w:t>
      </w:r>
      <w:r>
        <w:rPr>
          <w:rFonts w:hint="eastAsia" w:eastAsia="仿宋_GB2312" w:cs="仿宋_GB2312"/>
          <w:sz w:val="32"/>
          <w:szCs w:val="32"/>
          <w:lang w:val="en-US" w:eastAsia="zh-CN"/>
        </w:rPr>
        <w:t>95</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2</w:t>
      </w:r>
      <w:r>
        <w:rPr>
          <w:rFonts w:hint="eastAsia" w:eastAsia="仿宋_GB2312" w:cs="仿宋_GB2312"/>
          <w:sz w:val="32"/>
          <w:szCs w:val="32"/>
        </w:rPr>
        <w:t>.卫生健康支出（类）其他卫生健康支出（款）其他卫生健康支出（项）:支出决算为0.</w:t>
      </w:r>
      <w:r>
        <w:rPr>
          <w:rFonts w:hint="eastAsia" w:eastAsia="仿宋_GB2312" w:cs="仿宋_GB2312"/>
          <w:sz w:val="32"/>
          <w:szCs w:val="32"/>
          <w:lang w:val="en-US" w:eastAsia="zh-CN"/>
        </w:rPr>
        <w:t>71</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3.</w:t>
      </w:r>
      <w:r>
        <w:rPr>
          <w:rFonts w:hint="eastAsia" w:eastAsia="仿宋_GB2312" w:cs="仿宋_GB2312"/>
          <w:sz w:val="32"/>
          <w:szCs w:val="32"/>
        </w:rPr>
        <w:t>住房保障支出（类）住房改革支出（款）住房公积金（项）:支出决算为</w:t>
      </w:r>
      <w:r>
        <w:rPr>
          <w:rFonts w:hint="eastAsia" w:eastAsia="仿宋_GB2312" w:cs="仿宋_GB2312"/>
          <w:sz w:val="32"/>
          <w:szCs w:val="32"/>
          <w:lang w:val="en-US" w:eastAsia="zh-CN"/>
        </w:rPr>
        <w:t>28.31</w:t>
      </w:r>
      <w:r>
        <w:rPr>
          <w:rFonts w:hint="eastAsia" w:eastAsia="仿宋_GB2312" w:cs="仿宋_GB2312"/>
          <w:sz w:val="32"/>
          <w:szCs w:val="32"/>
        </w:rPr>
        <w:t>万元，完成预算100%。</w:t>
      </w:r>
    </w:p>
    <w:p>
      <w:pPr>
        <w:tabs>
          <w:tab w:val="right" w:pos="8306"/>
        </w:tabs>
        <w:spacing w:line="600" w:lineRule="exact"/>
        <w:ind w:firstLine="640"/>
        <w:outlineLvl w:val="1"/>
        <w:rPr>
          <w:rStyle w:val="30"/>
          <w:rFonts w:ascii="Times New Roman" w:hAnsi="Times New Roman"/>
        </w:rPr>
      </w:pPr>
      <w:bookmarkStart w:id="26" w:name="_Toc15396608"/>
      <w:bookmarkStart w:id="27"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6"/>
      <w:bookmarkEnd w:id="27"/>
      <w:r>
        <w:rPr>
          <w:rStyle w:val="30"/>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474.97万</w:t>
      </w:r>
      <w:r>
        <w:rPr>
          <w:rFonts w:hint="eastAsia" w:eastAsia="仿宋_GB2312" w:cs="仿宋_GB2312"/>
          <w:sz w:val="32"/>
          <w:szCs w:val="32"/>
        </w:rPr>
        <w:t>元，其中：</w:t>
      </w:r>
    </w:p>
    <w:p>
      <w:pPr>
        <w:spacing w:line="600" w:lineRule="exact"/>
        <w:ind w:firstLine="645"/>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427.19万</w:t>
      </w:r>
      <w:r>
        <w:rPr>
          <w:rFonts w:hint="eastAsia" w:eastAsia="仿宋_GB2312" w:cs="仿宋_GB2312"/>
          <w:sz w:val="32"/>
          <w:szCs w:val="32"/>
        </w:rPr>
        <w:t>元，</w:t>
      </w:r>
      <w:r>
        <w:rPr>
          <w:rFonts w:hint="eastAsia" w:ascii="仿宋" w:hAnsi="仿宋" w:eastAsia="仿宋"/>
          <w:sz w:val="32"/>
          <w:szCs w:val="32"/>
        </w:rPr>
        <w:t>主要包括：基本工资、津贴补贴、奖金、绩效工资、机关事业单位基本养老保险缴费、职业年金缴费、其他社会保障缴费、其他工资福利支出、离休费、退休费、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47.78万</w:t>
      </w:r>
      <w:r>
        <w:rPr>
          <w:rFonts w:hint="eastAsia" w:eastAsia="仿宋_GB2312" w:cs="仿宋_GB2312"/>
          <w:sz w:val="32"/>
          <w:szCs w:val="32"/>
        </w:rPr>
        <w:t>元，</w:t>
      </w:r>
      <w:r>
        <w:rPr>
          <w:rFonts w:hint="eastAsia" w:ascii="仿宋" w:hAnsi="仿宋" w:eastAsia="仿宋"/>
          <w:sz w:val="32"/>
          <w:szCs w:val="32"/>
        </w:rPr>
        <w:t>主要包括：办公费、印刷费、咨询费、手续费、水费、电费、邮电费、物业管理费、差旅费、维修（护）费、公务接待费、劳务费、工会经费、福利费、公务用车运行维护费、其他交通费、其他商品和服务支出。</w:t>
      </w:r>
    </w:p>
    <w:p>
      <w:pPr>
        <w:spacing w:line="600" w:lineRule="exact"/>
        <w:ind w:firstLine="640"/>
        <w:outlineLvl w:val="1"/>
        <w:rPr>
          <w:rStyle w:val="30"/>
          <w:rFonts w:ascii="Times New Roman" w:hAnsi="Times New Roman" w:eastAsia="黑体"/>
          <w:b w:val="0"/>
        </w:rPr>
      </w:pPr>
      <w:bookmarkStart w:id="28" w:name="_Toc15377215"/>
      <w:bookmarkStart w:id="29"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28"/>
      <w:bookmarkEnd w:id="29"/>
    </w:p>
    <w:p>
      <w:pPr>
        <w:spacing w:line="600" w:lineRule="exact"/>
        <w:ind w:firstLine="642" w:firstLineChars="200"/>
        <w:outlineLvl w:val="2"/>
        <w:rPr>
          <w:rFonts w:eastAsia="楷体_GB2312" w:cs="楷体_GB2312"/>
          <w:b/>
          <w:sz w:val="32"/>
          <w:szCs w:val="32"/>
        </w:rPr>
      </w:pPr>
      <w:bookmarkStart w:id="30" w:name="_Toc15377216"/>
      <w:r>
        <w:rPr>
          <w:rFonts w:hint="eastAsia" w:eastAsia="楷体_GB2312" w:cs="楷体_GB2312"/>
          <w:b/>
          <w:sz w:val="32"/>
          <w:szCs w:val="32"/>
        </w:rPr>
        <w:t>（一）“三公”经费财政拨款支出决算总体情况说明</w:t>
      </w:r>
      <w:bookmarkEnd w:id="30"/>
    </w:p>
    <w:p>
      <w:pPr>
        <w:spacing w:line="600" w:lineRule="exact"/>
        <w:ind w:firstLine="640"/>
        <w:rPr>
          <w:rFonts w:ascii="仿宋" w:hAnsi="仿宋" w:eastAsia="仿宋"/>
          <w:color w:val="FF0000"/>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2万元，完成预算100%，</w:t>
      </w:r>
      <w:r>
        <w:rPr>
          <w:rFonts w:hint="eastAsia" w:eastAsia="仿宋_GB2312" w:cs="仿宋_GB2312"/>
          <w:sz w:val="32"/>
          <w:szCs w:val="32"/>
        </w:rPr>
        <w:t>较上年度增加</w:t>
      </w:r>
      <w:r>
        <w:rPr>
          <w:rFonts w:hint="eastAsia" w:eastAsia="仿宋_GB2312" w:cs="仿宋_GB2312"/>
          <w:sz w:val="32"/>
          <w:szCs w:val="32"/>
          <w:lang w:val="en-US" w:eastAsia="zh-CN"/>
        </w:rPr>
        <w:t>0.62</w:t>
      </w:r>
      <w:r>
        <w:rPr>
          <w:rFonts w:hint="eastAsia" w:eastAsia="仿宋_GB2312" w:cs="仿宋_GB2312"/>
          <w:sz w:val="32"/>
          <w:szCs w:val="32"/>
        </w:rPr>
        <w:t>万元，增长</w:t>
      </w:r>
      <w:r>
        <w:rPr>
          <w:rFonts w:hint="eastAsia" w:eastAsia="仿宋_GB2312" w:cs="仿宋_GB2312"/>
          <w:sz w:val="32"/>
          <w:szCs w:val="32"/>
          <w:lang w:val="en-US" w:eastAsia="zh-CN"/>
        </w:rPr>
        <w:t>44.93</w:t>
      </w:r>
      <w:r>
        <w:rPr>
          <w:rFonts w:hint="eastAsia" w:eastAsia="仿宋_GB2312" w:cs="仿宋_GB2312"/>
          <w:sz w:val="32"/>
          <w:szCs w:val="32"/>
        </w:rPr>
        <w:t>%。</w:t>
      </w:r>
      <w:r>
        <w:rPr>
          <w:rFonts w:hint="eastAsia" w:ascii="仿宋" w:hAnsi="仿宋" w:eastAsia="仿宋"/>
          <w:color w:val="auto"/>
          <w:sz w:val="32"/>
          <w:szCs w:val="32"/>
        </w:rPr>
        <w:t>决算数小于预算数的主要原因是厉行节约要求，严格控制“三公”经费支出。</w:t>
      </w:r>
    </w:p>
    <w:p>
      <w:pPr>
        <w:spacing w:line="600" w:lineRule="exact"/>
        <w:ind w:firstLine="642" w:firstLineChars="200"/>
        <w:outlineLvl w:val="2"/>
        <w:rPr>
          <w:rFonts w:eastAsia="楷体_GB2312" w:cs="楷体_GB2312"/>
          <w:b/>
          <w:sz w:val="32"/>
          <w:szCs w:val="32"/>
        </w:rPr>
      </w:pPr>
      <w:bookmarkStart w:id="31" w:name="_Toc15377217"/>
      <w:r>
        <w:rPr>
          <w:rFonts w:hint="eastAsia" w:eastAsia="楷体_GB2312" w:cs="楷体_GB2312"/>
          <w:b/>
          <w:sz w:val="32"/>
          <w:szCs w:val="32"/>
        </w:rPr>
        <w:t>（二）“三公”经费财政拨款支出决算具体情况说明</w:t>
      </w:r>
      <w:bookmarkEnd w:id="3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%；公务用车购置及运行维护费支出决算2万元，占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rPr>
          <w:rFonts w:hint="eastAsia" w:eastAsia="仿宋_GB2312" w:cs="仿宋_GB2312"/>
          <w:sz w:val="32"/>
          <w:szCs w:val="32"/>
        </w:rPr>
      </w:pPr>
      <w:r>
        <w:rPr>
          <w:rFonts w:hint="eastAsia" w:eastAsia="仿宋_GB2312" w:cs="仿宋_GB2312"/>
          <w:sz w:val="32"/>
          <w:szCs w:val="32"/>
        </w:rPr>
        <w:t>（图7：“三公”经费财政拨款支出结构）（饼状图）</w:t>
      </w:r>
    </w:p>
    <w:p>
      <w:pPr>
        <w:pStyle w:val="2"/>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488180" cy="2392680"/>
            <wp:effectExtent l="0" t="0" r="7620" b="0"/>
            <wp:docPr id="8" name="图片 8" descr="17573240120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1757324012098"/>
                    <pic:cNvPicPr>
                      <a:picLocks noChangeAspect="true"/>
                    </pic:cNvPicPr>
                  </pic:nvPicPr>
                  <pic:blipFill>
                    <a:blip r:embed="rId17"/>
                    <a:stretch>
                      <a:fillRect/>
                    </a:stretch>
                  </pic:blipFill>
                  <pic:spPr>
                    <a:xfrm>
                      <a:off x="0" y="0"/>
                      <a:ext cx="4488180" cy="2392680"/>
                    </a:xfrm>
                    <a:prstGeom prst="rect">
                      <a:avLst/>
                    </a:prstGeom>
                  </pic:spPr>
                </pic:pic>
              </a:graphicData>
            </a:graphic>
          </wp:inline>
        </w:drawing>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2万</w:t>
      </w:r>
      <w:r>
        <w:rPr>
          <w:rFonts w:hint="eastAsia" w:eastAsia="仿宋_GB2312" w:cs="仿宋_GB2312"/>
          <w:b/>
          <w:bCs/>
          <w:sz w:val="32"/>
          <w:szCs w:val="32"/>
        </w:rPr>
        <w:t>元，完成预算</w:t>
      </w:r>
      <w:r>
        <w:rPr>
          <w:rFonts w:hint="eastAsia" w:eastAsia="仿宋_GB2312" w:cs="仿宋_GB2312"/>
          <w:b/>
          <w:bCs/>
          <w:sz w:val="32"/>
          <w:szCs w:val="32"/>
          <w:lang w:val="en-US" w:eastAsia="zh-CN"/>
        </w:rPr>
        <w:t>70.42</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0.62</w:t>
      </w:r>
      <w:r>
        <w:rPr>
          <w:rFonts w:hint="eastAsia" w:eastAsia="仿宋_GB2312" w:cs="仿宋_GB2312"/>
          <w:sz w:val="32"/>
          <w:szCs w:val="32"/>
        </w:rPr>
        <w:t>万元，增长</w:t>
      </w:r>
      <w:r>
        <w:rPr>
          <w:rFonts w:hint="eastAsia" w:eastAsia="仿宋_GB2312" w:cs="仿宋_GB2312"/>
          <w:sz w:val="32"/>
          <w:szCs w:val="32"/>
          <w:lang w:val="en-US" w:eastAsia="zh-CN"/>
        </w:rPr>
        <w:t>44.93</w:t>
      </w:r>
      <w:r>
        <w:rPr>
          <w:rFonts w:hint="eastAsia" w:eastAsia="仿宋_GB2312" w:cs="仿宋_GB2312"/>
          <w:sz w:val="32"/>
          <w:szCs w:val="32"/>
        </w:rPr>
        <w:t>%。主要原因是</w:t>
      </w:r>
      <w:r>
        <w:rPr>
          <w:rFonts w:hint="eastAsia" w:eastAsia="仿宋_GB2312" w:cs="仿宋_GB2312"/>
          <w:sz w:val="32"/>
          <w:szCs w:val="32"/>
          <w:lang w:eastAsia="zh-CN"/>
        </w:rPr>
        <w:t>日常工作量增加，车辆维修保养次数增加。</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1</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600" w:lineRule="exact"/>
        <w:ind w:firstLine="640"/>
        <w:rPr>
          <w:rFonts w:ascii="仿宋_GB2312" w:eastAsia="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出2</w:t>
      </w:r>
      <w:r>
        <w:rPr>
          <w:rFonts w:hint="eastAsia" w:eastAsia="仿宋_GB2312" w:cs="仿宋_GB2312"/>
          <w:sz w:val="32"/>
          <w:szCs w:val="32"/>
        </w:rPr>
        <w:t>万元。</w:t>
      </w:r>
      <w:r>
        <w:rPr>
          <w:rFonts w:hint="eastAsia" w:ascii="仿宋_GB2312" w:eastAsia="仿宋_GB2312"/>
          <w:sz w:val="32"/>
          <w:szCs w:val="32"/>
        </w:rPr>
        <w:t>主要用于日常工作等所需的公务用车燃料费、维修费、过路过桥费、保险费等支出。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w:t>
      </w:r>
      <w:r>
        <w:rPr>
          <w:rFonts w:hint="eastAsia" w:eastAsia="仿宋_GB2312" w:cs="仿宋_GB2312"/>
          <w:sz w:val="32"/>
          <w:szCs w:val="32"/>
        </w:rPr>
        <w:t>公务接待费支出决算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持平</w:t>
      </w:r>
      <w:r>
        <w:rPr>
          <w:rFonts w:hint="eastAsia" w:eastAsia="仿宋_GB2312" w:cs="仿宋_GB2312"/>
          <w:sz w:val="32"/>
          <w:szCs w:val="32"/>
        </w:rPr>
        <w:t>。</w:t>
      </w:r>
      <w:bookmarkStart w:id="32" w:name="_Toc15396610"/>
      <w:bookmarkStart w:id="33" w:name="_Toc15377218"/>
    </w:p>
    <w:p>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2"/>
      <w:bookmarkEnd w:id="3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w:t>
      </w:r>
      <w:r>
        <w:rPr>
          <w:rFonts w:hint="eastAsia" w:ascii="仿宋_GB2312" w:hAnsi="仿宋_GB2312" w:eastAsia="仿宋_GB2312" w:cs="仿宋_GB2312"/>
          <w:sz w:val="32"/>
          <w:szCs w:val="32"/>
          <w:lang w:eastAsia="zh-CN"/>
        </w:rPr>
        <w:t>。</w:t>
      </w:r>
    </w:p>
    <w:p>
      <w:pPr>
        <w:spacing w:line="600" w:lineRule="exact"/>
        <w:ind w:left="630"/>
        <w:outlineLvl w:val="1"/>
        <w:rPr>
          <w:rStyle w:val="30"/>
          <w:rFonts w:ascii="Times New Roman" w:hAnsi="Times New Roman" w:eastAsia="黑体"/>
          <w:b w:val="0"/>
        </w:rPr>
      </w:pPr>
      <w:bookmarkStart w:id="34" w:name="_Toc15377219"/>
      <w:bookmarkStart w:id="35" w:name="_Toc15396611"/>
      <w:r>
        <w:rPr>
          <w:rStyle w:val="30"/>
          <w:rFonts w:hint="eastAsia" w:ascii="Times New Roman" w:hAnsi="Times New Roman" w:eastAsia="黑体"/>
          <w:b w:val="0"/>
        </w:rPr>
        <w:t>九、国有资本经营预算支出决算情况说明</w:t>
      </w:r>
      <w:bookmarkEnd w:id="34"/>
      <w:bookmarkEnd w:id="35"/>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p>
    <w:p>
      <w:pPr>
        <w:spacing w:line="600" w:lineRule="exact"/>
        <w:ind w:left="630"/>
        <w:outlineLvl w:val="1"/>
        <w:rPr>
          <w:rStyle w:val="30"/>
          <w:rFonts w:ascii="Times New Roman" w:hAnsi="Times New Roman" w:eastAsia="黑体"/>
          <w:b w:val="0"/>
        </w:rPr>
      </w:pPr>
      <w:bookmarkStart w:id="36" w:name="_Toc15377221"/>
      <w:bookmarkStart w:id="37" w:name="_Toc15396612"/>
      <w:r>
        <w:rPr>
          <w:rStyle w:val="30"/>
          <w:rFonts w:hint="eastAsia" w:ascii="Times New Roman" w:hAnsi="Times New Roman" w:eastAsia="黑体"/>
          <w:b w:val="0"/>
        </w:rPr>
        <w:t>十、其他重要事项的情况说明</w:t>
      </w:r>
      <w:bookmarkEnd w:id="36"/>
      <w:bookmarkEnd w:id="37"/>
    </w:p>
    <w:p>
      <w:pPr>
        <w:spacing w:line="600" w:lineRule="exact"/>
        <w:ind w:firstLine="642" w:firstLineChars="200"/>
        <w:outlineLvl w:val="2"/>
        <w:rPr>
          <w:rFonts w:eastAsia="楷体_GB2312" w:cs="楷体_GB2312"/>
          <w:b/>
          <w:sz w:val="32"/>
          <w:szCs w:val="32"/>
        </w:rPr>
      </w:pPr>
      <w:bookmarkStart w:id="38" w:name="_Toc15377222"/>
      <w:r>
        <w:rPr>
          <w:rFonts w:hint="eastAsia" w:eastAsia="楷体_GB2312" w:cs="楷体_GB2312"/>
          <w:b/>
          <w:sz w:val="32"/>
          <w:szCs w:val="32"/>
        </w:rPr>
        <w:t>（一）机关运行经费支出情况</w:t>
      </w:r>
      <w:bookmarkEnd w:id="38"/>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中共攀枝花市委市直属机关工作委员</w:t>
      </w:r>
      <w:r>
        <w:rPr>
          <w:rFonts w:hint="eastAsia" w:ascii="仿宋_GB2312" w:hAnsi="仿宋_GB2312" w:eastAsia="仿宋_GB2312" w:cs="仿宋_GB2312"/>
          <w:sz w:val="32"/>
          <w:szCs w:val="32"/>
        </w:rPr>
        <w:t>机关运行经费支出47.78万</w:t>
      </w:r>
      <w:r>
        <w:rPr>
          <w:rFonts w:hint="eastAsia" w:eastAsia="仿宋_GB2312" w:cs="仿宋_GB2312"/>
          <w:sz w:val="32"/>
          <w:szCs w:val="32"/>
        </w:rPr>
        <w:t>元，比2023年度减少</w:t>
      </w:r>
      <w:r>
        <w:rPr>
          <w:rFonts w:hint="eastAsia" w:eastAsia="仿宋_GB2312" w:cs="仿宋_GB2312"/>
          <w:sz w:val="32"/>
          <w:szCs w:val="32"/>
          <w:lang w:val="en-US" w:eastAsia="zh-CN"/>
        </w:rPr>
        <w:t>10.55</w:t>
      </w:r>
      <w:r>
        <w:rPr>
          <w:rFonts w:hint="eastAsia" w:eastAsia="仿宋_GB2312" w:cs="仿宋_GB2312"/>
          <w:sz w:val="32"/>
          <w:szCs w:val="32"/>
        </w:rPr>
        <w:t>万元，下降</w:t>
      </w:r>
      <w:r>
        <w:rPr>
          <w:rFonts w:hint="eastAsia" w:eastAsia="仿宋_GB2312" w:cs="仿宋_GB2312"/>
          <w:sz w:val="32"/>
          <w:szCs w:val="32"/>
          <w:lang w:val="en-US" w:eastAsia="zh-CN"/>
        </w:rPr>
        <w:t>18.09</w:t>
      </w:r>
      <w:r>
        <w:rPr>
          <w:rFonts w:hint="eastAsia" w:eastAsia="仿宋_GB2312" w:cs="仿宋_GB2312"/>
          <w:sz w:val="32"/>
          <w:szCs w:val="32"/>
        </w:rPr>
        <w:t>%。主要原因是人员调</w:t>
      </w:r>
      <w:r>
        <w:rPr>
          <w:rFonts w:hint="eastAsia" w:eastAsia="仿宋_GB2312" w:cs="仿宋_GB2312"/>
          <w:sz w:val="32"/>
          <w:szCs w:val="32"/>
          <w:lang w:eastAsia="zh-CN"/>
        </w:rPr>
        <w:t>出</w:t>
      </w:r>
      <w:r>
        <w:rPr>
          <w:rFonts w:hint="eastAsia" w:eastAsia="仿宋_GB2312" w:cs="仿宋_GB2312"/>
          <w:sz w:val="32"/>
          <w:szCs w:val="32"/>
        </w:rPr>
        <w:t>，人员经费和公用经费</w:t>
      </w:r>
      <w:r>
        <w:rPr>
          <w:rFonts w:hint="eastAsia" w:eastAsia="仿宋_GB2312" w:cs="仿宋_GB2312"/>
          <w:sz w:val="32"/>
          <w:szCs w:val="32"/>
          <w:lang w:eastAsia="zh-CN"/>
        </w:rPr>
        <w:t>减少。</w:t>
      </w:r>
    </w:p>
    <w:p>
      <w:pPr>
        <w:spacing w:line="600" w:lineRule="exact"/>
        <w:ind w:firstLine="642" w:firstLineChars="200"/>
        <w:outlineLvl w:val="2"/>
        <w:rPr>
          <w:rFonts w:eastAsia="楷体_GB2312" w:cs="楷体_GB2312"/>
          <w:b/>
          <w:sz w:val="32"/>
          <w:szCs w:val="32"/>
        </w:rPr>
      </w:pPr>
      <w:bookmarkStart w:id="39" w:name="_Toc15377223"/>
      <w:r>
        <w:rPr>
          <w:rFonts w:hint="eastAsia" w:eastAsia="楷体_GB2312" w:cs="楷体_GB2312"/>
          <w:b/>
          <w:sz w:val="32"/>
          <w:szCs w:val="32"/>
        </w:rPr>
        <w:t>（二）政府采购支出情况</w:t>
      </w:r>
      <w:bookmarkEnd w:id="39"/>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中共攀枝花市委市直属机关工作委员</w:t>
      </w:r>
      <w:r>
        <w:rPr>
          <w:rFonts w:hint="eastAsia" w:ascii="仿宋_GB2312" w:hAnsi="仿宋_GB2312" w:eastAsia="仿宋_GB2312" w:cs="仿宋_GB2312"/>
          <w:sz w:val="32"/>
          <w:szCs w:val="32"/>
        </w:rPr>
        <w:t>政府采购支出总额1.33万元，其中：政府采购货物支出0万元、政府采购工程支出0万元、政府采购服务支出1.33万元。主要用于</w:t>
      </w:r>
      <w:r>
        <w:rPr>
          <w:rFonts w:hint="eastAsia" w:ascii="仿宋_GB2312" w:eastAsia="仿宋_GB2312"/>
          <w:sz w:val="32"/>
          <w:szCs w:val="32"/>
        </w:rPr>
        <w:t>公务用车燃料费、维修费、保险费支出。</w:t>
      </w:r>
      <w:r>
        <w:rPr>
          <w:rFonts w:hint="eastAsia" w:ascii="仿宋_GB2312" w:hAnsi="仿宋_GB2312" w:eastAsia="仿宋_GB2312" w:cs="仿宋_GB2312"/>
          <w:sz w:val="32"/>
          <w:szCs w:val="32"/>
        </w:rPr>
        <w:t>授予中小企业合同金额0.94万元，占政府采购支出总额的70.55%，其中：授予小微企业合同金额0.14万元，占政府采购支出总额的10.37%。</w:t>
      </w:r>
    </w:p>
    <w:p>
      <w:pPr>
        <w:spacing w:line="600" w:lineRule="exact"/>
        <w:ind w:firstLine="642" w:firstLineChars="200"/>
        <w:outlineLvl w:val="2"/>
        <w:rPr>
          <w:rFonts w:eastAsia="楷体_GB2312" w:cs="楷体_GB2312"/>
          <w:b/>
          <w:sz w:val="32"/>
          <w:szCs w:val="32"/>
        </w:rPr>
      </w:pPr>
      <w:bookmarkStart w:id="40" w:name="_Toc15377224"/>
      <w:r>
        <w:rPr>
          <w:rFonts w:hint="eastAsia" w:eastAsia="楷体_GB2312" w:cs="楷体_GB2312"/>
          <w:b/>
          <w:sz w:val="32"/>
          <w:szCs w:val="32"/>
        </w:rPr>
        <w:t>（三）国有资产占有使用情况</w:t>
      </w:r>
      <w:bookmarkEnd w:id="40"/>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eastAsia="zh-CN"/>
        </w:rPr>
        <w:t>中共攀枝花市委市直属机关工作委员</w:t>
      </w:r>
      <w:r>
        <w:rPr>
          <w:rFonts w:hint="eastAsia" w:ascii="仿宋_GB2312" w:hAnsi="仿宋_GB2312" w:eastAsia="仿宋_GB2312" w:cs="仿宋_GB2312"/>
          <w:sz w:val="32"/>
          <w:szCs w:val="32"/>
        </w:rPr>
        <w:t>共有车辆1辆，其中：主要负责人用车0辆、机要通信用车0辆、应急保障用车1辆、其他用车0辆</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firstLineChars="200"/>
        <w:rPr>
          <w:rFonts w:eastAsia="仿宋_GB2312" w:cs="仿宋_GB2312"/>
          <w:sz w:val="32"/>
          <w:szCs w:val="32"/>
        </w:rPr>
      </w:pPr>
      <w:r>
        <w:rPr>
          <w:rFonts w:hint="eastAsia" w:ascii="仿宋_GB2312" w:eastAsia="仿宋_GB2312"/>
          <w:sz w:val="32"/>
          <w:szCs w:val="32"/>
          <w:lang w:eastAsia="zh-CN"/>
        </w:rPr>
        <w:t>根据预算绩效管理要求，</w:t>
      </w:r>
      <w:r>
        <w:rPr>
          <w:rFonts w:hint="eastAsia" w:ascii="仿宋_GB2312" w:hAnsi="Times New Roman" w:eastAsia="仿宋_GB2312"/>
          <w:sz w:val="32"/>
          <w:szCs w:val="32"/>
        </w:rPr>
        <w:t>本单位在202</w:t>
      </w:r>
      <w:r>
        <w:rPr>
          <w:rFonts w:hint="eastAsia" w:ascii="仿宋_GB2312" w:eastAsia="仿宋_GB2312"/>
          <w:sz w:val="32"/>
          <w:szCs w:val="32"/>
          <w:lang w:val="en-US" w:eastAsia="zh-CN"/>
        </w:rPr>
        <w:t>4</w:t>
      </w:r>
      <w:r>
        <w:rPr>
          <w:rFonts w:hint="eastAsia" w:ascii="仿宋_GB2312" w:hAnsi="Times New Roman" w:eastAsia="仿宋_GB2312"/>
          <w:sz w:val="32"/>
          <w:szCs w:val="32"/>
        </w:rPr>
        <w:t>年度预算编制阶段，组织对</w:t>
      </w:r>
      <w:r>
        <w:rPr>
          <w:rFonts w:hint="eastAsia" w:ascii="仿宋_GB2312" w:eastAsia="仿宋_GB2312"/>
          <w:sz w:val="32"/>
          <w:szCs w:val="32"/>
          <w:lang w:eastAsia="zh-CN"/>
        </w:rPr>
        <w:t>关工委</w:t>
      </w:r>
      <w:r>
        <w:rPr>
          <w:rFonts w:hint="eastAsia" w:ascii="仿宋_GB2312" w:hAnsi="Times New Roman" w:eastAsia="仿宋_GB2312"/>
          <w:sz w:val="32"/>
          <w:szCs w:val="32"/>
        </w:rPr>
        <w:t>经费、驻村帮扶工作经费、</w:t>
      </w:r>
      <w:r>
        <w:rPr>
          <w:rFonts w:hint="eastAsia" w:ascii="仿宋_GB2312" w:eastAsia="仿宋_GB2312"/>
          <w:sz w:val="32"/>
          <w:szCs w:val="32"/>
          <w:lang w:eastAsia="zh-CN"/>
        </w:rPr>
        <w:t>基层党组织提质增效工作经费</w:t>
      </w:r>
      <w:r>
        <w:rPr>
          <w:rFonts w:hint="eastAsia" w:ascii="仿宋_GB2312" w:eastAsia="仿宋_GB2312"/>
          <w:sz w:val="32"/>
          <w:szCs w:val="32"/>
          <w:lang w:val="en-US" w:eastAsia="zh-CN"/>
        </w:rPr>
        <w:t>3</w:t>
      </w:r>
      <w:r>
        <w:rPr>
          <w:rFonts w:hint="eastAsia" w:ascii="仿宋_GB2312" w:hAnsi="Times New Roman" w:eastAsia="仿宋_GB2312"/>
          <w:sz w:val="32"/>
          <w:szCs w:val="32"/>
        </w:rPr>
        <w:t>个项目开展了预算事前绩效评估，对</w:t>
      </w:r>
      <w:r>
        <w:rPr>
          <w:rFonts w:hint="eastAsia" w:ascii="仿宋_GB2312" w:eastAsia="仿宋_GB2312"/>
          <w:sz w:val="32"/>
          <w:szCs w:val="32"/>
          <w:lang w:val="en-US" w:eastAsia="zh-CN"/>
        </w:rPr>
        <w:t>3</w:t>
      </w:r>
      <w:r>
        <w:rPr>
          <w:rFonts w:hint="eastAsia" w:ascii="仿宋_GB2312" w:hAnsi="Times New Roman" w:eastAsia="仿宋_GB2312"/>
          <w:sz w:val="32"/>
          <w:szCs w:val="32"/>
        </w:rPr>
        <w:t>个项目编制了绩效目标，预算执行过程中，选取</w:t>
      </w:r>
      <w:r>
        <w:rPr>
          <w:rFonts w:hint="eastAsia" w:ascii="仿宋_GB2312" w:eastAsia="仿宋_GB2312"/>
          <w:sz w:val="32"/>
          <w:szCs w:val="32"/>
          <w:lang w:val="en-US" w:eastAsia="zh-CN"/>
        </w:rPr>
        <w:t>3</w:t>
      </w:r>
      <w:r>
        <w:rPr>
          <w:rFonts w:hint="eastAsia" w:ascii="仿宋_GB2312" w:hAnsi="Times New Roman" w:eastAsia="仿宋_GB2312"/>
          <w:sz w:val="32"/>
          <w:szCs w:val="32"/>
        </w:rPr>
        <w:t>个项目开展绩效监控。</w:t>
      </w:r>
    </w:p>
    <w:p>
      <w:pPr>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pStyle w:val="3"/>
      </w:pPr>
    </w:p>
    <w:p>
      <w:pPr>
        <w:rPr>
          <w:rFonts w:eastAsia="仿宋_GB2312" w:cs="仿宋_GB2312"/>
          <w:sz w:val="32"/>
          <w:szCs w:val="32"/>
        </w:rPr>
      </w:pPr>
    </w:p>
    <w:p>
      <w:pPr>
        <w:spacing w:line="600" w:lineRule="exact"/>
        <w:rPr>
          <w:rFonts w:eastAsia="仿宋_GB2312" w:cs="仿宋_GB2312"/>
          <w:sz w:val="32"/>
          <w:szCs w:val="32"/>
        </w:rPr>
      </w:pPr>
    </w:p>
    <w:p>
      <w:pPr>
        <w:spacing w:line="600" w:lineRule="exact"/>
        <w:jc w:val="center"/>
        <w:outlineLvl w:val="0"/>
        <w:rPr>
          <w:rFonts w:eastAsia="黑体"/>
          <w:sz w:val="44"/>
          <w:szCs w:val="44"/>
        </w:rPr>
      </w:pPr>
      <w:bookmarkStart w:id="41" w:name="_Toc15396613"/>
      <w:bookmarkStart w:id="42" w:name="_Toc15377225"/>
      <w:r>
        <w:rPr>
          <w:rFonts w:hint="eastAsia" w:eastAsia="黑体"/>
          <w:sz w:val="44"/>
          <w:szCs w:val="44"/>
        </w:rPr>
        <w:t>第三部分  名词解释</w:t>
      </w:r>
      <w:bookmarkEnd w:id="41"/>
      <w:bookmarkEnd w:id="42"/>
    </w:p>
    <w:p>
      <w:pPr>
        <w:spacing w:line="600" w:lineRule="exact"/>
        <w:jc w:val="left"/>
        <w:rPr>
          <w:b/>
          <w:sz w:val="44"/>
          <w:szCs w:val="44"/>
        </w:rPr>
      </w:pP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2.其他收入：指单位取得的除上述收入以外的各项收入。主要是银行利息收入。</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3.年初结转和结余：指以前年度尚未完成、结转到本年按有关规定继续使用的资金。</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年末结转和结余：指单位按有关规定结转到下年或以后年度继续使用的资金。</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5.一般公共服务（类）党委办公厅（室）及相关机构事务（款）行政运行（项）:指反映行政单位的基本支出。</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 社会保障和就业（类）行政事业单位离退休（款）未归口管理的行政单位离退休（项）：指反映未实行归口管理的行政单位开支的离退休支出。</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7.住房保障支出（类）住房改革支出（款）住房公积金（项）：指指行政事业单位按人力资源和社会保障部、财政部规定的基本工资和津贴补贴以及规定比例为职工缴纳的住房公积金。</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8.基本支出：指为保障机构正常运转、完成日常工作任务而发生的人员支出和公用支出。</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9.项目支出：指在基本支出之外为完成特定行政任务和事业发展目标所发生的支出。</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jc w:val="center"/>
        <w:rPr>
          <w:rStyle w:val="29"/>
          <w:rFonts w:eastAsia="黑体"/>
          <w:b w:val="0"/>
        </w:rPr>
      </w:pPr>
      <w:r>
        <w:rPr>
          <w:rFonts w:hint="eastAsia" w:eastAsia="仿宋_GB2312" w:cs="仿宋_GB2312"/>
          <w:sz w:val="32"/>
          <w:szCs w:val="32"/>
        </w:rPr>
        <w:br w:type="page"/>
      </w:r>
      <w:bookmarkStart w:id="43" w:name="_Toc15396614"/>
      <w:r>
        <w:rPr>
          <w:rFonts w:hint="eastAsia" w:eastAsia="黑体"/>
          <w:sz w:val="44"/>
          <w:szCs w:val="44"/>
        </w:rPr>
        <w:t>第四部分  附件</w:t>
      </w:r>
      <w:bookmarkEnd w:id="43"/>
    </w:p>
    <w:p>
      <w:pPr>
        <w:spacing w:line="572" w:lineRule="exact"/>
        <w:jc w:val="left"/>
        <w:outlineLvl w:val="0"/>
        <w:rPr>
          <w:rFonts w:eastAsia="黑体" w:cs="黑体"/>
          <w:color w:val="FF000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shd w:val="clear" w:color="auto" w:fill="FFFFFF"/>
          <w:lang w:val="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color w:val="000000"/>
          <w:kern w:val="0"/>
          <w:sz w:val="32"/>
          <w:szCs w:val="32"/>
          <w:shd w:val="clear" w:color="auto" w:fill="FFFFFF"/>
          <w:lang w:val="zh-CN"/>
        </w:rPr>
        <w:t>（一）机构组成。</w:t>
      </w:r>
      <w:r>
        <w:rPr>
          <w:rFonts w:hint="default" w:ascii="Times New Roman" w:hAnsi="Times New Roman" w:eastAsia="方正仿宋_GBK" w:cs="Times New Roman"/>
          <w:sz w:val="32"/>
          <w:szCs w:val="32"/>
          <w:lang w:val="zh-CN"/>
        </w:rPr>
        <w:t>中共攀枝花市委市直属机关工作委员会</w:t>
      </w:r>
      <w:r>
        <w:rPr>
          <w:rFonts w:hint="default" w:ascii="Times New Roman" w:hAnsi="Times New Roman" w:eastAsia="方正仿宋_GBK" w:cs="Times New Roman"/>
          <w:sz w:val="32"/>
          <w:szCs w:val="32"/>
        </w:rPr>
        <w:t>（以下简称</w:t>
      </w:r>
      <w:r>
        <w:rPr>
          <w:rFonts w:hint="default" w:ascii="Times New Roman" w:hAnsi="Times New Roman" w:eastAsia="方正仿宋_GBK" w:cs="Times New Roman"/>
          <w:sz w:val="32"/>
          <w:szCs w:val="32"/>
          <w:lang w:eastAsia="zh-CN"/>
        </w:rPr>
        <w:t>市委</w:t>
      </w:r>
      <w:r>
        <w:rPr>
          <w:rFonts w:hint="default" w:ascii="Times New Roman" w:hAnsi="Times New Roman" w:eastAsia="方正仿宋_GBK" w:cs="Times New Roman"/>
          <w:sz w:val="32"/>
          <w:szCs w:val="32"/>
        </w:rPr>
        <w:t>市直机关</w:t>
      </w:r>
      <w:r>
        <w:rPr>
          <w:rFonts w:hint="default" w:ascii="Times New Roman" w:hAnsi="Times New Roman" w:eastAsia="方正仿宋_GBK" w:cs="Times New Roman"/>
          <w:sz w:val="32"/>
          <w:szCs w:val="32"/>
          <w:lang w:val="zh-CN"/>
        </w:rPr>
        <w:t>工委）内设办公室、组织部、宣传部、统战群工部、研究室等</w:t>
      </w:r>
      <w:r>
        <w:rPr>
          <w:rFonts w:hint="default" w:ascii="Times New Roman" w:hAnsi="Times New Roman" w:eastAsia="方正仿宋_GBK" w:cs="Times New Roman"/>
          <w:sz w:val="32"/>
          <w:szCs w:val="32"/>
          <w:lang w:val="en-US" w:eastAsia="zh-CN"/>
        </w:rPr>
        <w:t>5个</w:t>
      </w:r>
      <w:r>
        <w:rPr>
          <w:rFonts w:hint="default" w:ascii="Times New Roman" w:hAnsi="Times New Roman" w:eastAsia="方正仿宋_GBK" w:cs="Times New Roman"/>
          <w:sz w:val="32"/>
          <w:szCs w:val="32"/>
          <w:lang w:val="zh-CN"/>
        </w:rPr>
        <w:t>职能部</w:t>
      </w:r>
      <w:r>
        <w:rPr>
          <w:rFonts w:hint="eastAsia" w:eastAsia="方正仿宋_GBK" w:cs="Times New Roman"/>
          <w:sz w:val="32"/>
          <w:szCs w:val="32"/>
          <w:lang w:val="zh-CN"/>
        </w:rPr>
        <w:t>（</w:t>
      </w:r>
      <w:r>
        <w:rPr>
          <w:rFonts w:hint="default" w:ascii="Times New Roman" w:hAnsi="Times New Roman" w:eastAsia="方正仿宋_GBK" w:cs="Times New Roman"/>
          <w:sz w:val="32"/>
          <w:szCs w:val="32"/>
          <w:lang w:val="zh-CN"/>
        </w:rPr>
        <w:t>室</w:t>
      </w:r>
      <w:r>
        <w:rPr>
          <w:rFonts w:hint="eastAsia" w:eastAsia="方正仿宋_GBK" w:cs="Times New Roman"/>
          <w:sz w:val="32"/>
          <w:szCs w:val="32"/>
          <w:lang w:val="zh-CN"/>
        </w:rPr>
        <w:t>）</w:t>
      </w:r>
      <w:r>
        <w:rPr>
          <w:rFonts w:hint="default" w:ascii="Times New Roman" w:hAnsi="Times New Roman" w:eastAsia="方正仿宋_GBK" w:cs="Times New Roman"/>
          <w:sz w:val="32"/>
          <w:szCs w:val="32"/>
          <w:lang w:val="zh-CN"/>
        </w:rPr>
        <w:t>和市直属机关纪律检查工作委员会（市直机关纪工委为市纪委派出机构）。</w:t>
      </w:r>
      <w:r>
        <w:rPr>
          <w:rFonts w:hint="default" w:ascii="Times New Roman" w:hAnsi="Times New Roman" w:eastAsia="方正仿宋_GBK" w:cs="Times New Roman"/>
          <w:sz w:val="32"/>
          <w:szCs w:val="32"/>
        </w:rPr>
        <w:t>下设攀枝花市直属机关党员服务中心，为</w:t>
      </w:r>
      <w:r>
        <w:rPr>
          <w:rFonts w:hint="default" w:ascii="Times New Roman" w:hAnsi="Times New Roman" w:eastAsia="方正仿宋_GBK" w:cs="Times New Roman"/>
          <w:sz w:val="32"/>
          <w:szCs w:val="32"/>
          <w:lang w:eastAsia="zh-CN"/>
        </w:rPr>
        <w:t>市委</w:t>
      </w:r>
      <w:r>
        <w:rPr>
          <w:rFonts w:hint="default" w:ascii="Times New Roman" w:hAnsi="Times New Roman" w:eastAsia="方正仿宋_GBK" w:cs="Times New Roman"/>
          <w:sz w:val="32"/>
          <w:szCs w:val="32"/>
        </w:rPr>
        <w:t>市直机关工委下属公益一类事业单位（非独立核算），根据攀编发〔2019〕126号，于2019年12月成立。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sectPr>
          <w:footerReference r:id="rId8" w:type="default"/>
          <w:pgSz w:w="11906" w:h="16838"/>
          <w:pgMar w:top="2098" w:right="1474" w:bottom="1984" w:left="1587" w:header="907" w:footer="1644" w:gutter="0"/>
          <w:pgNumType w:fmt="decimal" w:start="1"/>
          <w:cols w:space="720" w:num="1"/>
          <w:rtlGutter w:val="0"/>
          <w:docGrid w:type="lines" w:linePitch="435" w:charSpace="0"/>
        </w:sectPr>
      </w:pPr>
      <w:r>
        <w:rPr>
          <w:rFonts w:hint="default" w:ascii="方正楷体_GBK" w:hAnsi="方正楷体_GBK" w:eastAsia="方正楷体_GBK" w:cs="方正楷体_GBK"/>
          <w:b/>
          <w:bCs/>
          <w:color w:val="000000"/>
          <w:kern w:val="0"/>
          <w:sz w:val="32"/>
          <w:szCs w:val="32"/>
          <w:shd w:val="clear" w:color="auto" w:fill="FFFFFF"/>
          <w:lang w:val="zh-CN"/>
        </w:rPr>
        <w:t>（二）机构职能。</w:t>
      </w:r>
      <w:r>
        <w:rPr>
          <w:rFonts w:hint="default" w:ascii="Times New Roman" w:hAnsi="Times New Roman" w:eastAsia="方正仿宋_GBK" w:cs="Times New Roman"/>
          <w:sz w:val="32"/>
          <w:szCs w:val="32"/>
          <w:lang w:eastAsia="zh-CN"/>
        </w:rPr>
        <w:t>市委</w:t>
      </w:r>
      <w:r>
        <w:rPr>
          <w:rFonts w:hint="default" w:ascii="Times New Roman" w:hAnsi="Times New Roman" w:eastAsia="方正仿宋_GBK" w:cs="Times New Roman"/>
          <w:sz w:val="32"/>
          <w:szCs w:val="32"/>
        </w:rPr>
        <w:t>市直机关工委是市委的派出机构，负责领导市直机关党的工作，联系指导区（县）机关党的建设。主要职能包括：拟定市直机关党的建设规划并组织实施；分类指导市直机关及有关</w:t>
      </w:r>
      <w:r>
        <w:rPr>
          <w:rFonts w:hint="default" w:ascii="Times New Roman" w:hAnsi="Times New Roman" w:eastAsia="方正仿宋_GBK" w:cs="Times New Roman"/>
          <w:sz w:val="32"/>
          <w:szCs w:val="32"/>
          <w:lang w:eastAsia="zh-CN"/>
        </w:rPr>
        <w:t>单</w:t>
      </w:r>
      <w:r>
        <w:rPr>
          <w:rFonts w:hint="default" w:ascii="Times New Roman" w:hAnsi="Times New Roman" w:eastAsia="方正仿宋_GBK" w:cs="Times New Roman"/>
          <w:sz w:val="32"/>
          <w:szCs w:val="32"/>
        </w:rPr>
        <w:t>位党组织抓好党的思想、组织、作风建设和党员的教育、管理工作。领导市直机关精神文明建设、机关作风建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kern w:val="0"/>
          <w:sz w:val="32"/>
          <w:szCs w:val="32"/>
          <w:shd w:val="clear" w:color="auto" w:fill="FFFFFF"/>
          <w:lang w:val="zh-CN"/>
        </w:rPr>
      </w:pPr>
      <w:r>
        <w:rPr>
          <w:rFonts w:hint="default" w:ascii="Times New Roman" w:hAnsi="Times New Roman" w:eastAsia="方正仿宋_GBK" w:cs="Times New Roman"/>
          <w:sz w:val="32"/>
          <w:szCs w:val="32"/>
        </w:rPr>
        <w:t>设工作；承担市直机关思想、道德、文化建设工作。负责市直机关领导班子、领导干部的思想政治和作风建设工作；负责审批设立市直机关各部门机关党委（直属总支、支部）和机关纪委以及领导班子人员；负责市直机关各部门直属党组织负责人的考核、任免和培训工作；负责审批直属总支、支部发展的党员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color w:val="000000"/>
          <w:kern w:val="0"/>
          <w:sz w:val="32"/>
          <w:szCs w:val="32"/>
          <w:shd w:val="clear" w:color="auto" w:fill="FFFFFF"/>
          <w:lang w:val="zh-CN"/>
        </w:rPr>
        <w:t>（三）人员概况。</w:t>
      </w:r>
      <w:r>
        <w:rPr>
          <w:rFonts w:hint="default"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rPr>
        <w:t>年末</w:t>
      </w:r>
      <w:r>
        <w:rPr>
          <w:rFonts w:hint="default" w:ascii="Times New Roman" w:hAnsi="Times New Roman" w:eastAsia="方正仿宋_GBK" w:cs="Times New Roman"/>
          <w:sz w:val="32"/>
          <w:szCs w:val="32"/>
          <w:lang w:eastAsia="zh-CN"/>
        </w:rPr>
        <w:t>市委</w:t>
      </w:r>
      <w:r>
        <w:rPr>
          <w:rFonts w:hint="default" w:ascii="Times New Roman" w:hAnsi="Times New Roman" w:eastAsia="方正仿宋_GBK" w:cs="Times New Roman"/>
          <w:sz w:val="32"/>
          <w:szCs w:val="32"/>
        </w:rPr>
        <w:t>市直机关工委实有人数</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人，在职人员</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人，其中行政人员12人，机关工勤1人，编内聘用1人，非参公事业人员</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离休人员1人</w:t>
      </w:r>
      <w:r>
        <w:rPr>
          <w:rFonts w:hint="default" w:ascii="Times New Roman" w:hAnsi="Times New Roman" w:eastAsia="方正仿宋_GBK" w:cs="Times New Roman"/>
          <w:sz w:val="32"/>
          <w:szCs w:val="32"/>
          <w:lang w:eastAsia="zh-CN"/>
        </w:rPr>
        <w:t>，退休</w:t>
      </w:r>
      <w:r>
        <w:rPr>
          <w:rFonts w:hint="default" w:ascii="Times New Roman" w:hAnsi="Times New Roman" w:eastAsia="方正仿宋_GBK" w:cs="Times New Roman"/>
          <w:sz w:val="32"/>
          <w:szCs w:val="32"/>
          <w:lang w:val="en-US" w:eastAsia="zh-CN"/>
        </w:rPr>
        <w:t>15人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方正黑体_GBK" w:hAnsi="方正黑体_GBK" w:eastAsia="方正黑体_GBK" w:cs="方正黑体_GBK"/>
          <w:color w:val="000000"/>
          <w:kern w:val="0"/>
          <w:sz w:val="32"/>
          <w:szCs w:val="32"/>
          <w:shd w:val="clear" w:color="auto" w:fill="FFFFFF"/>
        </w:rPr>
      </w:pPr>
      <w:r>
        <w:rPr>
          <w:rFonts w:hint="eastAsia" w:ascii="方正黑体_GBK" w:hAnsi="方正黑体_GBK" w:eastAsia="方正黑体_GBK" w:cs="方正黑体_GBK"/>
          <w:color w:val="000000"/>
          <w:kern w:val="0"/>
          <w:sz w:val="32"/>
          <w:szCs w:val="32"/>
          <w:shd w:val="clear" w:color="auto" w:fill="FFFFFF"/>
        </w:rPr>
        <w:t>二、资金收支情况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color w:val="000000"/>
          <w:kern w:val="0"/>
          <w:sz w:val="32"/>
          <w:szCs w:val="32"/>
          <w:shd w:val="clear" w:color="auto" w:fill="FFFFFF"/>
          <w:lang w:val="zh-CN"/>
        </w:rPr>
        <w:t>（一）收入情况。</w:t>
      </w:r>
      <w:r>
        <w:rPr>
          <w:rFonts w:hint="default" w:ascii="Times New Roman" w:hAnsi="Times New Roman" w:eastAsia="方正仿宋_GBK" w:cs="Times New Roman"/>
          <w:sz w:val="32"/>
          <w:szCs w:val="32"/>
          <w:lang w:eastAsia="zh-CN"/>
        </w:rPr>
        <w:t>市委</w:t>
      </w:r>
      <w:r>
        <w:rPr>
          <w:rFonts w:hint="default" w:ascii="Times New Roman" w:hAnsi="Times New Roman" w:eastAsia="方正仿宋_GBK" w:cs="Times New Roman"/>
          <w:sz w:val="32"/>
          <w:szCs w:val="32"/>
        </w:rPr>
        <w:t>市直机关工委202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年收入预算</w:t>
      </w:r>
      <w:r>
        <w:rPr>
          <w:rFonts w:hint="default" w:ascii="Times New Roman" w:hAnsi="Times New Roman" w:eastAsia="方正仿宋_GBK" w:cs="Times New Roman"/>
          <w:sz w:val="32"/>
          <w:szCs w:val="32"/>
          <w:lang w:val="en-US" w:eastAsia="zh-CN"/>
        </w:rPr>
        <w:t>485.57</w:t>
      </w:r>
      <w:r>
        <w:rPr>
          <w:rFonts w:hint="default" w:ascii="Times New Roman" w:hAnsi="Times New Roman" w:eastAsia="方正仿宋_GBK" w:cs="Times New Roman"/>
          <w:sz w:val="32"/>
          <w:szCs w:val="32"/>
        </w:rPr>
        <w:t>万元，一般公共预算拨款收入</w:t>
      </w:r>
      <w:r>
        <w:rPr>
          <w:rFonts w:hint="default" w:ascii="Times New Roman" w:hAnsi="Times New Roman" w:eastAsia="方正仿宋_GBK" w:cs="Times New Roman"/>
          <w:sz w:val="32"/>
          <w:szCs w:val="32"/>
          <w:lang w:val="en-US" w:eastAsia="zh-CN"/>
        </w:rPr>
        <w:t>485.57</w:t>
      </w:r>
      <w:r>
        <w:rPr>
          <w:rFonts w:hint="default" w:ascii="Times New Roman" w:hAnsi="Times New Roman" w:eastAsia="方正仿宋_GBK" w:cs="Times New Roman"/>
          <w:sz w:val="32"/>
          <w:szCs w:val="32"/>
        </w:rPr>
        <w:t>万元，占100%。</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000000"/>
          <w:kern w:val="0"/>
          <w:sz w:val="32"/>
          <w:szCs w:val="32"/>
          <w:shd w:val="clear" w:color="auto" w:fill="FFFFFF"/>
          <w:lang w:val="zh-CN" w:eastAsia="zh-CN"/>
        </w:rPr>
        <w:t>（二）支出情况。</w:t>
      </w:r>
      <w:r>
        <w:rPr>
          <w:rFonts w:hint="default" w:ascii="Times New Roman" w:hAnsi="Times New Roman" w:eastAsia="方正仿宋_GBK" w:cs="Times New Roman"/>
          <w:sz w:val="32"/>
          <w:szCs w:val="32"/>
          <w:lang w:val="zh-CN" w:eastAsia="zh-CN"/>
        </w:rPr>
        <w:t>市</w:t>
      </w:r>
      <w:r>
        <w:rPr>
          <w:rFonts w:hint="default" w:ascii="Times New Roman" w:hAnsi="Times New Roman" w:eastAsia="方正仿宋_GBK" w:cs="Times New Roman"/>
          <w:sz w:val="32"/>
          <w:szCs w:val="32"/>
          <w:lang w:eastAsia="zh-CN"/>
        </w:rPr>
        <w:t>委市直机关工委202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年支出预算</w:t>
      </w:r>
      <w:r>
        <w:rPr>
          <w:rFonts w:hint="default" w:ascii="Times New Roman" w:hAnsi="Times New Roman" w:eastAsia="方正仿宋_GBK" w:cs="Times New Roman"/>
          <w:sz w:val="32"/>
          <w:szCs w:val="32"/>
          <w:lang w:val="en-US" w:eastAsia="zh-CN"/>
        </w:rPr>
        <w:t>485.57</w:t>
      </w:r>
      <w:r>
        <w:rPr>
          <w:rFonts w:hint="default" w:ascii="Times New Roman" w:hAnsi="Times New Roman" w:eastAsia="方正仿宋_GBK" w:cs="Times New Roman"/>
          <w:sz w:val="32"/>
          <w:szCs w:val="32"/>
          <w:lang w:eastAsia="zh-CN"/>
        </w:rPr>
        <w:t>万元。</w:t>
      </w:r>
      <w:r>
        <w:rPr>
          <w:rFonts w:hint="eastAsia"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lang w:val="en-US" w:eastAsia="zh-CN"/>
        </w:rPr>
        <w:t>基本支出4</w:t>
      </w:r>
      <w:r>
        <w:rPr>
          <w:rFonts w:hint="eastAsia" w:ascii="Times New Roman" w:hAnsi="Times New Roman" w:eastAsia="方正仿宋_GBK" w:cs="Times New Roman"/>
          <w:sz w:val="32"/>
          <w:szCs w:val="32"/>
          <w:lang w:val="en-US" w:eastAsia="zh-CN"/>
        </w:rPr>
        <w:t>74.97</w:t>
      </w:r>
      <w:r>
        <w:rPr>
          <w:rFonts w:hint="default" w:ascii="Times New Roman" w:hAnsi="Times New Roman" w:eastAsia="方正仿宋_GBK" w:cs="Times New Roman"/>
          <w:sz w:val="32"/>
          <w:szCs w:val="32"/>
          <w:lang w:val="en-US" w:eastAsia="zh-CN"/>
        </w:rPr>
        <w:t>万元，占97.8</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%。其中：一般公共服务支出300.28万元、社会保障和就业支出125.56万元、住房保障支出28.31万元、卫生健康支出20.95万元，年末无结余</w:t>
      </w:r>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2024年项目支出10.</w:t>
      </w:r>
      <w:r>
        <w:rPr>
          <w:rFonts w:hint="eastAsia" w:eastAsia="方正仿宋_GBK" w:cs="Times New Roman"/>
          <w:sz w:val="32"/>
          <w:szCs w:val="32"/>
          <w:lang w:val="en-US" w:eastAsia="zh-CN"/>
        </w:rPr>
        <w:t>59</w:t>
      </w:r>
      <w:r>
        <w:rPr>
          <w:rFonts w:hint="default" w:ascii="Times New Roman" w:hAnsi="Times New Roman" w:eastAsia="方正仿宋_GBK" w:cs="Times New Roman"/>
          <w:sz w:val="32"/>
          <w:szCs w:val="32"/>
          <w:lang w:val="en-US" w:eastAsia="zh-CN"/>
        </w:rPr>
        <w:t>万元，占2.1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eastAsia="zh-CN"/>
        </w:rPr>
        <w:t>其中：机关党建工作经费4.94万元，驻村帮扶工作经费0.58万元，基层党组织提质增效工作经费4.94万元</w:t>
      </w:r>
      <w:r>
        <w:rPr>
          <w:rFonts w:hint="eastAsia" w:ascii="Times New Roman" w:hAnsi="Times New Roman" w:eastAsia="方正仿宋_GBK" w:cs="Times New Roman"/>
          <w:color w:val="auto"/>
          <w:sz w:val="32"/>
          <w:szCs w:val="32"/>
          <w:lang w:val="en-US" w:eastAsia="zh-CN"/>
        </w:rPr>
        <w:t>，关工委经费0.13万元</w:t>
      </w:r>
      <w:r>
        <w:rPr>
          <w:rFonts w:hint="eastAsia"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方正楷体_GBK" w:hAnsi="方正楷体_GBK" w:eastAsia="方正楷体_GBK" w:cs="方正楷体_GBK"/>
          <w:b/>
          <w:bCs/>
          <w:color w:val="000000"/>
          <w:kern w:val="0"/>
          <w:sz w:val="32"/>
          <w:szCs w:val="32"/>
          <w:shd w:val="clear" w:color="auto" w:fill="FFFFFF"/>
          <w:lang w:val="zh-CN"/>
        </w:rPr>
        <w:t>（三）结余分配和结转结余情况。</w:t>
      </w:r>
      <w:r>
        <w:rPr>
          <w:rFonts w:hint="default" w:ascii="Times New Roman" w:hAnsi="Times New Roman" w:eastAsia="方正仿宋_GBK" w:cs="Times New Roman"/>
          <w:sz w:val="32"/>
          <w:szCs w:val="32"/>
          <w:lang w:eastAsia="zh-CN"/>
        </w:rPr>
        <w:t>市委</w:t>
      </w:r>
      <w:r>
        <w:rPr>
          <w:rFonts w:hint="default" w:ascii="Times New Roman" w:hAnsi="Times New Roman" w:eastAsia="方正仿宋_GBK" w:cs="Times New Roman"/>
          <w:sz w:val="32"/>
          <w:szCs w:val="32"/>
        </w:rPr>
        <w:t>市直机关工委2024年决算</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color w:val="000000"/>
          <w:kern w:val="0"/>
          <w:sz w:val="32"/>
          <w:szCs w:val="32"/>
          <w:shd w:val="clear" w:color="auto" w:fill="FFFFFF"/>
        </w:rPr>
        <w:t>结转结余情况。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default" w:ascii="方正黑体_GBK" w:hAnsi="方正黑体_GBK" w:eastAsia="方正黑体_GBK" w:cs="方正黑体_GBK"/>
          <w:color w:val="000000"/>
          <w:kern w:val="0"/>
          <w:sz w:val="32"/>
          <w:szCs w:val="32"/>
          <w:shd w:val="clear" w:color="auto" w:fill="FFFFFF"/>
        </w:rPr>
      </w:pPr>
      <w:r>
        <w:rPr>
          <w:rFonts w:hint="default" w:ascii="方正黑体_GBK" w:hAnsi="方正黑体_GBK" w:eastAsia="方正黑体_GBK" w:cs="方正黑体_GBK"/>
          <w:color w:val="000000"/>
          <w:kern w:val="0"/>
          <w:sz w:val="32"/>
          <w:szCs w:val="32"/>
          <w:shd w:val="clear" w:color="auto" w:fill="FFFFFF"/>
        </w:rPr>
        <w:t>三、</w:t>
      </w:r>
      <w:bookmarkStart w:id="44" w:name="OLE_LINK1"/>
      <w:r>
        <w:rPr>
          <w:rFonts w:hint="default" w:ascii="方正黑体_GBK" w:hAnsi="方正黑体_GBK" w:eastAsia="方正黑体_GBK" w:cs="方正黑体_GBK"/>
          <w:color w:val="000000"/>
          <w:kern w:val="0"/>
          <w:sz w:val="32"/>
          <w:szCs w:val="32"/>
          <w:shd w:val="clear" w:color="auto" w:fill="FFFFFF"/>
        </w:rPr>
        <w:t>预算绩效分析</w:t>
      </w:r>
    </w:p>
    <w:bookmarkEnd w:id="44"/>
    <w:p>
      <w:pPr>
        <w:keepNext w:val="0"/>
        <w:keepLines w:val="0"/>
        <w:pageBreakBefore w:val="0"/>
        <w:kinsoku/>
        <w:wordWrap/>
        <w:overflowPunct/>
        <w:topLinePunct w:val="0"/>
        <w:autoSpaceDE/>
        <w:autoSpaceDN/>
        <w:bidi w:val="0"/>
        <w:adjustRightInd/>
        <w:snapToGrid/>
        <w:spacing w:line="560" w:lineRule="exact"/>
        <w:ind w:firstLine="642" w:firstLineChars="200"/>
        <w:contextualSpacing/>
        <w:jc w:val="left"/>
        <w:textAlignment w:val="auto"/>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color w:val="000000"/>
          <w:kern w:val="0"/>
          <w:sz w:val="32"/>
          <w:szCs w:val="32"/>
          <w:shd w:val="clear" w:color="auto" w:fill="FFFFFF"/>
          <w:lang w:val="zh-CN"/>
        </w:rPr>
        <w:t>（一）预算总体绩效分析</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rPr>
        <w:t>1.</w:t>
      </w:r>
      <w:r>
        <w:rPr>
          <w:rFonts w:hint="default" w:ascii="Times New Roman" w:hAnsi="Times New Roman" w:eastAsia="方正仿宋_GBK" w:cs="Times New Roman"/>
          <w:b/>
          <w:bCs/>
          <w:color w:val="000000"/>
          <w:kern w:val="0"/>
          <w:sz w:val="32"/>
          <w:szCs w:val="32"/>
          <w:shd w:val="clear" w:color="auto" w:fill="FFFFFF"/>
          <w:lang w:val="zh-CN"/>
        </w:rPr>
        <w:t>履职效能。</w:t>
      </w:r>
      <w:r>
        <w:rPr>
          <w:rFonts w:hint="default" w:ascii="Times New Roman" w:hAnsi="Times New Roman" w:eastAsia="方正仿宋_GBK" w:cs="Times New Roman"/>
          <w:color w:val="000000"/>
          <w:kern w:val="0"/>
          <w:sz w:val="32"/>
          <w:szCs w:val="32"/>
          <w:shd w:val="clear" w:color="auto" w:fill="FFFFFF"/>
          <w:lang w:val="zh-CN"/>
        </w:rPr>
        <w:t>全年预算执行率基本支出执行良好，但项目支出执行率偏低，需加快资金拨付流程。</w:t>
      </w:r>
      <w:r>
        <w:rPr>
          <w:rFonts w:hint="eastAsia" w:eastAsia="方正仿宋_GBK" w:cs="Times New Roman"/>
          <w:color w:val="000000"/>
          <w:kern w:val="0"/>
          <w:sz w:val="32"/>
          <w:szCs w:val="32"/>
          <w:shd w:val="clear" w:color="auto" w:fill="FFFFFF"/>
          <w:lang w:val="zh-CN"/>
        </w:rPr>
        <w:t>“</w:t>
      </w:r>
      <w:r>
        <w:rPr>
          <w:rFonts w:hint="default" w:ascii="Times New Roman" w:hAnsi="Times New Roman" w:eastAsia="方正仿宋_GBK" w:cs="Times New Roman"/>
          <w:color w:val="000000"/>
          <w:kern w:val="0"/>
          <w:sz w:val="32"/>
          <w:szCs w:val="32"/>
          <w:shd w:val="clear" w:color="auto" w:fill="FFFFFF"/>
          <w:lang w:val="zh-CN"/>
        </w:rPr>
        <w:t>三公经费</w:t>
      </w:r>
      <w:r>
        <w:rPr>
          <w:rFonts w:hint="eastAsia" w:eastAsia="方正仿宋_GBK" w:cs="Times New Roman"/>
          <w:color w:val="000000"/>
          <w:kern w:val="0"/>
          <w:sz w:val="32"/>
          <w:szCs w:val="32"/>
          <w:shd w:val="clear" w:color="auto" w:fill="FFFFFF"/>
          <w:lang w:val="zh-CN"/>
        </w:rPr>
        <w:t>”</w:t>
      </w:r>
      <w:r>
        <w:rPr>
          <w:rFonts w:hint="default" w:ascii="Times New Roman" w:hAnsi="Times New Roman" w:eastAsia="方正仿宋_GBK" w:cs="Times New Roman"/>
          <w:color w:val="000000"/>
          <w:kern w:val="0"/>
          <w:sz w:val="32"/>
          <w:szCs w:val="32"/>
          <w:shd w:val="clear" w:color="auto" w:fill="FFFFFF"/>
          <w:lang w:val="zh-CN"/>
        </w:rPr>
        <w:t>压减10%，符合财政要求。</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lang w:val="en-US" w:eastAsia="zh-CN"/>
        </w:rPr>
      </w:pPr>
      <w:r>
        <w:rPr>
          <w:rFonts w:hint="default" w:ascii="Times New Roman" w:hAnsi="Times New Roman" w:eastAsia="方正仿宋_GBK" w:cs="Times New Roman"/>
          <w:b/>
          <w:bCs/>
          <w:color w:val="000000"/>
          <w:kern w:val="0"/>
          <w:sz w:val="32"/>
          <w:szCs w:val="32"/>
          <w:shd w:val="clear" w:color="auto" w:fill="FFFFFF"/>
          <w:lang w:val="zh-CN"/>
        </w:rPr>
        <w:t>2.预算管理。</w:t>
      </w:r>
      <w:r>
        <w:rPr>
          <w:rFonts w:hint="default" w:ascii="Times New Roman" w:hAnsi="Times New Roman" w:eastAsia="方正仿宋_GBK" w:cs="Times New Roman"/>
          <w:color w:val="000000"/>
          <w:kern w:val="0"/>
          <w:sz w:val="32"/>
          <w:szCs w:val="32"/>
          <w:shd w:val="clear" w:color="auto" w:fill="FFFFFF"/>
        </w:rPr>
        <w:t>2024年预算编制合理</w:t>
      </w:r>
      <w:r>
        <w:rPr>
          <w:rFonts w:hint="eastAsia" w:eastAsia="方正仿宋_GBK" w:cs="Times New Roman"/>
          <w:color w:val="000000"/>
          <w:kern w:val="0"/>
          <w:sz w:val="32"/>
          <w:szCs w:val="32"/>
          <w:shd w:val="clear" w:color="auto" w:fill="FFFFFF"/>
          <w:lang w:eastAsia="zh-CN"/>
        </w:rPr>
        <w:t>、</w:t>
      </w:r>
      <w:r>
        <w:rPr>
          <w:rFonts w:hint="default" w:ascii="Times New Roman" w:hAnsi="Times New Roman" w:eastAsia="方正仿宋_GBK" w:cs="Times New Roman"/>
          <w:color w:val="000000"/>
          <w:kern w:val="0"/>
          <w:sz w:val="32"/>
          <w:szCs w:val="32"/>
          <w:shd w:val="clear" w:color="auto" w:fill="FFFFFF"/>
        </w:rPr>
        <w:t>规范，预算编制符合本</w:t>
      </w:r>
      <w:r>
        <w:rPr>
          <w:rFonts w:hint="default" w:ascii="Times New Roman" w:hAnsi="Times New Roman" w:eastAsia="方正仿宋_GBK" w:cs="Times New Roman"/>
          <w:color w:val="000000"/>
          <w:kern w:val="0"/>
          <w:sz w:val="32"/>
          <w:szCs w:val="32"/>
          <w:shd w:val="clear" w:color="auto" w:fill="FFFFFF"/>
          <w:lang w:eastAsia="zh-CN"/>
        </w:rPr>
        <w:t>单位</w:t>
      </w:r>
      <w:r>
        <w:rPr>
          <w:rFonts w:hint="default" w:ascii="Times New Roman" w:hAnsi="Times New Roman" w:eastAsia="方正仿宋_GBK" w:cs="Times New Roman"/>
          <w:color w:val="000000"/>
          <w:kern w:val="0"/>
          <w:sz w:val="32"/>
          <w:szCs w:val="32"/>
          <w:shd w:val="clear" w:color="auto" w:fill="FFFFFF"/>
        </w:rPr>
        <w:t>职</w:t>
      </w:r>
      <w:r>
        <w:rPr>
          <w:rFonts w:hint="eastAsia" w:eastAsia="方正仿宋_GBK" w:cs="Times New Roman"/>
          <w:color w:val="000000"/>
          <w:kern w:val="0"/>
          <w:sz w:val="32"/>
          <w:szCs w:val="32"/>
          <w:shd w:val="clear" w:color="auto" w:fill="FFFFFF"/>
          <w:lang w:eastAsia="zh-CN"/>
        </w:rPr>
        <w:t>能</w:t>
      </w:r>
      <w:r>
        <w:rPr>
          <w:rFonts w:hint="default" w:ascii="Times New Roman" w:hAnsi="Times New Roman" w:eastAsia="方正仿宋_GBK" w:cs="Times New Roman"/>
          <w:color w:val="000000"/>
          <w:kern w:val="0"/>
          <w:sz w:val="32"/>
          <w:szCs w:val="32"/>
          <w:shd w:val="clear" w:color="auto" w:fill="FFFFFF"/>
        </w:rPr>
        <w:t>、</w:t>
      </w:r>
      <w:r>
        <w:rPr>
          <w:rFonts w:hint="default" w:ascii="Times New Roman" w:hAnsi="Times New Roman" w:eastAsia="方正仿宋_GBK" w:cs="Times New Roman"/>
          <w:color w:val="000000"/>
          <w:kern w:val="0"/>
          <w:sz w:val="32"/>
          <w:szCs w:val="32"/>
          <w:shd w:val="clear" w:color="auto" w:fill="FFFFFF"/>
          <w:lang w:val="zh-CN"/>
        </w:rPr>
        <w:t>编制内容细化、详实</w:t>
      </w:r>
      <w:r>
        <w:rPr>
          <w:rFonts w:hint="default" w:ascii="Times New Roman" w:hAnsi="Times New Roman" w:eastAsia="方正仿宋_GBK" w:cs="Times New Roman"/>
          <w:color w:val="000000"/>
          <w:kern w:val="0"/>
          <w:sz w:val="32"/>
          <w:szCs w:val="32"/>
          <w:shd w:val="clear" w:color="auto" w:fill="FFFFFF"/>
        </w:rPr>
        <w:t>，功能分类和经济分类编制准确，</w:t>
      </w:r>
      <w:r>
        <w:rPr>
          <w:rFonts w:hint="default" w:ascii="Times New Roman" w:hAnsi="Times New Roman" w:eastAsia="方正仿宋_GBK" w:cs="Times New Roman"/>
          <w:color w:val="000000"/>
          <w:kern w:val="0"/>
          <w:sz w:val="32"/>
          <w:szCs w:val="32"/>
          <w:shd w:val="clear" w:color="auto" w:fill="FFFFFF"/>
          <w:lang w:val="zh-CN"/>
        </w:rPr>
        <w:t>预算支出与实际支出相吻合，</w:t>
      </w:r>
      <w:r>
        <w:rPr>
          <w:rFonts w:hint="default" w:ascii="Times New Roman" w:hAnsi="Times New Roman" w:eastAsia="方正仿宋_GBK" w:cs="Times New Roman"/>
          <w:color w:val="000000"/>
          <w:kern w:val="0"/>
          <w:sz w:val="32"/>
          <w:szCs w:val="32"/>
          <w:shd w:val="clear" w:color="auto" w:fill="FFFFFF"/>
        </w:rPr>
        <w:t>未出现因年中调剂导致预决算差异过大的问题。</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lang w:val="zh-CN"/>
        </w:rPr>
        <w:t>3.财务管理。</w:t>
      </w:r>
      <w:r>
        <w:rPr>
          <w:rFonts w:hint="default" w:ascii="Times New Roman" w:hAnsi="Times New Roman" w:eastAsia="方正仿宋_GBK" w:cs="Times New Roman"/>
          <w:color w:val="000000"/>
          <w:sz w:val="32"/>
          <w:szCs w:val="32"/>
          <w:shd w:val="clear" w:color="auto" w:fill="FFFFFF"/>
          <w:lang w:val="zh-CN"/>
        </w:rPr>
        <w:t>认真履行“三定”方案确定的职责，</w:t>
      </w:r>
      <w:r>
        <w:rPr>
          <w:rFonts w:hint="default" w:ascii="Times New Roman" w:hAnsi="Times New Roman" w:eastAsia="方正仿宋_GBK" w:cs="Times New Roman"/>
          <w:color w:val="000000"/>
          <w:sz w:val="32"/>
          <w:szCs w:val="32"/>
          <w:shd w:val="clear" w:color="auto" w:fill="FFFFFF"/>
        </w:rPr>
        <w:t>严格落实资金管理、支出管理、费用报销等制度</w:t>
      </w:r>
      <w:r>
        <w:rPr>
          <w:rFonts w:hint="default" w:ascii="Times New Roman" w:hAnsi="Times New Roman" w:eastAsia="方正仿宋_GBK" w:cs="Times New Roman"/>
          <w:color w:val="000000"/>
          <w:sz w:val="32"/>
          <w:szCs w:val="32"/>
          <w:shd w:val="clear" w:color="auto" w:fill="FFFFFF"/>
          <w:lang w:val="zh-CN"/>
        </w:rPr>
        <w:t>，</w:t>
      </w:r>
      <w:r>
        <w:rPr>
          <w:rFonts w:hint="default" w:ascii="Times New Roman" w:hAnsi="Times New Roman" w:eastAsia="方正仿宋_GBK" w:cs="Times New Roman"/>
          <w:color w:val="000000"/>
          <w:sz w:val="32"/>
          <w:szCs w:val="32"/>
          <w:shd w:val="clear" w:color="auto" w:fill="FFFFFF"/>
        </w:rPr>
        <w:t>合理规范使用各类资金，加强原始票据的审核，确保</w:t>
      </w:r>
      <w:r>
        <w:rPr>
          <w:rFonts w:hint="default" w:ascii="Times New Roman" w:hAnsi="Times New Roman" w:eastAsia="方正仿宋_GBK" w:cs="Times New Roman"/>
          <w:color w:val="000000"/>
          <w:sz w:val="32"/>
          <w:szCs w:val="32"/>
          <w:shd w:val="clear" w:color="auto" w:fill="FFFFFF"/>
          <w:lang w:eastAsia="zh-CN"/>
        </w:rPr>
        <w:t>了</w:t>
      </w:r>
      <w:r>
        <w:rPr>
          <w:rFonts w:hint="default" w:ascii="Times New Roman" w:hAnsi="Times New Roman" w:eastAsia="方正仿宋_GBK" w:cs="Times New Roman"/>
          <w:color w:val="000000"/>
          <w:sz w:val="32"/>
          <w:szCs w:val="32"/>
          <w:shd w:val="clear" w:color="auto" w:fill="FFFFFF"/>
          <w:lang w:val="zh-CN"/>
        </w:rPr>
        <w:t>基础数据信息和会计信息资料真实、完整、准确</w:t>
      </w:r>
      <w:r>
        <w:rPr>
          <w:rFonts w:hint="eastAsia" w:eastAsia="方正仿宋_GBK" w:cs="Times New Roman"/>
          <w:color w:val="000000"/>
          <w:sz w:val="32"/>
          <w:szCs w:val="32"/>
          <w:shd w:val="clear" w:color="auto" w:fill="FFFFFF"/>
          <w:lang w:val="zh-CN"/>
        </w:rPr>
        <w:t>；</w:t>
      </w:r>
      <w:r>
        <w:rPr>
          <w:rFonts w:hint="default" w:ascii="Times New Roman" w:hAnsi="Times New Roman" w:eastAsia="方正仿宋_GBK" w:cs="Times New Roman"/>
          <w:color w:val="000000"/>
          <w:sz w:val="32"/>
          <w:szCs w:val="32"/>
          <w:shd w:val="clear" w:color="auto" w:fill="FFFFFF"/>
        </w:rPr>
        <w:t>严格按照有关财务制度进行资金的拨付使用，会计核算规范</w:t>
      </w:r>
      <w:r>
        <w:rPr>
          <w:rFonts w:hint="eastAsia"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按照政府信息公开有关规定及时公开相关预决算信息</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lang w:val="zh-CN"/>
        </w:rPr>
        <w:t>加强管理厉行节支，</w:t>
      </w:r>
      <w:r>
        <w:rPr>
          <w:rFonts w:hint="default" w:ascii="Times New Roman" w:hAnsi="Times New Roman" w:eastAsia="方正仿宋_GBK" w:cs="Times New Roman"/>
          <w:color w:val="000000"/>
          <w:sz w:val="32"/>
          <w:szCs w:val="32"/>
          <w:shd w:val="clear" w:color="auto" w:fill="FFFFFF"/>
        </w:rPr>
        <w:t>严格执行</w:t>
      </w:r>
      <w:r>
        <w:rPr>
          <w:rFonts w:hint="default" w:ascii="Times New Roman" w:hAnsi="Times New Roman" w:eastAsia="方正仿宋_GBK" w:cs="Times New Roman"/>
          <w:color w:val="000000"/>
          <w:sz w:val="32"/>
          <w:szCs w:val="32"/>
          <w:shd w:val="clear" w:color="auto" w:fill="FFFFFF"/>
          <w:lang w:val="zh-CN"/>
        </w:rPr>
        <w:t>接待、出差、会议、培训等制度和审批程序，公务</w:t>
      </w:r>
      <w:r>
        <w:rPr>
          <w:rFonts w:hint="eastAsia" w:eastAsia="方正仿宋_GBK" w:cs="Times New Roman"/>
          <w:color w:val="000000"/>
          <w:sz w:val="32"/>
          <w:szCs w:val="32"/>
          <w:shd w:val="clear" w:color="auto" w:fill="FFFFFF"/>
          <w:lang w:val="zh-CN"/>
        </w:rPr>
        <w:t>经费</w:t>
      </w:r>
      <w:r>
        <w:rPr>
          <w:rFonts w:hint="default" w:ascii="Times New Roman" w:hAnsi="Times New Roman" w:eastAsia="方正仿宋_GBK" w:cs="Times New Roman"/>
          <w:color w:val="000000"/>
          <w:sz w:val="32"/>
          <w:szCs w:val="32"/>
          <w:shd w:val="clear" w:color="auto" w:fill="FFFFFF"/>
          <w:lang w:val="zh-CN"/>
        </w:rPr>
        <w:t>支出规范。</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lang w:val="zh-CN"/>
        </w:rPr>
        <w:t>4.资产管理。</w:t>
      </w:r>
      <w:r>
        <w:rPr>
          <w:rFonts w:hint="default" w:ascii="Times New Roman" w:hAnsi="Times New Roman" w:eastAsia="方正仿宋_GBK" w:cs="Times New Roman"/>
          <w:color w:val="000000"/>
          <w:kern w:val="0"/>
          <w:sz w:val="32"/>
          <w:szCs w:val="32"/>
          <w:shd w:val="clear" w:color="auto" w:fill="FFFFFF"/>
        </w:rPr>
        <w:t>严格按照《行政事业单位国有资产管理办法》进行资产管理，严格做好资产的登记、录入工作，做到一物一卡一号，一一对应。为确保会计资料的真实可靠，保护固定资产的安全完整，定期对资产实物进行全程跟踪管理，通过对资产实物清查盘点能够及时发现和堵塞管理中的漏洞，确保固定资产的安全、完整，使用合规、配置合理</w:t>
      </w:r>
      <w:r>
        <w:rPr>
          <w:rFonts w:hint="default" w:ascii="Times New Roman" w:hAnsi="Times New Roman" w:eastAsia="方正仿宋_GBK" w:cs="Times New Roman"/>
          <w:color w:val="000000"/>
          <w:kern w:val="0"/>
          <w:sz w:val="32"/>
          <w:szCs w:val="32"/>
          <w:shd w:val="clear" w:color="auto" w:fill="FFFFFF"/>
          <w:lang w:val="zh-CN"/>
        </w:rPr>
        <w:t>。</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lang w:val="zh-CN"/>
        </w:rPr>
        <w:t>5.采购管理。</w:t>
      </w:r>
      <w:r>
        <w:rPr>
          <w:rFonts w:hint="eastAsia" w:ascii="Times New Roman" w:hAnsi="Times New Roman" w:eastAsia="方正仿宋_GBK" w:cs="Times New Roman"/>
          <w:color w:val="000000"/>
          <w:kern w:val="0"/>
          <w:sz w:val="32"/>
          <w:szCs w:val="32"/>
          <w:shd w:val="clear" w:color="auto" w:fill="FFFFFF"/>
        </w:rPr>
        <w:t>2024年</w:t>
      </w:r>
      <w:r>
        <w:rPr>
          <w:rFonts w:hint="eastAsia" w:eastAsia="方正仿宋_GBK" w:cs="Times New Roman"/>
          <w:color w:val="000000"/>
          <w:kern w:val="0"/>
          <w:sz w:val="32"/>
          <w:szCs w:val="32"/>
          <w:shd w:val="clear" w:color="auto" w:fill="FFFFFF"/>
          <w:lang w:eastAsia="zh-CN"/>
        </w:rPr>
        <w:t>涉及</w:t>
      </w:r>
      <w:r>
        <w:rPr>
          <w:rFonts w:hint="eastAsia" w:ascii="Times New Roman" w:hAnsi="Times New Roman" w:eastAsia="方正仿宋_GBK" w:cs="Times New Roman"/>
          <w:color w:val="000000"/>
          <w:kern w:val="0"/>
          <w:sz w:val="32"/>
          <w:szCs w:val="32"/>
          <w:shd w:val="clear" w:color="auto" w:fill="FFFFFF"/>
        </w:rPr>
        <w:t>政府采购</w:t>
      </w:r>
      <w:r>
        <w:rPr>
          <w:rFonts w:hint="eastAsia" w:ascii="Times New Roman" w:hAnsi="Times New Roman" w:eastAsia="方正仿宋_GBK" w:cs="Times New Roman"/>
          <w:color w:val="000000"/>
          <w:kern w:val="0"/>
          <w:sz w:val="32"/>
          <w:szCs w:val="32"/>
          <w:shd w:val="clear" w:color="auto" w:fill="FFFFFF"/>
          <w:lang w:val="en-US" w:eastAsia="zh-CN"/>
        </w:rPr>
        <w:t>3</w:t>
      </w:r>
      <w:r>
        <w:rPr>
          <w:rFonts w:hint="eastAsia" w:ascii="Times New Roman" w:hAnsi="Times New Roman" w:eastAsia="方正仿宋_GBK" w:cs="Times New Roman"/>
          <w:color w:val="000000"/>
          <w:kern w:val="0"/>
          <w:sz w:val="32"/>
          <w:szCs w:val="32"/>
          <w:shd w:val="clear" w:color="auto" w:fill="FFFFFF"/>
        </w:rPr>
        <w:t>笔</w:t>
      </w:r>
      <w:r>
        <w:rPr>
          <w:rFonts w:hint="eastAsia" w:ascii="Times New Roman" w:hAnsi="Times New Roman" w:eastAsia="方正仿宋_GBK" w:cs="Times New Roman"/>
          <w:color w:val="000000"/>
          <w:kern w:val="0"/>
          <w:sz w:val="32"/>
          <w:szCs w:val="32"/>
          <w:shd w:val="clear" w:color="auto" w:fill="FFFFFF"/>
          <w:lang w:eastAsia="zh-CN"/>
        </w:rPr>
        <w:t>，共计</w:t>
      </w:r>
      <w:r>
        <w:rPr>
          <w:rFonts w:hint="eastAsia" w:ascii="Times New Roman" w:hAnsi="Times New Roman" w:eastAsia="方正仿宋_GBK" w:cs="Times New Roman"/>
          <w:color w:val="000000"/>
          <w:kern w:val="0"/>
          <w:sz w:val="32"/>
          <w:szCs w:val="32"/>
          <w:shd w:val="clear" w:color="auto" w:fill="FFFFFF"/>
          <w:lang w:val="en-US" w:eastAsia="zh-CN"/>
        </w:rPr>
        <w:t>1.33</w:t>
      </w:r>
      <w:r>
        <w:rPr>
          <w:rFonts w:hint="eastAsia" w:ascii="Times New Roman" w:hAnsi="Times New Roman" w:eastAsia="方正仿宋_GBK" w:cs="Times New Roman"/>
          <w:color w:val="000000"/>
          <w:kern w:val="0"/>
          <w:sz w:val="32"/>
          <w:szCs w:val="32"/>
          <w:shd w:val="clear" w:color="auto" w:fill="FFFFFF"/>
        </w:rPr>
        <w:t>万元，系单位公车加油、维修及保险费</w:t>
      </w:r>
      <w:r>
        <w:rPr>
          <w:rFonts w:hint="eastAsia" w:ascii="Times New Roman" w:hAnsi="Times New Roman" w:eastAsia="方正仿宋_GBK" w:cs="Times New Roman"/>
          <w:color w:val="000000"/>
          <w:kern w:val="0"/>
          <w:sz w:val="32"/>
          <w:szCs w:val="32"/>
          <w:shd w:val="clear" w:color="auto" w:fill="FFFFFF"/>
          <w:lang w:eastAsia="zh-CN"/>
        </w:rPr>
        <w:t>。</w:t>
      </w:r>
      <w:r>
        <w:rPr>
          <w:rFonts w:hint="eastAsia" w:ascii="Times New Roman" w:hAnsi="Times New Roman" w:eastAsia="方正仿宋_GBK" w:cs="Times New Roman"/>
          <w:color w:val="000000"/>
          <w:kern w:val="0"/>
          <w:sz w:val="32"/>
          <w:szCs w:val="32"/>
          <w:shd w:val="clear" w:color="auto" w:fill="FFFFFF"/>
        </w:rPr>
        <w:t>未发生其他货物或服务的采购业务</w:t>
      </w:r>
      <w:r>
        <w:rPr>
          <w:rFonts w:hint="default" w:ascii="Times New Roman" w:hAnsi="Times New Roman" w:eastAsia="方正仿宋_GBK" w:cs="Times New Roman"/>
          <w:color w:val="000000"/>
          <w:kern w:val="0"/>
          <w:sz w:val="32"/>
          <w:szCs w:val="32"/>
          <w:shd w:val="clear" w:color="auto" w:fill="FFFFFF"/>
          <w:lang w:val="zh-CN"/>
        </w:rPr>
        <w:t>。</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方正楷体_GBK" w:hAnsi="方正楷体_GBK" w:eastAsia="方正楷体_GBK" w:cs="方正楷体_GBK"/>
          <w:b/>
          <w:bCs/>
          <w:color w:val="000000"/>
          <w:kern w:val="0"/>
          <w:sz w:val="32"/>
          <w:szCs w:val="32"/>
          <w:shd w:val="clear" w:color="auto" w:fill="FFFFFF"/>
          <w:lang w:val="zh-CN"/>
        </w:rPr>
      </w:pPr>
      <w:r>
        <w:rPr>
          <w:rFonts w:hint="default" w:ascii="方正楷体_GBK" w:hAnsi="方正楷体_GBK" w:eastAsia="方正楷体_GBK" w:cs="方正楷体_GBK"/>
          <w:b/>
          <w:bCs/>
          <w:color w:val="000000"/>
          <w:kern w:val="0"/>
          <w:sz w:val="32"/>
          <w:szCs w:val="32"/>
          <w:shd w:val="clear" w:color="auto" w:fill="FFFFFF"/>
          <w:lang w:val="zh-CN"/>
        </w:rPr>
        <w:t>（二）部门预算项目绩效分析</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rPr>
        <w:t>常年项目绩效分析。</w:t>
      </w:r>
      <w:r>
        <w:rPr>
          <w:rFonts w:hint="default" w:ascii="Times New Roman" w:hAnsi="Times New Roman" w:eastAsia="方正仿宋_GBK" w:cs="Times New Roman"/>
          <w:color w:val="000000"/>
          <w:kern w:val="0"/>
          <w:sz w:val="32"/>
          <w:szCs w:val="32"/>
          <w:shd w:val="clear" w:color="auto" w:fill="FFFFFF"/>
          <w:lang w:val="zh-CN"/>
        </w:rPr>
        <w:t>该类项目总数</w:t>
      </w:r>
      <w:r>
        <w:rPr>
          <w:rFonts w:hint="eastAsia" w:eastAsia="方正仿宋_GBK" w:cs="Times New Roman"/>
          <w:color w:val="000000"/>
          <w:kern w:val="0"/>
          <w:sz w:val="32"/>
          <w:szCs w:val="32"/>
          <w:shd w:val="clear" w:color="auto" w:fill="FFFFFF"/>
          <w:lang w:val="en-US" w:eastAsia="zh-CN"/>
        </w:rPr>
        <w:t>4</w:t>
      </w:r>
      <w:r>
        <w:rPr>
          <w:rFonts w:hint="default" w:ascii="Times New Roman" w:hAnsi="Times New Roman" w:eastAsia="方正仿宋_GBK" w:cs="Times New Roman"/>
          <w:color w:val="000000"/>
          <w:kern w:val="0"/>
          <w:sz w:val="32"/>
          <w:szCs w:val="32"/>
          <w:shd w:val="clear" w:color="auto" w:fill="FFFFFF"/>
          <w:lang w:val="zh-CN"/>
        </w:rPr>
        <w:t>个，涉及预算总金额</w:t>
      </w:r>
      <w:r>
        <w:rPr>
          <w:rFonts w:hint="default" w:ascii="Times New Roman" w:hAnsi="Times New Roman" w:eastAsia="方正仿宋_GBK" w:cs="Times New Roman"/>
          <w:color w:val="000000"/>
          <w:kern w:val="0"/>
          <w:sz w:val="32"/>
          <w:szCs w:val="32"/>
          <w:shd w:val="clear" w:color="auto" w:fill="FFFFFF"/>
          <w:lang w:val="en-US" w:eastAsia="zh-CN"/>
        </w:rPr>
        <w:t>10.</w:t>
      </w:r>
      <w:r>
        <w:rPr>
          <w:rFonts w:hint="eastAsia" w:eastAsia="方正仿宋_GBK" w:cs="Times New Roman"/>
          <w:color w:val="000000"/>
          <w:kern w:val="0"/>
          <w:sz w:val="32"/>
          <w:szCs w:val="32"/>
          <w:shd w:val="clear" w:color="auto" w:fill="FFFFFF"/>
          <w:lang w:val="en-US" w:eastAsia="zh-CN"/>
        </w:rPr>
        <w:t>59</w:t>
      </w:r>
      <w:r>
        <w:rPr>
          <w:rFonts w:hint="default" w:ascii="Times New Roman" w:hAnsi="Times New Roman" w:eastAsia="方正仿宋_GBK" w:cs="Times New Roman"/>
          <w:color w:val="000000"/>
          <w:kern w:val="0"/>
          <w:sz w:val="32"/>
          <w:szCs w:val="32"/>
          <w:shd w:val="clear" w:color="auto" w:fill="FFFFFF"/>
          <w:lang w:val="zh-CN"/>
        </w:rPr>
        <w:t>万元，1—1</w:t>
      </w:r>
      <w:r>
        <w:rPr>
          <w:rFonts w:hint="default" w:ascii="Times New Roman" w:hAnsi="Times New Roman" w:eastAsia="方正仿宋_GBK" w:cs="Times New Roman"/>
          <w:color w:val="000000"/>
          <w:kern w:val="0"/>
          <w:sz w:val="32"/>
          <w:szCs w:val="32"/>
          <w:shd w:val="clear" w:color="auto" w:fill="FFFFFF"/>
        </w:rPr>
        <w:t>2</w:t>
      </w:r>
      <w:r>
        <w:rPr>
          <w:rFonts w:hint="default" w:ascii="Times New Roman" w:hAnsi="Times New Roman" w:eastAsia="方正仿宋_GBK" w:cs="Times New Roman"/>
          <w:color w:val="000000"/>
          <w:kern w:val="0"/>
          <w:sz w:val="32"/>
          <w:szCs w:val="32"/>
          <w:shd w:val="clear" w:color="auto" w:fill="FFFFFF"/>
          <w:lang w:val="zh-CN"/>
        </w:rPr>
        <w:t>月预算执行总体进度为</w:t>
      </w:r>
      <w:r>
        <w:rPr>
          <w:rFonts w:hint="default" w:ascii="Times New Roman" w:hAnsi="Times New Roman" w:eastAsia="方正仿宋_GBK" w:cs="Times New Roman"/>
          <w:color w:val="000000"/>
          <w:kern w:val="0"/>
          <w:sz w:val="32"/>
          <w:szCs w:val="32"/>
          <w:shd w:val="clear" w:color="auto" w:fill="FFFFFF"/>
          <w:lang w:val="en-US" w:eastAsia="zh-CN"/>
        </w:rPr>
        <w:t>90.82</w:t>
      </w:r>
      <w:r>
        <w:rPr>
          <w:rFonts w:hint="default" w:ascii="Times New Roman" w:hAnsi="Times New Roman" w:eastAsia="方正仿宋_GBK" w:cs="Times New Roman"/>
          <w:color w:val="000000"/>
          <w:kern w:val="0"/>
          <w:sz w:val="32"/>
          <w:szCs w:val="32"/>
          <w:shd w:val="clear" w:color="auto" w:fill="FFFFFF"/>
          <w:lang w:val="zh-CN"/>
        </w:rPr>
        <w:t>%，其中：预算结余率大于</w:t>
      </w:r>
      <w:r>
        <w:rPr>
          <w:rFonts w:hint="default" w:ascii="Times New Roman" w:hAnsi="Times New Roman" w:eastAsia="方正仿宋_GBK" w:cs="Times New Roman"/>
          <w:color w:val="000000"/>
          <w:kern w:val="0"/>
          <w:sz w:val="32"/>
          <w:szCs w:val="32"/>
          <w:shd w:val="clear" w:color="auto" w:fill="FFFFFF"/>
        </w:rPr>
        <w:t>10%</w:t>
      </w:r>
      <w:r>
        <w:rPr>
          <w:rFonts w:hint="default" w:ascii="Times New Roman" w:hAnsi="Times New Roman" w:eastAsia="方正仿宋_GBK" w:cs="Times New Roman"/>
          <w:color w:val="000000"/>
          <w:kern w:val="0"/>
          <w:sz w:val="32"/>
          <w:szCs w:val="32"/>
          <w:shd w:val="clear" w:color="auto" w:fill="FFFFFF"/>
          <w:lang w:val="zh-CN"/>
        </w:rPr>
        <w:t>的项目共计</w:t>
      </w:r>
      <w:r>
        <w:rPr>
          <w:rFonts w:hint="eastAsia" w:eastAsia="方正仿宋_GBK" w:cs="Times New Roman"/>
          <w:color w:val="000000"/>
          <w:kern w:val="0"/>
          <w:sz w:val="32"/>
          <w:szCs w:val="32"/>
          <w:shd w:val="clear" w:color="auto" w:fill="FFFFFF"/>
          <w:lang w:val="en-US" w:eastAsia="zh-CN"/>
        </w:rPr>
        <w:t>2</w:t>
      </w:r>
      <w:r>
        <w:rPr>
          <w:rFonts w:hint="default" w:ascii="Times New Roman" w:hAnsi="Times New Roman" w:eastAsia="方正仿宋_GBK" w:cs="Times New Roman"/>
          <w:color w:val="000000"/>
          <w:kern w:val="0"/>
          <w:sz w:val="32"/>
          <w:szCs w:val="32"/>
          <w:shd w:val="clear" w:color="auto" w:fill="FFFFFF"/>
          <w:lang w:val="zh-CN"/>
        </w:rPr>
        <w:t>个。</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lang w:val="en-US" w:eastAsia="zh-CN"/>
        </w:rPr>
        <w:t>1.</w:t>
      </w:r>
      <w:r>
        <w:rPr>
          <w:rFonts w:hint="default" w:ascii="Times New Roman" w:hAnsi="Times New Roman" w:eastAsia="方正仿宋_GBK" w:cs="Times New Roman"/>
          <w:b/>
          <w:bCs/>
          <w:color w:val="000000"/>
          <w:kern w:val="0"/>
          <w:sz w:val="32"/>
          <w:szCs w:val="32"/>
          <w:shd w:val="clear" w:color="auto" w:fill="FFFFFF"/>
          <w:lang w:val="zh-CN"/>
        </w:rPr>
        <w:t>项目决策。</w:t>
      </w:r>
      <w:r>
        <w:rPr>
          <w:rFonts w:hint="default" w:ascii="Times New Roman" w:hAnsi="Times New Roman" w:eastAsia="方正仿宋_GBK" w:cs="Times New Roman"/>
          <w:color w:val="000000"/>
          <w:kern w:val="0"/>
          <w:sz w:val="32"/>
          <w:szCs w:val="32"/>
          <w:shd w:val="clear" w:color="auto" w:fill="FFFFFF"/>
          <w:lang w:val="zh-CN"/>
        </w:rPr>
        <w:t>在编制项目绩效目标时全面设置了项目绩效的各项指标，绩效目标严格设置产出指标中的数量、质量、时效、成本等指标，效益指标中的经济效益、社会效益、可持续性影响和服务对象满意度等绩效指标。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contextualSpacing/>
        <w:jc w:val="left"/>
        <w:textAlignment w:val="auto"/>
        <w:rPr>
          <w:rFonts w:hint="eastAsia" w:ascii="Times New Roman" w:hAnsi="Times New Roman" w:eastAsia="方正仿宋_GBK" w:cs="Times New Roman"/>
          <w:color w:val="000000"/>
          <w:kern w:val="0"/>
          <w:sz w:val="32"/>
          <w:szCs w:val="32"/>
          <w:shd w:val="clear" w:color="auto" w:fill="FFFFFF"/>
          <w:lang w:val="zh-CN" w:eastAsia="zh-CN"/>
        </w:rPr>
      </w:pPr>
      <w:r>
        <w:rPr>
          <w:rFonts w:hint="default" w:ascii="Times New Roman" w:hAnsi="Times New Roman" w:eastAsia="方正仿宋_GBK" w:cs="Times New Roman"/>
          <w:b/>
          <w:bCs/>
          <w:color w:val="000000"/>
          <w:kern w:val="0"/>
          <w:sz w:val="32"/>
          <w:szCs w:val="32"/>
          <w:shd w:val="clear" w:color="auto" w:fill="FFFFFF"/>
          <w:lang w:val="en-US" w:eastAsia="zh-CN"/>
        </w:rPr>
        <w:t>2.项目执行</w:t>
      </w:r>
      <w:r>
        <w:rPr>
          <w:rFonts w:hint="default" w:ascii="Times New Roman" w:hAnsi="Times New Roman" w:eastAsia="方正仿宋_GBK" w:cs="Times New Roman"/>
          <w:b/>
          <w:bCs/>
          <w:color w:val="000000"/>
          <w:kern w:val="0"/>
          <w:sz w:val="32"/>
          <w:szCs w:val="32"/>
          <w:shd w:val="clear" w:color="auto" w:fill="FFFFFF"/>
          <w:lang w:val="zh-CN" w:eastAsia="zh-CN"/>
        </w:rPr>
        <w:t>。</w:t>
      </w:r>
      <w:r>
        <w:rPr>
          <w:rFonts w:hint="eastAsia" w:ascii="Times New Roman" w:hAnsi="Times New Roman" w:eastAsia="方正仿宋_GBK" w:cs="Times New Roman"/>
          <w:color w:val="000000"/>
          <w:kern w:val="0"/>
          <w:sz w:val="32"/>
          <w:szCs w:val="32"/>
          <w:shd w:val="clear" w:color="auto" w:fill="FFFFFF"/>
          <w:lang w:val="zh-CN"/>
        </w:rPr>
        <w:t>项目资金专款专用，资金支出符合项目开支使用范围，不存在挤占、挪用的问题</w:t>
      </w:r>
      <w:r>
        <w:rPr>
          <w:rFonts w:hint="eastAsia" w:ascii="Times New Roman" w:hAnsi="Times New Roman" w:eastAsia="方正仿宋_GBK" w:cs="Times New Roman"/>
          <w:color w:val="000000"/>
          <w:kern w:val="0"/>
          <w:sz w:val="32"/>
          <w:szCs w:val="32"/>
          <w:shd w:val="clear" w:color="auto" w:fill="FFFFFF"/>
          <w:lang w:val="zh-CN" w:eastAsia="zh-CN"/>
        </w:rPr>
        <w:t>。</w:t>
      </w:r>
    </w:p>
    <w:p>
      <w:pPr>
        <w:pStyle w:val="36"/>
        <w:keepNext w:val="0"/>
        <w:keepLines w:val="0"/>
        <w:pageBreakBefore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lang w:val="en-US" w:eastAsia="zh-CN" w:bidi="ar-SA"/>
        </w:rPr>
        <w:t>3.</w:t>
      </w:r>
      <w:r>
        <w:rPr>
          <w:rFonts w:hint="default" w:ascii="Times New Roman" w:hAnsi="Times New Roman" w:eastAsia="方正仿宋_GBK" w:cs="Times New Roman"/>
          <w:b/>
          <w:bCs/>
          <w:color w:val="000000"/>
          <w:kern w:val="0"/>
          <w:sz w:val="32"/>
          <w:szCs w:val="32"/>
          <w:shd w:val="clear" w:color="auto" w:fill="FFFFFF"/>
          <w:lang w:val="zh-CN" w:eastAsia="zh-CN" w:bidi="ar-SA"/>
        </w:rPr>
        <w:t>目标实现。</w:t>
      </w:r>
      <w:r>
        <w:rPr>
          <w:rFonts w:hint="default" w:ascii="Times New Roman" w:hAnsi="Times New Roman" w:eastAsia="方正仿宋_GBK" w:cs="Times New Roman"/>
          <w:color w:val="000000"/>
          <w:kern w:val="0"/>
          <w:sz w:val="32"/>
          <w:szCs w:val="32"/>
          <w:shd w:val="clear" w:color="auto" w:fill="FFFFFF"/>
          <w:lang w:val="zh-CN"/>
        </w:rPr>
        <w:t>完成</w:t>
      </w:r>
      <w:r>
        <w:rPr>
          <w:rFonts w:hint="eastAsia" w:ascii="Times New Roman" w:eastAsia="方正仿宋_GBK" w:cs="Times New Roman"/>
          <w:color w:val="000000"/>
          <w:kern w:val="0"/>
          <w:sz w:val="32"/>
          <w:szCs w:val="32"/>
          <w:shd w:val="clear" w:color="auto" w:fill="FFFFFF"/>
          <w:lang w:val="zh-CN"/>
        </w:rPr>
        <w:t>了</w:t>
      </w:r>
      <w:r>
        <w:rPr>
          <w:rFonts w:hint="default" w:ascii="Times New Roman" w:hAnsi="Times New Roman" w:eastAsia="方正仿宋_GBK" w:cs="Times New Roman"/>
          <w:color w:val="auto"/>
          <w:kern w:val="0"/>
          <w:sz w:val="32"/>
          <w:szCs w:val="32"/>
          <w:shd w:val="clear" w:color="auto" w:fill="FFFFFF"/>
          <w:lang w:val="en-US" w:eastAsia="zh-CN" w:bidi="ar-SA"/>
        </w:rPr>
        <w:t>机关党建工作经费、驻村帮扶工作经费、基层党组织提质增效工作经费</w:t>
      </w:r>
      <w:r>
        <w:rPr>
          <w:rFonts w:hint="default" w:ascii="Times New Roman" w:hAnsi="Times New Roman" w:eastAsia="方正仿宋_GBK" w:cs="Times New Roman"/>
          <w:color w:val="000000"/>
          <w:kern w:val="0"/>
          <w:sz w:val="32"/>
          <w:szCs w:val="32"/>
          <w:shd w:val="clear" w:color="auto" w:fill="FFFFFF"/>
          <w:lang w:val="zh-CN"/>
        </w:rPr>
        <w:t>等项目</w:t>
      </w:r>
      <w:r>
        <w:rPr>
          <w:rFonts w:hint="eastAsia" w:ascii="Times New Roman" w:eastAsia="方正仿宋_GBK" w:cs="Times New Roman"/>
          <w:color w:val="000000"/>
          <w:kern w:val="0"/>
          <w:sz w:val="32"/>
          <w:szCs w:val="32"/>
          <w:shd w:val="clear" w:color="auto" w:fill="FFFFFF"/>
          <w:lang w:val="zh-CN"/>
        </w:rPr>
        <w:t>经费支出</w:t>
      </w:r>
      <w:r>
        <w:rPr>
          <w:rFonts w:hint="default" w:ascii="Times New Roman" w:hAnsi="Times New Roman" w:eastAsia="方正仿宋_GBK" w:cs="Times New Roman"/>
          <w:color w:val="000000"/>
          <w:kern w:val="0"/>
          <w:sz w:val="32"/>
          <w:szCs w:val="32"/>
          <w:shd w:val="clear" w:color="auto" w:fill="FFFFFF"/>
          <w:lang w:val="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sz w:val="32"/>
          <w:szCs w:val="32"/>
        </w:rPr>
      </w:pPr>
      <w:r>
        <w:rPr>
          <w:rFonts w:hint="default" w:ascii="方正楷体_GBK" w:hAnsi="方正楷体_GBK" w:eastAsia="方正楷体_GBK" w:cs="方正楷体_GBK"/>
          <w:b/>
          <w:bCs/>
          <w:color w:val="000000"/>
          <w:kern w:val="0"/>
          <w:sz w:val="32"/>
          <w:szCs w:val="32"/>
          <w:shd w:val="clear" w:color="auto" w:fill="FFFFFF"/>
          <w:lang w:val="zh-CN"/>
        </w:rPr>
        <w:t>（三）绩效结果应用情况。</w:t>
      </w:r>
      <w:r>
        <w:rPr>
          <w:rFonts w:hint="default" w:ascii="Times New Roman" w:hAnsi="Times New Roman" w:eastAsia="方正仿宋_GBK" w:cs="Times New Roman"/>
          <w:color w:val="000000"/>
          <w:kern w:val="0"/>
          <w:sz w:val="32"/>
          <w:szCs w:val="32"/>
          <w:shd w:val="clear" w:color="auto" w:fill="FFFFFF"/>
          <w:lang w:val="zh-CN"/>
        </w:rPr>
        <w:t>落实过紧日子的要求，预算执行严格按照年度绩效目标开展，决算编报质量较高，严格按照公开时间和要求对决算及绩效信息进行公开。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方正黑体_GBK" w:hAnsi="方正黑体_GBK" w:eastAsia="方正黑体_GBK" w:cs="方正黑体_GBK"/>
          <w:color w:val="000000"/>
          <w:kern w:val="0"/>
          <w:sz w:val="32"/>
          <w:szCs w:val="32"/>
          <w:shd w:val="clear" w:color="auto" w:fill="FFFFFF"/>
        </w:rPr>
      </w:pPr>
      <w:r>
        <w:rPr>
          <w:rFonts w:hint="eastAsia" w:ascii="方正黑体_GBK" w:hAnsi="方正黑体_GBK" w:eastAsia="方正黑体_GBK" w:cs="方正黑体_GBK"/>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snapToGrid/>
        <w:spacing w:line="560" w:lineRule="exact"/>
        <w:ind w:firstLine="642" w:firstLineChars="200"/>
        <w:contextualSpacing/>
        <w:jc w:val="left"/>
        <w:textAlignment w:val="auto"/>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default" w:ascii="Times New Roman" w:hAnsi="Times New Roman" w:eastAsia="方正仿宋_GBK" w:cs="Times New Roman"/>
          <w:b/>
          <w:bCs/>
          <w:color w:val="000000"/>
          <w:kern w:val="0"/>
          <w:sz w:val="32"/>
          <w:szCs w:val="32"/>
          <w:shd w:val="clear" w:color="auto" w:fill="FFFFFF"/>
        </w:rPr>
      </w:pPr>
      <w:r>
        <w:rPr>
          <w:rFonts w:hint="default" w:ascii="Times New Roman" w:hAnsi="Times New Roman" w:eastAsia="方正仿宋_GBK" w:cs="Times New Roman"/>
          <w:kern w:val="0"/>
          <w:sz w:val="32"/>
          <w:szCs w:val="32"/>
        </w:rPr>
        <w:t>严格遵守《会计法》和政府会计准则制度，严格落实中央八项规定精神和省、市十项规定</w:t>
      </w:r>
      <w:r>
        <w:rPr>
          <w:rFonts w:hint="default" w:ascii="Times New Roman" w:hAnsi="Times New Roman" w:eastAsia="方正仿宋_GBK" w:cs="Times New Roman"/>
          <w:kern w:val="0"/>
          <w:sz w:val="32"/>
          <w:szCs w:val="32"/>
          <w:lang w:eastAsia="zh-CN"/>
        </w:rPr>
        <w:t>及其实施细则</w:t>
      </w:r>
      <w:r>
        <w:rPr>
          <w:rFonts w:hint="default" w:ascii="Times New Roman" w:hAnsi="Times New Roman" w:eastAsia="方正仿宋_GBK" w:cs="Times New Roman"/>
          <w:kern w:val="0"/>
          <w:sz w:val="32"/>
          <w:szCs w:val="32"/>
        </w:rPr>
        <w:t>，按照政府会计准则制度完成了财务记账，决算编制</w:t>
      </w:r>
      <w:r>
        <w:rPr>
          <w:rFonts w:hint="default" w:ascii="Times New Roman" w:hAnsi="Times New Roman" w:eastAsia="方正仿宋_GBK" w:cs="Times New Roman"/>
          <w:kern w:val="0"/>
          <w:sz w:val="32"/>
          <w:szCs w:val="32"/>
          <w:lang w:eastAsia="zh-CN"/>
        </w:rPr>
        <w:t>、绩效目标</w:t>
      </w:r>
      <w:r>
        <w:rPr>
          <w:rFonts w:hint="default" w:ascii="Times New Roman" w:hAnsi="Times New Roman" w:eastAsia="方正仿宋_GBK" w:cs="Times New Roman"/>
          <w:kern w:val="0"/>
          <w:sz w:val="32"/>
          <w:szCs w:val="32"/>
        </w:rPr>
        <w:t>等工作。</w:t>
      </w:r>
    </w:p>
    <w:p>
      <w:pPr>
        <w:keepNext w:val="0"/>
        <w:keepLines w:val="0"/>
        <w:pageBreakBefore w:val="0"/>
        <w:widowControl/>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方正楷体_GBK" w:hAnsi="方正楷体_GBK" w:eastAsia="方正楷体_GBK" w:cs="方正楷体_GBK"/>
          <w:b/>
          <w:bCs/>
          <w:color w:val="000000"/>
          <w:kern w:val="0"/>
          <w:sz w:val="32"/>
          <w:szCs w:val="32"/>
          <w:shd w:val="clear" w:color="auto" w:fill="FFFFFF"/>
          <w:lang w:val="zh-CN"/>
        </w:rPr>
      </w:pPr>
      <w:r>
        <w:rPr>
          <w:rFonts w:hint="default" w:ascii="方正楷体_GBK" w:hAnsi="方正楷体_GBK" w:eastAsia="方正楷体_GBK" w:cs="方正楷体_GBK"/>
          <w:b/>
          <w:bCs/>
          <w:color w:val="000000"/>
          <w:kern w:val="0"/>
          <w:sz w:val="32"/>
          <w:szCs w:val="32"/>
          <w:shd w:val="clear" w:color="auto" w:fill="FFFFFF"/>
          <w:lang w:val="zh-CN"/>
        </w:rPr>
        <w:t>（二）存在问题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ascii="Times New Roman" w:hAnsi="Times New Roman" w:eastAsia="仿宋_GB2312"/>
          <w:sz w:val="32"/>
          <w:szCs w:val="32"/>
          <w:lang w:val="zh-CN"/>
        </w:rPr>
      </w:pPr>
      <w:r>
        <w:rPr>
          <w:rFonts w:ascii="Times New Roman" w:hAnsi="Times New Roman" w:eastAsia="仿宋_GB2312"/>
          <w:sz w:val="32"/>
          <w:szCs w:val="32"/>
          <w:lang w:val="zh-CN"/>
        </w:rPr>
        <w:t>绩效评价在目标设定上过于简单，预算绩效编制的合理性有待提高。</w:t>
      </w:r>
    </w:p>
    <w:p>
      <w:pPr>
        <w:keepNext w:val="0"/>
        <w:keepLines w:val="0"/>
        <w:pageBreakBefore w:val="0"/>
        <w:widowControl/>
        <w:kinsoku/>
        <w:wordWrap/>
        <w:overflowPunct/>
        <w:topLinePunct w:val="0"/>
        <w:autoSpaceDE/>
        <w:autoSpaceDN/>
        <w:bidi w:val="0"/>
        <w:adjustRightInd/>
        <w:snapToGrid/>
        <w:spacing w:line="560" w:lineRule="exact"/>
        <w:ind w:firstLine="642" w:firstLineChars="200"/>
        <w:contextualSpacing/>
        <w:jc w:val="left"/>
        <w:textAlignment w:val="auto"/>
        <w:rPr>
          <w:rFonts w:hint="default" w:ascii="方正楷体_GBK" w:hAnsi="方正楷体_GBK" w:eastAsia="方正楷体_GBK" w:cs="方正楷体_GBK"/>
          <w:b/>
          <w:bCs/>
          <w:color w:val="000000"/>
          <w:kern w:val="0"/>
          <w:sz w:val="32"/>
          <w:szCs w:val="32"/>
          <w:shd w:val="clear" w:color="auto" w:fill="FFFFFF"/>
          <w:lang w:val="zh-CN"/>
        </w:rPr>
      </w:pPr>
      <w:r>
        <w:rPr>
          <w:rFonts w:hint="default" w:ascii="方正楷体_GBK" w:hAnsi="方正楷体_GBK" w:eastAsia="方正楷体_GBK" w:cs="方正楷体_GBK"/>
          <w:b/>
          <w:bCs/>
          <w:color w:val="000000"/>
          <w:kern w:val="0"/>
          <w:sz w:val="32"/>
          <w:szCs w:val="32"/>
          <w:shd w:val="clear" w:color="auto" w:fill="FFFFFF"/>
          <w:lang w:val="zh-CN"/>
        </w:rPr>
        <w:t>（</w:t>
      </w:r>
      <w:r>
        <w:rPr>
          <w:rFonts w:hint="eastAsia" w:ascii="方正楷体_GBK" w:hAnsi="方正楷体_GBK" w:eastAsia="方正楷体_GBK" w:cs="方正楷体_GBK"/>
          <w:b/>
          <w:bCs/>
          <w:color w:val="000000"/>
          <w:kern w:val="0"/>
          <w:sz w:val="32"/>
          <w:szCs w:val="32"/>
          <w:shd w:val="clear" w:color="auto" w:fill="FFFFFF"/>
          <w:lang w:val="zh-CN"/>
        </w:rPr>
        <w:t>三</w:t>
      </w:r>
      <w:r>
        <w:rPr>
          <w:rFonts w:hint="default" w:ascii="方正楷体_GBK" w:hAnsi="方正楷体_GBK" w:eastAsia="方正楷体_GBK" w:cs="方正楷体_GBK"/>
          <w:b/>
          <w:bCs/>
          <w:color w:val="000000"/>
          <w:kern w:val="0"/>
          <w:sz w:val="32"/>
          <w:szCs w:val="32"/>
          <w:shd w:val="clear" w:color="auto" w:fill="FFFFFF"/>
          <w:lang w:val="zh-CN"/>
        </w:rPr>
        <w:t>）改进建议</w:t>
      </w:r>
      <w:bookmarkStart w:id="45" w:name="_Hlk110546638"/>
    </w:p>
    <w:bookmarkEnd w:id="45"/>
    <w:p>
      <w:pPr>
        <w:widowControl/>
        <w:adjustRightInd w:val="0"/>
        <w:snapToGrid w:val="0"/>
        <w:spacing w:line="578" w:lineRule="exact"/>
        <w:ind w:left="420" w:leftChars="200" w:firstLine="640" w:firstLineChars="200"/>
        <w:contextualSpacing/>
        <w:jc w:val="left"/>
        <w:rPr>
          <w:rFonts w:ascii="Times New Roman" w:hAnsi="Times New Roman" w:eastAsia="仿宋_GB2312"/>
          <w:sz w:val="32"/>
          <w:szCs w:val="32"/>
          <w:lang w:val="zh-CN"/>
        </w:rPr>
      </w:pPr>
      <w:r>
        <w:rPr>
          <w:rFonts w:ascii="Times New Roman" w:hAnsi="Times New Roman" w:eastAsia="仿宋_GB2312"/>
          <w:sz w:val="32"/>
          <w:szCs w:val="32"/>
          <w:lang w:val="zh-CN"/>
        </w:rPr>
        <w:t>加强事前绩效评估、强化项目实施论证，加强项目预算精细化，保障项目资金支付完成率。</w:t>
      </w:r>
    </w:p>
    <w:p>
      <w:pPr>
        <w:widowControl/>
        <w:spacing w:line="578" w:lineRule="exact"/>
        <w:contextualSpacing/>
        <w:jc w:val="center"/>
        <w:rPr>
          <w:rFonts w:eastAsia="方正小标宋简体"/>
          <w:bCs/>
          <w:sz w:val="44"/>
          <w:szCs w:val="44"/>
          <w:shd w:val="clear" w:color="auto" w:fill="FFFFFF"/>
        </w:rPr>
      </w:pP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widowControl/>
        <w:jc w:val="center"/>
        <w:rPr>
          <w:rFonts w:eastAsia="仿宋"/>
        </w:rPr>
      </w:pPr>
      <w:r>
        <w:rPr>
          <w:rFonts w:hint="eastAsia" w:eastAsia="黑体"/>
          <w:sz w:val="44"/>
          <w:szCs w:val="44"/>
        </w:rPr>
        <w:t>第</w:t>
      </w:r>
      <w:r>
        <w:rPr>
          <w:rStyle w:val="29"/>
          <w:rFonts w:hint="eastAsia" w:eastAsia="黑体"/>
          <w:b w:val="0"/>
        </w:rPr>
        <w:t>五部分 附表</w:t>
      </w:r>
      <w:bookmarkStart w:id="46"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6"/>
    </w:p>
    <w:p>
      <w:pPr>
        <w:pStyle w:val="15"/>
        <w:adjustRightInd w:val="0"/>
        <w:snapToGrid w:val="0"/>
        <w:spacing w:line="560" w:lineRule="exact"/>
        <w:jc w:val="left"/>
        <w:rPr>
          <w:rFonts w:eastAsia="仿宋_GB2312" w:cs="仿宋_GB2312"/>
          <w:sz w:val="32"/>
          <w:szCs w:val="32"/>
        </w:rPr>
      </w:pPr>
      <w:bookmarkStart w:id="47" w:name="_Toc15396620"/>
      <w:r>
        <w:rPr>
          <w:rFonts w:hint="eastAsia" w:eastAsia="仿宋_GB2312" w:cs="仿宋_GB2312"/>
          <w:sz w:val="32"/>
          <w:szCs w:val="32"/>
        </w:rPr>
        <w:t>二、收入决算表</w:t>
      </w:r>
      <w:bookmarkEnd w:id="47"/>
    </w:p>
    <w:p>
      <w:pPr>
        <w:pStyle w:val="15"/>
        <w:adjustRightInd w:val="0"/>
        <w:snapToGrid w:val="0"/>
        <w:spacing w:line="560" w:lineRule="exact"/>
        <w:jc w:val="left"/>
        <w:rPr>
          <w:rFonts w:eastAsia="仿宋_GB2312" w:cs="仿宋_GB2312"/>
          <w:sz w:val="32"/>
          <w:szCs w:val="32"/>
        </w:rPr>
      </w:pPr>
      <w:bookmarkStart w:id="48" w:name="_Toc15396621"/>
      <w:r>
        <w:rPr>
          <w:rFonts w:hint="eastAsia" w:eastAsia="仿宋_GB2312" w:cs="仿宋_GB2312"/>
          <w:sz w:val="32"/>
          <w:szCs w:val="32"/>
        </w:rPr>
        <w:t>三、支出决算表</w:t>
      </w:r>
      <w:bookmarkEnd w:id="48"/>
    </w:p>
    <w:p>
      <w:pPr>
        <w:pStyle w:val="15"/>
        <w:adjustRightInd w:val="0"/>
        <w:snapToGrid w:val="0"/>
        <w:spacing w:line="560" w:lineRule="exact"/>
        <w:jc w:val="left"/>
        <w:rPr>
          <w:rFonts w:eastAsia="仿宋_GB2312" w:cs="仿宋_GB2312"/>
          <w:sz w:val="32"/>
          <w:szCs w:val="32"/>
        </w:rPr>
      </w:pPr>
      <w:bookmarkStart w:id="49" w:name="_Toc15396622"/>
      <w:r>
        <w:rPr>
          <w:rFonts w:hint="eastAsia" w:eastAsia="仿宋_GB2312" w:cs="仿宋_GB2312"/>
          <w:sz w:val="32"/>
          <w:szCs w:val="32"/>
        </w:rPr>
        <w:t>四、财政拨款收入支出决算总表</w:t>
      </w:r>
      <w:bookmarkEnd w:id="49"/>
    </w:p>
    <w:p>
      <w:pPr>
        <w:pStyle w:val="15"/>
        <w:adjustRightInd w:val="0"/>
        <w:snapToGrid w:val="0"/>
        <w:spacing w:line="560" w:lineRule="exact"/>
        <w:jc w:val="left"/>
        <w:rPr>
          <w:rFonts w:eastAsia="仿宋_GB2312" w:cs="仿宋_GB2312"/>
          <w:sz w:val="32"/>
          <w:szCs w:val="32"/>
        </w:rPr>
      </w:pPr>
      <w:bookmarkStart w:id="50" w:name="_Toc15396623"/>
      <w:r>
        <w:rPr>
          <w:rFonts w:hint="eastAsia" w:eastAsia="仿宋_GB2312" w:cs="仿宋_GB2312"/>
          <w:sz w:val="32"/>
          <w:szCs w:val="32"/>
        </w:rPr>
        <w:t>五、财政拨款支出决算明细表</w:t>
      </w:r>
      <w:bookmarkEnd w:id="50"/>
      <w:bookmarkStart w:id="51"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1"/>
    </w:p>
    <w:p>
      <w:pPr>
        <w:pStyle w:val="15"/>
        <w:adjustRightInd w:val="0"/>
        <w:snapToGrid w:val="0"/>
        <w:spacing w:line="560" w:lineRule="exact"/>
        <w:jc w:val="left"/>
        <w:rPr>
          <w:rFonts w:eastAsia="仿宋_GB2312" w:cs="仿宋_GB2312"/>
          <w:sz w:val="32"/>
          <w:szCs w:val="32"/>
        </w:rPr>
      </w:pPr>
      <w:bookmarkStart w:id="52" w:name="_Toc15396625"/>
      <w:r>
        <w:rPr>
          <w:rFonts w:hint="eastAsia" w:eastAsia="仿宋_GB2312" w:cs="仿宋_GB2312"/>
          <w:sz w:val="32"/>
          <w:szCs w:val="32"/>
        </w:rPr>
        <w:t>七、一般公共预算财政拨款支出决算明细表</w:t>
      </w:r>
      <w:bookmarkEnd w:id="52"/>
    </w:p>
    <w:p>
      <w:pPr>
        <w:pStyle w:val="15"/>
        <w:adjustRightInd w:val="0"/>
        <w:snapToGrid w:val="0"/>
        <w:spacing w:line="560" w:lineRule="exact"/>
        <w:jc w:val="left"/>
        <w:rPr>
          <w:rFonts w:eastAsia="仿宋_GB2312" w:cs="仿宋_GB2312"/>
          <w:sz w:val="32"/>
          <w:szCs w:val="32"/>
        </w:rPr>
      </w:pPr>
      <w:bookmarkStart w:id="53" w:name="_Toc15396626"/>
      <w:r>
        <w:rPr>
          <w:rFonts w:hint="eastAsia" w:eastAsia="仿宋_GB2312" w:cs="仿宋_GB2312"/>
          <w:sz w:val="32"/>
          <w:szCs w:val="32"/>
        </w:rPr>
        <w:t>八、一般公共预算财政拨款基本支出决算表</w:t>
      </w:r>
      <w:bookmarkEnd w:id="53"/>
    </w:p>
    <w:p>
      <w:pPr>
        <w:pStyle w:val="15"/>
        <w:adjustRightInd w:val="0"/>
        <w:snapToGrid w:val="0"/>
        <w:spacing w:line="560" w:lineRule="exact"/>
        <w:jc w:val="left"/>
        <w:rPr>
          <w:rFonts w:eastAsia="仿宋_GB2312" w:cs="仿宋_GB2312"/>
          <w:sz w:val="32"/>
          <w:szCs w:val="32"/>
        </w:rPr>
      </w:pPr>
      <w:bookmarkStart w:id="54" w:name="_Toc15396627"/>
      <w:r>
        <w:rPr>
          <w:rFonts w:hint="eastAsia" w:eastAsia="仿宋_GB2312" w:cs="仿宋_GB2312"/>
          <w:sz w:val="32"/>
          <w:szCs w:val="32"/>
        </w:rPr>
        <w:t>九、一般公共预算财政拨款项目支出决算表</w:t>
      </w:r>
      <w:bookmarkEnd w:id="54"/>
    </w:p>
    <w:p>
      <w:pPr>
        <w:pStyle w:val="15"/>
        <w:adjustRightInd w:val="0"/>
        <w:snapToGrid w:val="0"/>
        <w:spacing w:line="560" w:lineRule="exact"/>
        <w:jc w:val="left"/>
        <w:rPr>
          <w:rFonts w:eastAsia="仿宋_GB2312" w:cs="仿宋_GB2312"/>
          <w:sz w:val="32"/>
          <w:szCs w:val="32"/>
        </w:rPr>
      </w:pPr>
      <w:bookmarkStart w:id="55" w:name="_Toc15396628"/>
      <w:r>
        <w:rPr>
          <w:rFonts w:hint="eastAsia" w:eastAsia="仿宋_GB2312" w:cs="仿宋_GB2312"/>
          <w:sz w:val="32"/>
          <w:szCs w:val="32"/>
        </w:rPr>
        <w:t>十、</w:t>
      </w:r>
      <w:bookmarkEnd w:id="55"/>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56" w:name="_Toc15396629"/>
      <w:r>
        <w:rPr>
          <w:rFonts w:hint="eastAsia" w:eastAsia="仿宋_GB2312" w:cs="仿宋_GB2312"/>
          <w:sz w:val="32"/>
          <w:szCs w:val="32"/>
        </w:rPr>
        <w:t>十一、</w:t>
      </w:r>
      <w:bookmarkEnd w:id="56"/>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57" w:name="_Toc15396630"/>
      <w:r>
        <w:rPr>
          <w:rFonts w:hint="eastAsia" w:eastAsia="仿宋_GB2312" w:cs="仿宋_GB2312"/>
          <w:sz w:val="32"/>
          <w:szCs w:val="32"/>
        </w:rPr>
        <w:t>十二、</w:t>
      </w:r>
      <w:bookmarkEnd w:id="57"/>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58" w:name="_Toc15396631"/>
      <w:r>
        <w:rPr>
          <w:rFonts w:hint="eastAsia" w:eastAsia="仿宋_GB2312" w:cs="仿宋_GB2312"/>
          <w:sz w:val="32"/>
          <w:szCs w:val="32"/>
        </w:rPr>
        <w:t>十三、</w:t>
      </w:r>
      <w:bookmarkEnd w:id="58"/>
      <w:r>
        <w:rPr>
          <w:rFonts w:hint="eastAsia" w:eastAsia="仿宋_GB2312" w:cs="仿宋_GB2312"/>
          <w:sz w:val="32"/>
          <w:szCs w:val="32"/>
        </w:rPr>
        <w:t>财政拨款“三公”经费支出决算表</w:t>
      </w:r>
    </w:p>
    <w:p>
      <w:pPr>
        <w:pStyle w:val="3"/>
      </w:pPr>
    </w:p>
    <w:sectPr>
      <w:footerReference r:id="rId10" w:type="firs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穝灿砰">
    <w:altName w:val="黑体"/>
    <w:panose1 w:val="00000000000000000000"/>
    <w:charset w:val="00"/>
    <w:family w:val="auto"/>
    <w:pitch w:val="default"/>
    <w:sig w:usb0="00000000" w:usb1="00000000" w:usb2="00000000"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CWglfDIQIAADMEAAAOAAAAAAAAAAEAIAAAADsBAABkcnMvZTJv&#10;RG9jLnhtbFBLBQYAAAAABgAGAFkBAADOBQAAAAA=&#10;">
              <v:fill on="f" focussize="0,0"/>
              <v:stroke on="f" weight="0.5pt"/>
              <v:imagedata o:title=""/>
              <o:lock v:ext="edit" aspectratio="f"/>
              <v:textbox inset="16pt,0mm,16pt,0mm" style="mso-fit-shape-to-text:t;">
                <w:txbxContent>
                  <w:p>
                    <w:pPr>
                      <w:pStyle w:val="11"/>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14</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CYcf5zIQIAADMEAAAOAAAAAAAAAAEAIAAAADsBAABkcnMvZTJv&#10;RG9jLnhtbFBLBQYAAAAABgAGAFkBAADOBQAAAAA=&#10;">
              <v:fill on="f" focussize="0,0"/>
              <v:stroke on="f" weight="0.5pt"/>
              <v:imagedata o:title=""/>
              <o:lock v:ext="edit" aspectratio="f"/>
              <v:textbox inset="16pt,0mm,16pt,0mm" style="mso-fit-shape-to-text:t;">
                <w:txbxContent>
                  <w:p>
                    <w:pPr>
                      <w:pStyle w:val="11"/>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14</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- 14 -</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- 14 -</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BA5E0"/>
    <w:multiLevelType w:val="singleLevel"/>
    <w:tmpl w:val="170BA5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66C5"/>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5C88"/>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ED0221"/>
    <w:rsid w:val="02FEBE30"/>
    <w:rsid w:val="04916F1E"/>
    <w:rsid w:val="05270573"/>
    <w:rsid w:val="061E35DE"/>
    <w:rsid w:val="066E0107"/>
    <w:rsid w:val="07996F6E"/>
    <w:rsid w:val="07DFD8BA"/>
    <w:rsid w:val="09867E8F"/>
    <w:rsid w:val="0A2032A3"/>
    <w:rsid w:val="0B122DF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A47390"/>
    <w:rsid w:val="17E50567"/>
    <w:rsid w:val="182E6408"/>
    <w:rsid w:val="186504BB"/>
    <w:rsid w:val="1885089F"/>
    <w:rsid w:val="19A445FC"/>
    <w:rsid w:val="1BE8440E"/>
    <w:rsid w:val="1C6E7409"/>
    <w:rsid w:val="1D155CEE"/>
    <w:rsid w:val="1D1638FE"/>
    <w:rsid w:val="1E312DEB"/>
    <w:rsid w:val="1E740ACF"/>
    <w:rsid w:val="1FF35744"/>
    <w:rsid w:val="1FF6BC77"/>
    <w:rsid w:val="2186353C"/>
    <w:rsid w:val="225B3CA8"/>
    <w:rsid w:val="23860B96"/>
    <w:rsid w:val="240371BF"/>
    <w:rsid w:val="244F3473"/>
    <w:rsid w:val="24C97D99"/>
    <w:rsid w:val="25A718F0"/>
    <w:rsid w:val="25BB59F6"/>
    <w:rsid w:val="260F557C"/>
    <w:rsid w:val="26970054"/>
    <w:rsid w:val="281408E2"/>
    <w:rsid w:val="28447976"/>
    <w:rsid w:val="29E513F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D324B"/>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C66D66"/>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85E2674"/>
    <w:rsid w:val="698D0931"/>
    <w:rsid w:val="6A7FE5F3"/>
    <w:rsid w:val="6B053271"/>
    <w:rsid w:val="6BDD78B3"/>
    <w:rsid w:val="6C4A05C8"/>
    <w:rsid w:val="6C8742B8"/>
    <w:rsid w:val="6DBF5E93"/>
    <w:rsid w:val="6DFF077E"/>
    <w:rsid w:val="6E714EF0"/>
    <w:rsid w:val="6E7E3605"/>
    <w:rsid w:val="6E7FDCC7"/>
    <w:rsid w:val="6EC70726"/>
    <w:rsid w:val="6ED6A62E"/>
    <w:rsid w:val="6EE00B15"/>
    <w:rsid w:val="6F3041A4"/>
    <w:rsid w:val="6F6FB3EB"/>
    <w:rsid w:val="6F8731EA"/>
    <w:rsid w:val="6FCE6052"/>
    <w:rsid w:val="6FD57C00"/>
    <w:rsid w:val="6FEFFFD8"/>
    <w:rsid w:val="6FF5CC65"/>
    <w:rsid w:val="6FFB47EC"/>
    <w:rsid w:val="6FFF034A"/>
    <w:rsid w:val="70484440"/>
    <w:rsid w:val="712A28F1"/>
    <w:rsid w:val="715C0E4B"/>
    <w:rsid w:val="71992E7C"/>
    <w:rsid w:val="72233669"/>
    <w:rsid w:val="72734D90"/>
    <w:rsid w:val="7309002F"/>
    <w:rsid w:val="73160E6D"/>
    <w:rsid w:val="7332FE48"/>
    <w:rsid w:val="73AB61DA"/>
    <w:rsid w:val="73AD73D5"/>
    <w:rsid w:val="73B6EB34"/>
    <w:rsid w:val="73FA497D"/>
    <w:rsid w:val="744731E5"/>
    <w:rsid w:val="74BBD01D"/>
    <w:rsid w:val="74ED5379"/>
    <w:rsid w:val="75DEEEC2"/>
    <w:rsid w:val="75E32345"/>
    <w:rsid w:val="76E3355F"/>
    <w:rsid w:val="76FF5125"/>
    <w:rsid w:val="77530EE7"/>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9AFD7CD"/>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before="209" w:after="209" w:line="0" w:lineRule="atLeast"/>
      <w:jc w:val="center"/>
    </w:pPr>
    <w:rPr>
      <w:rFonts w:ascii="Arial" w:hAnsi="Arial" w:eastAsia="穝灿砰"/>
      <w:sz w:val="5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8"/>
    <w:link w:val="4"/>
    <w:qFormat/>
    <w:uiPriority w:val="9"/>
    <w:rPr>
      <w:rFonts w:ascii="Times New Roman" w:hAnsi="Times New Roman"/>
      <w:b/>
      <w:bCs/>
      <w:kern w:val="44"/>
      <w:sz w:val="44"/>
      <w:szCs w:val="44"/>
    </w:rPr>
  </w:style>
  <w:style w:type="character" w:customStyle="1" w:styleId="30">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BodyText1I2"/>
    <w:basedOn w:val="37"/>
    <w:next w:val="1"/>
    <w:qFormat/>
    <w:uiPriority w:val="0"/>
    <w:pPr>
      <w:ind w:firstLine="420"/>
    </w:pPr>
    <w:rPr>
      <w:rFonts w:ascii="Calibri" w:eastAsia="宋体"/>
    </w:rPr>
  </w:style>
  <w:style w:type="paragraph" w:customStyle="1" w:styleId="37">
    <w:name w:val="BodyTextIndent"/>
    <w:basedOn w:val="1"/>
    <w:next w:val="38"/>
    <w:qFormat/>
    <w:uiPriority w:val="0"/>
    <w:pPr>
      <w:spacing w:line="580" w:lineRule="exact"/>
      <w:ind w:left="901" w:leftChars="429" w:firstLine="600" w:firstLineChars="200"/>
    </w:pPr>
    <w:rPr>
      <w:rFonts w:ascii="仿宋_GB2312"/>
      <w:sz w:val="30"/>
    </w:rPr>
  </w:style>
  <w:style w:type="paragraph" w:customStyle="1" w:styleId="38">
    <w:name w:val="TOC3"/>
    <w:basedOn w:val="1"/>
    <w:next w:val="1"/>
    <w:semiHidden/>
    <w:qFormat/>
    <w:uiPriority w:val="0"/>
    <w:pPr>
      <w:ind w:left="425"/>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6296</Words>
  <Characters>8011</Characters>
  <Lines>61</Lines>
  <Paragraphs>17</Paragraphs>
  <TotalTime>0</TotalTime>
  <ScaleCrop>false</ScaleCrop>
  <LinksUpToDate>false</LinksUpToDate>
  <CharactersWithSpaces>8031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2025-09-08T09:22:00Z</dcterms:created>
  <dc:creator>曹颖</dc:creator>
  <cp:lastModifiedBy>user</cp:lastModifiedBy>
  <cp:lastPrinted>2025-08-07T01:34:00Z</cp:lastPrinted>
  <dcterms:modified xsi:type="dcterms:W3CDTF">2025-09-17T09:16:32Z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y fmtid="{D5CDD505-2E9C-101B-9397-08002B2CF9AE}" pid="4" name="KSOTemplateDocerSaveRecord">
    <vt:lpwstr>eyJoZGlkIjoiNTlhZmMzODVmNjY5YzA5YzdmOGI2MDljOTZkODVhMjAiLCJ1c2VySWQiOiIxMTIyODE2MzE2In0=</vt:lpwstr>
  </property>
</Properties>
</file>