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BE558">
      <w:pPr>
        <w:rPr>
          <w:rFonts w:hint="eastAsia"/>
        </w:rPr>
      </w:pPr>
      <w:bookmarkStart w:id="0" w:name="_Toc15396597"/>
      <w:bookmarkStart w:id="1" w:name="_Toc15377425"/>
      <w:bookmarkStart w:id="2" w:name="_Toc15306267"/>
      <w:bookmarkStart w:id="3" w:name="_Toc15377193"/>
      <w:bookmarkStart w:id="4" w:name="_Toc15396475"/>
      <w:bookmarkStart w:id="5" w:name="_Toc15378441"/>
    </w:p>
    <w:p w14:paraId="09E2CD85">
      <w:pPr>
        <w:pStyle w:val="8"/>
        <w:spacing w:before="93"/>
        <w:jc w:val="center"/>
        <w:rPr>
          <w:rFonts w:ascii="Times New Roman" w:eastAsia="方正小标宋简体"/>
          <w:kern w:val="2"/>
          <w:sz w:val="44"/>
          <w:szCs w:val="44"/>
        </w:rPr>
      </w:pPr>
    </w:p>
    <w:p w14:paraId="18D5AF36">
      <w:pPr>
        <w:pStyle w:val="8"/>
        <w:spacing w:before="93"/>
        <w:jc w:val="center"/>
        <w:rPr>
          <w:rFonts w:ascii="Times New Roman" w:eastAsia="方正小标宋简体"/>
          <w:kern w:val="2"/>
          <w:sz w:val="44"/>
          <w:szCs w:val="44"/>
        </w:rPr>
      </w:pPr>
    </w:p>
    <w:p w14:paraId="470FB9DB">
      <w:pPr>
        <w:pStyle w:val="8"/>
        <w:spacing w:before="93"/>
        <w:jc w:val="center"/>
        <w:rPr>
          <w:rFonts w:ascii="Times New Roman" w:eastAsia="方正小标宋简体"/>
          <w:kern w:val="2"/>
          <w:sz w:val="44"/>
          <w:szCs w:val="44"/>
        </w:rPr>
      </w:pPr>
    </w:p>
    <w:p w14:paraId="7B2ADB87">
      <w:pPr>
        <w:pStyle w:val="8"/>
        <w:spacing w:before="93"/>
        <w:jc w:val="center"/>
        <w:rPr>
          <w:rFonts w:ascii="Times New Roman" w:eastAsia="方正小标宋简体"/>
          <w:kern w:val="2"/>
          <w:sz w:val="44"/>
          <w:szCs w:val="44"/>
        </w:rPr>
      </w:pPr>
    </w:p>
    <w:bookmarkEnd w:id="0"/>
    <w:bookmarkEnd w:id="1"/>
    <w:bookmarkEnd w:id="2"/>
    <w:bookmarkEnd w:id="3"/>
    <w:bookmarkEnd w:id="4"/>
    <w:bookmarkEnd w:id="5"/>
    <w:p w14:paraId="3D2100C3">
      <w:pPr>
        <w:pStyle w:val="14"/>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eastAsia="方正小标宋简体"/>
          <w:kern w:val="2"/>
          <w:sz w:val="44"/>
          <w:szCs w:val="44"/>
        </w:rPr>
      </w:pPr>
      <w:bookmarkStart w:id="6" w:name="_Toc15396598"/>
      <w:bookmarkStart w:id="7" w:name="_Toc15377426"/>
      <w:bookmarkStart w:id="8" w:name="_Toc15377194"/>
      <w:bookmarkStart w:id="9" w:name="_Toc15396476"/>
      <w:bookmarkStart w:id="10" w:name="_Toc15378442"/>
      <w:r>
        <w:rPr>
          <w:rFonts w:hint="eastAsia" w:ascii="Times New Roman" w:eastAsia="方正小标宋简体"/>
          <w:kern w:val="2"/>
          <w:sz w:val="44"/>
          <w:szCs w:val="44"/>
        </w:rPr>
        <w:t>2024年度四川省</w:t>
      </w:r>
      <w:bookmarkStart w:id="11" w:name="_Toc15306268"/>
      <w:r>
        <w:rPr>
          <w:rFonts w:hint="eastAsia" w:ascii="Times New Roman" w:eastAsia="方正小标宋简体"/>
          <w:kern w:val="2"/>
          <w:sz w:val="44"/>
          <w:szCs w:val="44"/>
        </w:rPr>
        <w:t>攀枝花</w:t>
      </w:r>
      <w:r>
        <w:rPr>
          <w:rFonts w:hint="eastAsia" w:ascii="Times New Roman" w:eastAsia="方正小标宋简体"/>
          <w:kern w:val="2"/>
          <w:sz w:val="44"/>
          <w:szCs w:val="44"/>
          <w:lang w:val="en-US" w:eastAsia="zh-CN"/>
        </w:rPr>
        <w:t>西</w:t>
      </w:r>
      <w:r>
        <w:rPr>
          <w:rFonts w:hint="eastAsia" w:ascii="Times New Roman" w:eastAsia="方正小标宋简体"/>
          <w:kern w:val="2"/>
          <w:sz w:val="44"/>
          <w:szCs w:val="44"/>
        </w:rPr>
        <w:t>区人民法院</w:t>
      </w:r>
    </w:p>
    <w:p w14:paraId="25AFFCE4">
      <w:pPr>
        <w:pStyle w:val="14"/>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eastAsia="仿宋_GB2312" w:cs="仿宋_GB2312"/>
          <w:sz w:val="32"/>
          <w:szCs w:val="32"/>
        </w:rPr>
      </w:pPr>
      <w:r>
        <w:rPr>
          <w:rFonts w:hint="eastAsia" w:ascii="Times New Roman" w:eastAsia="方正小标宋简体"/>
          <w:kern w:val="2"/>
          <w:sz w:val="44"/>
          <w:szCs w:val="44"/>
        </w:rPr>
        <w:t>部门决算</w:t>
      </w:r>
      <w:bookmarkEnd w:id="6"/>
      <w:bookmarkEnd w:id="7"/>
      <w:bookmarkEnd w:id="8"/>
      <w:bookmarkEnd w:id="9"/>
      <w:bookmarkEnd w:id="10"/>
      <w:bookmarkEnd w:id="11"/>
    </w:p>
    <w:p w14:paraId="4DF6B5D3">
      <w:pPr>
        <w:widowControl/>
        <w:jc w:val="center"/>
        <w:rPr>
          <w:rFonts w:eastAsia="黑体"/>
          <w:sz w:val="48"/>
          <w:szCs w:val="48"/>
        </w:rPr>
      </w:pPr>
      <w:r>
        <w:rPr>
          <w:rFonts w:eastAsia="方正小标宋简体"/>
          <w:sz w:val="36"/>
          <w:szCs w:val="36"/>
        </w:rPr>
        <w:br w:type="page"/>
      </w:r>
      <w:r>
        <w:rPr>
          <w:rFonts w:hint="eastAsia" w:eastAsia="黑体"/>
          <w:sz w:val="48"/>
          <w:szCs w:val="48"/>
        </w:rPr>
        <w:t>目录</w:t>
      </w:r>
    </w:p>
    <w:p w14:paraId="764EFF1F">
      <w:pPr>
        <w:widowControl/>
        <w:jc w:val="center"/>
        <w:rPr>
          <w:rFonts w:eastAsia="黑体" w:cstheme="minorBidi"/>
          <w:sz w:val="28"/>
          <w:szCs w:val="28"/>
        </w:rPr>
      </w:pPr>
    </w:p>
    <w:p w14:paraId="0D7E53CD">
      <w:pPr>
        <w:pStyle w:val="13"/>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 9 月 1</w:t>
      </w:r>
      <w:r>
        <w:rPr>
          <w:rFonts w:hint="eastAsia" w:ascii="Times New Roman" w:hAnsi="Times New Roman" w:eastAsia="仿宋_GB2312" w:cs="仿宋_GB2312"/>
          <w:sz w:val="32"/>
          <w:szCs w:val="32"/>
          <w:lang w:val="en-US" w:eastAsia="zh-CN"/>
        </w:rPr>
        <w:t>6</w:t>
      </w:r>
      <w:bookmarkStart w:id="65" w:name="_GoBack"/>
      <w:bookmarkEnd w:id="65"/>
      <w:r>
        <w:rPr>
          <w:rFonts w:hint="eastAsia" w:ascii="Times New Roman" w:hAnsi="Times New Roman" w:eastAsia="仿宋_GB2312" w:cs="仿宋_GB2312"/>
          <w:sz w:val="32"/>
          <w:szCs w:val="32"/>
        </w:rPr>
        <w:t xml:space="preserve"> 日</w:t>
      </w:r>
    </w:p>
    <w:p w14:paraId="49EB2F86"/>
    <w:p w14:paraId="758C2C38">
      <w:pPr>
        <w:pStyle w:val="13"/>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 xml:space="preserve">第一部分 </w:t>
      </w:r>
      <w:r>
        <w:rPr>
          <w:rFonts w:hint="eastAsia" w:ascii="Times New Roman" w:hAnsi="Times New Roman" w:eastAsia="黑体" w:cs="黑体"/>
          <w:sz w:val="32"/>
          <w:szCs w:val="32"/>
          <w:lang w:val="en-US" w:eastAsia="zh-CN"/>
        </w:rPr>
        <w:t>部门</w:t>
      </w:r>
      <w:r>
        <w:rPr>
          <w:rFonts w:hint="eastAsia" w:ascii="Times New Roman" w:hAnsi="Times New Roman" w:eastAsia="黑体" w:cs="黑体"/>
          <w:sz w:val="32"/>
          <w:szCs w:val="32"/>
        </w:rPr>
        <w:t>概况</w:t>
      </w:r>
      <w:r>
        <w:rPr>
          <w:rFonts w:ascii="Times New Roman" w:hAnsi="Times New Roman" w:eastAsia="黑体" w:cs="黑体"/>
          <w:sz w:val="32"/>
          <w:szCs w:val="32"/>
        </w:rPr>
        <w:t>………………………………….</w:t>
      </w:r>
      <w:r>
        <w:rPr>
          <w:rFonts w:hint="eastAsia" w:ascii="Times New Roman" w:hAnsi="Times New Roman" w:eastAsia="黑体" w:cs="黑体"/>
          <w:sz w:val="32"/>
          <w:szCs w:val="32"/>
        </w:rPr>
        <w:t>.</w:t>
      </w:r>
      <w:r>
        <w:rPr>
          <w:rFonts w:ascii="Times New Roman" w:hAnsi="Times New Roman" w:eastAsia="黑体" w:cs="黑体"/>
          <w:sz w:val="32"/>
          <w:szCs w:val="32"/>
        </w:rPr>
        <w:t>……</w:t>
      </w:r>
      <w:r>
        <w:rPr>
          <w:rFonts w:hint="eastAsia" w:ascii="Times New Roman" w:hAnsi="Times New Roman" w:eastAsia="黑体" w:cs="黑体"/>
          <w:sz w:val="32"/>
          <w:szCs w:val="32"/>
        </w:rPr>
        <w:t>..1</w:t>
      </w:r>
    </w:p>
    <w:p w14:paraId="083E0E60">
      <w:pPr>
        <w:pStyle w:val="14"/>
        <w:adjustRightInd w:val="0"/>
        <w:snapToGrid w:val="0"/>
        <w:spacing w:line="560" w:lineRule="exact"/>
        <w:ind w:left="0" w:leftChars="0" w:firstLine="640" w:firstLineChars="200"/>
        <w:jc w:val="left"/>
        <w:rPr>
          <w:rFonts w:hint="eastAsia" w:eastAsia="黑体" w:cs="仿宋_GB2312"/>
          <w:sz w:val="32"/>
          <w:szCs w:val="32"/>
          <w:lang w:eastAsia="zh-CN"/>
        </w:rPr>
      </w:pPr>
      <w:r>
        <w:rPr>
          <w:rFonts w:hint="eastAsia" w:eastAsia="仿宋_GB2312" w:cs="仿宋_GB2312"/>
          <w:sz w:val="32"/>
          <w:szCs w:val="32"/>
        </w:rPr>
        <w:t>一、</w:t>
      </w:r>
      <w:r>
        <w:rPr>
          <w:rFonts w:hint="eastAsia" w:eastAsia="仿宋_GB2312" w:cs="仿宋_GB2312"/>
          <w:sz w:val="32"/>
          <w:szCs w:val="32"/>
          <w:lang w:val="en-US" w:eastAsia="zh-CN"/>
        </w:rPr>
        <w:t>部门</w:t>
      </w:r>
      <w:r>
        <w:rPr>
          <w:rFonts w:hint="eastAsia" w:eastAsia="仿宋_GB2312" w:cs="仿宋_GB2312"/>
          <w:sz w:val="32"/>
          <w:szCs w:val="32"/>
        </w:rPr>
        <w:t>职责</w:t>
      </w:r>
      <w:r>
        <w:rPr>
          <w:rFonts w:eastAsia="黑体" w:cs="黑体"/>
          <w:sz w:val="32"/>
          <w:szCs w:val="32"/>
        </w:rPr>
        <w:t>…………………………………………</w:t>
      </w:r>
      <w:r>
        <w:rPr>
          <w:rFonts w:hint="eastAsia" w:eastAsia="黑体" w:cs="黑体"/>
          <w:sz w:val="32"/>
          <w:szCs w:val="32"/>
        </w:rPr>
        <w:t>..</w:t>
      </w:r>
      <w:r>
        <w:rPr>
          <w:rFonts w:hint="eastAsia" w:eastAsia="黑体" w:cs="黑体"/>
          <w:sz w:val="32"/>
          <w:szCs w:val="32"/>
          <w:lang w:val="en-US" w:eastAsia="zh-CN"/>
        </w:rPr>
        <w:t>1</w:t>
      </w:r>
    </w:p>
    <w:p w14:paraId="00557D66">
      <w:pPr>
        <w:pStyle w:val="14"/>
        <w:adjustRightInd w:val="0"/>
        <w:snapToGrid w:val="0"/>
        <w:spacing w:line="560" w:lineRule="exact"/>
        <w:ind w:left="0" w:leftChars="0" w:firstLine="640" w:firstLineChars="200"/>
        <w:jc w:val="left"/>
        <w:rPr>
          <w:rFonts w:hint="eastAsia" w:eastAsia="黑体" w:cs="仿宋_GB2312"/>
          <w:sz w:val="32"/>
          <w:szCs w:val="32"/>
          <w:lang w:eastAsia="zh-CN"/>
        </w:rPr>
      </w:pPr>
      <w:r>
        <w:rPr>
          <w:rFonts w:hint="eastAsia" w:eastAsia="仿宋_GB2312" w:cs="仿宋_GB2312"/>
          <w:sz w:val="32"/>
          <w:szCs w:val="32"/>
        </w:rPr>
        <w:t>二、机构设置</w:t>
      </w:r>
      <w:r>
        <w:rPr>
          <w:rFonts w:eastAsia="黑体" w:cs="黑体"/>
          <w:sz w:val="32"/>
          <w:szCs w:val="32"/>
        </w:rPr>
        <w:t>………………………………</w:t>
      </w:r>
      <w:r>
        <w:rPr>
          <w:rFonts w:hint="eastAsia" w:eastAsia="黑体" w:cs="黑体"/>
          <w:sz w:val="32"/>
          <w:szCs w:val="32"/>
        </w:rPr>
        <w:t>.</w:t>
      </w:r>
      <w:r>
        <w:rPr>
          <w:rFonts w:eastAsia="黑体" w:cs="黑体"/>
          <w:sz w:val="32"/>
          <w:szCs w:val="32"/>
        </w:rPr>
        <w:t>…</w:t>
      </w:r>
      <w:r>
        <w:rPr>
          <w:rFonts w:hint="eastAsia" w:eastAsia="黑体" w:cs="黑体"/>
          <w:sz w:val="32"/>
          <w:szCs w:val="32"/>
        </w:rPr>
        <w:t>...</w:t>
      </w:r>
      <w:r>
        <w:rPr>
          <w:rFonts w:eastAsia="黑体" w:cs="黑体"/>
          <w:sz w:val="32"/>
          <w:szCs w:val="32"/>
        </w:rPr>
        <w:t>……</w:t>
      </w:r>
      <w:r>
        <w:rPr>
          <w:rFonts w:hint="eastAsia" w:eastAsia="黑体" w:cs="黑体"/>
          <w:sz w:val="32"/>
          <w:szCs w:val="32"/>
        </w:rPr>
        <w:t>..</w:t>
      </w:r>
      <w:r>
        <w:rPr>
          <w:rFonts w:hint="eastAsia" w:eastAsia="黑体" w:cs="黑体"/>
          <w:sz w:val="32"/>
          <w:szCs w:val="32"/>
          <w:lang w:val="en-US" w:eastAsia="zh-CN"/>
        </w:rPr>
        <w:t>1</w:t>
      </w:r>
    </w:p>
    <w:p w14:paraId="3C703F08">
      <w:pPr>
        <w:pStyle w:val="13"/>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第二部分 2024年度</w:t>
      </w:r>
      <w:r>
        <w:rPr>
          <w:rFonts w:hint="eastAsia" w:ascii="Times New Roman" w:hAnsi="Times New Roman" w:eastAsia="黑体" w:cs="黑体"/>
          <w:sz w:val="32"/>
          <w:szCs w:val="32"/>
          <w:lang w:val="en-US" w:eastAsia="zh-CN"/>
        </w:rPr>
        <w:t>部门</w:t>
      </w:r>
      <w:r>
        <w:rPr>
          <w:rFonts w:hint="eastAsia" w:ascii="Times New Roman" w:hAnsi="Times New Roman" w:eastAsia="黑体" w:cs="黑体"/>
          <w:sz w:val="32"/>
          <w:szCs w:val="32"/>
        </w:rPr>
        <w:t>决算情况说明</w:t>
      </w:r>
      <w:r>
        <w:rPr>
          <w:rFonts w:ascii="Times New Roman" w:hAnsi="Times New Roman" w:eastAsia="黑体" w:cs="黑体"/>
          <w:sz w:val="32"/>
          <w:szCs w:val="32"/>
        </w:rPr>
        <w:t>……………</w:t>
      </w:r>
      <w:r>
        <w:rPr>
          <w:rFonts w:hint="eastAsia" w:ascii="Times New Roman" w:hAnsi="Times New Roman" w:eastAsia="黑体" w:cs="黑体"/>
          <w:sz w:val="32"/>
          <w:szCs w:val="32"/>
        </w:rPr>
        <w:t>.</w:t>
      </w:r>
      <w:r>
        <w:rPr>
          <w:rFonts w:ascii="Times New Roman" w:hAnsi="Times New Roman" w:eastAsia="黑体" w:cs="黑体"/>
          <w:sz w:val="32"/>
          <w:szCs w:val="32"/>
        </w:rPr>
        <w:t>……</w:t>
      </w:r>
      <w:r>
        <w:rPr>
          <w:rFonts w:hint="eastAsia" w:ascii="Times New Roman" w:hAnsi="Times New Roman" w:eastAsia="黑体" w:cs="黑体"/>
          <w:sz w:val="32"/>
          <w:szCs w:val="32"/>
        </w:rPr>
        <w:t>..3</w:t>
      </w:r>
    </w:p>
    <w:p w14:paraId="698C935E">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一、收入支出决算总体情况说明</w:t>
      </w:r>
      <w:r>
        <w:rPr>
          <w:rFonts w:eastAsia="黑体" w:cs="黑体"/>
          <w:sz w:val="32"/>
          <w:szCs w:val="32"/>
        </w:rPr>
        <w:t>……………………</w:t>
      </w:r>
      <w:r>
        <w:rPr>
          <w:rFonts w:hint="eastAsia" w:eastAsia="黑体" w:cs="黑体"/>
          <w:sz w:val="32"/>
          <w:szCs w:val="32"/>
        </w:rPr>
        <w:t>..3</w:t>
      </w:r>
    </w:p>
    <w:p w14:paraId="537074CD">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二、收入决算情况说明</w:t>
      </w:r>
      <w:r>
        <w:rPr>
          <w:rFonts w:eastAsia="黑体" w:cs="黑体"/>
          <w:sz w:val="32"/>
          <w:szCs w:val="32"/>
        </w:rPr>
        <w:t>………………………………</w:t>
      </w:r>
      <w:r>
        <w:rPr>
          <w:rFonts w:hint="eastAsia" w:eastAsia="黑体" w:cs="黑体"/>
          <w:sz w:val="32"/>
          <w:szCs w:val="32"/>
        </w:rPr>
        <w:t>..3</w:t>
      </w:r>
    </w:p>
    <w:p w14:paraId="35D6A80F">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三、支出决算情况说明</w:t>
      </w:r>
      <w:r>
        <w:rPr>
          <w:rFonts w:eastAsia="黑体" w:cs="黑体"/>
          <w:sz w:val="32"/>
          <w:szCs w:val="32"/>
        </w:rPr>
        <w:t>………………………………</w:t>
      </w:r>
      <w:r>
        <w:rPr>
          <w:rFonts w:hint="eastAsia" w:eastAsia="黑体" w:cs="黑体"/>
          <w:sz w:val="32"/>
          <w:szCs w:val="32"/>
        </w:rPr>
        <w:t>..4</w:t>
      </w:r>
    </w:p>
    <w:p w14:paraId="6B74BE94">
      <w:pPr>
        <w:pStyle w:val="14"/>
        <w:adjustRightInd w:val="0"/>
        <w:snapToGrid w:val="0"/>
        <w:spacing w:line="560" w:lineRule="exact"/>
        <w:ind w:left="0" w:leftChars="0" w:firstLine="640" w:firstLineChars="200"/>
        <w:jc w:val="left"/>
        <w:rPr>
          <w:rFonts w:hint="eastAsia" w:eastAsia="仿宋_GB2312" w:cs="仿宋_GB2312"/>
          <w:sz w:val="32"/>
          <w:szCs w:val="32"/>
          <w:lang w:val="en-US" w:eastAsia="zh-CN"/>
        </w:rPr>
      </w:pPr>
      <w:r>
        <w:rPr>
          <w:rFonts w:hint="eastAsia" w:eastAsia="仿宋_GB2312" w:cs="仿宋_GB2312"/>
          <w:sz w:val="32"/>
          <w:szCs w:val="32"/>
        </w:rPr>
        <w:t>四、财政拨款收入支出决算总体情况说明</w:t>
      </w:r>
      <w:r>
        <w:rPr>
          <w:rFonts w:eastAsia="仿宋_GB2312" w:cs="仿宋_GB2312"/>
          <w:sz w:val="32"/>
          <w:szCs w:val="32"/>
        </w:rPr>
        <w:t>…………</w:t>
      </w:r>
      <w:r>
        <w:rPr>
          <w:rFonts w:hint="eastAsia" w:eastAsia="仿宋_GB2312" w:cs="仿宋_GB2312"/>
          <w:sz w:val="32"/>
          <w:szCs w:val="32"/>
        </w:rPr>
        <w:t>..</w:t>
      </w:r>
      <w:r>
        <w:rPr>
          <w:rFonts w:hint="eastAsia" w:eastAsia="仿宋_GB2312" w:cs="仿宋_GB2312"/>
          <w:sz w:val="32"/>
          <w:szCs w:val="32"/>
          <w:lang w:val="en-US" w:eastAsia="zh-CN"/>
        </w:rPr>
        <w:t>5</w:t>
      </w:r>
    </w:p>
    <w:p w14:paraId="77EDE24B">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五、一般公共预算财政拨款支出决算情况说明</w:t>
      </w:r>
      <w:r>
        <w:rPr>
          <w:rFonts w:eastAsia="仿宋_GB2312" w:cs="仿宋_GB2312"/>
          <w:sz w:val="32"/>
          <w:szCs w:val="32"/>
        </w:rPr>
        <w:t>……</w:t>
      </w:r>
      <w:r>
        <w:rPr>
          <w:rFonts w:hint="eastAsia" w:eastAsia="仿宋_GB2312" w:cs="仿宋_GB2312"/>
          <w:sz w:val="32"/>
          <w:szCs w:val="32"/>
        </w:rPr>
        <w:t>..5</w:t>
      </w:r>
    </w:p>
    <w:p w14:paraId="259D99AE">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六、一般公共预算财政拨款基本支出决算情况说明..7</w:t>
      </w:r>
    </w:p>
    <w:p w14:paraId="0EDDF42E">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七、财政拨款“三公”经费支出决算情况说明</w:t>
      </w:r>
      <w:r>
        <w:rPr>
          <w:rFonts w:eastAsia="仿宋_GB2312" w:cs="仿宋_GB2312"/>
          <w:sz w:val="32"/>
          <w:szCs w:val="32"/>
        </w:rPr>
        <w:t>… …</w:t>
      </w:r>
      <w:r>
        <w:rPr>
          <w:rFonts w:hint="eastAsia" w:eastAsia="仿宋_GB2312" w:cs="仿宋_GB2312"/>
          <w:sz w:val="32"/>
          <w:szCs w:val="32"/>
          <w:lang w:val="en-US" w:eastAsia="zh-CN"/>
        </w:rPr>
        <w:t>.</w:t>
      </w:r>
      <w:r>
        <w:rPr>
          <w:rFonts w:hint="eastAsia" w:eastAsia="仿宋_GB2312" w:cs="仿宋_GB2312"/>
          <w:sz w:val="32"/>
          <w:szCs w:val="32"/>
        </w:rPr>
        <w:t>8</w:t>
      </w:r>
    </w:p>
    <w:p w14:paraId="214DD131">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八、政府性基金预算支出决算情况说明</w:t>
      </w:r>
      <w:r>
        <w:rPr>
          <w:rFonts w:eastAsia="仿宋_GB2312" w:cs="仿宋_GB2312"/>
          <w:sz w:val="32"/>
          <w:szCs w:val="32"/>
        </w:rPr>
        <w:t>…………</w:t>
      </w:r>
      <w:r>
        <w:rPr>
          <w:rFonts w:hint="eastAsia" w:eastAsia="仿宋_GB2312" w:cs="仿宋_GB2312"/>
          <w:sz w:val="32"/>
          <w:szCs w:val="32"/>
        </w:rPr>
        <w:t xml:space="preserve"> </w:t>
      </w:r>
      <w:r>
        <w:rPr>
          <w:rFonts w:eastAsia="仿宋_GB2312" w:cs="仿宋_GB2312"/>
          <w:sz w:val="32"/>
          <w:szCs w:val="32"/>
        </w:rPr>
        <w:t>…</w:t>
      </w:r>
      <w:r>
        <w:rPr>
          <w:rFonts w:hint="eastAsia" w:eastAsia="仿宋_GB2312" w:cs="仿宋_GB2312"/>
          <w:sz w:val="32"/>
          <w:szCs w:val="32"/>
        </w:rPr>
        <w:t>10</w:t>
      </w:r>
    </w:p>
    <w:p w14:paraId="1A16B6F2">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九、国有资本经营预算支出决算情况说明</w:t>
      </w:r>
      <w:r>
        <w:rPr>
          <w:rFonts w:eastAsia="仿宋_GB2312" w:cs="仿宋_GB2312"/>
          <w:sz w:val="32"/>
          <w:szCs w:val="32"/>
        </w:rPr>
        <w:t>………</w:t>
      </w:r>
      <w:r>
        <w:rPr>
          <w:rFonts w:hint="eastAsia" w:eastAsia="仿宋_GB2312" w:cs="仿宋_GB2312"/>
          <w:sz w:val="32"/>
          <w:szCs w:val="32"/>
        </w:rPr>
        <w:t xml:space="preserve"> </w:t>
      </w:r>
      <w:r>
        <w:rPr>
          <w:rFonts w:eastAsia="仿宋_GB2312" w:cs="仿宋_GB2312"/>
          <w:sz w:val="32"/>
          <w:szCs w:val="32"/>
        </w:rPr>
        <w:t>…</w:t>
      </w:r>
      <w:r>
        <w:rPr>
          <w:rFonts w:hint="eastAsia" w:eastAsia="仿宋_GB2312" w:cs="仿宋_GB2312"/>
          <w:sz w:val="32"/>
          <w:szCs w:val="32"/>
        </w:rPr>
        <w:t>10</w:t>
      </w:r>
    </w:p>
    <w:p w14:paraId="0AD09637">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十、其他重要事项的情况说明</w:t>
      </w:r>
      <w:r>
        <w:rPr>
          <w:rFonts w:eastAsia="仿宋_GB2312" w:cs="仿宋_GB2312"/>
          <w:sz w:val="32"/>
          <w:szCs w:val="32"/>
        </w:rPr>
        <w:t>……………………</w:t>
      </w:r>
      <w:r>
        <w:rPr>
          <w:rFonts w:hint="eastAsia" w:eastAsia="仿宋_GB2312" w:cs="仿宋_GB2312"/>
          <w:sz w:val="32"/>
          <w:szCs w:val="32"/>
        </w:rPr>
        <w:t xml:space="preserve"> </w:t>
      </w:r>
      <w:r>
        <w:rPr>
          <w:rFonts w:eastAsia="仿宋_GB2312" w:cs="仿宋_GB2312"/>
          <w:sz w:val="32"/>
          <w:szCs w:val="32"/>
        </w:rPr>
        <w:t>…</w:t>
      </w:r>
      <w:r>
        <w:rPr>
          <w:rFonts w:hint="eastAsia" w:eastAsia="仿宋_GB2312" w:cs="仿宋_GB2312"/>
          <w:sz w:val="32"/>
          <w:szCs w:val="32"/>
        </w:rPr>
        <w:t>10</w:t>
      </w:r>
    </w:p>
    <w:p w14:paraId="15E540AD">
      <w:pPr>
        <w:pStyle w:val="13"/>
        <w:adjustRightInd w:val="0"/>
        <w:snapToGrid w:val="0"/>
        <w:spacing w:before="0" w:line="560" w:lineRule="exact"/>
        <w:jc w:val="left"/>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rPr>
        <w:t>第三部分 名词解释</w:t>
      </w:r>
      <w:r>
        <w:rPr>
          <w:rFonts w:ascii="Times New Roman" w:hAnsi="Times New Roman" w:eastAsia="黑体" w:cs="黑体"/>
          <w:sz w:val="32"/>
          <w:szCs w:val="32"/>
        </w:rPr>
        <w:t>……………………………………</w:t>
      </w:r>
      <w:r>
        <w:rPr>
          <w:rFonts w:hint="eastAsia" w:ascii="Times New Roman" w:hAnsi="Times New Roman" w:eastAsia="黑体" w:cs="黑体"/>
          <w:sz w:val="32"/>
          <w:szCs w:val="32"/>
        </w:rPr>
        <w:t xml:space="preserve"> </w:t>
      </w:r>
      <w:r>
        <w:rPr>
          <w:rFonts w:ascii="Times New Roman" w:hAnsi="Times New Roman" w:eastAsia="黑体" w:cs="黑体"/>
          <w:sz w:val="32"/>
          <w:szCs w:val="32"/>
        </w:rPr>
        <w:t>…</w:t>
      </w:r>
      <w:r>
        <w:rPr>
          <w:rFonts w:hint="eastAsia" w:ascii="Times New Roman" w:hAnsi="Times New Roman" w:eastAsia="黑体" w:cs="黑体"/>
          <w:sz w:val="32"/>
          <w:szCs w:val="32"/>
        </w:rPr>
        <w:t>..1</w:t>
      </w:r>
      <w:r>
        <w:rPr>
          <w:rFonts w:hint="eastAsia" w:ascii="Times New Roman" w:hAnsi="Times New Roman" w:eastAsia="黑体" w:cs="黑体"/>
          <w:sz w:val="32"/>
          <w:szCs w:val="32"/>
          <w:lang w:val="en-US" w:eastAsia="zh-CN"/>
        </w:rPr>
        <w:t>3</w:t>
      </w:r>
    </w:p>
    <w:p w14:paraId="5185CAD2">
      <w:pPr>
        <w:pStyle w:val="13"/>
        <w:adjustRightInd w:val="0"/>
        <w:snapToGrid w:val="0"/>
        <w:spacing w:before="0" w:line="560" w:lineRule="exact"/>
        <w:jc w:val="left"/>
        <w:rPr>
          <w:rFonts w:hint="eastAsia" w:ascii="Times New Roman" w:hAnsi="Times New Roman" w:eastAsia="黑体" w:cs="黑体"/>
          <w:sz w:val="32"/>
          <w:szCs w:val="32"/>
          <w:lang w:eastAsia="zh-CN"/>
        </w:rPr>
      </w:pPr>
      <w:r>
        <w:rPr>
          <w:rFonts w:hint="eastAsia" w:ascii="Times New Roman" w:hAnsi="Times New Roman" w:eastAsia="黑体" w:cs="黑体"/>
          <w:sz w:val="32"/>
          <w:szCs w:val="32"/>
        </w:rPr>
        <w:t>第四部分 附件</w:t>
      </w:r>
      <w:r>
        <w:rPr>
          <w:rFonts w:ascii="Times New Roman" w:hAnsi="Times New Roman" w:eastAsia="黑体" w:cs="黑体"/>
          <w:sz w:val="32"/>
          <w:szCs w:val="32"/>
        </w:rPr>
        <w:t>………………………………………</w:t>
      </w:r>
      <w:r>
        <w:rPr>
          <w:rFonts w:hint="eastAsia" w:ascii="Times New Roman" w:hAnsi="Times New Roman" w:eastAsia="黑体" w:cs="黑体"/>
          <w:sz w:val="32"/>
          <w:szCs w:val="32"/>
        </w:rPr>
        <w:t xml:space="preserve"> .</w:t>
      </w:r>
      <w:r>
        <w:rPr>
          <w:rFonts w:ascii="Times New Roman" w:hAnsi="Times New Roman" w:eastAsia="黑体" w:cs="黑体"/>
          <w:sz w:val="32"/>
          <w:szCs w:val="32"/>
        </w:rPr>
        <w:t>……</w:t>
      </w:r>
      <w:r>
        <w:rPr>
          <w:rFonts w:hint="eastAsia" w:ascii="Times New Roman" w:hAnsi="Times New Roman" w:eastAsia="黑体" w:cs="黑体"/>
          <w:sz w:val="32"/>
          <w:szCs w:val="32"/>
        </w:rPr>
        <w:t>.1</w:t>
      </w:r>
      <w:r>
        <w:rPr>
          <w:rFonts w:hint="eastAsia" w:ascii="Times New Roman" w:hAnsi="Times New Roman" w:eastAsia="黑体" w:cs="黑体"/>
          <w:sz w:val="32"/>
          <w:szCs w:val="32"/>
          <w:lang w:val="en-US" w:eastAsia="zh-CN"/>
        </w:rPr>
        <w:t>6</w:t>
      </w:r>
    </w:p>
    <w:p w14:paraId="1E7C3442">
      <w:pPr>
        <w:pStyle w:val="13"/>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第五部分 附表</w:t>
      </w:r>
      <w:r>
        <w:rPr>
          <w:rFonts w:ascii="Times New Roman" w:hAnsi="Times New Roman" w:eastAsia="黑体" w:cs="黑体"/>
          <w:sz w:val="32"/>
          <w:szCs w:val="32"/>
        </w:rPr>
        <w:t>………………………………………</w:t>
      </w:r>
      <w:r>
        <w:rPr>
          <w:rFonts w:hint="eastAsia" w:ascii="Times New Roman" w:hAnsi="Times New Roman" w:eastAsia="黑体" w:cs="黑体"/>
          <w:sz w:val="32"/>
          <w:szCs w:val="32"/>
        </w:rPr>
        <w:t>..</w:t>
      </w:r>
      <w:r>
        <w:rPr>
          <w:rFonts w:ascii="Times New Roman" w:hAnsi="Times New Roman" w:eastAsia="黑体" w:cs="黑体"/>
          <w:sz w:val="32"/>
          <w:szCs w:val="32"/>
        </w:rPr>
        <w:t>……</w:t>
      </w:r>
      <w:r>
        <w:rPr>
          <w:rFonts w:hint="eastAsia" w:ascii="Times New Roman" w:hAnsi="Times New Roman" w:eastAsia="黑体" w:cs="黑体"/>
          <w:sz w:val="32"/>
          <w:szCs w:val="32"/>
        </w:rPr>
        <w:t>.</w:t>
      </w:r>
      <w:r>
        <w:rPr>
          <w:rFonts w:hint="eastAsia" w:ascii="Times New Roman" w:hAnsi="Times New Roman" w:eastAsia="黑体" w:cs="黑体"/>
          <w:sz w:val="32"/>
          <w:szCs w:val="32"/>
          <w:lang w:val="en-US" w:eastAsia="zh-CN"/>
        </w:rPr>
        <w:t>26</w:t>
      </w:r>
    </w:p>
    <w:p w14:paraId="3760BC8A">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一、收入支出决算总表</w:t>
      </w:r>
    </w:p>
    <w:p w14:paraId="6CDD3E4C">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二、收入决算表</w:t>
      </w:r>
    </w:p>
    <w:p w14:paraId="29ACCB98">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三、支出决算表</w:t>
      </w:r>
    </w:p>
    <w:p w14:paraId="73AD9C9F">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四、财政拨款收入支出决算总表</w:t>
      </w:r>
    </w:p>
    <w:p w14:paraId="7D6F0D3E">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五、财政拨款支出决算明细表</w:t>
      </w:r>
    </w:p>
    <w:p w14:paraId="2703D041">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六、一般公共预算财政拨款支出决算表</w:t>
      </w:r>
    </w:p>
    <w:p w14:paraId="573EC804">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七、一般公共预算财政拨款支出决算明细表</w:t>
      </w:r>
    </w:p>
    <w:p w14:paraId="660C4A8E">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八、一般公共预算财政拨款基本支出决算明细表</w:t>
      </w:r>
    </w:p>
    <w:p w14:paraId="6D5B59C0">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九、一般公共预算财政拨款项目支出决算表</w:t>
      </w:r>
    </w:p>
    <w:p w14:paraId="710CB9C2">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十、政府性基金预算财政拨款收入支出决算表</w:t>
      </w:r>
    </w:p>
    <w:p w14:paraId="550D315A">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十一、国有资本经营预算财政拨款收入支出决算表</w:t>
      </w:r>
    </w:p>
    <w:p w14:paraId="5DAB01AB">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十二、国有资本经营预算财政拨款支出决算表</w:t>
      </w:r>
    </w:p>
    <w:p w14:paraId="65CDC4C8">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十三、财政拨款“三公”经费支出决算表</w:t>
      </w:r>
    </w:p>
    <w:p w14:paraId="6720756C">
      <w:pPr>
        <w:widowControl/>
        <w:spacing w:line="560" w:lineRule="exact"/>
        <w:jc w:val="left"/>
        <w:rPr>
          <w:rFonts w:eastAsia="仿宋_GB2312" w:cs="仿宋_GB2312"/>
          <w:bCs/>
          <w:kern w:val="44"/>
          <w:sz w:val="32"/>
          <w:szCs w:val="32"/>
        </w:rPr>
      </w:pPr>
      <w:bookmarkStart w:id="12" w:name="_Toc15396599"/>
      <w:bookmarkStart w:id="13" w:name="_Toc15377196"/>
      <w:r>
        <w:rPr>
          <w:rFonts w:hint="eastAsia" w:eastAsia="仿宋_GB2312" w:cs="仿宋_GB2312"/>
          <w:b/>
          <w:sz w:val="32"/>
          <w:szCs w:val="32"/>
        </w:rPr>
        <w:br w:type="page"/>
      </w:r>
    </w:p>
    <w:p w14:paraId="0F239EF7">
      <w:pPr>
        <w:pStyle w:val="5"/>
        <w:jc w:val="center"/>
        <w:rPr>
          <w:rFonts w:eastAsia="方正小标宋简体" w:cs="方正小标宋简体"/>
          <w:b w:val="0"/>
        </w:rPr>
        <w:sectPr>
          <w:footerReference r:id="rId3" w:type="default"/>
          <w:pgSz w:w="11906" w:h="16838"/>
          <w:pgMar w:top="1440" w:right="1800" w:bottom="1440" w:left="1800" w:header="851" w:footer="992" w:gutter="0"/>
          <w:pgNumType w:fmt="numberInDash" w:start="1"/>
          <w:cols w:space="425" w:num="1"/>
          <w:titlePg/>
          <w:docGrid w:type="lines" w:linePitch="312" w:charSpace="0"/>
        </w:sectPr>
      </w:pPr>
    </w:p>
    <w:p w14:paraId="34CFD27E">
      <w:pPr>
        <w:pStyle w:val="5"/>
        <w:jc w:val="center"/>
        <w:rPr>
          <w:rFonts w:eastAsia="方正小标宋简体" w:cs="方正小标宋简体"/>
          <w:bCs w:val="0"/>
        </w:rPr>
      </w:pPr>
      <w:r>
        <w:rPr>
          <w:rFonts w:hint="eastAsia" w:eastAsia="方正小标宋简体" w:cs="方正小标宋简体"/>
          <w:b w:val="0"/>
        </w:rPr>
        <w:t xml:space="preserve">第一部分  </w:t>
      </w:r>
      <w:r>
        <w:rPr>
          <w:rStyle w:val="28"/>
          <w:rFonts w:hint="eastAsia" w:eastAsia="方正小标宋简体" w:cs="方正小标宋简体"/>
          <w:b w:val="0"/>
          <w:bCs w:val="0"/>
          <w:lang w:val="en-US" w:eastAsia="zh-CN"/>
        </w:rPr>
        <w:t>部门</w:t>
      </w:r>
      <w:r>
        <w:rPr>
          <w:rStyle w:val="28"/>
          <w:rFonts w:hint="eastAsia" w:eastAsia="方正小标宋简体" w:cs="方正小标宋简体"/>
          <w:b w:val="0"/>
          <w:bCs w:val="0"/>
        </w:rPr>
        <w:t>概况</w:t>
      </w:r>
      <w:bookmarkEnd w:id="12"/>
      <w:bookmarkEnd w:id="13"/>
    </w:p>
    <w:p w14:paraId="5363CF68">
      <w:pPr>
        <w:pStyle w:val="6"/>
        <w:numPr>
          <w:ilvl w:val="0"/>
          <w:numId w:val="1"/>
        </w:numPr>
        <w:rPr>
          <w:rFonts w:ascii="Times New Roman" w:hAnsi="Times New Roman" w:eastAsia="黑体"/>
          <w:b w:val="0"/>
        </w:rPr>
      </w:pPr>
      <w:r>
        <w:rPr>
          <w:rFonts w:hint="eastAsia" w:ascii="Times New Roman" w:hAnsi="Times New Roman" w:eastAsia="黑体"/>
          <w:b w:val="0"/>
          <w:lang w:val="en-US" w:eastAsia="zh-CN"/>
        </w:rPr>
        <w:t>部门</w:t>
      </w:r>
      <w:r>
        <w:rPr>
          <w:rFonts w:hint="eastAsia" w:ascii="Times New Roman" w:hAnsi="Times New Roman" w:eastAsia="黑体"/>
          <w:b w:val="0"/>
        </w:rPr>
        <w:t>职责</w:t>
      </w:r>
    </w:p>
    <w:p w14:paraId="32433874">
      <w:pPr>
        <w:pStyle w:val="27"/>
        <w:spacing w:line="600" w:lineRule="exact"/>
        <w:ind w:left="0" w:leftChars="0" w:firstLine="640" w:firstLineChars="200"/>
        <w:outlineLvl w:val="1"/>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1.依法审判法律规定由本级人民法院管辖的第一审刑事、民事、行政案件。</w:t>
      </w:r>
    </w:p>
    <w:p w14:paraId="5D23D6F8">
      <w:pPr>
        <w:pStyle w:val="27"/>
        <w:spacing w:line="600" w:lineRule="exact"/>
        <w:ind w:firstLine="640"/>
        <w:outlineLvl w:val="1"/>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2.受理不服本院已经发生法律效力的判决、裁定的申诉和申请再审案件以及本院审判委员会讨论决定的再审案件。</w:t>
      </w:r>
    </w:p>
    <w:p w14:paraId="160F5063">
      <w:pPr>
        <w:pStyle w:val="27"/>
        <w:spacing w:line="600" w:lineRule="exact"/>
        <w:ind w:firstLine="640"/>
        <w:outlineLvl w:val="1"/>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3.接受上级法院指令再审和交办的案件。</w:t>
      </w:r>
    </w:p>
    <w:p w14:paraId="2933EEC0">
      <w:pPr>
        <w:pStyle w:val="27"/>
        <w:spacing w:line="600" w:lineRule="exact"/>
        <w:ind w:firstLine="640"/>
        <w:outlineLvl w:val="1"/>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4.依法行使司法执行权和司法决定权。</w:t>
      </w:r>
    </w:p>
    <w:p w14:paraId="56E9B847">
      <w:pPr>
        <w:pStyle w:val="27"/>
        <w:spacing w:line="600" w:lineRule="exact"/>
        <w:ind w:firstLine="640"/>
        <w:outlineLvl w:val="1"/>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5.对案件审理中发现的问题提出司法建议。</w:t>
      </w:r>
    </w:p>
    <w:p w14:paraId="05A3A256">
      <w:pPr>
        <w:pStyle w:val="27"/>
        <w:spacing w:line="600" w:lineRule="exact"/>
        <w:ind w:firstLine="640"/>
        <w:outlineLvl w:val="1"/>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6.组织本院法官与其他法院间的司法交流活动。</w:t>
      </w:r>
    </w:p>
    <w:p w14:paraId="3D77F4C8">
      <w:pPr>
        <w:pStyle w:val="27"/>
        <w:spacing w:line="600" w:lineRule="exact"/>
        <w:ind w:firstLine="640"/>
        <w:outlineLvl w:val="1"/>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7.抓好本院的思想政治、教育培训工作；按照权限管理本院法官和其他工作人员。</w:t>
      </w:r>
    </w:p>
    <w:p w14:paraId="392C802F">
      <w:pPr>
        <w:pStyle w:val="27"/>
        <w:spacing w:line="600" w:lineRule="exact"/>
        <w:ind w:firstLine="640"/>
        <w:outlineLvl w:val="1"/>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8.管理本院的经费、物质装备。</w:t>
      </w:r>
    </w:p>
    <w:p w14:paraId="239E268B">
      <w:pPr>
        <w:pStyle w:val="27"/>
        <w:spacing w:line="600" w:lineRule="exact"/>
        <w:ind w:firstLine="640"/>
        <w:outlineLvl w:val="1"/>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9.结合审判业务，开展法制宣传，教育公民自觉遵守宪法、法律。</w:t>
      </w:r>
    </w:p>
    <w:p w14:paraId="03861633">
      <w:pPr>
        <w:pStyle w:val="27"/>
        <w:spacing w:line="600" w:lineRule="exact"/>
        <w:ind w:firstLine="640"/>
        <w:outlineLvl w:val="1"/>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10.对人民调解组织和镇、街道司法助理员进行业务指导。</w:t>
      </w:r>
    </w:p>
    <w:p w14:paraId="6C404AE0">
      <w:pPr>
        <w:pStyle w:val="27"/>
        <w:spacing w:line="600" w:lineRule="exact"/>
        <w:ind w:firstLine="640"/>
        <w:outlineLvl w:val="1"/>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11.承办其他应由本院负责的工作。</w:t>
      </w:r>
    </w:p>
    <w:p w14:paraId="397A37F6">
      <w:pPr>
        <w:pStyle w:val="6"/>
        <w:numPr>
          <w:ilvl w:val="0"/>
          <w:numId w:val="0"/>
        </w:numPr>
        <w:ind w:leftChars="0" w:firstLine="320" w:firstLineChars="100"/>
        <w:rPr>
          <w:rFonts w:hint="eastAsia" w:ascii="Times New Roman" w:hAnsi="Times New Roman" w:eastAsia="黑体"/>
          <w:b w:val="0"/>
          <w:lang w:eastAsia="zh-CN"/>
        </w:rPr>
      </w:pPr>
      <w:r>
        <w:rPr>
          <w:rFonts w:hint="eastAsia" w:ascii="Times New Roman" w:hAnsi="Times New Roman" w:eastAsia="黑体"/>
          <w:b w:val="0"/>
          <w:lang w:eastAsia="zh-CN"/>
        </w:rPr>
        <w:t>二、机构设置</w:t>
      </w:r>
    </w:p>
    <w:p w14:paraId="1AB068F5">
      <w:pPr>
        <w:pStyle w:val="27"/>
        <w:spacing w:line="600" w:lineRule="exact"/>
        <w:ind w:firstLine="960" w:firstLineChars="300"/>
        <w:outlineLvl w:val="1"/>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西区法院无下属二级单位。现有9个内设机构和1个派出机构，即：综合办公室、政治部（督察室）、立案庭（诉讼服务中心）、刑事审判庭、民事审判庭（未成年人与家事案件审判庭）、行政审判庭（综合审判庭）、执行局、审判管理办公室（研究室）、司法警察大队和派出机构格里坪人民法庭，其中司法警察大队和格里坪人民法庭未纳入内设机构改革。</w:t>
      </w:r>
    </w:p>
    <w:p w14:paraId="696B73D4">
      <w:pPr>
        <w:pStyle w:val="27"/>
        <w:spacing w:line="600" w:lineRule="exact"/>
        <w:ind w:firstLine="640"/>
        <w:outlineLvl w:val="1"/>
        <w:rPr>
          <w:rFonts w:hint="eastAsia" w:ascii="仿宋_GB2312" w:hAnsi="仿宋_GB2312" w:eastAsia="仿宋_GB2312" w:cs="仿宋_GB2312"/>
          <w:sz w:val="32"/>
          <w:szCs w:val="32"/>
        </w:rPr>
      </w:pPr>
    </w:p>
    <w:p w14:paraId="07FF49AD">
      <w:pPr>
        <w:widowControl/>
        <w:jc w:val="left"/>
        <w:rPr>
          <w:rFonts w:eastAsia="仿宋"/>
          <w:kern w:val="0"/>
          <w:sz w:val="32"/>
          <w:szCs w:val="32"/>
        </w:rPr>
      </w:pPr>
      <w:r>
        <w:rPr>
          <w:rFonts w:eastAsia="仿宋"/>
          <w:sz w:val="32"/>
          <w:szCs w:val="32"/>
        </w:rPr>
        <w:br w:type="page"/>
      </w:r>
    </w:p>
    <w:p w14:paraId="4AA3952D">
      <w:pPr>
        <w:pStyle w:val="5"/>
        <w:jc w:val="center"/>
        <w:rPr>
          <w:rFonts w:eastAsia="方正小标宋简体" w:cs="方正小标宋简体"/>
          <w:b w:val="0"/>
        </w:rPr>
      </w:pPr>
      <w:bookmarkStart w:id="14" w:name="_Toc15396602"/>
      <w:bookmarkStart w:id="15" w:name="_Toc15377204"/>
      <w:r>
        <w:rPr>
          <w:rFonts w:hint="eastAsia" w:eastAsia="方正小标宋简体" w:cs="方正小标宋简体"/>
          <w:b w:val="0"/>
        </w:rPr>
        <w:t>第二部分  2024年度</w:t>
      </w:r>
      <w:r>
        <w:rPr>
          <w:rFonts w:hint="eastAsia" w:eastAsia="方正小标宋简体" w:cs="方正小标宋简体"/>
          <w:b w:val="0"/>
          <w:lang w:val="en-US" w:eastAsia="zh-CN"/>
        </w:rPr>
        <w:t>部门</w:t>
      </w:r>
      <w:r>
        <w:rPr>
          <w:rFonts w:hint="eastAsia" w:eastAsia="方正小标宋简体" w:cs="方正小标宋简体"/>
          <w:b w:val="0"/>
        </w:rPr>
        <w:t>决算情况说明</w:t>
      </w:r>
      <w:bookmarkEnd w:id="14"/>
      <w:bookmarkEnd w:id="15"/>
    </w:p>
    <w:p w14:paraId="59601E8A"/>
    <w:p w14:paraId="0E0C31CB">
      <w:pPr>
        <w:pStyle w:val="27"/>
        <w:spacing w:line="600" w:lineRule="exact"/>
        <w:ind w:firstLine="640"/>
        <w:outlineLvl w:val="1"/>
        <w:rPr>
          <w:rStyle w:val="29"/>
          <w:rFonts w:ascii="Times New Roman" w:hAnsi="Times New Roman" w:eastAsia="黑体"/>
          <w:b w:val="0"/>
        </w:rPr>
      </w:pPr>
      <w:bookmarkStart w:id="16" w:name="_Toc15377205"/>
      <w:bookmarkStart w:id="17" w:name="_Toc15396603"/>
      <w:r>
        <w:rPr>
          <w:rFonts w:hint="eastAsia" w:eastAsia="黑体"/>
          <w:sz w:val="32"/>
          <w:szCs w:val="32"/>
        </w:rPr>
        <w:t>一、收</w:t>
      </w:r>
      <w:r>
        <w:rPr>
          <w:rStyle w:val="29"/>
          <w:rFonts w:hint="eastAsia" w:ascii="Times New Roman" w:hAnsi="Times New Roman" w:eastAsia="黑体"/>
          <w:b w:val="0"/>
        </w:rPr>
        <w:t>入支出决算总体情况说明</w:t>
      </w:r>
      <w:bookmarkEnd w:id="16"/>
      <w:bookmarkEnd w:id="17"/>
    </w:p>
    <w:p w14:paraId="69AC0004">
      <w:pPr>
        <w:pStyle w:val="27"/>
        <w:spacing w:line="600" w:lineRule="exact"/>
        <w:ind w:firstLine="640"/>
        <w:outlineLvl w:val="1"/>
        <w:rPr>
          <w:rFonts w:eastAsia="仿宋_GB2312" w:cs="仿宋_GB2312"/>
          <w:sz w:val="32"/>
          <w:szCs w:val="32"/>
        </w:rPr>
      </w:pPr>
      <w:r>
        <w:rPr>
          <w:rFonts w:hint="eastAsia" w:ascii="仿宋_GB2312" w:hAnsi="仿宋_GB2312" w:eastAsia="仿宋_GB2312" w:cs="仿宋_GB2312"/>
          <w:sz w:val="32"/>
          <w:szCs w:val="32"/>
        </w:rPr>
        <w:t>2024</w:t>
      </w:r>
      <w:r>
        <w:rPr>
          <w:rFonts w:hint="eastAsia" w:eastAsia="仿宋_GB2312" w:cs="仿宋_GB2312"/>
          <w:sz w:val="32"/>
          <w:szCs w:val="32"/>
        </w:rPr>
        <w:t>年度收入、支出总计均为</w:t>
      </w:r>
      <w:r>
        <w:rPr>
          <w:rFonts w:hint="eastAsia" w:ascii="仿宋_GB2312" w:hAnsi="仿宋_GB2312" w:eastAsia="仿宋_GB2312" w:cs="仿宋_GB2312"/>
          <w:sz w:val="32"/>
          <w:szCs w:val="32"/>
          <w:lang w:val="en-US" w:eastAsia="zh-CN"/>
        </w:rPr>
        <w:t>1685.94</w:t>
      </w:r>
      <w:r>
        <w:rPr>
          <w:rFonts w:hint="eastAsia" w:eastAsia="仿宋_GB2312" w:cs="仿宋_GB2312"/>
          <w:sz w:val="32"/>
          <w:szCs w:val="32"/>
        </w:rPr>
        <w:t>万元。与2023年度相比，收入、支出总计各</w:t>
      </w:r>
      <w:r>
        <w:rPr>
          <w:rFonts w:hint="eastAsia" w:eastAsia="仿宋_GB2312" w:cs="仿宋_GB2312"/>
          <w:sz w:val="32"/>
          <w:szCs w:val="32"/>
          <w:lang w:val="en-US" w:eastAsia="zh-CN"/>
        </w:rPr>
        <w:t>减少75.39</w:t>
      </w:r>
      <w:r>
        <w:rPr>
          <w:rFonts w:hint="eastAsia" w:eastAsia="仿宋_GB2312" w:cs="仿宋_GB2312"/>
          <w:sz w:val="32"/>
          <w:szCs w:val="32"/>
        </w:rPr>
        <w:t>万元，</w:t>
      </w:r>
      <w:r>
        <w:rPr>
          <w:rFonts w:hint="eastAsia" w:eastAsia="仿宋_GB2312" w:cs="仿宋_GB2312"/>
          <w:sz w:val="32"/>
          <w:szCs w:val="32"/>
          <w:lang w:val="en-US" w:eastAsia="zh-CN"/>
        </w:rPr>
        <w:t>下降4.28</w:t>
      </w:r>
      <w:r>
        <w:rPr>
          <w:rFonts w:hint="eastAsia" w:eastAsia="仿宋_GB2312" w:cs="仿宋_GB2312"/>
          <w:sz w:val="32"/>
          <w:szCs w:val="32"/>
        </w:rPr>
        <w:t>%。主要变动原因是</w:t>
      </w:r>
      <w:r>
        <w:rPr>
          <w:rFonts w:hint="eastAsia" w:eastAsia="仿宋_GB2312" w:cs="仿宋_GB2312"/>
          <w:sz w:val="32"/>
          <w:szCs w:val="32"/>
          <w:lang w:val="en-US" w:eastAsia="zh-CN"/>
        </w:rPr>
        <w:t>人员、公用、项目等经费均有所下降</w:t>
      </w:r>
      <w:r>
        <w:rPr>
          <w:rFonts w:hint="eastAsia" w:eastAsia="仿宋_GB2312" w:cs="仿宋_GB2312"/>
          <w:sz w:val="32"/>
          <w:szCs w:val="32"/>
        </w:rPr>
        <w:t>。</w:t>
      </w:r>
    </w:p>
    <w:p w14:paraId="42A1F20D">
      <w:pPr>
        <w:ind w:firstLine="640" w:firstLineChars="200"/>
        <w:rPr>
          <w:rFonts w:eastAsia="仿宋_GB2312" w:cs="仿宋_GB2312"/>
          <w:sz w:val="32"/>
          <w:szCs w:val="32"/>
        </w:rPr>
      </w:pPr>
      <w:r>
        <w:rPr>
          <w:rFonts w:hint="eastAsia" w:eastAsia="仿宋_GB2312" w:cs="仿宋_GB2312"/>
          <w:sz w:val="32"/>
          <w:szCs w:val="32"/>
        </w:rPr>
        <w:t>（图1：收入、支出决算总计变动情况图）（柱状图）</w:t>
      </w:r>
    </w:p>
    <w:p w14:paraId="641ECFAF">
      <w:pPr>
        <w:ind w:firstLine="420" w:firstLineChars="200"/>
        <w:rPr>
          <w:rFonts w:eastAsia="仿宋_GB2312" w:cs="仿宋_GB2312"/>
          <w:sz w:val="32"/>
          <w:szCs w:val="32"/>
        </w:rPr>
      </w:pPr>
      <w:r>
        <w:drawing>
          <wp:inline distT="0" distB="0" distL="114300" distR="114300">
            <wp:extent cx="4826000" cy="2743200"/>
            <wp:effectExtent l="4445" t="4445" r="8255" b="14605"/>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834BEBD">
      <w:pPr>
        <w:pStyle w:val="27"/>
        <w:spacing w:line="600" w:lineRule="exact"/>
        <w:ind w:firstLine="640"/>
        <w:outlineLvl w:val="1"/>
        <w:rPr>
          <w:rFonts w:eastAsia="黑体"/>
          <w:sz w:val="32"/>
          <w:szCs w:val="32"/>
        </w:rPr>
      </w:pPr>
      <w:bookmarkStart w:id="18" w:name="_Toc15377206"/>
      <w:bookmarkStart w:id="19" w:name="_Toc15396604"/>
      <w:r>
        <w:rPr>
          <w:rFonts w:hint="eastAsia" w:eastAsia="黑体"/>
          <w:sz w:val="32"/>
          <w:szCs w:val="32"/>
        </w:rPr>
        <w:t>二、收入决算情况说明</w:t>
      </w:r>
      <w:bookmarkEnd w:id="18"/>
      <w:bookmarkEnd w:id="19"/>
    </w:p>
    <w:p w14:paraId="18B53F8D">
      <w:pPr>
        <w:ind w:firstLine="640" w:firstLineChars="200"/>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2024年度本年收入合计</w:t>
      </w:r>
      <w:r>
        <w:rPr>
          <w:rFonts w:hint="eastAsia" w:ascii="仿宋_GB2312" w:hAnsi="仿宋_GB2312" w:eastAsia="仿宋_GB2312" w:cs="仿宋_GB2312"/>
          <w:sz w:val="32"/>
          <w:szCs w:val="32"/>
          <w:lang w:val="en-US" w:eastAsia="zh-CN"/>
        </w:rPr>
        <w:t>1685.94</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1278.51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75.83</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rPr>
        <w:t>政府性基金预算财政拨款收入0万元，占0%；国有资本经营预算财政拨款收入0万元，占0%；上级补助收入0万元，占0%；事业收入0万元，占0%；经营收入0万元，占0%；附属单位上缴收入0万元，占0%；其他收入</w:t>
      </w:r>
      <w:r>
        <w:rPr>
          <w:rFonts w:hint="eastAsia" w:ascii="仿宋_GB2312" w:hAnsi="仿宋_GB2312" w:eastAsia="仿宋_GB2312" w:cs="仿宋_GB2312"/>
          <w:sz w:val="32"/>
          <w:szCs w:val="32"/>
          <w:lang w:val="en-US" w:eastAsia="zh-CN"/>
        </w:rPr>
        <w:t>407.43</w:t>
      </w:r>
      <w:r>
        <w:rPr>
          <w:rFonts w:hint="default"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24.17</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14:paraId="37A60DA5">
      <w:pPr>
        <w:pStyle w:val="8"/>
        <w:rPr>
          <w:rFonts w:hint="eastAsia"/>
          <w:lang w:eastAsia="zh-CN"/>
        </w:rPr>
      </w:pPr>
      <w:r>
        <w:drawing>
          <wp:inline distT="0" distB="0" distL="114300" distR="114300">
            <wp:extent cx="4826000" cy="2743200"/>
            <wp:effectExtent l="4445" t="4445" r="8255" b="14605"/>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6024809">
      <w:pPr>
        <w:pStyle w:val="27"/>
        <w:spacing w:line="600" w:lineRule="exact"/>
        <w:ind w:firstLine="640"/>
        <w:jc w:val="left"/>
        <w:outlineLvl w:val="1"/>
        <w:rPr>
          <w:rFonts w:eastAsia="仿宋_GB2312" w:cs="仿宋_GB2312"/>
          <w:b/>
          <w:bCs/>
          <w:sz w:val="32"/>
          <w:szCs w:val="32"/>
        </w:rPr>
      </w:pPr>
    </w:p>
    <w:p w14:paraId="3A2FCF6B">
      <w:pPr>
        <w:ind w:firstLine="800" w:firstLineChars="250"/>
        <w:rPr>
          <w:rFonts w:eastAsia="仿宋_GB2312" w:cs="仿宋_GB2312"/>
          <w:sz w:val="32"/>
          <w:szCs w:val="32"/>
        </w:rPr>
      </w:pPr>
    </w:p>
    <w:p w14:paraId="1B052427">
      <w:pPr>
        <w:pStyle w:val="27"/>
        <w:spacing w:line="600" w:lineRule="exact"/>
        <w:ind w:firstLine="640"/>
        <w:outlineLvl w:val="1"/>
        <w:rPr>
          <w:rStyle w:val="29"/>
          <w:rFonts w:ascii="Times New Roman" w:hAnsi="Times New Roman" w:eastAsia="黑体"/>
          <w:b w:val="0"/>
        </w:rPr>
      </w:pPr>
      <w:bookmarkStart w:id="20" w:name="_Toc15396605"/>
      <w:bookmarkStart w:id="21" w:name="_Toc15377207"/>
      <w:r>
        <w:rPr>
          <w:rFonts w:hint="eastAsia" w:eastAsia="黑体"/>
          <w:sz w:val="32"/>
          <w:szCs w:val="32"/>
        </w:rPr>
        <w:t>三、支</w:t>
      </w:r>
      <w:r>
        <w:rPr>
          <w:rStyle w:val="29"/>
          <w:rFonts w:hint="eastAsia" w:ascii="Times New Roman" w:hAnsi="Times New Roman" w:eastAsia="黑体"/>
          <w:b w:val="0"/>
        </w:rPr>
        <w:t>出决算情况说明</w:t>
      </w:r>
      <w:bookmarkEnd w:id="20"/>
      <w:bookmarkEnd w:id="21"/>
    </w:p>
    <w:p w14:paraId="46BE273E">
      <w:pPr>
        <w:ind w:firstLine="640" w:firstLineChars="200"/>
        <w:outlineLvl w:val="1"/>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rPr>
        <w:t>年本年支出合计</w:t>
      </w:r>
      <w:r>
        <w:rPr>
          <w:rFonts w:hint="eastAsia" w:ascii="仿宋_GB2312" w:hAnsi="仿宋_GB2312" w:eastAsia="仿宋_GB2312" w:cs="仿宋_GB2312"/>
          <w:sz w:val="32"/>
          <w:szCs w:val="32"/>
          <w:lang w:val="en-US" w:eastAsia="zh-CN"/>
        </w:rPr>
        <w:t>1685.94</w:t>
      </w:r>
      <w:r>
        <w:rPr>
          <w:rFonts w:hint="default" w:ascii="仿宋_GB2312" w:hAnsi="仿宋_GB2312" w:eastAsia="仿宋_GB2312" w:cs="仿宋_GB2312"/>
          <w:sz w:val="32"/>
          <w:szCs w:val="32"/>
        </w:rPr>
        <w:t>万元，其中：</w:t>
      </w:r>
      <w:r>
        <w:rPr>
          <w:rFonts w:hint="eastAsia" w:ascii="仿宋_GB2312" w:hAnsi="仿宋_GB2312" w:eastAsia="仿宋_GB2312" w:cs="仿宋_GB2312"/>
          <w:sz w:val="32"/>
          <w:szCs w:val="32"/>
          <w:lang w:val="en-US" w:eastAsia="zh-CN"/>
        </w:rPr>
        <w:t>一般公共服务支出1万元，占0.5%；</w:t>
      </w:r>
      <w:r>
        <w:rPr>
          <w:rFonts w:hint="default" w:ascii="仿宋_GB2312" w:hAnsi="仿宋_GB2312" w:eastAsia="仿宋_GB2312" w:cs="仿宋_GB2312"/>
          <w:sz w:val="32"/>
          <w:szCs w:val="32"/>
          <w:lang w:eastAsia="zh-CN"/>
        </w:rPr>
        <w:t>公共安全</w:t>
      </w:r>
      <w:r>
        <w:rPr>
          <w:rFonts w:hint="default"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1390.78</w:t>
      </w:r>
      <w:r>
        <w:rPr>
          <w:rFonts w:hint="default"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82.48</w:t>
      </w:r>
      <w:r>
        <w:rPr>
          <w:rFonts w:hint="default" w:ascii="仿宋_GB2312" w:hAnsi="仿宋_GB2312" w:eastAsia="仿宋_GB2312" w:cs="仿宋_GB2312"/>
          <w:sz w:val="32"/>
          <w:szCs w:val="32"/>
        </w:rPr>
        <w:t>%；</w:t>
      </w:r>
      <w:r>
        <w:rPr>
          <w:rFonts w:hint="default" w:ascii="仿宋_GB2312" w:hAnsi="仿宋_GB2312" w:eastAsia="仿宋_GB2312" w:cs="仿宋_GB2312"/>
          <w:sz w:val="32"/>
          <w:szCs w:val="32"/>
          <w:lang w:eastAsia="zh-CN"/>
        </w:rPr>
        <w:t>社会保障和就业</w:t>
      </w:r>
      <w:r>
        <w:rPr>
          <w:rFonts w:hint="default"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131.45</w:t>
      </w:r>
      <w:r>
        <w:rPr>
          <w:rFonts w:hint="default"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7.7</w:t>
      </w:r>
      <w:r>
        <w:rPr>
          <w:rFonts w:hint="default" w:ascii="仿宋_GB2312" w:hAnsi="仿宋_GB2312" w:eastAsia="仿宋_GB2312" w:cs="仿宋_GB2312"/>
          <w:sz w:val="32"/>
          <w:szCs w:val="32"/>
        </w:rPr>
        <w:t>%；</w:t>
      </w:r>
      <w:r>
        <w:rPr>
          <w:rFonts w:hint="default" w:ascii="仿宋_GB2312" w:hAnsi="仿宋_GB2312" w:eastAsia="仿宋_GB2312" w:cs="仿宋_GB2312"/>
          <w:sz w:val="32"/>
          <w:szCs w:val="32"/>
          <w:lang w:eastAsia="zh-CN"/>
        </w:rPr>
        <w:t>卫生健康</w:t>
      </w:r>
      <w:r>
        <w:rPr>
          <w:rFonts w:hint="default"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75.99</w:t>
      </w:r>
      <w:r>
        <w:rPr>
          <w:rFonts w:hint="default" w:ascii="仿宋_GB2312" w:hAnsi="仿宋_GB2312" w:eastAsia="仿宋_GB2312" w:cs="仿宋_GB2312"/>
          <w:sz w:val="32"/>
          <w:szCs w:val="32"/>
        </w:rPr>
        <w:t>万元，占</w:t>
      </w:r>
      <w:r>
        <w:rPr>
          <w:rFonts w:hint="default"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eastAsia="zh-CN"/>
        </w:rPr>
        <w:t>32</w:t>
      </w:r>
      <w:r>
        <w:rPr>
          <w:rFonts w:hint="default" w:ascii="仿宋_GB2312" w:hAnsi="仿宋_GB2312" w:eastAsia="仿宋_GB2312" w:cs="仿宋_GB2312"/>
          <w:sz w:val="32"/>
          <w:szCs w:val="32"/>
        </w:rPr>
        <w:t>%；</w:t>
      </w:r>
      <w:r>
        <w:rPr>
          <w:rFonts w:hint="default" w:ascii="仿宋_GB2312" w:hAnsi="仿宋_GB2312" w:eastAsia="仿宋_GB2312" w:cs="仿宋_GB2312"/>
          <w:sz w:val="32"/>
          <w:szCs w:val="32"/>
          <w:lang w:eastAsia="zh-CN"/>
        </w:rPr>
        <w:t>城乡社区</w:t>
      </w:r>
      <w:r>
        <w:rPr>
          <w:rFonts w:hint="default"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rPr>
        <w:t>；</w:t>
      </w:r>
      <w:r>
        <w:rPr>
          <w:rFonts w:hint="default" w:ascii="仿宋_GB2312" w:hAnsi="仿宋_GB2312" w:eastAsia="仿宋_GB2312" w:cs="仿宋_GB2312"/>
          <w:sz w:val="32"/>
          <w:szCs w:val="32"/>
          <w:lang w:eastAsia="zh-CN"/>
        </w:rPr>
        <w:t>住房保障</w:t>
      </w:r>
      <w:r>
        <w:rPr>
          <w:rFonts w:hint="default"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86.72</w:t>
      </w:r>
      <w:r>
        <w:rPr>
          <w:rFonts w:hint="default"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rPr>
        <w:t>%</w:t>
      </w:r>
      <w:r>
        <w:rPr>
          <w:rFonts w:hint="default" w:ascii="仿宋_GB2312" w:hAnsi="仿宋_GB2312" w:eastAsia="仿宋_GB2312" w:cs="仿宋_GB2312"/>
          <w:sz w:val="32"/>
          <w:szCs w:val="32"/>
          <w:lang w:eastAsia="zh-CN"/>
        </w:rPr>
        <w:t>；灾害防治及应急管理</w:t>
      </w:r>
      <w:r>
        <w:rPr>
          <w:rFonts w:hint="default"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rPr>
        <w:t>。</w:t>
      </w:r>
    </w:p>
    <w:p w14:paraId="0B82C953">
      <w:pPr>
        <w:ind w:firstLine="800" w:firstLineChars="250"/>
        <w:rPr>
          <w:rFonts w:eastAsia="仿宋_GB2312" w:cs="仿宋_GB2312"/>
          <w:sz w:val="32"/>
          <w:szCs w:val="32"/>
        </w:rPr>
      </w:pPr>
      <w:r>
        <w:rPr>
          <w:rFonts w:hint="eastAsia" w:eastAsia="仿宋_GB2312" w:cs="仿宋_GB2312"/>
          <w:sz w:val="32"/>
          <w:szCs w:val="32"/>
        </w:rPr>
        <w:t>（图3：支出决算结构图）（饼状图）</w:t>
      </w:r>
    </w:p>
    <w:p w14:paraId="4CEB4CAD">
      <w:pPr>
        <w:ind w:firstLine="800" w:firstLineChars="250"/>
        <w:rPr>
          <w:rFonts w:eastAsia="仿宋_GB2312" w:cs="仿宋_GB2312"/>
          <w:sz w:val="32"/>
          <w:szCs w:val="32"/>
        </w:rPr>
      </w:pPr>
    </w:p>
    <w:p w14:paraId="2CF2CA92">
      <w:pPr>
        <w:pStyle w:val="8"/>
      </w:pPr>
      <w:r>
        <w:drawing>
          <wp:inline distT="0" distB="0" distL="114300" distR="114300">
            <wp:extent cx="4826000" cy="2743200"/>
            <wp:effectExtent l="4445" t="4445" r="825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4F94608">
      <w:pPr>
        <w:spacing w:line="600" w:lineRule="exact"/>
        <w:ind w:firstLine="640" w:firstLineChars="200"/>
        <w:outlineLvl w:val="1"/>
        <w:rPr>
          <w:rStyle w:val="29"/>
          <w:rFonts w:ascii="Times New Roman" w:hAnsi="Times New Roman" w:eastAsia="黑体"/>
          <w:b w:val="0"/>
        </w:rPr>
      </w:pPr>
      <w:bookmarkStart w:id="22" w:name="_Toc15377208"/>
      <w:bookmarkStart w:id="23" w:name="_Toc15396606"/>
      <w:r>
        <w:rPr>
          <w:rFonts w:hint="eastAsia" w:eastAsia="黑体"/>
          <w:sz w:val="32"/>
          <w:szCs w:val="32"/>
        </w:rPr>
        <w:t>四、财</w:t>
      </w:r>
      <w:r>
        <w:rPr>
          <w:rStyle w:val="29"/>
          <w:rFonts w:hint="eastAsia" w:ascii="Times New Roman" w:hAnsi="Times New Roman" w:eastAsia="黑体"/>
          <w:b w:val="0"/>
        </w:rPr>
        <w:t>政拨款收入支出决算总体情况说明</w:t>
      </w:r>
      <w:bookmarkEnd w:id="22"/>
      <w:bookmarkEnd w:id="23"/>
    </w:p>
    <w:p w14:paraId="76644CCD">
      <w:pPr>
        <w:spacing w:line="600" w:lineRule="exact"/>
        <w:ind w:firstLine="640"/>
        <w:rPr>
          <w:rFonts w:eastAsia="仿宋_GB2312" w:cs="仿宋_GB2312"/>
          <w:sz w:val="32"/>
          <w:szCs w:val="32"/>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lang w:val="en-US" w:eastAsia="zh-CN"/>
        </w:rPr>
        <w:t>1278.51</w:t>
      </w:r>
      <w:r>
        <w:rPr>
          <w:rFonts w:hint="eastAsia" w:eastAsia="仿宋_GB2312" w:cs="仿宋_GB2312"/>
          <w:sz w:val="32"/>
          <w:szCs w:val="32"/>
        </w:rPr>
        <w:t>万元。与2023年度相比，财政拨款收入总计、支出总计各</w:t>
      </w:r>
      <w:r>
        <w:rPr>
          <w:rFonts w:hint="eastAsia" w:eastAsia="仿宋_GB2312" w:cs="仿宋_GB2312"/>
          <w:sz w:val="32"/>
          <w:szCs w:val="32"/>
          <w:lang w:val="en-US" w:eastAsia="zh-CN"/>
        </w:rPr>
        <w:t>减少129.17</w:t>
      </w:r>
      <w:r>
        <w:rPr>
          <w:rFonts w:hint="eastAsia" w:eastAsia="仿宋_GB2312" w:cs="仿宋_GB2312"/>
          <w:sz w:val="32"/>
          <w:szCs w:val="32"/>
        </w:rPr>
        <w:t>万元，</w:t>
      </w:r>
      <w:r>
        <w:rPr>
          <w:rFonts w:hint="eastAsia" w:eastAsia="仿宋_GB2312" w:cs="仿宋_GB2312"/>
          <w:sz w:val="32"/>
          <w:szCs w:val="32"/>
          <w:lang w:val="en-US" w:eastAsia="zh-CN"/>
        </w:rPr>
        <w:t>下降9.18</w:t>
      </w:r>
      <w:r>
        <w:rPr>
          <w:rFonts w:hint="eastAsia" w:eastAsia="仿宋_GB2312" w:cs="仿宋_GB2312"/>
          <w:sz w:val="32"/>
          <w:szCs w:val="32"/>
        </w:rPr>
        <w:t>%。主要变动原因是</w:t>
      </w:r>
      <w:r>
        <w:rPr>
          <w:rFonts w:hint="eastAsia" w:eastAsia="仿宋_GB2312" w:cs="仿宋_GB2312"/>
          <w:sz w:val="32"/>
          <w:szCs w:val="32"/>
          <w:lang w:val="en-US" w:eastAsia="zh-CN"/>
        </w:rPr>
        <w:t>人员、公用、项目等经费均有所下降</w:t>
      </w:r>
      <w:r>
        <w:rPr>
          <w:rFonts w:hint="eastAsia" w:eastAsia="仿宋_GB2312" w:cs="仿宋_GB2312"/>
          <w:sz w:val="32"/>
          <w:szCs w:val="32"/>
        </w:rPr>
        <w:t>。</w:t>
      </w:r>
    </w:p>
    <w:p w14:paraId="5C3B10F0">
      <w:pPr>
        <w:spacing w:line="600" w:lineRule="exact"/>
        <w:ind w:firstLine="640" w:firstLineChars="200"/>
        <w:rPr>
          <w:rFonts w:hint="eastAsia" w:eastAsia="仿宋_GB2312" w:cs="仿宋_GB2312"/>
          <w:sz w:val="32"/>
          <w:szCs w:val="32"/>
        </w:rPr>
      </w:pPr>
      <w:r>
        <w:rPr>
          <w:rFonts w:hint="eastAsia" w:eastAsia="仿宋_GB2312" w:cs="仿宋_GB2312"/>
          <w:sz w:val="32"/>
          <w:szCs w:val="32"/>
        </w:rPr>
        <w:t>（图4：财政拨款收、支决算总计变动情况）（柱状图）</w:t>
      </w:r>
      <w:bookmarkStart w:id="24" w:name="_Toc15396607"/>
      <w:bookmarkStart w:id="25" w:name="_Toc15377209"/>
    </w:p>
    <w:p w14:paraId="36A098CF">
      <w:pPr>
        <w:pStyle w:val="8"/>
      </w:pPr>
      <w:r>
        <w:drawing>
          <wp:inline distT="0" distB="0" distL="114300" distR="114300">
            <wp:extent cx="4826000" cy="2743200"/>
            <wp:effectExtent l="4445" t="4445" r="8255" b="14605"/>
            <wp:docPr id="1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BC3275A">
      <w:pPr>
        <w:pStyle w:val="2"/>
      </w:pPr>
    </w:p>
    <w:p w14:paraId="1B80D985">
      <w:pPr>
        <w:pStyle w:val="3"/>
      </w:pPr>
    </w:p>
    <w:p w14:paraId="1391D2E1">
      <w:pPr>
        <w:spacing w:line="600" w:lineRule="exact"/>
        <w:ind w:firstLine="640" w:firstLineChars="200"/>
        <w:outlineLvl w:val="1"/>
        <w:rPr>
          <w:rStyle w:val="29"/>
          <w:rFonts w:ascii="Times New Roman" w:hAnsi="Times New Roman" w:eastAsia="黑体"/>
          <w:b w:val="0"/>
        </w:rPr>
      </w:pPr>
      <w:r>
        <w:rPr>
          <w:rFonts w:hint="eastAsia" w:eastAsia="黑体"/>
          <w:sz w:val="32"/>
          <w:szCs w:val="32"/>
        </w:rPr>
        <w:t>五、</w:t>
      </w:r>
      <w:r>
        <w:rPr>
          <w:rFonts w:hint="eastAsia" w:eastAsia="黑体"/>
          <w:b/>
          <w:sz w:val="32"/>
          <w:szCs w:val="32"/>
        </w:rPr>
        <w:t>一</w:t>
      </w:r>
      <w:r>
        <w:rPr>
          <w:rStyle w:val="29"/>
          <w:rFonts w:hint="eastAsia" w:ascii="Times New Roman" w:hAnsi="Times New Roman" w:eastAsia="黑体"/>
          <w:b w:val="0"/>
        </w:rPr>
        <w:t>般公共预算财政拨款支出决算情况说明</w:t>
      </w:r>
      <w:bookmarkEnd w:id="24"/>
      <w:bookmarkEnd w:id="25"/>
    </w:p>
    <w:p w14:paraId="1119235A">
      <w:pPr>
        <w:spacing w:line="600" w:lineRule="exact"/>
        <w:ind w:firstLine="643" w:firstLineChars="200"/>
        <w:outlineLvl w:val="2"/>
        <w:rPr>
          <w:rFonts w:eastAsia="楷体_GB2312" w:cs="楷体_GB2312"/>
          <w:b/>
          <w:sz w:val="32"/>
          <w:szCs w:val="32"/>
        </w:rPr>
      </w:pPr>
      <w:bookmarkStart w:id="26" w:name="_Toc15377210"/>
      <w:r>
        <w:rPr>
          <w:rFonts w:hint="eastAsia" w:eastAsia="楷体_GB2312" w:cs="楷体_GB2312"/>
          <w:b/>
          <w:sz w:val="32"/>
          <w:szCs w:val="32"/>
        </w:rPr>
        <w:t>（一）一般公共预算财政拨款支出决算总体情况</w:t>
      </w:r>
      <w:bookmarkEnd w:id="26"/>
    </w:p>
    <w:p w14:paraId="0F043AF3">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2024年度一般公共预算财政拨款支出</w:t>
      </w:r>
      <w:r>
        <w:rPr>
          <w:rFonts w:hint="eastAsia" w:ascii="仿宋_GB2312" w:hAnsi="仿宋_GB2312" w:eastAsia="仿宋_GB2312" w:cs="仿宋_GB2312"/>
          <w:sz w:val="32"/>
          <w:szCs w:val="32"/>
          <w:lang w:val="en-US" w:eastAsia="zh-CN"/>
        </w:rPr>
        <w:t>1685.94</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%。与2023年度相比，一般公共预算财政拨款支出</w:t>
      </w:r>
      <w:r>
        <w:rPr>
          <w:rFonts w:hint="eastAsia" w:ascii="仿宋_GB2312" w:hAnsi="仿宋_GB2312" w:eastAsia="仿宋_GB2312" w:cs="仿宋_GB2312"/>
          <w:sz w:val="32"/>
          <w:szCs w:val="32"/>
          <w:lang w:val="en-US" w:eastAsia="zh-CN"/>
        </w:rPr>
        <w:t>减少75.39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下降4.28</w:t>
      </w:r>
      <w:r>
        <w:rPr>
          <w:rFonts w:hint="eastAsia" w:ascii="仿宋_GB2312" w:hAnsi="仿宋_GB2312" w:eastAsia="仿宋_GB2312" w:cs="仿宋_GB2312"/>
          <w:sz w:val="32"/>
          <w:szCs w:val="32"/>
        </w:rPr>
        <w:t>%。主要变动原因是</w:t>
      </w:r>
      <w:r>
        <w:rPr>
          <w:rFonts w:hint="eastAsia" w:eastAsia="仿宋_GB2312" w:cs="仿宋_GB2312"/>
          <w:sz w:val="32"/>
          <w:szCs w:val="32"/>
          <w:lang w:val="en-US" w:eastAsia="zh-CN"/>
        </w:rPr>
        <w:t>人员、公用、项目等经费均有所下降</w:t>
      </w:r>
      <w:r>
        <w:rPr>
          <w:rFonts w:hint="eastAsia" w:eastAsia="仿宋_GB2312" w:cs="仿宋_GB2312"/>
          <w:sz w:val="32"/>
          <w:szCs w:val="32"/>
        </w:rPr>
        <w:t>。</w:t>
      </w:r>
    </w:p>
    <w:p w14:paraId="1A7EC90C">
      <w:pPr>
        <w:spacing w:line="600" w:lineRule="exact"/>
        <w:ind w:firstLine="640"/>
        <w:rPr>
          <w:rFonts w:eastAsia="仿宋_GB2312" w:cs="仿宋_GB2312"/>
          <w:sz w:val="32"/>
          <w:szCs w:val="32"/>
        </w:rPr>
      </w:pPr>
      <w:r>
        <w:rPr>
          <w:rFonts w:hint="eastAsia" w:eastAsia="仿宋_GB2312" w:cs="仿宋_GB2312"/>
          <w:sz w:val="32"/>
          <w:szCs w:val="32"/>
        </w:rPr>
        <w:t>（图5：一般公共预算财政拨款支出决算变动情况）（柱状图）</w:t>
      </w:r>
    </w:p>
    <w:p w14:paraId="05854095">
      <w:pPr>
        <w:pStyle w:val="2"/>
      </w:pPr>
    </w:p>
    <w:p w14:paraId="6E1A2A18">
      <w:pPr>
        <w:pStyle w:val="3"/>
      </w:pPr>
      <w:r>
        <w:drawing>
          <wp:inline distT="0" distB="0" distL="114300" distR="114300">
            <wp:extent cx="4826000" cy="2743200"/>
            <wp:effectExtent l="4445" t="4445" r="8255" b="14605"/>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D64AFEF">
      <w:pPr>
        <w:spacing w:line="600" w:lineRule="exact"/>
        <w:ind w:firstLine="643" w:firstLineChars="200"/>
        <w:outlineLvl w:val="2"/>
        <w:rPr>
          <w:rFonts w:eastAsia="楷体_GB2312" w:cs="楷体_GB2312"/>
          <w:b/>
          <w:sz w:val="32"/>
          <w:szCs w:val="32"/>
        </w:rPr>
      </w:pPr>
      <w:bookmarkStart w:id="27" w:name="_Toc15377211"/>
      <w:r>
        <w:rPr>
          <w:rFonts w:hint="eastAsia" w:eastAsia="楷体_GB2312" w:cs="楷体_GB2312"/>
          <w:b/>
          <w:sz w:val="32"/>
          <w:szCs w:val="32"/>
        </w:rPr>
        <w:t>（二）一般公共预算财政拨款支出决算结构情况</w:t>
      </w:r>
      <w:bookmarkEnd w:id="27"/>
    </w:p>
    <w:p w14:paraId="1188CA9E">
      <w:pPr>
        <w:spacing w:line="600" w:lineRule="exact"/>
        <w:ind w:firstLine="640"/>
        <w:rPr>
          <w:rFonts w:eastAsia="仿宋_GB2312" w:cs="仿宋_GB2312"/>
          <w:b/>
          <w:bCs/>
          <w:sz w:val="32"/>
          <w:szCs w:val="32"/>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lang w:val="en-US" w:eastAsia="zh-CN"/>
        </w:rPr>
        <w:t>1685.94</w:t>
      </w:r>
      <w:r>
        <w:rPr>
          <w:rFonts w:hint="eastAsia" w:ascii="仿宋_GB2312" w:hAnsi="仿宋_GB2312" w:eastAsia="仿宋_GB2312" w:cs="仿宋_GB2312"/>
          <w:sz w:val="32"/>
          <w:szCs w:val="32"/>
        </w:rPr>
        <w:t>万元</w:t>
      </w:r>
      <w:r>
        <w:rPr>
          <w:rFonts w:hint="eastAsia" w:eastAsia="仿宋_GB2312" w:cs="仿宋_GB2312"/>
          <w:sz w:val="32"/>
          <w:szCs w:val="32"/>
        </w:rPr>
        <w:t>，主要用于以下方面：</w:t>
      </w:r>
      <w:r>
        <w:rPr>
          <w:rFonts w:hint="eastAsia" w:ascii="仿宋_GB2312" w:hAnsi="仿宋_GB2312" w:eastAsia="仿宋_GB2312" w:cs="仿宋_GB2312"/>
          <w:sz w:val="32"/>
          <w:szCs w:val="32"/>
          <w:lang w:val="en-US" w:eastAsia="zh-CN"/>
        </w:rPr>
        <w:t>一般公共服务支出1万元，占0.5%；</w:t>
      </w:r>
      <w:r>
        <w:rPr>
          <w:rFonts w:hint="default" w:ascii="仿宋_GB2312" w:hAnsi="仿宋_GB2312" w:eastAsia="仿宋_GB2312" w:cs="仿宋_GB2312"/>
          <w:sz w:val="32"/>
          <w:szCs w:val="32"/>
          <w:lang w:eastAsia="zh-CN"/>
        </w:rPr>
        <w:t>公共安全</w:t>
      </w:r>
      <w:r>
        <w:rPr>
          <w:rFonts w:hint="default"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1390.78</w:t>
      </w:r>
      <w:r>
        <w:rPr>
          <w:rFonts w:hint="default"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82.48</w:t>
      </w:r>
      <w:r>
        <w:rPr>
          <w:rFonts w:hint="default" w:ascii="仿宋_GB2312" w:hAnsi="仿宋_GB2312" w:eastAsia="仿宋_GB2312" w:cs="仿宋_GB2312"/>
          <w:sz w:val="32"/>
          <w:szCs w:val="32"/>
        </w:rPr>
        <w:t>%；</w:t>
      </w:r>
      <w:r>
        <w:rPr>
          <w:rFonts w:hint="default" w:ascii="仿宋_GB2312" w:hAnsi="仿宋_GB2312" w:eastAsia="仿宋_GB2312" w:cs="仿宋_GB2312"/>
          <w:sz w:val="32"/>
          <w:szCs w:val="32"/>
          <w:lang w:eastAsia="zh-CN"/>
        </w:rPr>
        <w:t>社会保障和就业</w:t>
      </w:r>
      <w:r>
        <w:rPr>
          <w:rFonts w:hint="default"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131.45</w:t>
      </w:r>
      <w:r>
        <w:rPr>
          <w:rFonts w:hint="default"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7.7</w:t>
      </w:r>
      <w:r>
        <w:rPr>
          <w:rFonts w:hint="default" w:ascii="仿宋_GB2312" w:hAnsi="仿宋_GB2312" w:eastAsia="仿宋_GB2312" w:cs="仿宋_GB2312"/>
          <w:sz w:val="32"/>
          <w:szCs w:val="32"/>
        </w:rPr>
        <w:t>%；</w:t>
      </w:r>
      <w:r>
        <w:rPr>
          <w:rFonts w:hint="default" w:ascii="仿宋_GB2312" w:hAnsi="仿宋_GB2312" w:eastAsia="仿宋_GB2312" w:cs="仿宋_GB2312"/>
          <w:sz w:val="32"/>
          <w:szCs w:val="32"/>
          <w:lang w:eastAsia="zh-CN"/>
        </w:rPr>
        <w:t>卫生健康</w:t>
      </w:r>
      <w:r>
        <w:rPr>
          <w:rFonts w:hint="default"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75.99</w:t>
      </w:r>
      <w:r>
        <w:rPr>
          <w:rFonts w:hint="default" w:ascii="仿宋_GB2312" w:hAnsi="仿宋_GB2312" w:eastAsia="仿宋_GB2312" w:cs="仿宋_GB2312"/>
          <w:sz w:val="32"/>
          <w:szCs w:val="32"/>
        </w:rPr>
        <w:t>万元，占</w:t>
      </w:r>
      <w:r>
        <w:rPr>
          <w:rFonts w:hint="default"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eastAsia="zh-CN"/>
        </w:rPr>
        <w:t>32</w:t>
      </w:r>
      <w:r>
        <w:rPr>
          <w:rFonts w:hint="default" w:ascii="仿宋_GB2312" w:hAnsi="仿宋_GB2312" w:eastAsia="仿宋_GB2312" w:cs="仿宋_GB2312"/>
          <w:sz w:val="32"/>
          <w:szCs w:val="32"/>
        </w:rPr>
        <w:t>%；</w:t>
      </w:r>
      <w:r>
        <w:rPr>
          <w:rFonts w:hint="default" w:ascii="仿宋_GB2312" w:hAnsi="仿宋_GB2312" w:eastAsia="仿宋_GB2312" w:cs="仿宋_GB2312"/>
          <w:sz w:val="32"/>
          <w:szCs w:val="32"/>
          <w:lang w:eastAsia="zh-CN"/>
        </w:rPr>
        <w:t>住房保障</w:t>
      </w:r>
      <w:r>
        <w:rPr>
          <w:rFonts w:hint="default"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86.72</w:t>
      </w:r>
      <w:r>
        <w:rPr>
          <w:rFonts w:hint="default"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rPr>
        <w:t>%</w:t>
      </w:r>
      <w:r>
        <w:rPr>
          <w:rFonts w:hint="default" w:ascii="仿宋_GB2312" w:hAnsi="仿宋_GB2312" w:eastAsia="仿宋_GB2312" w:cs="仿宋_GB2312"/>
          <w:sz w:val="32"/>
          <w:szCs w:val="32"/>
          <w:lang w:eastAsia="zh-CN"/>
        </w:rPr>
        <w:t>；</w:t>
      </w:r>
    </w:p>
    <w:p w14:paraId="17E1A7E0">
      <w:pPr>
        <w:spacing w:line="600" w:lineRule="exact"/>
        <w:ind w:firstLine="640"/>
        <w:rPr>
          <w:rFonts w:eastAsia="仿宋_GB2312" w:cs="仿宋_GB2312"/>
          <w:sz w:val="32"/>
          <w:szCs w:val="32"/>
        </w:rPr>
      </w:pPr>
      <w:r>
        <w:rPr>
          <w:rFonts w:hint="eastAsia" w:eastAsia="仿宋_GB2312" w:cs="仿宋_GB2312"/>
          <w:sz w:val="32"/>
          <w:szCs w:val="32"/>
        </w:rPr>
        <w:t>（图6：一般公共预算财政拨款支出决算结构）（饼状图）</w:t>
      </w:r>
    </w:p>
    <w:p w14:paraId="2E36A62A">
      <w:pPr>
        <w:pStyle w:val="2"/>
      </w:pPr>
      <w:r>
        <w:drawing>
          <wp:inline distT="0" distB="0" distL="114300" distR="114300">
            <wp:extent cx="4826000" cy="2743200"/>
            <wp:effectExtent l="4445" t="4445" r="8255" b="14605"/>
            <wp:docPr id="1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64ADC87">
      <w:pPr>
        <w:spacing w:line="600" w:lineRule="exact"/>
        <w:ind w:firstLine="643" w:firstLineChars="200"/>
        <w:outlineLvl w:val="2"/>
        <w:rPr>
          <w:rFonts w:eastAsia="楷体_GB2312" w:cs="楷体_GB2312"/>
          <w:b/>
          <w:sz w:val="32"/>
          <w:szCs w:val="32"/>
        </w:rPr>
      </w:pPr>
      <w:bookmarkStart w:id="28" w:name="_Toc15377212"/>
    </w:p>
    <w:p w14:paraId="16E50848">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（三）一般公共预算财政拨款支出决算具体情况</w:t>
      </w:r>
      <w:bookmarkEnd w:id="28"/>
    </w:p>
    <w:p w14:paraId="12481E7C">
      <w:pPr>
        <w:spacing w:line="600" w:lineRule="exact"/>
        <w:ind w:firstLine="640"/>
        <w:rPr>
          <w:rFonts w:eastAsia="仿宋_GB2312" w:cs="仿宋_GB2312"/>
          <w:sz w:val="32"/>
          <w:szCs w:val="32"/>
        </w:rPr>
      </w:pPr>
      <w:bookmarkStart w:id="29" w:name="_Toc15377213"/>
      <w:bookmarkStart w:id="30" w:name="_Toc15378460"/>
      <w:bookmarkStart w:id="31" w:name="_Toc15377444"/>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lang w:val="en-US" w:eastAsia="zh-CN"/>
        </w:rPr>
        <w:t>1685.94</w:t>
      </w:r>
      <w:r>
        <w:rPr>
          <w:rFonts w:hint="eastAsia" w:ascii="仿宋_GB2312" w:hAnsi="仿宋_GB2312" w:eastAsia="仿宋_GB2312" w:cs="仿宋_GB2312"/>
          <w:sz w:val="32"/>
          <w:szCs w:val="32"/>
        </w:rPr>
        <w:t>万元，</w:t>
      </w:r>
      <w:r>
        <w:rPr>
          <w:rFonts w:hint="eastAsia" w:eastAsia="仿宋_GB2312" w:cs="仿宋_GB2312"/>
          <w:sz w:val="32"/>
          <w:szCs w:val="32"/>
        </w:rPr>
        <w:t>完成预算100%。其中：</w:t>
      </w:r>
      <w:bookmarkEnd w:id="29"/>
      <w:bookmarkEnd w:id="30"/>
      <w:bookmarkEnd w:id="31"/>
    </w:p>
    <w:p w14:paraId="7FA6C715">
      <w:pPr>
        <w:spacing w:line="600" w:lineRule="exact"/>
        <w:ind w:firstLine="640"/>
        <w:rPr>
          <w:rFonts w:eastAsia="仿宋_GB2312" w:cs="仿宋_GB2312"/>
          <w:sz w:val="32"/>
          <w:szCs w:val="32"/>
        </w:rPr>
      </w:pPr>
      <w:r>
        <w:rPr>
          <w:rFonts w:hint="eastAsia" w:eastAsia="仿宋_GB2312" w:cs="仿宋_GB2312"/>
          <w:sz w:val="32"/>
          <w:szCs w:val="32"/>
        </w:rPr>
        <w:t>1.公共安全支出204（类）05（款）01、02、50、99（项）：支出决算为</w:t>
      </w:r>
      <w:r>
        <w:rPr>
          <w:rFonts w:hint="eastAsia" w:eastAsia="仿宋_GB2312" w:cs="仿宋_GB2312"/>
          <w:sz w:val="32"/>
          <w:szCs w:val="32"/>
          <w:lang w:val="en-US" w:eastAsia="zh-CN"/>
        </w:rPr>
        <w:t>1390.78</w:t>
      </w:r>
      <w:r>
        <w:rPr>
          <w:rFonts w:hint="eastAsia" w:eastAsia="仿宋_GB2312" w:cs="仿宋_GB2312"/>
          <w:sz w:val="32"/>
          <w:szCs w:val="32"/>
        </w:rPr>
        <w:t>万元，完成预算100%。</w:t>
      </w:r>
    </w:p>
    <w:p w14:paraId="029964F3">
      <w:pPr>
        <w:spacing w:line="600" w:lineRule="exact"/>
        <w:ind w:firstLine="640"/>
        <w:rPr>
          <w:rFonts w:eastAsia="仿宋_GB2312" w:cs="仿宋_GB2312"/>
          <w:sz w:val="32"/>
          <w:szCs w:val="32"/>
        </w:rPr>
      </w:pPr>
      <w:r>
        <w:rPr>
          <w:rFonts w:hint="eastAsia" w:eastAsia="仿宋_GB2312" w:cs="仿宋_GB2312"/>
          <w:sz w:val="32"/>
          <w:szCs w:val="32"/>
        </w:rPr>
        <w:t>2. 社会保障和就业支出208（类）05（款）01、05（项）: 支出决算为</w:t>
      </w:r>
      <w:r>
        <w:rPr>
          <w:rFonts w:hint="eastAsia" w:eastAsia="仿宋_GB2312" w:cs="仿宋_GB2312"/>
          <w:sz w:val="32"/>
          <w:szCs w:val="32"/>
          <w:lang w:val="en-US" w:eastAsia="zh-CN"/>
        </w:rPr>
        <w:t>131.45</w:t>
      </w:r>
      <w:r>
        <w:rPr>
          <w:rFonts w:hint="eastAsia" w:eastAsia="仿宋_GB2312" w:cs="仿宋_GB2312"/>
          <w:sz w:val="32"/>
          <w:szCs w:val="32"/>
        </w:rPr>
        <w:t>万元，完成预算100%。</w:t>
      </w:r>
    </w:p>
    <w:p w14:paraId="24887391">
      <w:pPr>
        <w:spacing w:line="600" w:lineRule="exact"/>
        <w:ind w:firstLine="640"/>
        <w:rPr>
          <w:rFonts w:eastAsia="仿宋_GB2312" w:cs="仿宋_GB2312"/>
          <w:sz w:val="32"/>
          <w:szCs w:val="32"/>
        </w:rPr>
      </w:pPr>
      <w:r>
        <w:rPr>
          <w:rFonts w:hint="eastAsia" w:eastAsia="仿宋_GB2312" w:cs="仿宋_GB2312"/>
          <w:sz w:val="32"/>
          <w:szCs w:val="32"/>
        </w:rPr>
        <w:t>3. 卫生健康支出210（类）11（款）01、03（项）：支出决算为</w:t>
      </w:r>
      <w:r>
        <w:rPr>
          <w:rFonts w:hint="eastAsia" w:eastAsia="仿宋_GB2312" w:cs="仿宋_GB2312"/>
          <w:sz w:val="32"/>
          <w:szCs w:val="32"/>
          <w:lang w:val="en-US" w:eastAsia="zh-CN"/>
        </w:rPr>
        <w:t>75.99</w:t>
      </w:r>
      <w:r>
        <w:rPr>
          <w:rFonts w:hint="eastAsia" w:eastAsia="仿宋_GB2312" w:cs="仿宋_GB2312"/>
          <w:sz w:val="32"/>
          <w:szCs w:val="32"/>
        </w:rPr>
        <w:t>万元，完成预算100%。</w:t>
      </w:r>
    </w:p>
    <w:p w14:paraId="05A557E1">
      <w:pPr>
        <w:spacing w:line="600" w:lineRule="exact"/>
        <w:ind w:firstLine="640"/>
        <w:rPr>
          <w:rFonts w:eastAsia="仿宋_GB2312" w:cs="仿宋_GB2312"/>
          <w:sz w:val="32"/>
          <w:szCs w:val="32"/>
        </w:rPr>
      </w:pPr>
      <w:r>
        <w:rPr>
          <w:rFonts w:hint="eastAsia" w:eastAsia="仿宋_GB2312" w:cs="仿宋_GB2312"/>
          <w:sz w:val="32"/>
          <w:szCs w:val="32"/>
        </w:rPr>
        <w:t>4. 住房保障支出221（类）02（款）01（项）：支出决算为</w:t>
      </w:r>
      <w:r>
        <w:rPr>
          <w:rFonts w:hint="eastAsia" w:eastAsia="仿宋_GB2312" w:cs="仿宋_GB2312"/>
          <w:sz w:val="32"/>
          <w:szCs w:val="32"/>
          <w:lang w:val="en-US" w:eastAsia="zh-CN"/>
        </w:rPr>
        <w:t>86.72</w:t>
      </w:r>
      <w:r>
        <w:rPr>
          <w:rFonts w:hint="eastAsia" w:eastAsia="仿宋_GB2312" w:cs="仿宋_GB2312"/>
          <w:sz w:val="32"/>
          <w:szCs w:val="32"/>
        </w:rPr>
        <w:t>万元，完成预算100%。</w:t>
      </w:r>
    </w:p>
    <w:p w14:paraId="3E9FC11C">
      <w:pPr>
        <w:spacing w:line="600" w:lineRule="exact"/>
        <w:ind w:firstLine="640"/>
        <w:rPr>
          <w:rFonts w:hint="default" w:eastAsia="仿宋_GB2312" w:cs="仿宋_GB2312"/>
          <w:sz w:val="32"/>
          <w:szCs w:val="32"/>
          <w:lang w:val="en-US" w:eastAsia="zh-CN"/>
        </w:rPr>
      </w:pPr>
      <w:r>
        <w:rPr>
          <w:rFonts w:hint="eastAsia" w:eastAsia="仿宋_GB2312" w:cs="仿宋_GB2312"/>
          <w:sz w:val="32"/>
          <w:szCs w:val="32"/>
          <w:lang w:val="en-US" w:eastAsia="zh-CN"/>
        </w:rPr>
        <w:t>5.一般公共共服务支出201</w:t>
      </w:r>
      <w:r>
        <w:rPr>
          <w:rFonts w:hint="eastAsia" w:eastAsia="仿宋_GB2312" w:cs="仿宋_GB2312"/>
          <w:sz w:val="32"/>
          <w:szCs w:val="32"/>
        </w:rPr>
        <w:t>（类）</w:t>
      </w:r>
      <w:r>
        <w:rPr>
          <w:rFonts w:hint="eastAsia" w:eastAsia="仿宋_GB2312" w:cs="仿宋_GB2312"/>
          <w:sz w:val="32"/>
          <w:szCs w:val="32"/>
          <w:lang w:val="en-US" w:eastAsia="zh-CN"/>
        </w:rPr>
        <w:t>36</w:t>
      </w:r>
      <w:r>
        <w:rPr>
          <w:rFonts w:hint="eastAsia" w:eastAsia="仿宋_GB2312" w:cs="仿宋_GB2312"/>
          <w:sz w:val="32"/>
          <w:szCs w:val="32"/>
        </w:rPr>
        <w:t>（款）</w:t>
      </w:r>
      <w:r>
        <w:rPr>
          <w:rFonts w:hint="eastAsia" w:eastAsia="仿宋_GB2312" w:cs="仿宋_GB2312"/>
          <w:sz w:val="32"/>
          <w:szCs w:val="32"/>
          <w:lang w:val="en-US" w:eastAsia="zh-CN"/>
        </w:rPr>
        <w:t>02</w:t>
      </w:r>
      <w:r>
        <w:rPr>
          <w:rFonts w:hint="eastAsia" w:eastAsia="仿宋_GB2312" w:cs="仿宋_GB2312"/>
          <w:sz w:val="32"/>
          <w:szCs w:val="32"/>
        </w:rPr>
        <w:t>（项）：支出决算为</w:t>
      </w:r>
      <w:r>
        <w:rPr>
          <w:rFonts w:hint="eastAsia" w:eastAsia="仿宋_GB2312" w:cs="仿宋_GB2312"/>
          <w:sz w:val="32"/>
          <w:szCs w:val="32"/>
          <w:lang w:val="en-US" w:eastAsia="zh-CN"/>
        </w:rPr>
        <w:t>1</w:t>
      </w:r>
      <w:r>
        <w:rPr>
          <w:rFonts w:hint="eastAsia" w:eastAsia="仿宋_GB2312" w:cs="仿宋_GB2312"/>
          <w:sz w:val="32"/>
          <w:szCs w:val="32"/>
        </w:rPr>
        <w:t>万元，完成预算100%。</w:t>
      </w:r>
    </w:p>
    <w:p w14:paraId="62CAD101">
      <w:pPr>
        <w:tabs>
          <w:tab w:val="right" w:pos="8306"/>
        </w:tabs>
        <w:spacing w:line="600" w:lineRule="exact"/>
        <w:ind w:firstLine="640"/>
        <w:outlineLvl w:val="1"/>
        <w:rPr>
          <w:rStyle w:val="29"/>
          <w:rFonts w:ascii="Times New Roman" w:hAnsi="Times New Roman"/>
        </w:rPr>
      </w:pPr>
      <w:bookmarkStart w:id="32" w:name="_Toc15396608"/>
      <w:bookmarkStart w:id="33" w:name="_Toc15377214"/>
      <w:r>
        <w:rPr>
          <w:rFonts w:hint="eastAsia" w:eastAsia="黑体"/>
          <w:sz w:val="32"/>
          <w:szCs w:val="32"/>
        </w:rPr>
        <w:t>六</w:t>
      </w:r>
      <w:r>
        <w:rPr>
          <w:rFonts w:hint="eastAsia" w:eastAsia="黑体"/>
          <w:b/>
          <w:sz w:val="32"/>
          <w:szCs w:val="32"/>
        </w:rPr>
        <w:t>、一</w:t>
      </w:r>
      <w:r>
        <w:rPr>
          <w:rStyle w:val="29"/>
          <w:rFonts w:hint="eastAsia" w:ascii="Times New Roman" w:hAnsi="Times New Roman" w:eastAsia="黑体"/>
          <w:b w:val="0"/>
        </w:rPr>
        <w:t>般公共预算财政拨款基本支出决算情况说明</w:t>
      </w:r>
      <w:bookmarkEnd w:id="32"/>
      <w:bookmarkEnd w:id="33"/>
      <w:r>
        <w:rPr>
          <w:rStyle w:val="29"/>
          <w:rFonts w:ascii="Times New Roman" w:hAnsi="Times New Roman" w:eastAsia="黑体"/>
          <w:b w:val="0"/>
        </w:rPr>
        <w:tab/>
      </w:r>
    </w:p>
    <w:p w14:paraId="7BDBA6DE">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lang w:val="en-US" w:eastAsia="zh-CN"/>
        </w:rPr>
        <w:t>1127.15</w:t>
      </w:r>
      <w:r>
        <w:rPr>
          <w:rFonts w:hint="eastAsia" w:ascii="仿宋_GB2312" w:hAnsi="仿宋_GB2312" w:eastAsia="仿宋_GB2312" w:cs="仿宋_GB2312"/>
          <w:sz w:val="32"/>
          <w:szCs w:val="32"/>
        </w:rPr>
        <w:t>万</w:t>
      </w:r>
      <w:r>
        <w:rPr>
          <w:rFonts w:hint="eastAsia" w:eastAsia="仿宋_GB2312" w:cs="仿宋_GB2312"/>
          <w:sz w:val="32"/>
          <w:szCs w:val="32"/>
        </w:rPr>
        <w:t>元，其中：</w:t>
      </w:r>
    </w:p>
    <w:p w14:paraId="0939F9D5">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lang w:val="en-US" w:eastAsia="zh-CN"/>
        </w:rPr>
        <w:t>986.98</w:t>
      </w:r>
      <w:r>
        <w:rPr>
          <w:rFonts w:hint="eastAsia" w:ascii="仿宋_GB2312" w:hAnsi="仿宋_GB2312" w:eastAsia="仿宋_GB2312" w:cs="仿宋_GB2312"/>
          <w:sz w:val="32"/>
          <w:szCs w:val="32"/>
        </w:rPr>
        <w:t>万</w:t>
      </w:r>
      <w:r>
        <w:rPr>
          <w:rFonts w:hint="eastAsia" w:eastAsia="仿宋_GB2312" w:cs="仿宋_GB2312"/>
          <w:sz w:val="32"/>
          <w:szCs w:val="32"/>
        </w:rPr>
        <w:t>元，主要包括：基本工资、津贴补贴、奖金、机关事业单位基本养老保险缴费、职工基本医疗保险缴费、公务员医疗补助缴费、他社会保障缴费、住房公积金、其他工资福利支出、抚恤金、生活补助、奖励金等。</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lang w:val="en-US" w:eastAsia="zh-CN"/>
        </w:rPr>
        <w:t>140.17</w:t>
      </w:r>
      <w:r>
        <w:rPr>
          <w:rFonts w:hint="eastAsia" w:ascii="仿宋_GB2312" w:hAnsi="仿宋_GB2312" w:eastAsia="仿宋_GB2312" w:cs="仿宋_GB2312"/>
          <w:sz w:val="32"/>
          <w:szCs w:val="32"/>
        </w:rPr>
        <w:t>万</w:t>
      </w:r>
      <w:r>
        <w:rPr>
          <w:rFonts w:hint="eastAsia" w:eastAsia="仿宋_GB2312" w:cs="仿宋_GB2312"/>
          <w:sz w:val="32"/>
          <w:szCs w:val="32"/>
        </w:rPr>
        <w:t>元，主要包括：办公费、水费、电费、邮电费、差旅费、维修（护）费、培训费、公务接待费、劳务费、工会经费、福利费、公务用车运行维护费、其他交通费、其他商品和服务支出。</w:t>
      </w:r>
    </w:p>
    <w:p w14:paraId="7C19C80B">
      <w:pPr>
        <w:spacing w:line="600" w:lineRule="exact"/>
        <w:ind w:firstLine="640"/>
        <w:rPr>
          <w:rFonts w:eastAsia="仿宋_GB2312" w:cs="仿宋_GB2312"/>
          <w:sz w:val="32"/>
          <w:szCs w:val="32"/>
        </w:rPr>
      </w:pPr>
    </w:p>
    <w:p w14:paraId="4313BB99">
      <w:pPr>
        <w:spacing w:line="600" w:lineRule="exact"/>
        <w:ind w:firstLine="640"/>
        <w:outlineLvl w:val="1"/>
        <w:rPr>
          <w:rStyle w:val="29"/>
          <w:rFonts w:ascii="Times New Roman" w:hAnsi="Times New Roman" w:eastAsia="黑体"/>
          <w:b w:val="0"/>
        </w:rPr>
      </w:pPr>
      <w:bookmarkStart w:id="34" w:name="_Toc15377215"/>
      <w:bookmarkStart w:id="35" w:name="_Toc15396609"/>
      <w:r>
        <w:rPr>
          <w:rFonts w:hint="eastAsia" w:eastAsia="黑体"/>
          <w:sz w:val="32"/>
          <w:szCs w:val="32"/>
        </w:rPr>
        <w:t>七、</w:t>
      </w:r>
      <w:r>
        <w:rPr>
          <w:rStyle w:val="29"/>
          <w:rFonts w:hint="eastAsia" w:ascii="Times New Roman" w:hAnsi="Times New Roman" w:eastAsia="黑体"/>
          <w:b w:val="0"/>
        </w:rPr>
        <w:t>财政拨款</w:t>
      </w:r>
      <w:r>
        <w:rPr>
          <w:rStyle w:val="29"/>
          <w:rFonts w:hint="eastAsia" w:ascii="Times New Roman" w:hAnsi="Times New Roman" w:eastAsia="黑体"/>
        </w:rPr>
        <w:t>“</w:t>
      </w:r>
      <w:r>
        <w:rPr>
          <w:rStyle w:val="29"/>
          <w:rFonts w:hint="eastAsia" w:ascii="Times New Roman" w:hAnsi="Times New Roman" w:eastAsia="黑体"/>
          <w:b w:val="0"/>
        </w:rPr>
        <w:t>三公”经费支出决算情况说明</w:t>
      </w:r>
      <w:bookmarkEnd w:id="34"/>
      <w:bookmarkEnd w:id="35"/>
    </w:p>
    <w:p w14:paraId="6C256BAF">
      <w:pPr>
        <w:spacing w:line="600" w:lineRule="exact"/>
        <w:ind w:firstLine="643" w:firstLineChars="200"/>
        <w:outlineLvl w:val="2"/>
        <w:rPr>
          <w:rFonts w:eastAsia="楷体_GB2312" w:cs="楷体_GB2312"/>
          <w:b/>
          <w:sz w:val="32"/>
          <w:szCs w:val="32"/>
        </w:rPr>
      </w:pPr>
      <w:bookmarkStart w:id="36" w:name="_Toc15377216"/>
      <w:r>
        <w:rPr>
          <w:rFonts w:hint="eastAsia" w:eastAsia="楷体_GB2312" w:cs="楷体_GB2312"/>
          <w:b/>
          <w:sz w:val="32"/>
          <w:szCs w:val="32"/>
        </w:rPr>
        <w:t>（一）“三公”经费财政拨款支出决算总体情况说明</w:t>
      </w:r>
      <w:bookmarkEnd w:id="36"/>
    </w:p>
    <w:p w14:paraId="6E33368B">
      <w:pPr>
        <w:spacing w:line="600" w:lineRule="exact"/>
        <w:ind w:firstLine="640"/>
        <w:rPr>
          <w:rFonts w:eastAsia="仿宋_GB2312" w:cs="仿宋_GB2312"/>
          <w:sz w:val="32"/>
          <w:szCs w:val="32"/>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lang w:val="en-US" w:eastAsia="zh-CN"/>
        </w:rPr>
        <w:t>13.49</w:t>
      </w:r>
      <w:r>
        <w:rPr>
          <w:rFonts w:hint="eastAsia" w:ascii="仿宋_GB2312" w:hAnsi="仿宋_GB2312" w:eastAsia="仿宋_GB2312" w:cs="仿宋_GB2312"/>
          <w:sz w:val="32"/>
          <w:szCs w:val="32"/>
        </w:rPr>
        <w:t>万元，完成预算100%，</w:t>
      </w:r>
      <w:r>
        <w:rPr>
          <w:rFonts w:hint="eastAsia" w:eastAsia="仿宋_GB2312" w:cs="仿宋_GB2312"/>
          <w:sz w:val="32"/>
          <w:szCs w:val="32"/>
        </w:rPr>
        <w:t>较上年度</w:t>
      </w:r>
      <w:r>
        <w:rPr>
          <w:rFonts w:hint="eastAsia" w:eastAsia="仿宋_GB2312" w:cs="仿宋_GB2312"/>
          <w:sz w:val="32"/>
          <w:szCs w:val="32"/>
          <w:lang w:val="en-US" w:eastAsia="zh-CN"/>
        </w:rPr>
        <w:t>减少0.52</w:t>
      </w:r>
      <w:r>
        <w:rPr>
          <w:rFonts w:hint="eastAsia" w:eastAsia="仿宋_GB2312" w:cs="仿宋_GB2312"/>
          <w:sz w:val="32"/>
          <w:szCs w:val="32"/>
        </w:rPr>
        <w:t>万元，</w:t>
      </w:r>
      <w:r>
        <w:rPr>
          <w:rFonts w:hint="eastAsia" w:eastAsia="仿宋_GB2312" w:cs="仿宋_GB2312"/>
          <w:sz w:val="32"/>
          <w:szCs w:val="32"/>
          <w:lang w:val="en-US" w:eastAsia="zh-CN"/>
        </w:rPr>
        <w:t>下降3.71</w:t>
      </w:r>
      <w:r>
        <w:rPr>
          <w:rFonts w:hint="eastAsia" w:eastAsia="仿宋_GB2312" w:cs="仿宋_GB2312"/>
          <w:sz w:val="32"/>
          <w:szCs w:val="32"/>
        </w:rPr>
        <w:t>%。决算数</w:t>
      </w:r>
      <w:r>
        <w:rPr>
          <w:rFonts w:hint="eastAsia" w:eastAsia="仿宋_GB2312" w:cs="仿宋_GB2312"/>
          <w:sz w:val="32"/>
          <w:szCs w:val="32"/>
          <w:lang w:val="en-US" w:eastAsia="zh-CN"/>
        </w:rPr>
        <w:t>等于</w:t>
      </w:r>
      <w:r>
        <w:rPr>
          <w:rFonts w:hint="eastAsia" w:eastAsia="仿宋_GB2312" w:cs="仿宋_GB2312"/>
          <w:sz w:val="32"/>
          <w:szCs w:val="32"/>
        </w:rPr>
        <w:t>预算数。</w:t>
      </w:r>
    </w:p>
    <w:p w14:paraId="6184E095">
      <w:pPr>
        <w:spacing w:line="600" w:lineRule="exact"/>
        <w:ind w:firstLine="643" w:firstLineChars="200"/>
        <w:outlineLvl w:val="2"/>
        <w:rPr>
          <w:rFonts w:eastAsia="楷体_GB2312" w:cs="楷体_GB2312"/>
          <w:b/>
          <w:sz w:val="32"/>
          <w:szCs w:val="32"/>
        </w:rPr>
      </w:pPr>
      <w:bookmarkStart w:id="37" w:name="_Toc15377217"/>
      <w:r>
        <w:rPr>
          <w:rFonts w:hint="eastAsia" w:eastAsia="楷体_GB2312" w:cs="楷体_GB2312"/>
          <w:b/>
          <w:sz w:val="32"/>
          <w:szCs w:val="32"/>
        </w:rPr>
        <w:t>（二）“三公”经费财政拨款支出决算具体情况说明</w:t>
      </w:r>
      <w:bookmarkEnd w:id="37"/>
    </w:p>
    <w:p w14:paraId="57974F0E">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2024年度“三公”经费财政拨款支出决算中，因公出国（境）费支出决算0万元，占0%；公务用车购置及运行维护费支出决算</w:t>
      </w:r>
      <w:r>
        <w:rPr>
          <w:rFonts w:hint="eastAsia" w:ascii="仿宋_GB2312" w:hAnsi="仿宋_GB2312" w:eastAsia="仿宋_GB2312" w:cs="仿宋_GB2312"/>
          <w:sz w:val="32"/>
          <w:szCs w:val="32"/>
          <w:lang w:val="en-US" w:eastAsia="zh-CN"/>
        </w:rPr>
        <w:t>12.91</w:t>
      </w:r>
      <w:r>
        <w:rPr>
          <w:rFonts w:hint="eastAsia" w:ascii="仿宋_GB2312" w:hAnsi="仿宋_GB2312" w:eastAsia="仿宋_GB2312" w:cs="仿宋_GB2312"/>
          <w:sz w:val="32"/>
          <w:szCs w:val="32"/>
        </w:rPr>
        <w:t>万元，占9</w:t>
      </w:r>
      <w:r>
        <w:rPr>
          <w:rFonts w:hint="eastAsia" w:ascii="仿宋_GB2312" w:hAnsi="仿宋_GB2312" w:eastAsia="仿宋_GB2312" w:cs="仿宋_GB2312"/>
          <w:sz w:val="32"/>
          <w:szCs w:val="32"/>
          <w:lang w:val="en-US" w:eastAsia="zh-CN"/>
        </w:rPr>
        <w:t>5.7</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0.58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4.3</w:t>
      </w:r>
      <w:r>
        <w:rPr>
          <w:rFonts w:hint="eastAsia" w:ascii="仿宋_GB2312" w:hAnsi="仿宋_GB2312" w:eastAsia="仿宋_GB2312" w:cs="仿宋_GB2312"/>
          <w:sz w:val="32"/>
          <w:szCs w:val="32"/>
        </w:rPr>
        <w:t>%。具体情况如下：</w:t>
      </w:r>
    </w:p>
    <w:p w14:paraId="3F494DEF">
      <w:pPr>
        <w:spacing w:line="600" w:lineRule="exact"/>
        <w:ind w:firstLine="640"/>
        <w:rPr>
          <w:rFonts w:eastAsia="仿宋_GB2312" w:cs="仿宋_GB2312"/>
          <w:sz w:val="32"/>
          <w:szCs w:val="32"/>
        </w:rPr>
      </w:pPr>
      <w:r>
        <w:rPr>
          <w:rFonts w:hint="eastAsia" w:eastAsia="仿宋_GB2312" w:cs="仿宋_GB2312"/>
          <w:sz w:val="32"/>
          <w:szCs w:val="32"/>
        </w:rPr>
        <w:t>（图7：“三公”经费财政拨款支出结构）（饼状图）</w:t>
      </w:r>
    </w:p>
    <w:p w14:paraId="6BC97909">
      <w:pPr>
        <w:pStyle w:val="2"/>
      </w:pPr>
    </w:p>
    <w:p w14:paraId="630E6AD1">
      <w:pPr>
        <w:pStyle w:val="3"/>
      </w:pPr>
      <w:r>
        <w:drawing>
          <wp:inline distT="0" distB="0" distL="114300" distR="114300">
            <wp:extent cx="4826000" cy="2743200"/>
            <wp:effectExtent l="4445" t="4445" r="825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A4CD5EC">
      <w:pPr>
        <w:spacing w:line="600" w:lineRule="exact"/>
        <w:ind w:firstLine="640"/>
        <w:rPr>
          <w:rFonts w:eastAsia="仿宋_GB2312" w:cs="仿宋_GB2312"/>
          <w:sz w:val="32"/>
          <w:szCs w:val="32"/>
        </w:rPr>
      </w:pPr>
      <w:r>
        <w:rPr>
          <w:rFonts w:hint="eastAsia" w:eastAsia="仿宋_GB2312" w:cs="仿宋_GB2312"/>
          <w:b/>
          <w:bCs/>
          <w:sz w:val="32"/>
          <w:szCs w:val="32"/>
        </w:rPr>
        <w:t>1.因公出国（境）经费支出0万元，完成预算0%。</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组0</w:t>
      </w:r>
      <w:r>
        <w:rPr>
          <w:rFonts w:hint="eastAsia" w:eastAsia="仿宋_GB2312" w:cs="仿宋_GB2312"/>
          <w:sz w:val="32"/>
          <w:szCs w:val="32"/>
        </w:rPr>
        <w:t>次，出国（境）</w:t>
      </w:r>
      <w:r>
        <w:rPr>
          <w:rFonts w:hint="eastAsia" w:ascii="仿宋_GB2312" w:hAnsi="仿宋_GB2312" w:eastAsia="仿宋_GB2312" w:cs="仿宋_GB2312"/>
          <w:sz w:val="32"/>
          <w:szCs w:val="32"/>
        </w:rPr>
        <w:t>0人</w:t>
      </w:r>
      <w:r>
        <w:rPr>
          <w:rFonts w:hint="eastAsia" w:eastAsia="仿宋_GB2312" w:cs="仿宋_GB2312"/>
          <w:sz w:val="32"/>
          <w:szCs w:val="32"/>
        </w:rPr>
        <w:t>。因公出国（境）支出决算与2023年持平。</w:t>
      </w:r>
    </w:p>
    <w:p w14:paraId="57D2F2BB">
      <w:pPr>
        <w:spacing w:line="600" w:lineRule="exact"/>
        <w:ind w:firstLine="640"/>
        <w:rPr>
          <w:rFonts w:eastAsia="仿宋_GB2312" w:cs="仿宋_GB2312"/>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lang w:val="en-US" w:eastAsia="zh-CN"/>
        </w:rPr>
        <w:t>12.91</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100</w:t>
      </w:r>
      <w:r>
        <w:rPr>
          <w:rFonts w:hint="eastAsia" w:eastAsia="仿宋_GB2312" w:cs="仿宋_GB2312"/>
          <w:b/>
          <w:bCs/>
          <w:sz w:val="32"/>
          <w:szCs w:val="32"/>
        </w:rPr>
        <w:t>%。</w:t>
      </w:r>
      <w:r>
        <w:rPr>
          <w:rFonts w:hint="eastAsia" w:eastAsia="仿宋_GB2312" w:cs="仿宋_GB2312"/>
          <w:sz w:val="32"/>
          <w:szCs w:val="32"/>
        </w:rPr>
        <w:t>公务用车购置及运行维护费支出决算比2023年度</w:t>
      </w:r>
      <w:r>
        <w:rPr>
          <w:rFonts w:hint="eastAsia" w:eastAsia="仿宋_GB2312" w:cs="仿宋_GB2312"/>
          <w:sz w:val="32"/>
          <w:szCs w:val="32"/>
          <w:lang w:val="en-US" w:eastAsia="zh-CN"/>
        </w:rPr>
        <w:t>减少0.5</w:t>
      </w:r>
      <w:r>
        <w:rPr>
          <w:rFonts w:hint="eastAsia" w:eastAsia="仿宋_GB2312" w:cs="仿宋_GB2312"/>
          <w:sz w:val="32"/>
          <w:szCs w:val="32"/>
        </w:rPr>
        <w:t>万元，</w:t>
      </w:r>
      <w:r>
        <w:rPr>
          <w:rFonts w:hint="eastAsia" w:eastAsia="仿宋_GB2312" w:cs="仿宋_GB2312"/>
          <w:sz w:val="32"/>
          <w:szCs w:val="32"/>
          <w:lang w:val="en-US" w:eastAsia="zh-CN"/>
        </w:rPr>
        <w:t>下降3.7</w:t>
      </w:r>
      <w:r>
        <w:rPr>
          <w:rFonts w:hint="eastAsia" w:eastAsia="仿宋_GB2312" w:cs="仿宋_GB2312"/>
          <w:sz w:val="32"/>
          <w:szCs w:val="32"/>
        </w:rPr>
        <w:t>%。主要原因是</w:t>
      </w:r>
      <w:r>
        <w:rPr>
          <w:rFonts w:hint="eastAsia" w:eastAsia="仿宋_GB2312" w:cs="仿宋_GB2312"/>
          <w:sz w:val="32"/>
          <w:szCs w:val="32"/>
          <w:lang w:val="en-US" w:eastAsia="zh-CN"/>
        </w:rPr>
        <w:t>节约支出，相关维修费减少</w:t>
      </w:r>
      <w:r>
        <w:rPr>
          <w:rFonts w:hint="eastAsia" w:eastAsia="仿宋_GB2312" w:cs="仿宋_GB2312"/>
          <w:sz w:val="32"/>
          <w:szCs w:val="32"/>
        </w:rPr>
        <w:t>。</w:t>
      </w:r>
    </w:p>
    <w:p w14:paraId="7D87C8A0">
      <w:pPr>
        <w:spacing w:line="560" w:lineRule="exact"/>
        <w:ind w:firstLine="640" w:firstLineChars="200"/>
        <w:rPr>
          <w:rFonts w:hint="default"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出0</w:t>
      </w:r>
      <w:r>
        <w:rPr>
          <w:rFonts w:hint="eastAsia" w:eastAsia="仿宋_GB2312" w:cs="仿宋_GB2312"/>
          <w:sz w:val="32"/>
          <w:szCs w:val="32"/>
        </w:rPr>
        <w:t>万元。全年按规定更新购置公务用车0辆，其中：轿车0辆、金额0万元，越野车0辆、金额0万元，载客汽车0辆、金额0万元。截至2024年12月31日，单位共有公务用车10辆，其中：</w:t>
      </w:r>
      <w:r>
        <w:rPr>
          <w:rFonts w:hint="default" w:eastAsia="仿宋_GB2312" w:cs="仿宋_GB2312"/>
          <w:sz w:val="32"/>
          <w:szCs w:val="32"/>
        </w:rPr>
        <w:t>截至202</w:t>
      </w:r>
      <w:r>
        <w:rPr>
          <w:rFonts w:hint="default" w:eastAsia="仿宋_GB2312" w:cs="仿宋_GB2312"/>
          <w:sz w:val="32"/>
          <w:szCs w:val="32"/>
          <w:lang w:val="en-US" w:eastAsia="zh-CN"/>
        </w:rPr>
        <w:t>3</w:t>
      </w:r>
      <w:r>
        <w:rPr>
          <w:rFonts w:hint="default" w:eastAsia="仿宋_GB2312" w:cs="仿宋_GB2312"/>
          <w:sz w:val="32"/>
          <w:szCs w:val="32"/>
        </w:rPr>
        <w:t>年12月底，单位共有公务用车10辆，其中：轿车7辆、越野车3辆。</w:t>
      </w:r>
    </w:p>
    <w:p w14:paraId="5055021A">
      <w:pPr>
        <w:spacing w:line="600" w:lineRule="exact"/>
        <w:ind w:firstLine="640"/>
        <w:rPr>
          <w:rFonts w:eastAsia="仿宋_GB2312" w:cs="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12.91</w:t>
      </w:r>
      <w:r>
        <w:rPr>
          <w:rFonts w:hint="eastAsia" w:eastAsia="仿宋_GB2312" w:cs="仿宋_GB2312"/>
          <w:sz w:val="32"/>
          <w:szCs w:val="32"/>
        </w:rPr>
        <w:t>万元。主要用于审判办案所需的公务用车燃料费、维修费、过路过桥费、保险费等支出。</w:t>
      </w:r>
    </w:p>
    <w:p w14:paraId="7AAEF227">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lang w:val="en-US" w:eastAsia="zh-CN"/>
        </w:rPr>
        <w:t>0.58</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100</w:t>
      </w:r>
      <w:r>
        <w:rPr>
          <w:rFonts w:hint="eastAsia" w:eastAsia="仿宋_GB2312" w:cs="仿宋_GB2312"/>
          <w:b/>
          <w:bCs/>
          <w:sz w:val="32"/>
          <w:szCs w:val="32"/>
        </w:rPr>
        <w:t>%。</w:t>
      </w:r>
      <w:r>
        <w:rPr>
          <w:rFonts w:hint="eastAsia" w:eastAsia="仿宋_GB2312" w:cs="仿宋_GB2312"/>
          <w:sz w:val="32"/>
          <w:szCs w:val="32"/>
        </w:rPr>
        <w:t>公务接待费支出决算比2023年度减少</w:t>
      </w:r>
      <w:r>
        <w:rPr>
          <w:rFonts w:hint="eastAsia" w:eastAsia="仿宋_GB2312" w:cs="仿宋_GB2312"/>
          <w:sz w:val="32"/>
          <w:szCs w:val="32"/>
          <w:lang w:val="en-US" w:eastAsia="zh-CN"/>
        </w:rPr>
        <w:t>0.02</w:t>
      </w:r>
      <w:r>
        <w:rPr>
          <w:rFonts w:hint="eastAsia" w:eastAsia="仿宋_GB2312" w:cs="仿宋_GB2312"/>
          <w:sz w:val="32"/>
          <w:szCs w:val="32"/>
        </w:rPr>
        <w:t>万元，下降</w:t>
      </w:r>
      <w:r>
        <w:rPr>
          <w:rFonts w:hint="eastAsia" w:eastAsia="仿宋_GB2312" w:cs="仿宋_GB2312"/>
          <w:sz w:val="32"/>
          <w:szCs w:val="32"/>
          <w:lang w:val="en-US" w:eastAsia="zh-CN"/>
        </w:rPr>
        <w:t>3.33</w:t>
      </w:r>
      <w:r>
        <w:rPr>
          <w:rFonts w:hint="eastAsia" w:eastAsia="仿宋_GB2312" w:cs="仿宋_GB2312"/>
          <w:sz w:val="32"/>
          <w:szCs w:val="32"/>
        </w:rPr>
        <w:t>%。主要原因是</w:t>
      </w:r>
      <w:r>
        <w:rPr>
          <w:rFonts w:hint="eastAsia" w:eastAsia="仿宋_GB2312" w:cs="仿宋_GB2312"/>
          <w:sz w:val="32"/>
          <w:szCs w:val="32"/>
          <w:lang w:val="en-US" w:eastAsia="zh-CN"/>
        </w:rPr>
        <w:t>控制</w:t>
      </w:r>
      <w:r>
        <w:rPr>
          <w:rFonts w:hint="eastAsia" w:eastAsia="仿宋_GB2312" w:cs="仿宋_GB2312"/>
          <w:sz w:val="32"/>
          <w:szCs w:val="32"/>
        </w:rPr>
        <w:t>2024年接待</w:t>
      </w:r>
      <w:r>
        <w:rPr>
          <w:rFonts w:hint="eastAsia" w:eastAsia="仿宋_GB2312" w:cs="仿宋_GB2312"/>
          <w:sz w:val="32"/>
          <w:szCs w:val="32"/>
          <w:lang w:val="en-US" w:eastAsia="zh-CN"/>
        </w:rPr>
        <w:t>费</w:t>
      </w:r>
      <w:r>
        <w:rPr>
          <w:rFonts w:hint="eastAsia" w:eastAsia="仿宋_GB2312" w:cs="仿宋_GB2312"/>
          <w:sz w:val="32"/>
          <w:szCs w:val="32"/>
        </w:rPr>
        <w:t>。其中：</w:t>
      </w:r>
    </w:p>
    <w:p w14:paraId="262562DE">
      <w:pPr>
        <w:spacing w:line="600" w:lineRule="exact"/>
        <w:ind w:firstLine="640"/>
        <w:rPr>
          <w:rFonts w:eastAsia="仿宋_GB2312" w:cs="仿宋_GB2312"/>
          <w:sz w:val="32"/>
          <w:szCs w:val="32"/>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0.58</w:t>
      </w:r>
      <w:r>
        <w:rPr>
          <w:rFonts w:hint="eastAsia" w:ascii="仿宋_GB2312" w:hAnsi="仿宋_GB2312" w:eastAsia="仿宋_GB2312" w:cs="仿宋_GB2312"/>
          <w:sz w:val="32"/>
          <w:szCs w:val="32"/>
        </w:rPr>
        <w:t>万</w:t>
      </w:r>
      <w:r>
        <w:rPr>
          <w:rFonts w:hint="eastAsia" w:eastAsia="仿宋_GB2312" w:cs="仿宋_GB2312"/>
          <w:sz w:val="32"/>
          <w:szCs w:val="32"/>
        </w:rPr>
        <w:t>元，主要用于执行公务</w:t>
      </w:r>
      <w:r>
        <w:rPr>
          <w:rFonts w:hint="eastAsia" w:eastAsia="仿宋_GB2312" w:cs="仿宋_GB2312"/>
          <w:sz w:val="32"/>
          <w:szCs w:val="32"/>
          <w:lang w:val="en-US" w:eastAsia="zh-CN"/>
        </w:rPr>
        <w:t>接待</w:t>
      </w:r>
      <w:r>
        <w:rPr>
          <w:rFonts w:hint="eastAsia" w:eastAsia="仿宋_GB2312" w:cs="仿宋_GB2312"/>
          <w:sz w:val="32"/>
          <w:szCs w:val="32"/>
        </w:rPr>
        <w:t>。国内公务接</w:t>
      </w:r>
      <w:r>
        <w:rPr>
          <w:rFonts w:hint="eastAsia" w:ascii="仿宋_GB2312" w:hAnsi="仿宋_GB2312" w:eastAsia="仿宋_GB2312" w:cs="仿宋_GB2312"/>
          <w:sz w:val="32"/>
          <w:szCs w:val="32"/>
        </w:rPr>
        <w:t>待</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44</w:t>
      </w:r>
      <w:r>
        <w:rPr>
          <w:rFonts w:hint="eastAsia" w:eastAsia="仿宋_GB2312" w:cs="仿宋_GB2312"/>
          <w:sz w:val="32"/>
          <w:szCs w:val="32"/>
        </w:rPr>
        <w:t>人次（不包括陪同人员），共计支出</w:t>
      </w:r>
      <w:r>
        <w:rPr>
          <w:rFonts w:hint="eastAsia" w:eastAsia="仿宋_GB2312" w:cs="仿宋_GB2312"/>
          <w:sz w:val="32"/>
          <w:szCs w:val="32"/>
          <w:lang w:val="en-US" w:eastAsia="zh-CN"/>
        </w:rPr>
        <w:t>0.58</w:t>
      </w:r>
      <w:r>
        <w:rPr>
          <w:rFonts w:hint="eastAsia" w:eastAsia="仿宋_GB2312" w:cs="仿宋_GB2312"/>
          <w:sz w:val="32"/>
          <w:szCs w:val="32"/>
        </w:rPr>
        <w:t>万元，具体内容包括</w:t>
      </w:r>
      <w:r>
        <w:rPr>
          <w:rFonts w:hint="eastAsia" w:eastAsia="仿宋_GB2312" w:cs="仿宋_GB2312"/>
          <w:sz w:val="32"/>
          <w:szCs w:val="32"/>
          <w:lang w:eastAsia="zh-CN"/>
        </w:rPr>
        <w:t>：</w:t>
      </w:r>
      <w:r>
        <w:rPr>
          <w:rFonts w:hint="eastAsia" w:eastAsia="仿宋_GB2312" w:cs="仿宋_GB2312"/>
          <w:sz w:val="32"/>
          <w:szCs w:val="32"/>
          <w:lang w:val="en-US" w:eastAsia="zh-CN"/>
        </w:rPr>
        <w:t>:接待云南华坪、永仁交流学习1200元；接待德昌县司法局考察调研486元；接待省高院调研归档方式改革687元；接待全市法院民事审判工作接待2048元；接待省高元调研慰问干警947元；接待米易法院调研学习460元。</w:t>
      </w:r>
      <w:r>
        <w:rPr>
          <w:rFonts w:hint="eastAsia" w:eastAsia="仿宋_GB2312" w:cs="仿宋_GB2312"/>
          <w:sz w:val="32"/>
          <w:szCs w:val="32"/>
        </w:rPr>
        <w:t>外事接待支</w:t>
      </w:r>
      <w:r>
        <w:rPr>
          <w:rFonts w:hint="eastAsia" w:ascii="仿宋_GB2312" w:hAnsi="仿宋_GB2312" w:eastAsia="仿宋_GB2312" w:cs="仿宋_GB2312"/>
          <w:sz w:val="32"/>
          <w:szCs w:val="32"/>
        </w:rPr>
        <w:t>出0万元。外事接待0批次，0人次（不包括陪同人员），共计支出0万</w:t>
      </w:r>
      <w:r>
        <w:rPr>
          <w:rFonts w:hint="eastAsia" w:eastAsia="仿宋_GB2312" w:cs="仿宋_GB2312"/>
          <w:sz w:val="32"/>
          <w:szCs w:val="32"/>
        </w:rPr>
        <w:t>元。</w:t>
      </w:r>
    </w:p>
    <w:p w14:paraId="61F73D4F">
      <w:pPr>
        <w:spacing w:line="600" w:lineRule="exact"/>
        <w:ind w:firstLine="640"/>
        <w:rPr>
          <w:rFonts w:eastAsia="仿宋_GB2312" w:cs="仿宋_GB2312"/>
          <w:sz w:val="32"/>
          <w:szCs w:val="32"/>
        </w:rPr>
      </w:pPr>
      <w:bookmarkStart w:id="38" w:name="_Toc15396610"/>
      <w:bookmarkStart w:id="39" w:name="_Toc15377218"/>
    </w:p>
    <w:p w14:paraId="6CB2C876">
      <w:pPr>
        <w:spacing w:line="600" w:lineRule="exact"/>
        <w:ind w:firstLine="640"/>
        <w:outlineLvl w:val="1"/>
        <w:rPr>
          <w:rStyle w:val="29"/>
          <w:rFonts w:ascii="Times New Roman" w:hAnsi="Times New Roman" w:eastAsia="黑体"/>
        </w:rPr>
      </w:pPr>
      <w:r>
        <w:rPr>
          <w:rFonts w:hint="eastAsia" w:eastAsia="黑体"/>
          <w:sz w:val="32"/>
          <w:szCs w:val="32"/>
        </w:rPr>
        <w:t>八、</w:t>
      </w:r>
      <w:r>
        <w:rPr>
          <w:rStyle w:val="29"/>
          <w:rFonts w:hint="eastAsia" w:ascii="Times New Roman" w:hAnsi="Times New Roman" w:eastAsia="黑体"/>
          <w:b w:val="0"/>
        </w:rPr>
        <w:t>政府性基金预算支出决算情况说明</w:t>
      </w:r>
      <w:bookmarkEnd w:id="38"/>
      <w:bookmarkEnd w:id="39"/>
    </w:p>
    <w:p w14:paraId="27CF520C">
      <w:pPr>
        <w:spacing w:line="600" w:lineRule="exact"/>
        <w:ind w:firstLine="640"/>
        <w:rPr>
          <w:rFonts w:eastAsia="仿宋_GB2312" w:cs="仿宋_GB2312"/>
          <w:b/>
          <w:bCs/>
          <w:sz w:val="32"/>
          <w:szCs w:val="32"/>
        </w:rPr>
      </w:pPr>
      <w:r>
        <w:rPr>
          <w:rFonts w:hint="eastAsia" w:ascii="仿宋_GB2312" w:hAnsi="仿宋_GB2312" w:eastAsia="仿宋_GB2312" w:cs="仿宋_GB2312"/>
          <w:sz w:val="32"/>
          <w:szCs w:val="32"/>
        </w:rPr>
        <w:t>2024年度政府性基金预算财政拨款支出0万元。</w:t>
      </w:r>
    </w:p>
    <w:p w14:paraId="57C33C1A">
      <w:pPr>
        <w:spacing w:line="600" w:lineRule="exact"/>
        <w:ind w:firstLine="640"/>
        <w:rPr>
          <w:rFonts w:eastAsia="仿宋_GB2312" w:cs="仿宋_GB2312"/>
          <w:sz w:val="32"/>
          <w:szCs w:val="32"/>
        </w:rPr>
      </w:pPr>
    </w:p>
    <w:p w14:paraId="3286E5EF">
      <w:pPr>
        <w:spacing w:line="600" w:lineRule="exact"/>
        <w:ind w:left="630"/>
        <w:outlineLvl w:val="1"/>
        <w:rPr>
          <w:rStyle w:val="29"/>
          <w:rFonts w:ascii="Times New Roman" w:hAnsi="Times New Roman" w:eastAsia="黑体"/>
          <w:b w:val="0"/>
        </w:rPr>
      </w:pPr>
      <w:bookmarkStart w:id="40" w:name="_Toc15377219"/>
      <w:bookmarkStart w:id="41" w:name="_Toc15396611"/>
      <w:r>
        <w:rPr>
          <w:rStyle w:val="29"/>
          <w:rFonts w:hint="eastAsia" w:ascii="Times New Roman" w:hAnsi="Times New Roman" w:eastAsia="黑体"/>
          <w:b w:val="0"/>
        </w:rPr>
        <w:t>九、国有资本经营预算支出决算情况说明</w:t>
      </w:r>
      <w:bookmarkEnd w:id="40"/>
      <w:bookmarkEnd w:id="41"/>
    </w:p>
    <w:p w14:paraId="334ED53A">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rPr>
        <w:t>0万元。</w:t>
      </w:r>
    </w:p>
    <w:p w14:paraId="75D4501C">
      <w:pPr>
        <w:spacing w:line="600" w:lineRule="exact"/>
        <w:ind w:firstLine="640"/>
        <w:rPr>
          <w:rFonts w:eastAsia="仿宋_GB2312" w:cs="仿宋_GB2312"/>
          <w:sz w:val="32"/>
          <w:szCs w:val="32"/>
        </w:rPr>
      </w:pPr>
    </w:p>
    <w:p w14:paraId="06C0D781">
      <w:pPr>
        <w:spacing w:line="600" w:lineRule="exact"/>
        <w:ind w:left="630"/>
        <w:outlineLvl w:val="1"/>
        <w:rPr>
          <w:rStyle w:val="29"/>
          <w:rFonts w:ascii="Times New Roman" w:hAnsi="Times New Roman" w:eastAsia="黑体"/>
          <w:b w:val="0"/>
        </w:rPr>
      </w:pPr>
      <w:bookmarkStart w:id="42" w:name="_Toc15377221"/>
      <w:bookmarkStart w:id="43" w:name="_Toc15396612"/>
      <w:r>
        <w:rPr>
          <w:rStyle w:val="29"/>
          <w:rFonts w:hint="eastAsia" w:ascii="Times New Roman" w:hAnsi="Times New Roman" w:eastAsia="黑体"/>
          <w:b w:val="0"/>
        </w:rPr>
        <w:t>十、其他重要事项的情况说明</w:t>
      </w:r>
      <w:bookmarkEnd w:id="42"/>
      <w:bookmarkEnd w:id="43"/>
    </w:p>
    <w:p w14:paraId="05430372">
      <w:pPr>
        <w:spacing w:line="600" w:lineRule="exact"/>
        <w:ind w:firstLine="643" w:firstLineChars="200"/>
        <w:outlineLvl w:val="2"/>
        <w:rPr>
          <w:rFonts w:eastAsia="楷体_GB2312" w:cs="楷体_GB2312"/>
          <w:b/>
          <w:sz w:val="32"/>
          <w:szCs w:val="32"/>
        </w:rPr>
      </w:pPr>
      <w:bookmarkStart w:id="44" w:name="_Toc15377222"/>
      <w:r>
        <w:rPr>
          <w:rFonts w:hint="eastAsia" w:eastAsia="楷体_GB2312" w:cs="楷体_GB2312"/>
          <w:b/>
          <w:sz w:val="32"/>
          <w:szCs w:val="32"/>
        </w:rPr>
        <w:t>（一）机关运行经费支出情况</w:t>
      </w:r>
      <w:bookmarkEnd w:id="44"/>
    </w:p>
    <w:p w14:paraId="6C791334">
      <w:pPr>
        <w:spacing w:line="600" w:lineRule="exact"/>
        <w:ind w:firstLine="640"/>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，四川省攀枝花市</w:t>
      </w:r>
      <w:r>
        <w:rPr>
          <w:rFonts w:hint="eastAsia" w:ascii="仿宋_GB2312" w:hAnsi="仿宋_GB2312" w:eastAsia="仿宋_GB2312" w:cs="仿宋_GB2312"/>
          <w:sz w:val="32"/>
          <w:szCs w:val="32"/>
          <w:lang w:val="en-US" w:eastAsia="zh-CN"/>
        </w:rPr>
        <w:t>西区</w:t>
      </w:r>
      <w:r>
        <w:rPr>
          <w:rFonts w:hint="eastAsia" w:ascii="仿宋_GB2312" w:hAnsi="仿宋_GB2312" w:eastAsia="仿宋_GB2312" w:cs="仿宋_GB2312"/>
          <w:sz w:val="32"/>
          <w:szCs w:val="32"/>
        </w:rPr>
        <w:t>人民法院机关运行经费支出</w:t>
      </w:r>
      <w:r>
        <w:rPr>
          <w:rFonts w:hint="eastAsia" w:ascii="仿宋_GB2312" w:hAnsi="仿宋_GB2312" w:eastAsia="仿宋_GB2312" w:cs="仿宋_GB2312"/>
          <w:sz w:val="32"/>
          <w:szCs w:val="32"/>
          <w:lang w:val="en-US" w:eastAsia="zh-CN"/>
        </w:rPr>
        <w:t>140.17</w:t>
      </w:r>
      <w:r>
        <w:rPr>
          <w:rFonts w:hint="eastAsia" w:ascii="仿宋_GB2312" w:hAnsi="仿宋_GB2312" w:eastAsia="仿宋_GB2312" w:cs="仿宋_GB2312"/>
          <w:sz w:val="32"/>
          <w:szCs w:val="32"/>
        </w:rPr>
        <w:t>万</w:t>
      </w:r>
      <w:r>
        <w:rPr>
          <w:rFonts w:hint="eastAsia" w:eastAsia="仿宋_GB2312" w:cs="仿宋_GB2312"/>
          <w:sz w:val="32"/>
          <w:szCs w:val="32"/>
        </w:rPr>
        <w:t>元，比2023年度</w:t>
      </w:r>
      <w:r>
        <w:rPr>
          <w:rFonts w:hint="eastAsia" w:eastAsia="仿宋_GB2312" w:cs="仿宋_GB2312"/>
          <w:sz w:val="32"/>
          <w:szCs w:val="32"/>
          <w:lang w:val="en-US" w:eastAsia="zh-CN"/>
        </w:rPr>
        <w:t>减少2.48</w:t>
      </w:r>
      <w:r>
        <w:rPr>
          <w:rFonts w:hint="eastAsia" w:eastAsia="仿宋_GB2312" w:cs="仿宋_GB2312"/>
          <w:sz w:val="32"/>
          <w:szCs w:val="32"/>
        </w:rPr>
        <w:t>万元，</w:t>
      </w:r>
      <w:r>
        <w:rPr>
          <w:rFonts w:hint="eastAsia" w:eastAsia="仿宋_GB2312" w:cs="仿宋_GB2312"/>
          <w:sz w:val="32"/>
          <w:szCs w:val="32"/>
          <w:lang w:val="en-US" w:eastAsia="zh-CN"/>
        </w:rPr>
        <w:t>下降1.74</w:t>
      </w:r>
      <w:r>
        <w:rPr>
          <w:rFonts w:hint="eastAsia" w:eastAsia="仿宋_GB2312" w:cs="仿宋_GB2312"/>
          <w:sz w:val="32"/>
          <w:szCs w:val="32"/>
        </w:rPr>
        <w:t>%。主要原因是</w:t>
      </w:r>
      <w:r>
        <w:rPr>
          <w:rFonts w:hint="eastAsia" w:eastAsia="仿宋_GB2312" w:cs="仿宋_GB2312"/>
          <w:sz w:val="32"/>
          <w:szCs w:val="32"/>
          <w:lang w:val="en-US" w:eastAsia="zh-CN"/>
        </w:rPr>
        <w:t>节约支出</w:t>
      </w:r>
      <w:r>
        <w:rPr>
          <w:rFonts w:hint="eastAsia" w:eastAsia="仿宋_GB2312" w:cs="仿宋_GB2312"/>
          <w:sz w:val="32"/>
          <w:szCs w:val="32"/>
        </w:rPr>
        <w:t>。</w:t>
      </w:r>
    </w:p>
    <w:p w14:paraId="52CDD7B3">
      <w:pPr>
        <w:spacing w:line="600" w:lineRule="exact"/>
        <w:ind w:firstLine="640"/>
        <w:rPr>
          <w:rFonts w:eastAsia="仿宋_GB2312" w:cs="仿宋_GB2312"/>
          <w:sz w:val="32"/>
          <w:szCs w:val="32"/>
        </w:rPr>
      </w:pPr>
    </w:p>
    <w:p w14:paraId="23100D9F">
      <w:pPr>
        <w:spacing w:line="600" w:lineRule="exact"/>
        <w:ind w:firstLine="643" w:firstLineChars="200"/>
        <w:outlineLvl w:val="2"/>
        <w:rPr>
          <w:rFonts w:eastAsia="楷体_GB2312" w:cs="楷体_GB2312"/>
          <w:b/>
          <w:sz w:val="32"/>
          <w:szCs w:val="32"/>
        </w:rPr>
      </w:pPr>
      <w:bookmarkStart w:id="45" w:name="_Toc15377223"/>
      <w:r>
        <w:rPr>
          <w:rFonts w:hint="eastAsia" w:eastAsia="楷体_GB2312" w:cs="楷体_GB2312"/>
          <w:b/>
          <w:sz w:val="32"/>
          <w:szCs w:val="32"/>
        </w:rPr>
        <w:t>（二）政府采购支出情况</w:t>
      </w:r>
      <w:bookmarkEnd w:id="45"/>
    </w:p>
    <w:p w14:paraId="665E489C">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2024年度，四川省攀枝花市仁和区人民法院政府采购支出总额</w:t>
      </w:r>
      <w:r>
        <w:rPr>
          <w:rFonts w:hint="eastAsia" w:ascii="仿宋_GB2312" w:hAnsi="仿宋_GB2312" w:eastAsia="仿宋_GB2312" w:cs="仿宋_GB2312"/>
          <w:sz w:val="32"/>
          <w:szCs w:val="32"/>
          <w:lang w:val="en-US" w:eastAsia="zh-CN"/>
        </w:rPr>
        <w:t>97.4</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93</w:t>
      </w:r>
      <w:r>
        <w:rPr>
          <w:rFonts w:hint="eastAsia" w:ascii="仿宋_GB2312" w:hAnsi="仿宋_GB2312" w:eastAsia="仿宋_GB2312" w:cs="仿宋_GB2312"/>
          <w:sz w:val="32"/>
          <w:szCs w:val="32"/>
        </w:rPr>
        <w:t>万元、政府采购工程支出0万元、政府采购服务支出</w:t>
      </w:r>
      <w:r>
        <w:rPr>
          <w:rFonts w:hint="eastAsia" w:ascii="仿宋_GB2312" w:hAnsi="仿宋_GB2312" w:eastAsia="仿宋_GB2312" w:cs="仿宋_GB2312"/>
          <w:sz w:val="32"/>
          <w:szCs w:val="32"/>
          <w:lang w:val="en-US" w:eastAsia="zh-CN"/>
        </w:rPr>
        <w:t>4.4</w:t>
      </w:r>
      <w:r>
        <w:rPr>
          <w:rFonts w:hint="eastAsia" w:ascii="仿宋_GB2312" w:hAnsi="仿宋_GB2312" w:eastAsia="仿宋_GB2312" w:cs="仿宋_GB2312"/>
          <w:sz w:val="32"/>
          <w:szCs w:val="32"/>
        </w:rPr>
        <w:t>万元。主要用于行政审判工作。授予中小企业合同金额</w:t>
      </w:r>
      <w:r>
        <w:rPr>
          <w:rFonts w:hint="eastAsia" w:ascii="仿宋_GB2312" w:hAnsi="仿宋_GB2312" w:eastAsia="仿宋_GB2312" w:cs="仿宋_GB2312"/>
          <w:sz w:val="32"/>
          <w:szCs w:val="32"/>
          <w:lang w:val="en-US" w:eastAsia="zh-CN"/>
        </w:rPr>
        <w:t>97</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99.59</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93</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95.48</w:t>
      </w:r>
      <w:r>
        <w:rPr>
          <w:rFonts w:hint="eastAsia" w:ascii="仿宋_GB2312" w:hAnsi="仿宋_GB2312" w:eastAsia="仿宋_GB2312" w:cs="仿宋_GB2312"/>
          <w:sz w:val="32"/>
          <w:szCs w:val="32"/>
        </w:rPr>
        <w:t>%。</w:t>
      </w:r>
    </w:p>
    <w:p w14:paraId="41C903EF">
      <w:pPr>
        <w:spacing w:line="600" w:lineRule="exact"/>
        <w:ind w:firstLine="640"/>
        <w:rPr>
          <w:rFonts w:eastAsia="仿宋_GB2312" w:cs="仿宋_GB2312"/>
          <w:sz w:val="32"/>
          <w:szCs w:val="32"/>
        </w:rPr>
      </w:pPr>
    </w:p>
    <w:p w14:paraId="24B63EDE">
      <w:pPr>
        <w:spacing w:line="600" w:lineRule="exact"/>
        <w:ind w:firstLine="643" w:firstLineChars="200"/>
        <w:outlineLvl w:val="2"/>
        <w:rPr>
          <w:rFonts w:eastAsia="楷体_GB2312" w:cs="楷体_GB2312"/>
          <w:b/>
          <w:sz w:val="32"/>
          <w:szCs w:val="32"/>
        </w:rPr>
      </w:pPr>
      <w:bookmarkStart w:id="46" w:name="_Toc15377224"/>
      <w:r>
        <w:rPr>
          <w:rFonts w:hint="eastAsia" w:eastAsia="楷体_GB2312" w:cs="楷体_GB2312"/>
          <w:b/>
          <w:sz w:val="32"/>
          <w:szCs w:val="32"/>
        </w:rPr>
        <w:t>（三）国有资产占有使用情况</w:t>
      </w:r>
      <w:bookmarkEnd w:id="46"/>
    </w:p>
    <w:p w14:paraId="70D8B69F">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截至2024年12月31日，四川省攀枝花市</w:t>
      </w:r>
      <w:r>
        <w:rPr>
          <w:rFonts w:hint="eastAsia" w:ascii="仿宋_GB2312" w:hAnsi="仿宋_GB2312" w:eastAsia="仿宋_GB2312" w:cs="仿宋_GB2312"/>
          <w:sz w:val="32"/>
          <w:szCs w:val="32"/>
          <w:lang w:val="en-US" w:eastAsia="zh-CN"/>
        </w:rPr>
        <w:t>西</w:t>
      </w:r>
      <w:r>
        <w:rPr>
          <w:rFonts w:hint="eastAsia" w:ascii="仿宋_GB2312" w:hAnsi="仿宋_GB2312" w:eastAsia="仿宋_GB2312" w:cs="仿宋_GB2312"/>
          <w:sz w:val="32"/>
          <w:szCs w:val="32"/>
        </w:rPr>
        <w:t>区人民法院共有车辆10辆，其中：主要负责人用车0辆、机要通信用车0辆、应急保障用车0辆、其他用车10辆，其他用车主要是用于日常工作。单价100万元（含）以上设备（不含车辆）0台（套）</w:t>
      </w:r>
      <w:r>
        <w:rPr>
          <w:rFonts w:hint="eastAsia" w:eastAsia="仿宋_GB2312" w:cs="仿宋_GB2312"/>
          <w:sz w:val="32"/>
          <w:szCs w:val="32"/>
        </w:rPr>
        <w:t>。</w:t>
      </w:r>
    </w:p>
    <w:p w14:paraId="26ABDAE5">
      <w:pPr>
        <w:spacing w:line="600" w:lineRule="exact"/>
        <w:ind w:firstLine="640"/>
        <w:rPr>
          <w:rFonts w:eastAsia="仿宋_GB2312" w:cs="仿宋_GB2312"/>
          <w:sz w:val="32"/>
          <w:szCs w:val="32"/>
        </w:rPr>
      </w:pPr>
    </w:p>
    <w:p w14:paraId="76FD12F4">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14:paraId="6931A186">
      <w:pPr>
        <w:spacing w:line="600" w:lineRule="exact"/>
        <w:ind w:firstLine="640"/>
        <w:rPr>
          <w:rFonts w:hint="eastAsia" w:eastAsia="仿宋_GB2312" w:cs="仿宋_GB2312"/>
          <w:sz w:val="32"/>
          <w:szCs w:val="32"/>
        </w:rPr>
      </w:pPr>
      <w:r>
        <w:rPr>
          <w:rFonts w:hint="eastAsia" w:eastAsia="仿宋_GB2312" w:cs="仿宋_GB2312"/>
          <w:sz w:val="32"/>
          <w:szCs w:val="32"/>
        </w:rPr>
        <w:t>根据预算绩效管理要求，本单位在2024年度预算编制阶段，组织对人民陪审员、司法救助</w:t>
      </w:r>
      <w:r>
        <w:rPr>
          <w:rFonts w:hint="eastAsia" w:eastAsia="仿宋_GB2312" w:cs="仿宋_GB2312"/>
          <w:sz w:val="32"/>
          <w:szCs w:val="32"/>
          <w:lang w:eastAsia="zh-CN"/>
        </w:rPr>
        <w:t>、</w:t>
      </w:r>
      <w:r>
        <w:rPr>
          <w:rFonts w:hint="eastAsia" w:eastAsia="仿宋_GB2312" w:cs="仿宋_GB2312"/>
          <w:sz w:val="32"/>
          <w:szCs w:val="32"/>
          <w:lang w:val="en-US" w:eastAsia="zh-CN"/>
        </w:rPr>
        <w:t>办案业务费3</w:t>
      </w:r>
      <w:r>
        <w:rPr>
          <w:rFonts w:hint="eastAsia" w:eastAsia="仿宋_GB2312" w:cs="仿宋_GB2312"/>
          <w:sz w:val="32"/>
          <w:szCs w:val="32"/>
        </w:rPr>
        <w:t>个项目开展了预算事前绩效评估，对</w:t>
      </w:r>
      <w:r>
        <w:rPr>
          <w:rFonts w:hint="eastAsia" w:eastAsia="仿宋_GB2312" w:cs="仿宋_GB2312"/>
          <w:sz w:val="32"/>
          <w:szCs w:val="32"/>
          <w:lang w:val="en-US" w:eastAsia="zh-CN"/>
        </w:rPr>
        <w:t>3</w:t>
      </w:r>
      <w:r>
        <w:rPr>
          <w:rFonts w:hint="eastAsia" w:eastAsia="仿宋_GB2312" w:cs="仿宋_GB2312"/>
          <w:sz w:val="32"/>
          <w:szCs w:val="32"/>
        </w:rPr>
        <w:t>个项目编制了绩效目标，预算执行过程中，选取</w:t>
      </w:r>
      <w:r>
        <w:rPr>
          <w:rFonts w:hint="eastAsia" w:eastAsia="仿宋_GB2312" w:cs="仿宋_GB2312"/>
          <w:sz w:val="32"/>
          <w:szCs w:val="32"/>
          <w:lang w:val="en-US" w:eastAsia="zh-CN"/>
        </w:rPr>
        <w:t>3</w:t>
      </w:r>
      <w:r>
        <w:rPr>
          <w:rFonts w:hint="eastAsia" w:eastAsia="仿宋_GB2312" w:cs="仿宋_GB2312"/>
          <w:sz w:val="32"/>
          <w:szCs w:val="32"/>
        </w:rPr>
        <w:t>个项目开展绩效监控。</w:t>
      </w:r>
    </w:p>
    <w:p w14:paraId="26B7C766">
      <w:pPr>
        <w:pStyle w:val="8"/>
        <w:ind w:firstLine="640" w:firstLineChars="200"/>
      </w:pPr>
      <w:r>
        <w:rPr>
          <w:rFonts w:hint="eastAsia" w:eastAsia="仿宋_GB2312" w:cs="仿宋_GB2312"/>
          <w:sz w:val="32"/>
          <w:szCs w:val="32"/>
        </w:rPr>
        <w:t>组织对2024年度一般公共预算全面开展绩效自评，形成</w:t>
      </w:r>
      <w:r>
        <w:rPr>
          <w:rFonts w:hint="eastAsia" w:ascii="仿宋_GB2312" w:hAnsi="仿宋_GB2312" w:eastAsia="仿宋_GB2312" w:cs="仿宋_GB2312"/>
          <w:sz w:val="32"/>
          <w:szCs w:val="32"/>
        </w:rPr>
        <w:t>攀枝花市</w:t>
      </w:r>
      <w:r>
        <w:rPr>
          <w:rFonts w:hint="eastAsia" w:hAnsi="仿宋_GB2312" w:cs="仿宋_GB2312"/>
          <w:sz w:val="32"/>
          <w:szCs w:val="32"/>
          <w:lang w:val="en-US" w:eastAsia="zh-CN"/>
        </w:rPr>
        <w:t>西区</w:t>
      </w:r>
      <w:r>
        <w:rPr>
          <w:rFonts w:hint="eastAsia" w:ascii="仿宋_GB2312" w:hAnsi="仿宋_GB2312" w:eastAsia="仿宋_GB2312" w:cs="仿宋_GB2312"/>
          <w:sz w:val="32"/>
          <w:szCs w:val="32"/>
        </w:rPr>
        <w:t>人民法院</w:t>
      </w:r>
      <w:r>
        <w:rPr>
          <w:rFonts w:hint="eastAsia" w:eastAsia="仿宋_GB2312" w:cs="仿宋_GB2312"/>
          <w:sz w:val="32"/>
          <w:szCs w:val="32"/>
        </w:rPr>
        <w:t>部门整体（含部门预算项目）绩效自评报告、</w:t>
      </w:r>
      <w:r>
        <w:rPr>
          <w:rFonts w:hint="eastAsia" w:ascii="仿宋_GB2312" w:hAnsi="仿宋_GB2312" w:eastAsia="仿宋_GB2312" w:cs="仿宋_GB2312"/>
          <w:sz w:val="32"/>
          <w:szCs w:val="32"/>
        </w:rPr>
        <w:t>司法救助款</w:t>
      </w:r>
      <w:r>
        <w:rPr>
          <w:rFonts w:hint="eastAsia" w:eastAsia="仿宋_GB2312" w:cs="仿宋_GB2312"/>
          <w:sz w:val="32"/>
          <w:szCs w:val="32"/>
        </w:rPr>
        <w:t>专项预算项目绩效自评报告，其中，</w:t>
      </w:r>
      <w:r>
        <w:rPr>
          <w:rFonts w:hint="eastAsia" w:ascii="仿宋_GB2312" w:hAnsi="仿宋_GB2312" w:eastAsia="仿宋_GB2312" w:cs="仿宋_GB2312"/>
          <w:sz w:val="32"/>
          <w:szCs w:val="32"/>
        </w:rPr>
        <w:t>攀枝花市</w:t>
      </w:r>
      <w:r>
        <w:rPr>
          <w:rFonts w:hint="eastAsia" w:hAnsi="仿宋_GB2312" w:cs="仿宋_GB2312"/>
          <w:sz w:val="32"/>
          <w:szCs w:val="32"/>
          <w:lang w:val="en-US" w:eastAsia="zh-CN"/>
        </w:rPr>
        <w:t>西区</w:t>
      </w:r>
      <w:r>
        <w:rPr>
          <w:rFonts w:hint="eastAsia" w:ascii="仿宋_GB2312" w:hAnsi="仿宋_GB2312" w:eastAsia="仿宋_GB2312" w:cs="仿宋_GB2312"/>
          <w:sz w:val="32"/>
          <w:szCs w:val="32"/>
        </w:rPr>
        <w:t>人民法院</w:t>
      </w:r>
      <w:r>
        <w:rPr>
          <w:rFonts w:hint="eastAsia" w:eastAsia="仿宋_GB2312" w:cs="仿宋_GB2312"/>
          <w:sz w:val="32"/>
          <w:szCs w:val="32"/>
        </w:rPr>
        <w:t>部门整体（含部门预算项目）绩效自评得分为</w:t>
      </w:r>
      <w:r>
        <w:rPr>
          <w:rFonts w:hint="eastAsia" w:cs="仿宋_GB2312"/>
          <w:sz w:val="32"/>
          <w:szCs w:val="32"/>
          <w:lang w:val="en-US" w:eastAsia="zh-CN"/>
        </w:rPr>
        <w:t>100</w:t>
      </w:r>
      <w:r>
        <w:rPr>
          <w:rFonts w:hint="eastAsia" w:eastAsia="仿宋_GB2312" w:cs="仿宋_GB2312"/>
          <w:sz w:val="32"/>
          <w:szCs w:val="32"/>
        </w:rPr>
        <w:t>分，绩效自评综述</w:t>
      </w:r>
      <w:r>
        <w:rPr>
          <w:rFonts w:hint="eastAsia" w:ascii="仿宋_GB2312" w:hAnsi="仿宋_GB2312" w:eastAsia="仿宋_GB2312" w:cs="仿宋_GB2312"/>
          <w:sz w:val="32"/>
          <w:szCs w:val="32"/>
        </w:rPr>
        <w:t>预算绩效执行情况较好</w:t>
      </w:r>
      <w:r>
        <w:rPr>
          <w:rFonts w:hint="eastAsia" w:eastAsia="仿宋_GB2312" w:cs="仿宋_GB2312"/>
          <w:sz w:val="32"/>
          <w:szCs w:val="32"/>
        </w:rPr>
        <w:t>；</w:t>
      </w:r>
      <w:r>
        <w:rPr>
          <w:rFonts w:hint="eastAsia" w:ascii="仿宋_GB2312" w:hAnsi="仿宋_GB2312" w:eastAsia="仿宋_GB2312" w:cs="仿宋_GB2312"/>
          <w:sz w:val="32"/>
          <w:szCs w:val="32"/>
        </w:rPr>
        <w:t>司法救助款</w:t>
      </w:r>
      <w:r>
        <w:rPr>
          <w:rFonts w:hint="eastAsia" w:eastAsia="仿宋_GB2312" w:cs="仿宋_GB2312"/>
          <w:sz w:val="32"/>
          <w:szCs w:val="32"/>
        </w:rPr>
        <w:t>专项预算项目绩效自评得分为</w:t>
      </w:r>
      <w:r>
        <w:rPr>
          <w:rFonts w:hint="eastAsia" w:cs="仿宋_GB2312"/>
          <w:sz w:val="32"/>
          <w:szCs w:val="32"/>
          <w:lang w:val="en-US" w:eastAsia="zh-CN"/>
        </w:rPr>
        <w:t>100</w:t>
      </w:r>
      <w:r>
        <w:rPr>
          <w:rFonts w:hint="eastAsia" w:eastAsia="仿宋_GB2312" w:cs="仿宋_GB2312"/>
          <w:sz w:val="32"/>
          <w:szCs w:val="32"/>
        </w:rPr>
        <w:t>分，绩效自评综述</w:t>
      </w:r>
      <w:r>
        <w:rPr>
          <w:rFonts w:hint="eastAsia" w:ascii="仿宋_GB2312" w:hAnsi="仿宋_GB2312" w:eastAsia="仿宋_GB2312" w:cs="仿宋_GB2312"/>
          <w:sz w:val="32"/>
          <w:szCs w:val="32"/>
        </w:rPr>
        <w:t>预算绩效执行情况较好</w:t>
      </w:r>
      <w:r>
        <w:rPr>
          <w:rFonts w:hint="eastAsia" w:eastAsia="仿宋_GB2312" w:cs="仿宋_GB2312"/>
          <w:sz w:val="32"/>
          <w:szCs w:val="32"/>
        </w:rPr>
        <w:t>。绩效自评报告详见附件。</w:t>
      </w:r>
    </w:p>
    <w:p w14:paraId="7D5C6CA4">
      <w:pPr>
        <w:pStyle w:val="3"/>
        <w:ind w:left="420"/>
      </w:pPr>
    </w:p>
    <w:p w14:paraId="1EAA38A6">
      <w:pPr>
        <w:spacing w:line="600" w:lineRule="exact"/>
        <w:ind w:firstLine="640"/>
        <w:rPr>
          <w:rFonts w:eastAsia="仿宋_GB2312" w:cs="仿宋_GB2312"/>
          <w:sz w:val="32"/>
          <w:szCs w:val="32"/>
        </w:rPr>
      </w:pPr>
    </w:p>
    <w:p w14:paraId="2A5884B2">
      <w:pPr>
        <w:spacing w:line="600" w:lineRule="exact"/>
        <w:ind w:firstLine="2200" w:firstLineChars="500"/>
        <w:jc w:val="both"/>
        <w:outlineLvl w:val="0"/>
        <w:rPr>
          <w:rFonts w:hint="eastAsia" w:eastAsia="黑体"/>
          <w:sz w:val="44"/>
          <w:szCs w:val="44"/>
        </w:rPr>
      </w:pPr>
      <w:bookmarkStart w:id="47" w:name="_Toc15377225"/>
      <w:bookmarkStart w:id="48" w:name="_Toc15396613"/>
    </w:p>
    <w:p w14:paraId="491916FE">
      <w:pPr>
        <w:spacing w:line="600" w:lineRule="exact"/>
        <w:ind w:firstLine="2200" w:firstLineChars="500"/>
        <w:jc w:val="both"/>
        <w:outlineLvl w:val="0"/>
        <w:rPr>
          <w:rFonts w:hint="eastAsia" w:eastAsia="黑体"/>
          <w:sz w:val="44"/>
          <w:szCs w:val="44"/>
        </w:rPr>
      </w:pPr>
    </w:p>
    <w:p w14:paraId="7D1652B1">
      <w:pPr>
        <w:spacing w:line="600" w:lineRule="exact"/>
        <w:ind w:firstLine="2200" w:firstLineChars="500"/>
        <w:jc w:val="both"/>
        <w:outlineLvl w:val="0"/>
        <w:rPr>
          <w:rFonts w:hint="eastAsia" w:eastAsia="黑体"/>
          <w:sz w:val="44"/>
          <w:szCs w:val="44"/>
        </w:rPr>
      </w:pPr>
    </w:p>
    <w:p w14:paraId="470330DA">
      <w:pPr>
        <w:spacing w:line="600" w:lineRule="exact"/>
        <w:ind w:firstLine="2200" w:firstLineChars="500"/>
        <w:jc w:val="both"/>
        <w:outlineLvl w:val="0"/>
        <w:rPr>
          <w:rFonts w:hint="eastAsia" w:eastAsia="黑体"/>
          <w:sz w:val="44"/>
          <w:szCs w:val="44"/>
        </w:rPr>
      </w:pPr>
    </w:p>
    <w:p w14:paraId="2D39DE92">
      <w:pPr>
        <w:spacing w:line="600" w:lineRule="exact"/>
        <w:ind w:firstLine="2200" w:firstLineChars="500"/>
        <w:jc w:val="both"/>
        <w:outlineLvl w:val="0"/>
        <w:rPr>
          <w:rFonts w:hint="eastAsia" w:eastAsia="黑体"/>
          <w:sz w:val="44"/>
          <w:szCs w:val="44"/>
        </w:rPr>
      </w:pPr>
    </w:p>
    <w:p w14:paraId="57395795">
      <w:pPr>
        <w:spacing w:line="600" w:lineRule="exact"/>
        <w:ind w:firstLine="2200" w:firstLineChars="500"/>
        <w:jc w:val="both"/>
        <w:outlineLvl w:val="0"/>
        <w:rPr>
          <w:rFonts w:hint="eastAsia" w:eastAsia="黑体"/>
          <w:sz w:val="44"/>
          <w:szCs w:val="44"/>
        </w:rPr>
      </w:pPr>
    </w:p>
    <w:p w14:paraId="580428B0">
      <w:pPr>
        <w:spacing w:line="600" w:lineRule="exact"/>
        <w:ind w:firstLine="2200" w:firstLineChars="500"/>
        <w:jc w:val="both"/>
        <w:outlineLvl w:val="0"/>
        <w:rPr>
          <w:rFonts w:hint="eastAsia" w:eastAsia="黑体"/>
          <w:sz w:val="44"/>
          <w:szCs w:val="44"/>
        </w:rPr>
      </w:pPr>
    </w:p>
    <w:p w14:paraId="3003F2EF">
      <w:pPr>
        <w:spacing w:line="600" w:lineRule="exact"/>
        <w:ind w:firstLine="2200" w:firstLineChars="500"/>
        <w:jc w:val="both"/>
        <w:outlineLvl w:val="0"/>
        <w:rPr>
          <w:rFonts w:hint="eastAsia" w:eastAsia="黑体"/>
          <w:sz w:val="44"/>
          <w:szCs w:val="44"/>
        </w:rPr>
      </w:pPr>
    </w:p>
    <w:p w14:paraId="4C1EE6EA">
      <w:pPr>
        <w:spacing w:line="600" w:lineRule="exact"/>
        <w:ind w:firstLine="2200" w:firstLineChars="500"/>
        <w:jc w:val="both"/>
        <w:outlineLvl w:val="0"/>
        <w:rPr>
          <w:rFonts w:hint="eastAsia" w:eastAsia="黑体"/>
          <w:sz w:val="44"/>
          <w:szCs w:val="44"/>
        </w:rPr>
      </w:pPr>
    </w:p>
    <w:p w14:paraId="49C4451E">
      <w:pPr>
        <w:spacing w:line="600" w:lineRule="exact"/>
        <w:ind w:firstLine="2200" w:firstLineChars="500"/>
        <w:jc w:val="both"/>
        <w:outlineLvl w:val="0"/>
        <w:rPr>
          <w:rFonts w:hint="eastAsia" w:eastAsia="黑体"/>
          <w:sz w:val="44"/>
          <w:szCs w:val="44"/>
        </w:rPr>
      </w:pPr>
    </w:p>
    <w:p w14:paraId="0412D121">
      <w:pPr>
        <w:spacing w:line="600" w:lineRule="exact"/>
        <w:ind w:firstLine="2200" w:firstLineChars="500"/>
        <w:jc w:val="both"/>
        <w:outlineLvl w:val="0"/>
        <w:rPr>
          <w:rFonts w:hint="eastAsia" w:eastAsia="黑体"/>
          <w:sz w:val="44"/>
          <w:szCs w:val="44"/>
        </w:rPr>
      </w:pPr>
    </w:p>
    <w:p w14:paraId="1C0447CC">
      <w:pPr>
        <w:spacing w:line="600" w:lineRule="exact"/>
        <w:ind w:firstLine="2200" w:firstLineChars="500"/>
        <w:jc w:val="both"/>
        <w:outlineLvl w:val="0"/>
        <w:rPr>
          <w:rFonts w:hint="eastAsia" w:eastAsia="黑体"/>
          <w:sz w:val="44"/>
          <w:szCs w:val="44"/>
        </w:rPr>
      </w:pPr>
    </w:p>
    <w:p w14:paraId="01292BF8">
      <w:pPr>
        <w:spacing w:line="600" w:lineRule="exact"/>
        <w:ind w:firstLine="2200" w:firstLineChars="500"/>
        <w:jc w:val="both"/>
        <w:outlineLvl w:val="0"/>
        <w:rPr>
          <w:rFonts w:hint="eastAsia" w:eastAsia="黑体"/>
          <w:sz w:val="44"/>
          <w:szCs w:val="44"/>
        </w:rPr>
      </w:pPr>
    </w:p>
    <w:p w14:paraId="327FC24B">
      <w:pPr>
        <w:spacing w:line="600" w:lineRule="exact"/>
        <w:ind w:firstLine="2200" w:firstLineChars="500"/>
        <w:jc w:val="both"/>
        <w:outlineLvl w:val="0"/>
        <w:rPr>
          <w:rFonts w:hint="eastAsia" w:eastAsia="黑体"/>
          <w:sz w:val="44"/>
          <w:szCs w:val="44"/>
        </w:rPr>
      </w:pPr>
    </w:p>
    <w:p w14:paraId="24C759BD">
      <w:pPr>
        <w:spacing w:line="600" w:lineRule="exact"/>
        <w:ind w:firstLine="2200" w:firstLineChars="500"/>
        <w:jc w:val="both"/>
        <w:outlineLvl w:val="0"/>
        <w:rPr>
          <w:rFonts w:hint="eastAsia" w:eastAsia="黑体"/>
          <w:sz w:val="44"/>
          <w:szCs w:val="44"/>
        </w:rPr>
      </w:pPr>
    </w:p>
    <w:p w14:paraId="0B267377">
      <w:pPr>
        <w:spacing w:line="600" w:lineRule="exact"/>
        <w:ind w:firstLine="2200" w:firstLineChars="500"/>
        <w:jc w:val="both"/>
        <w:outlineLvl w:val="0"/>
        <w:rPr>
          <w:rFonts w:hint="eastAsia" w:eastAsia="黑体"/>
          <w:sz w:val="44"/>
          <w:szCs w:val="44"/>
        </w:rPr>
      </w:pPr>
    </w:p>
    <w:p w14:paraId="73655CDE">
      <w:pPr>
        <w:spacing w:line="600" w:lineRule="exact"/>
        <w:ind w:firstLine="2200" w:firstLineChars="500"/>
        <w:jc w:val="both"/>
        <w:outlineLvl w:val="0"/>
        <w:rPr>
          <w:rFonts w:eastAsia="黑体"/>
          <w:sz w:val="44"/>
          <w:szCs w:val="44"/>
        </w:rPr>
      </w:pPr>
      <w:r>
        <w:rPr>
          <w:rFonts w:hint="eastAsia" w:eastAsia="黑体"/>
          <w:sz w:val="44"/>
          <w:szCs w:val="44"/>
        </w:rPr>
        <w:t>第三部分  名词解释</w:t>
      </w:r>
      <w:bookmarkEnd w:id="47"/>
      <w:bookmarkEnd w:id="48"/>
    </w:p>
    <w:p w14:paraId="0D30E18A">
      <w:pPr>
        <w:spacing w:line="600" w:lineRule="exact"/>
        <w:jc w:val="left"/>
        <w:rPr>
          <w:b/>
          <w:sz w:val="44"/>
          <w:szCs w:val="44"/>
        </w:rPr>
      </w:pPr>
    </w:p>
    <w:p w14:paraId="34CB3795">
      <w:pPr>
        <w:autoSpaceDE w:val="0"/>
        <w:autoSpaceDN w:val="0"/>
        <w:adjustRightInd w:val="0"/>
        <w:spacing w:line="560" w:lineRule="exact"/>
        <w:ind w:firstLine="640" w:firstLineChars="200"/>
        <w:jc w:val="left"/>
        <w:rPr>
          <w:rFonts w:ascii="仿宋_GB2312" w:eastAsia="仿宋_GB2312" w:cs="仿宋"/>
          <w:color w:val="000000"/>
          <w:kern w:val="0"/>
          <w:sz w:val="32"/>
          <w:szCs w:val="32"/>
        </w:rPr>
      </w:pPr>
      <w:bookmarkStart w:id="49" w:name="_Toc15377226"/>
      <w:r>
        <w:rPr>
          <w:rFonts w:ascii="仿宋_GB2312" w:eastAsia="仿宋_GB2312" w:cs="仿宋"/>
          <w:color w:val="000000"/>
          <w:kern w:val="0"/>
          <w:sz w:val="32"/>
          <w:szCs w:val="32"/>
        </w:rPr>
        <w:t>1.</w:t>
      </w:r>
      <w:r>
        <w:rPr>
          <w:rFonts w:hint="eastAsia" w:ascii="仿宋_GB2312" w:eastAsia="仿宋_GB2312" w:cs="仿宋"/>
          <w:color w:val="000000"/>
          <w:kern w:val="0"/>
          <w:sz w:val="32"/>
          <w:szCs w:val="32"/>
        </w:rPr>
        <w:t xml:space="preserve"> 财政拨款收入：指单位从同级财政部门取得的财政预算资金。</w:t>
      </w:r>
    </w:p>
    <w:p w14:paraId="538ACCEE">
      <w:pPr>
        <w:autoSpaceDE w:val="0"/>
        <w:autoSpaceDN w:val="0"/>
        <w:adjustRightInd w:val="0"/>
        <w:spacing w:line="560" w:lineRule="exact"/>
        <w:ind w:firstLine="640" w:firstLineChars="200"/>
        <w:jc w:val="left"/>
        <w:rPr>
          <w:rFonts w:ascii="仿宋_GB2312" w:eastAsia="仿宋_GB2312" w:cs="仿宋"/>
          <w:color w:val="000000"/>
          <w:kern w:val="0"/>
          <w:sz w:val="32"/>
          <w:szCs w:val="32"/>
        </w:rPr>
      </w:pPr>
      <w:r>
        <w:rPr>
          <w:rFonts w:hint="eastAsia" w:ascii="仿宋_GB2312" w:eastAsia="仿宋_GB2312" w:cs="仿宋"/>
          <w:color w:val="000000"/>
          <w:kern w:val="0"/>
          <w:sz w:val="32"/>
          <w:szCs w:val="32"/>
        </w:rPr>
        <w:t>2</w:t>
      </w:r>
      <w:r>
        <w:rPr>
          <w:rFonts w:ascii="仿宋_GB2312" w:eastAsia="仿宋_GB2312" w:cs="仿宋"/>
          <w:color w:val="000000"/>
          <w:kern w:val="0"/>
          <w:sz w:val="32"/>
          <w:szCs w:val="32"/>
        </w:rPr>
        <w:t>.</w:t>
      </w:r>
      <w:r>
        <w:rPr>
          <w:rFonts w:hint="eastAsia" w:ascii="仿宋_GB2312" w:eastAsia="仿宋_GB2312" w:cs="仿宋"/>
          <w:color w:val="000000"/>
          <w:kern w:val="0"/>
          <w:sz w:val="32"/>
          <w:szCs w:val="32"/>
        </w:rPr>
        <w:t xml:space="preserve"> 其他收入：指单位取得的除上述收入以外的各项收入。主要是银行存款利息等。</w:t>
      </w:r>
    </w:p>
    <w:p w14:paraId="0F815B3E">
      <w:pPr>
        <w:autoSpaceDE w:val="0"/>
        <w:autoSpaceDN w:val="0"/>
        <w:adjustRightInd w:val="0"/>
        <w:spacing w:line="560" w:lineRule="exact"/>
        <w:ind w:firstLine="640" w:firstLineChars="200"/>
        <w:jc w:val="left"/>
        <w:rPr>
          <w:rFonts w:ascii="仿宋_GB2312" w:eastAsia="仿宋_GB2312" w:cs="仿宋"/>
          <w:color w:val="000000"/>
          <w:kern w:val="0"/>
          <w:sz w:val="32"/>
          <w:szCs w:val="32"/>
        </w:rPr>
      </w:pPr>
      <w:r>
        <w:rPr>
          <w:rFonts w:hint="eastAsia" w:ascii="仿宋_GB2312" w:eastAsia="仿宋_GB2312" w:cs="仿宋"/>
          <w:color w:val="000000"/>
          <w:kern w:val="0"/>
          <w:sz w:val="32"/>
          <w:szCs w:val="32"/>
        </w:rPr>
        <w:t>3</w:t>
      </w:r>
      <w:r>
        <w:rPr>
          <w:rFonts w:ascii="仿宋_GB2312" w:eastAsia="仿宋_GB2312" w:cs="仿宋"/>
          <w:color w:val="000000"/>
          <w:kern w:val="0"/>
          <w:sz w:val="32"/>
          <w:szCs w:val="32"/>
        </w:rPr>
        <w:t>.</w:t>
      </w:r>
      <w:r>
        <w:rPr>
          <w:rFonts w:hint="eastAsia" w:ascii="仿宋_GB2312" w:eastAsia="仿宋_GB2312" w:cs="仿宋"/>
          <w:color w:val="000000"/>
          <w:kern w:val="0"/>
          <w:sz w:val="32"/>
          <w:szCs w:val="32"/>
        </w:rPr>
        <w:t xml:space="preserve"> 年初结转和结余：指以前年度尚未完成、结转到本年按有关规定继续使用的资金。</w:t>
      </w:r>
    </w:p>
    <w:p w14:paraId="519B4ABF">
      <w:pPr>
        <w:autoSpaceDE w:val="0"/>
        <w:autoSpaceDN w:val="0"/>
        <w:adjustRightInd w:val="0"/>
        <w:spacing w:line="560" w:lineRule="exact"/>
        <w:ind w:firstLine="640" w:firstLineChars="200"/>
        <w:jc w:val="left"/>
        <w:rPr>
          <w:rFonts w:ascii="仿宋_GB2312" w:eastAsia="仿宋_GB2312" w:cs="仿宋"/>
          <w:color w:val="000000"/>
          <w:kern w:val="0"/>
          <w:sz w:val="32"/>
          <w:szCs w:val="32"/>
        </w:rPr>
      </w:pPr>
      <w:r>
        <w:rPr>
          <w:rFonts w:hint="eastAsia" w:ascii="仿宋_GB2312" w:eastAsia="仿宋_GB2312" w:cs="仿宋"/>
          <w:color w:val="000000"/>
          <w:kern w:val="0"/>
          <w:sz w:val="32"/>
          <w:szCs w:val="32"/>
        </w:rPr>
        <w:t>4. 年末结转和结余：指单位按有关规定结转到下年或以后年度继续使用的资金。</w:t>
      </w:r>
    </w:p>
    <w:p w14:paraId="61E533D6">
      <w:pPr>
        <w:ind w:firstLine="640" w:firstLineChars="200"/>
        <w:rPr>
          <w:rFonts w:ascii="仿宋_GB2312" w:eastAsia="仿宋_GB2312"/>
          <w:color w:val="000000"/>
          <w:sz w:val="32"/>
          <w:szCs w:val="32"/>
        </w:rPr>
      </w:pPr>
      <w:r>
        <w:rPr>
          <w:rFonts w:hint="eastAsia" w:ascii="仿宋_GB2312" w:eastAsia="仿宋_GB2312"/>
          <w:color w:val="000000"/>
          <w:sz w:val="32"/>
          <w:szCs w:val="32"/>
        </w:rPr>
        <w:t>5</w:t>
      </w:r>
      <w:r>
        <w:rPr>
          <w:rFonts w:ascii="仿宋_GB2312" w:eastAsia="仿宋_GB2312"/>
          <w:color w:val="000000"/>
          <w:sz w:val="32"/>
          <w:szCs w:val="32"/>
        </w:rPr>
        <w:t>.</w:t>
      </w:r>
      <w:r>
        <w:rPr>
          <w:rFonts w:hint="eastAsia" w:ascii="仿宋_GB2312" w:eastAsia="仿宋_GB2312"/>
          <w:color w:val="000000"/>
          <w:sz w:val="32"/>
          <w:szCs w:val="32"/>
        </w:rPr>
        <w:t xml:space="preserve"> 公共安全204（类）05（款）01（项）：指行政单位的基本支出。</w:t>
      </w:r>
    </w:p>
    <w:p w14:paraId="51258456">
      <w:pPr>
        <w:ind w:firstLine="640" w:firstLineChars="200"/>
        <w:rPr>
          <w:rFonts w:ascii="仿宋_GB2312" w:eastAsia="仿宋_GB2312"/>
          <w:color w:val="000000"/>
          <w:sz w:val="32"/>
          <w:szCs w:val="32"/>
        </w:rPr>
      </w:pPr>
      <w:r>
        <w:rPr>
          <w:rFonts w:hint="eastAsia"/>
          <w:color w:val="000000"/>
          <w:sz w:val="32"/>
          <w:szCs w:val="32"/>
        </w:rPr>
        <w:t xml:space="preserve">6. </w:t>
      </w:r>
      <w:r>
        <w:rPr>
          <w:rFonts w:hint="eastAsia" w:ascii="仿宋_GB2312" w:eastAsia="仿宋_GB2312"/>
          <w:color w:val="000000"/>
          <w:sz w:val="32"/>
          <w:szCs w:val="32"/>
        </w:rPr>
        <w:t>公共安全204（类）05（款）02（项）：指行政单位的项目支出。</w:t>
      </w:r>
    </w:p>
    <w:p w14:paraId="243A9227">
      <w:pPr>
        <w:ind w:firstLine="640" w:firstLineChars="200"/>
        <w:rPr>
          <w:rFonts w:eastAsia="仿宋_GB2312"/>
        </w:rPr>
      </w:pPr>
      <w:r>
        <w:rPr>
          <w:rFonts w:hint="eastAsia"/>
          <w:color w:val="000000"/>
          <w:sz w:val="32"/>
          <w:szCs w:val="32"/>
        </w:rPr>
        <w:t xml:space="preserve">7. </w:t>
      </w:r>
      <w:r>
        <w:rPr>
          <w:rFonts w:hint="eastAsia" w:ascii="仿宋_GB2312" w:eastAsia="仿宋_GB2312"/>
          <w:color w:val="000000"/>
          <w:sz w:val="32"/>
          <w:szCs w:val="32"/>
        </w:rPr>
        <w:t>公共安全204（类）05（款）99（项）：指行政单位的其他项目支出。</w:t>
      </w:r>
    </w:p>
    <w:p w14:paraId="5191CA9C">
      <w:pPr>
        <w:ind w:firstLine="640" w:firstLineChars="200"/>
        <w:rPr>
          <w:rFonts w:ascii="仿宋_GB2312" w:eastAsia="仿宋_GB2312"/>
          <w:color w:val="000000"/>
          <w:sz w:val="32"/>
          <w:szCs w:val="32"/>
        </w:rPr>
      </w:pPr>
      <w:r>
        <w:rPr>
          <w:rFonts w:hint="eastAsia" w:ascii="仿宋_GB2312" w:eastAsia="仿宋_GB2312"/>
          <w:color w:val="000000"/>
          <w:sz w:val="32"/>
          <w:szCs w:val="32"/>
        </w:rPr>
        <w:t>8</w:t>
      </w:r>
      <w:r>
        <w:rPr>
          <w:rFonts w:ascii="仿宋_GB2312" w:eastAsia="仿宋_GB2312"/>
          <w:color w:val="000000"/>
          <w:sz w:val="32"/>
          <w:szCs w:val="32"/>
        </w:rPr>
        <w:t>.</w:t>
      </w:r>
      <w:r>
        <w:rPr>
          <w:rFonts w:hint="eastAsia" w:ascii="仿宋_GB2312" w:eastAsia="仿宋_GB2312"/>
          <w:color w:val="000000"/>
          <w:sz w:val="32"/>
          <w:szCs w:val="32"/>
        </w:rPr>
        <w:t xml:space="preserve"> 社会保障和就业208（类）05（款）01（项）：指实行归口管理的行政单位开支的退休费。</w:t>
      </w:r>
    </w:p>
    <w:p w14:paraId="4CFFBD90">
      <w:pPr>
        <w:ind w:firstLine="640" w:firstLineChars="200"/>
        <w:rPr>
          <w:rFonts w:ascii="仿宋_GB2312" w:eastAsia="仿宋_GB2312"/>
          <w:color w:val="000000"/>
          <w:sz w:val="32"/>
          <w:szCs w:val="32"/>
        </w:rPr>
      </w:pPr>
      <w:r>
        <w:rPr>
          <w:rFonts w:hint="eastAsia" w:ascii="仿宋_GB2312" w:eastAsia="仿宋_GB2312"/>
          <w:color w:val="000000"/>
          <w:sz w:val="32"/>
          <w:szCs w:val="32"/>
        </w:rPr>
        <w:t>9</w:t>
      </w:r>
      <w:r>
        <w:rPr>
          <w:rFonts w:ascii="仿宋_GB2312" w:eastAsia="仿宋_GB2312"/>
          <w:color w:val="000000"/>
          <w:sz w:val="32"/>
          <w:szCs w:val="32"/>
        </w:rPr>
        <w:t>.</w:t>
      </w:r>
      <w:r>
        <w:rPr>
          <w:rFonts w:hint="eastAsia" w:ascii="仿宋_GB2312" w:eastAsia="仿宋_GB2312"/>
          <w:color w:val="000000"/>
          <w:sz w:val="32"/>
          <w:szCs w:val="32"/>
        </w:rPr>
        <w:t xml:space="preserve"> 社会保障和就业208（类）05（款）05（项）：指反映机关事业单位实施养老保险制度由单位缴纳的基本养老保险。</w:t>
      </w:r>
    </w:p>
    <w:p w14:paraId="470C94F5">
      <w:pPr>
        <w:autoSpaceDE w:val="0"/>
        <w:autoSpaceDN w:val="0"/>
        <w:adjustRightInd w:val="0"/>
        <w:spacing w:line="560" w:lineRule="exact"/>
        <w:ind w:firstLine="640" w:firstLineChars="200"/>
        <w:jc w:val="left"/>
        <w:rPr>
          <w:rFonts w:ascii="仿宋_GB2312" w:eastAsia="仿宋_GB2312" w:cs="仿宋"/>
          <w:color w:val="000000"/>
          <w:kern w:val="0"/>
          <w:sz w:val="32"/>
          <w:szCs w:val="32"/>
        </w:rPr>
      </w:pPr>
      <w:r>
        <w:rPr>
          <w:rFonts w:hint="eastAsia" w:ascii="仿宋_GB2312" w:eastAsia="仿宋_GB2312" w:cs="仿宋"/>
          <w:color w:val="000000"/>
          <w:kern w:val="0"/>
          <w:sz w:val="32"/>
          <w:szCs w:val="32"/>
        </w:rPr>
        <w:t>10. 社会保障和就业208（类）05（款）06（项）：指反映机关事业单位缴纳的职业年金。</w:t>
      </w:r>
    </w:p>
    <w:p w14:paraId="2406A0E8">
      <w:pPr>
        <w:ind w:firstLine="640" w:firstLineChars="200"/>
        <w:rPr>
          <w:rFonts w:ascii="仿宋_GB2312" w:eastAsia="仿宋_GB2312"/>
          <w:color w:val="000000"/>
          <w:sz w:val="32"/>
          <w:szCs w:val="32"/>
        </w:rPr>
      </w:pPr>
      <w:r>
        <w:rPr>
          <w:rFonts w:hint="eastAsia" w:ascii="仿宋_GB2312" w:eastAsia="仿宋_GB2312"/>
          <w:color w:val="000000"/>
          <w:sz w:val="32"/>
          <w:szCs w:val="32"/>
        </w:rPr>
        <w:t>11. 卫生健康210（类）11（款）01（项）：指财政部门集中安排的行政单位的基本医疗保险缴费经费。</w:t>
      </w:r>
    </w:p>
    <w:p w14:paraId="1920978D">
      <w:pPr>
        <w:numPr>
          <w:ilvl w:val="0"/>
          <w:numId w:val="2"/>
        </w:numPr>
        <w:ind w:firstLine="640" w:firstLineChars="200"/>
        <w:rPr>
          <w:rFonts w:ascii="仿宋_GB2312" w:eastAsia="仿宋_GB2312"/>
          <w:color w:val="000000"/>
          <w:sz w:val="32"/>
          <w:szCs w:val="32"/>
        </w:rPr>
      </w:pPr>
      <w:r>
        <w:rPr>
          <w:rFonts w:hint="eastAsia" w:ascii="仿宋_GB2312" w:eastAsia="仿宋_GB2312"/>
          <w:color w:val="000000"/>
          <w:sz w:val="32"/>
          <w:szCs w:val="32"/>
        </w:rPr>
        <w:t>卫生健康210（类）11（款）03（项）：指财政部门集中安排的行政单位的公务员医疗补助缴费。</w:t>
      </w:r>
    </w:p>
    <w:p w14:paraId="448D7AAD">
      <w:pPr>
        <w:pStyle w:val="8"/>
        <w:numPr>
          <w:ilvl w:val="0"/>
          <w:numId w:val="2"/>
        </w:numPr>
        <w:spacing w:before="93"/>
        <w:ind w:firstLine="640" w:firstLineChars="200"/>
        <w:rPr>
          <w:color w:val="000000"/>
          <w:sz w:val="32"/>
          <w:szCs w:val="32"/>
        </w:rPr>
      </w:pPr>
      <w:r>
        <w:rPr>
          <w:rFonts w:hint="eastAsia"/>
          <w:color w:val="000000"/>
          <w:sz w:val="32"/>
          <w:szCs w:val="32"/>
        </w:rPr>
        <w:t>城乡社区212（类）08（款）02（项）：指反映不含计提和划转部分的国有土地使用权出让收入及对应专项债务收入安排的支出。</w:t>
      </w:r>
    </w:p>
    <w:p w14:paraId="5CEDDF3B">
      <w:pPr>
        <w:pStyle w:val="8"/>
        <w:numPr>
          <w:ilvl w:val="0"/>
          <w:numId w:val="2"/>
        </w:numPr>
        <w:spacing w:before="93"/>
        <w:ind w:firstLine="640" w:firstLineChars="200"/>
        <w:rPr>
          <w:color w:val="000000"/>
          <w:sz w:val="32"/>
          <w:szCs w:val="32"/>
        </w:rPr>
      </w:pPr>
      <w:r>
        <w:rPr>
          <w:rFonts w:hint="eastAsia"/>
          <w:color w:val="000000"/>
          <w:sz w:val="32"/>
          <w:szCs w:val="32"/>
        </w:rPr>
        <w:t>住房保障支出221（类）02（款）01（项）：指住房改革支出—住房公积金支出。</w:t>
      </w:r>
    </w:p>
    <w:p w14:paraId="68631062">
      <w:pPr>
        <w:numPr>
          <w:ilvl w:val="0"/>
          <w:numId w:val="2"/>
        </w:numPr>
        <w:suppressAutoHyphens/>
        <w:ind w:firstLine="640"/>
        <w:rPr>
          <w:rFonts w:ascii="仿宋_GB2312" w:eastAsia="仿宋_GB2312"/>
          <w:sz w:val="32"/>
          <w:szCs w:val="32"/>
        </w:rPr>
      </w:pPr>
      <w:r>
        <w:rPr>
          <w:rFonts w:hint="eastAsia" w:ascii="仿宋_GB2312" w:eastAsia="仿宋_GB2312"/>
          <w:sz w:val="32"/>
          <w:szCs w:val="32"/>
        </w:rPr>
        <w:t>基本支出：指为保障机构正常运转、完成日常工作任务而发生的人员支出和公用支出。</w:t>
      </w:r>
    </w:p>
    <w:p w14:paraId="2612FD55">
      <w:pPr>
        <w:numPr>
          <w:ilvl w:val="0"/>
          <w:numId w:val="2"/>
        </w:numPr>
        <w:suppressAutoHyphens/>
        <w:ind w:firstLine="640"/>
        <w:rPr>
          <w:rFonts w:ascii="仿宋_GB2312" w:eastAsia="仿宋_GB2312"/>
          <w:sz w:val="32"/>
          <w:szCs w:val="32"/>
        </w:rPr>
      </w:pP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14:paraId="304624C1">
      <w:pPr>
        <w:numPr>
          <w:ilvl w:val="0"/>
          <w:numId w:val="2"/>
        </w:numPr>
        <w:suppressAutoHyphens/>
        <w:ind w:firstLine="640"/>
        <w:rPr>
          <w:rFonts w:ascii="仿宋_GB2312" w:eastAsia="仿宋_GB2312"/>
          <w:sz w:val="32"/>
          <w:szCs w:val="32"/>
        </w:rPr>
      </w:pPr>
      <w:r>
        <w:rPr>
          <w:rFonts w:hint="eastAsia" w:ascii="仿宋_GB2312" w:eastAsia="仿宋_GB2312"/>
          <w:sz w:val="32"/>
          <w:szCs w:val="32"/>
        </w:rPr>
        <w:t>经营支出：指事业单位在专业业务活动及其辅助活动之外开展非独立核算经营活动发生的支出。</w:t>
      </w:r>
    </w:p>
    <w:p w14:paraId="11C60182">
      <w:pPr>
        <w:pStyle w:val="26"/>
        <w:numPr>
          <w:ilvl w:val="0"/>
          <w:numId w:val="2"/>
        </w:numPr>
        <w:spacing w:line="560" w:lineRule="exact"/>
        <w:ind w:firstLine="640"/>
        <w:rPr>
          <w:rFonts w:ascii="仿宋_GB2312" w:eastAsia="仿宋_GB2312"/>
          <w:color w:val="auto"/>
          <w:sz w:val="32"/>
          <w:szCs w:val="32"/>
        </w:rPr>
      </w:pP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B7ECB60">
      <w:pPr>
        <w:pStyle w:val="26"/>
        <w:numPr>
          <w:ilvl w:val="0"/>
          <w:numId w:val="2"/>
        </w:numPr>
        <w:spacing w:line="560" w:lineRule="exact"/>
        <w:ind w:firstLine="640"/>
        <w:rPr>
          <w:rFonts w:ascii="仿宋_GB2312" w:eastAsia="仿宋_GB2312"/>
          <w:color w:val="auto"/>
          <w:sz w:val="32"/>
          <w:szCs w:val="32"/>
        </w:rPr>
      </w:pP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3696656">
      <w:pPr>
        <w:spacing w:line="600" w:lineRule="exact"/>
        <w:jc w:val="center"/>
        <w:rPr>
          <w:rStyle w:val="28"/>
          <w:rFonts w:eastAsia="黑体"/>
          <w:b w:val="0"/>
        </w:rPr>
      </w:pPr>
      <w:r>
        <w:rPr>
          <w:rFonts w:hint="eastAsia" w:eastAsia="仿宋_GB2312" w:cs="仿宋_GB2312"/>
          <w:sz w:val="32"/>
          <w:szCs w:val="32"/>
        </w:rPr>
        <w:br w:type="page"/>
      </w:r>
      <w:bookmarkStart w:id="50" w:name="_Toc15396614"/>
      <w:bookmarkStart w:id="51" w:name="_Toc15396618"/>
      <w:r>
        <w:rPr>
          <w:rFonts w:hint="eastAsia" w:eastAsia="黑体"/>
          <w:sz w:val="44"/>
          <w:szCs w:val="44"/>
        </w:rPr>
        <w:t>第四部分  附件</w:t>
      </w:r>
      <w:bookmarkEnd w:id="50"/>
    </w:p>
    <w:p w14:paraId="4753206C">
      <w:pPr>
        <w:spacing w:line="572" w:lineRule="exact"/>
        <w:jc w:val="left"/>
        <w:outlineLvl w:val="0"/>
        <w:rPr>
          <w:rFonts w:eastAsia="黑体" w:cs="黑体"/>
          <w:color w:val="FF0000"/>
          <w:sz w:val="32"/>
          <w:szCs w:val="32"/>
        </w:rPr>
      </w:pPr>
    </w:p>
    <w:p w14:paraId="0CE0E30F">
      <w:pPr>
        <w:spacing w:line="572" w:lineRule="exact"/>
        <w:jc w:val="left"/>
        <w:outlineLvl w:val="0"/>
        <w:rPr>
          <w:rFonts w:eastAsia="黑体" w:cs="方正小标宋简体"/>
          <w:sz w:val="44"/>
          <w:szCs w:val="44"/>
        </w:rPr>
      </w:pPr>
      <w:r>
        <w:rPr>
          <w:rFonts w:hint="eastAsia" w:eastAsia="黑体" w:cs="黑体"/>
          <w:sz w:val="32"/>
          <w:szCs w:val="32"/>
        </w:rPr>
        <w:t>附件1</w:t>
      </w:r>
    </w:p>
    <w:p w14:paraId="29886945">
      <w:pPr>
        <w:widowControl/>
        <w:spacing w:line="578" w:lineRule="exact"/>
        <w:contextualSpacing/>
        <w:jc w:val="center"/>
        <w:rPr>
          <w:rFonts w:eastAsia="方正小标宋简体"/>
          <w:bCs/>
          <w:sz w:val="44"/>
          <w:szCs w:val="44"/>
          <w:shd w:val="clear" w:color="auto" w:fill="FFFFFF"/>
        </w:rPr>
      </w:pPr>
    </w:p>
    <w:p w14:paraId="141AE01F">
      <w:pPr>
        <w:widowControl/>
        <w:spacing w:line="578" w:lineRule="exact"/>
        <w:contextualSpacing/>
        <w:jc w:val="center"/>
        <w:rPr>
          <w:rFonts w:eastAsia="方正小标宋简体"/>
          <w:bCs/>
          <w:sz w:val="44"/>
          <w:szCs w:val="44"/>
          <w:shd w:val="clear" w:color="auto" w:fill="FFFFFF"/>
        </w:rPr>
      </w:pPr>
      <w:r>
        <w:rPr>
          <w:rFonts w:eastAsia="方正小标宋简体"/>
          <w:bCs/>
          <w:sz w:val="44"/>
          <w:szCs w:val="44"/>
          <w:shd w:val="clear" w:color="auto" w:fill="FFFFFF"/>
        </w:rPr>
        <w:t>部门预算绩效</w:t>
      </w:r>
      <w:r>
        <w:rPr>
          <w:rFonts w:hint="eastAsia" w:eastAsia="方正小标宋简体"/>
          <w:bCs/>
          <w:sz w:val="44"/>
          <w:szCs w:val="44"/>
          <w:shd w:val="clear" w:color="auto" w:fill="FFFFFF"/>
        </w:rPr>
        <w:t>评价</w:t>
      </w:r>
      <w:r>
        <w:rPr>
          <w:rFonts w:eastAsia="方正小标宋简体"/>
          <w:bCs/>
          <w:sz w:val="44"/>
          <w:szCs w:val="44"/>
          <w:shd w:val="clear" w:color="auto" w:fill="FFFFFF"/>
        </w:rPr>
        <w:t>报告</w:t>
      </w:r>
    </w:p>
    <w:p w14:paraId="43F7F4D0">
      <w:pPr>
        <w:widowControl/>
        <w:adjustRightInd w:val="0"/>
        <w:snapToGrid w:val="0"/>
        <w:spacing w:line="578" w:lineRule="exact"/>
        <w:ind w:firstLine="480" w:firstLineChars="200"/>
        <w:contextualSpacing/>
        <w:jc w:val="left"/>
        <w:rPr>
          <w:rFonts w:eastAsia="黑体"/>
          <w:color w:val="000000"/>
          <w:kern w:val="0"/>
          <w:sz w:val="24"/>
          <w:szCs w:val="32"/>
          <w:shd w:val="clear" w:color="auto" w:fill="FFFFFF"/>
        </w:rPr>
      </w:pPr>
    </w:p>
    <w:p w14:paraId="7D2987E6">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hint="eastAsia" w:eastAsia="黑体"/>
          <w:color w:val="000000"/>
          <w:kern w:val="0"/>
          <w:sz w:val="32"/>
          <w:szCs w:val="32"/>
          <w:shd w:val="clear" w:color="auto" w:fill="FFFFFF"/>
          <w:lang w:val="zh-CN"/>
        </w:rPr>
        <w:t>一、</w:t>
      </w:r>
      <w:r>
        <w:rPr>
          <w:rFonts w:eastAsia="黑体"/>
          <w:color w:val="000000"/>
          <w:kern w:val="0"/>
          <w:sz w:val="32"/>
          <w:szCs w:val="32"/>
          <w:shd w:val="clear" w:color="auto" w:fill="FFFFFF"/>
          <w:lang w:val="zh-CN"/>
        </w:rPr>
        <w:t>部门基本情况</w:t>
      </w:r>
    </w:p>
    <w:p w14:paraId="1DB18B5E">
      <w:pPr>
        <w:widowControl/>
        <w:adjustRightInd w:val="0"/>
        <w:snapToGrid w:val="0"/>
        <w:spacing w:line="578" w:lineRule="exact"/>
        <w:ind w:firstLine="643" w:firstLineChars="200"/>
        <w:contextualSpacing/>
        <w:jc w:val="left"/>
        <w:rPr>
          <w:rFonts w:eastAsia="楷体_GB2312" w:cs="楷体_GB2312"/>
          <w:b/>
          <w:sz w:val="32"/>
          <w:szCs w:val="32"/>
          <w:lang w:val="zh-CN"/>
        </w:rPr>
      </w:pPr>
      <w:r>
        <w:rPr>
          <w:rFonts w:hint="eastAsia" w:eastAsia="楷体_GB2312" w:cs="楷体_GB2312"/>
          <w:b/>
          <w:sz w:val="32"/>
          <w:szCs w:val="32"/>
          <w:lang w:val="zh-CN"/>
        </w:rPr>
        <w:t>（一）</w:t>
      </w:r>
      <w:r>
        <w:rPr>
          <w:rFonts w:eastAsia="楷体_GB2312" w:cs="楷体_GB2312"/>
          <w:b/>
          <w:sz w:val="32"/>
          <w:szCs w:val="32"/>
          <w:lang w:val="zh-CN"/>
        </w:rPr>
        <w:t>机构组成。</w:t>
      </w:r>
    </w:p>
    <w:p w14:paraId="094CD6C9">
      <w:pPr>
        <w:spacing w:line="600" w:lineRule="exact"/>
        <w:ind w:firstLine="640" w:firstLineChars="200"/>
        <w:rPr>
          <w:rFonts w:hint="eastAsia" w:eastAsia="仿宋_GB2312"/>
          <w:sz w:val="32"/>
          <w:szCs w:val="32"/>
        </w:rPr>
      </w:pPr>
      <w:r>
        <w:rPr>
          <w:rFonts w:hint="default" w:eastAsia="仿宋_GB2312"/>
          <w:sz w:val="32"/>
          <w:szCs w:val="32"/>
          <w:lang w:val="zh-CN"/>
        </w:rPr>
        <w:t>2023年末，我院共有9个内设机构和1个派出机构。即：综合办公室、政治部（督察室）、立案庭（诉讼服务中心）、刑事审判庭、民事审判庭（未成年人与家事案件审判庭）、行政审判庭（综合审判庭）、执行局、审判管理办公室（研究室）、司法警察大队和派出机构格里坪人民法庭。</w:t>
      </w:r>
    </w:p>
    <w:p w14:paraId="0B0DC391">
      <w:pPr>
        <w:widowControl/>
        <w:adjustRightInd w:val="0"/>
        <w:snapToGrid w:val="0"/>
        <w:spacing w:line="578" w:lineRule="exact"/>
        <w:ind w:firstLine="643" w:firstLineChars="200"/>
        <w:contextualSpacing/>
        <w:jc w:val="left"/>
        <w:rPr>
          <w:rFonts w:eastAsia="楷体_GB2312" w:cs="楷体_GB2312"/>
          <w:b/>
          <w:sz w:val="32"/>
          <w:szCs w:val="32"/>
          <w:lang w:val="zh-CN"/>
        </w:rPr>
      </w:pPr>
      <w:r>
        <w:rPr>
          <w:rFonts w:eastAsia="楷体_GB2312" w:cs="楷体_GB2312"/>
          <w:b/>
          <w:sz w:val="32"/>
          <w:szCs w:val="32"/>
          <w:lang w:val="zh-CN"/>
        </w:rPr>
        <w:t>（二）机构职能</w:t>
      </w:r>
      <w:r>
        <w:rPr>
          <w:rFonts w:hint="eastAsia" w:eastAsia="楷体_GB2312" w:cs="楷体_GB2312"/>
          <w:b/>
          <w:sz w:val="32"/>
          <w:szCs w:val="32"/>
          <w:lang w:val="zh-CN"/>
        </w:rPr>
        <w:t>。</w:t>
      </w:r>
    </w:p>
    <w:p w14:paraId="0787BFFB">
      <w:pPr>
        <w:spacing w:line="600" w:lineRule="exact"/>
        <w:ind w:firstLine="640" w:firstLineChars="200"/>
        <w:rPr>
          <w:rFonts w:hint="eastAsia" w:eastAsia="仿宋_GB2312"/>
          <w:sz w:val="32"/>
          <w:szCs w:val="32"/>
          <w:lang w:val="en-US" w:eastAsia="zh-CN"/>
        </w:rPr>
      </w:pPr>
      <w:r>
        <w:rPr>
          <w:rFonts w:hint="eastAsia" w:eastAsia="仿宋_GB2312"/>
          <w:sz w:val="32"/>
          <w:szCs w:val="32"/>
        </w:rPr>
        <w:t>根据</w:t>
      </w:r>
      <w:r>
        <w:rPr>
          <w:rFonts w:hint="eastAsia" w:eastAsia="仿宋_GB2312"/>
          <w:sz w:val="32"/>
          <w:szCs w:val="32"/>
          <w:lang w:val="en-US" w:eastAsia="zh-CN"/>
        </w:rPr>
        <w:t>西区</w:t>
      </w:r>
      <w:r>
        <w:rPr>
          <w:rFonts w:hint="eastAsia" w:eastAsia="仿宋_GB2312"/>
          <w:sz w:val="32"/>
          <w:szCs w:val="32"/>
        </w:rPr>
        <w:t>人民法院“三定”方案区法院的职责主要是：（一）负责对</w:t>
      </w:r>
      <w:r>
        <w:rPr>
          <w:rFonts w:hint="eastAsia" w:eastAsia="仿宋_GB2312"/>
          <w:sz w:val="32"/>
          <w:szCs w:val="32"/>
          <w:lang w:val="en-US" w:eastAsia="zh-CN"/>
        </w:rPr>
        <w:t>西区</w:t>
      </w:r>
      <w:r>
        <w:rPr>
          <w:rFonts w:hint="eastAsia" w:eastAsia="仿宋_GB2312"/>
          <w:sz w:val="32"/>
          <w:szCs w:val="32"/>
        </w:rPr>
        <w:t>人民代表大会及其常务委员会报告工作，接受</w:t>
      </w:r>
      <w:r>
        <w:rPr>
          <w:rFonts w:hint="eastAsia" w:eastAsia="仿宋_GB2312"/>
          <w:sz w:val="32"/>
          <w:szCs w:val="32"/>
          <w:lang w:val="en-US" w:eastAsia="zh-CN"/>
        </w:rPr>
        <w:t>西区</w:t>
      </w:r>
      <w:r>
        <w:rPr>
          <w:rFonts w:hint="eastAsia" w:eastAsia="仿宋_GB2312"/>
          <w:sz w:val="32"/>
          <w:szCs w:val="32"/>
        </w:rPr>
        <w:t>人民代表大会及其常务委员会的监督。（二）贯彻执行最高人民法院、省高级人民法院、市中级人民法院确定的工作方针和工作任务。（三）依法审判法律规定由本院管辖的刑事、民事、行政等第一审案件。（四）依法审理由市中级人民法院、区人大交办的各类案件。（五）依法审判由人民检察院按照审判监督程序提出的抗诉案件。（六）依法审理本院决定再审的案件，审理上级法院指令再审的案件和发回重审的案件。（七）依法行使司法执行权和司法决定权。（八）负责向区人大常委会提请人事任免工作；负责本院的思想政治工作和队伍建设工作；负责本院的法官及其它工作人员的管理和教育培训工作；负责本院的纪检监察工作；负责本院司法警察管理工作。（九）开展调查研究工作，总结审判经验；开展司法建议工作和法制宣传工作；参与社会治安综合治理工作。（十）负责本院的装备计划工作；负责本院的财务管理工作；负责本院的诉讼费收取、管理工作和罚没款的上缴工作。（十一）经办其他应由本院负责的工作。</w:t>
      </w:r>
      <w:r>
        <w:rPr>
          <w:rFonts w:hint="eastAsia" w:eastAsia="仿宋_GB2312"/>
          <w:sz w:val="32"/>
          <w:szCs w:val="32"/>
          <w:lang w:val="en-US" w:eastAsia="zh-CN"/>
        </w:rPr>
        <w:t xml:space="preserve">  </w:t>
      </w:r>
    </w:p>
    <w:p w14:paraId="0923BED7">
      <w:pPr>
        <w:widowControl/>
        <w:adjustRightInd w:val="0"/>
        <w:snapToGrid w:val="0"/>
        <w:spacing w:line="578" w:lineRule="exact"/>
        <w:ind w:firstLine="643" w:firstLineChars="200"/>
        <w:contextualSpacing/>
        <w:jc w:val="left"/>
        <w:rPr>
          <w:rFonts w:hint="default" w:eastAsia="楷体_GB2312"/>
          <w:b/>
          <w:bCs/>
          <w:color w:val="000000"/>
          <w:kern w:val="0"/>
          <w:sz w:val="32"/>
          <w:szCs w:val="32"/>
          <w:shd w:val="clear" w:color="auto" w:fill="FFFFFF"/>
          <w:lang w:val="en-US"/>
        </w:rPr>
      </w:pPr>
      <w:r>
        <w:rPr>
          <w:rFonts w:hint="eastAsia" w:eastAsia="楷体_GB2312"/>
          <w:b/>
          <w:bCs/>
          <w:color w:val="000000"/>
          <w:kern w:val="0"/>
          <w:sz w:val="32"/>
          <w:szCs w:val="32"/>
          <w:shd w:val="clear" w:color="auto" w:fill="FFFFFF"/>
          <w:lang w:val="en-US" w:eastAsia="zh-CN"/>
        </w:rPr>
        <w:t>（三）人员概况</w:t>
      </w:r>
    </w:p>
    <w:p w14:paraId="267750FC">
      <w:pPr>
        <w:spacing w:line="600" w:lineRule="exact"/>
        <w:ind w:firstLine="640" w:firstLineChars="200"/>
        <w:rPr>
          <w:szCs w:val="32"/>
        </w:rPr>
      </w:pPr>
      <w:r>
        <w:rPr>
          <w:rFonts w:eastAsia="仿宋_GB2312"/>
          <w:sz w:val="32"/>
          <w:szCs w:val="32"/>
        </w:rPr>
        <w:t>截至202</w:t>
      </w:r>
      <w:r>
        <w:rPr>
          <w:rFonts w:hint="eastAsia" w:eastAsia="仿宋_GB2312"/>
          <w:sz w:val="32"/>
          <w:szCs w:val="32"/>
        </w:rPr>
        <w:t>4</w:t>
      </w:r>
      <w:r>
        <w:rPr>
          <w:rFonts w:eastAsia="仿宋_GB2312"/>
          <w:sz w:val="32"/>
          <w:szCs w:val="32"/>
        </w:rPr>
        <w:t>年末，</w:t>
      </w:r>
      <w:r>
        <w:rPr>
          <w:rFonts w:hint="eastAsia" w:eastAsia="仿宋_GB2312"/>
          <w:sz w:val="32"/>
          <w:szCs w:val="32"/>
        </w:rPr>
        <w:t>攀枝花市</w:t>
      </w:r>
      <w:r>
        <w:rPr>
          <w:rFonts w:hint="eastAsia" w:eastAsia="仿宋_GB2312"/>
          <w:sz w:val="32"/>
          <w:szCs w:val="32"/>
          <w:lang w:val="en-US" w:eastAsia="zh-CN"/>
        </w:rPr>
        <w:t>西</w:t>
      </w:r>
      <w:r>
        <w:rPr>
          <w:rFonts w:hint="eastAsia" w:eastAsia="仿宋_GB2312"/>
          <w:sz w:val="32"/>
          <w:szCs w:val="32"/>
        </w:rPr>
        <w:t>区人民法院</w:t>
      </w:r>
      <w:r>
        <w:rPr>
          <w:rFonts w:eastAsia="仿宋_GB2312"/>
          <w:sz w:val="32"/>
          <w:szCs w:val="32"/>
        </w:rPr>
        <w:t>编制</w:t>
      </w:r>
      <w:r>
        <w:rPr>
          <w:rFonts w:hint="eastAsia" w:eastAsia="仿宋_GB2312"/>
          <w:sz w:val="32"/>
          <w:szCs w:val="32"/>
          <w:lang w:val="en-US" w:eastAsia="zh-CN"/>
        </w:rPr>
        <w:t>55</w:t>
      </w:r>
      <w:r>
        <w:rPr>
          <w:rFonts w:hint="eastAsia" w:eastAsia="仿宋_GB2312"/>
          <w:sz w:val="32"/>
          <w:szCs w:val="32"/>
        </w:rPr>
        <w:t>人，</w:t>
      </w:r>
      <w:r>
        <w:rPr>
          <w:rFonts w:eastAsia="仿宋_GB2312"/>
          <w:sz w:val="32"/>
          <w:szCs w:val="32"/>
        </w:rPr>
        <w:t>年末实有人数</w:t>
      </w:r>
      <w:r>
        <w:rPr>
          <w:rFonts w:hint="eastAsia" w:eastAsia="仿宋_GB2312"/>
          <w:sz w:val="32"/>
          <w:szCs w:val="32"/>
          <w:lang w:val="en-US" w:eastAsia="zh-CN"/>
        </w:rPr>
        <w:t>53</w:t>
      </w:r>
      <w:r>
        <w:rPr>
          <w:rFonts w:hint="eastAsia" w:eastAsia="仿宋_GB2312"/>
          <w:sz w:val="32"/>
          <w:szCs w:val="32"/>
        </w:rPr>
        <w:t>人。</w:t>
      </w:r>
    </w:p>
    <w:p w14:paraId="7FF2B81F">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二、部门资金收支情况</w:t>
      </w:r>
    </w:p>
    <w:p w14:paraId="3FB8E6E2">
      <w:pPr>
        <w:widowControl/>
        <w:adjustRightInd w:val="0"/>
        <w:snapToGrid w:val="0"/>
        <w:spacing w:line="578" w:lineRule="exact"/>
        <w:ind w:firstLine="643" w:firstLineChars="200"/>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（一）</w:t>
      </w:r>
      <w:r>
        <w:rPr>
          <w:rFonts w:hint="eastAsia" w:eastAsia="楷体_GB2312"/>
          <w:b/>
          <w:bCs/>
          <w:color w:val="000000"/>
          <w:kern w:val="0"/>
          <w:sz w:val="32"/>
          <w:szCs w:val="32"/>
          <w:shd w:val="clear" w:color="auto" w:fill="FFFFFF"/>
          <w:lang w:val="zh-CN"/>
        </w:rPr>
        <w:t>收入情况</w:t>
      </w:r>
      <w:r>
        <w:rPr>
          <w:rFonts w:eastAsia="楷体_GB2312"/>
          <w:b/>
          <w:bCs/>
          <w:color w:val="000000"/>
          <w:kern w:val="0"/>
          <w:sz w:val="32"/>
          <w:szCs w:val="32"/>
          <w:shd w:val="clear" w:color="auto" w:fill="FFFFFF"/>
          <w:lang w:val="zh-CN"/>
        </w:rPr>
        <w:t>。</w:t>
      </w:r>
    </w:p>
    <w:p w14:paraId="44617159">
      <w:pPr>
        <w:widowControl/>
        <w:adjustRightInd w:val="0"/>
        <w:snapToGrid w:val="0"/>
        <w:spacing w:line="578" w:lineRule="exact"/>
        <w:ind w:firstLine="640" w:firstLineChars="200"/>
        <w:contextualSpacing/>
        <w:jc w:val="left"/>
        <w:rPr>
          <w:rFonts w:eastAsia="楷体_GB2312"/>
          <w:b/>
          <w:bCs/>
          <w:color w:val="000000"/>
          <w:kern w:val="0"/>
          <w:szCs w:val="32"/>
          <w:shd w:val="clear" w:color="auto" w:fill="FFFFFF"/>
        </w:rPr>
      </w:pPr>
      <w:r>
        <w:rPr>
          <w:rFonts w:hint="eastAsia" w:eastAsia="仿宋_GB2312"/>
          <w:sz w:val="32"/>
          <w:szCs w:val="32"/>
        </w:rPr>
        <w:t>攀枝花市</w:t>
      </w:r>
      <w:r>
        <w:rPr>
          <w:rFonts w:hint="eastAsia" w:eastAsia="仿宋_GB2312"/>
          <w:sz w:val="32"/>
          <w:szCs w:val="32"/>
          <w:lang w:val="en-US" w:eastAsia="zh-CN"/>
        </w:rPr>
        <w:t>西区</w:t>
      </w:r>
      <w:r>
        <w:rPr>
          <w:rFonts w:hint="eastAsia" w:eastAsia="仿宋_GB2312"/>
          <w:sz w:val="32"/>
          <w:szCs w:val="32"/>
        </w:rPr>
        <w:t>人民法院2024年年初预算收入为</w:t>
      </w:r>
      <w:r>
        <w:rPr>
          <w:rFonts w:hint="eastAsia" w:eastAsia="仿宋_GB2312"/>
          <w:sz w:val="32"/>
          <w:szCs w:val="32"/>
          <w:lang w:val="en-US" w:eastAsia="zh-CN"/>
        </w:rPr>
        <w:t>1416.13</w:t>
      </w:r>
      <w:r>
        <w:rPr>
          <w:rFonts w:hint="eastAsia" w:eastAsia="仿宋_GB2312"/>
          <w:sz w:val="32"/>
          <w:szCs w:val="32"/>
        </w:rPr>
        <w:t>万元、决算报表收入为</w:t>
      </w:r>
      <w:r>
        <w:rPr>
          <w:rFonts w:hint="eastAsia" w:eastAsia="仿宋_GB2312"/>
          <w:sz w:val="32"/>
          <w:szCs w:val="32"/>
          <w:lang w:val="en-US" w:eastAsia="zh-CN"/>
        </w:rPr>
        <w:t>1685.94</w:t>
      </w:r>
      <w:r>
        <w:rPr>
          <w:rFonts w:hint="eastAsia" w:eastAsia="仿宋_GB2312"/>
          <w:sz w:val="32"/>
          <w:szCs w:val="32"/>
        </w:rPr>
        <w:t>万元。</w:t>
      </w:r>
    </w:p>
    <w:p w14:paraId="7A4F7928">
      <w:pPr>
        <w:widowControl/>
        <w:adjustRightInd w:val="0"/>
        <w:snapToGrid w:val="0"/>
        <w:spacing w:line="578" w:lineRule="exact"/>
        <w:ind w:firstLine="643" w:firstLineChars="200"/>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二</w:t>
      </w: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支出情况</w:t>
      </w:r>
      <w:r>
        <w:rPr>
          <w:rFonts w:eastAsia="楷体_GB2312"/>
          <w:b/>
          <w:bCs/>
          <w:color w:val="000000"/>
          <w:kern w:val="0"/>
          <w:sz w:val="32"/>
          <w:szCs w:val="32"/>
          <w:shd w:val="clear" w:color="auto" w:fill="FFFFFF"/>
          <w:lang w:val="zh-CN"/>
        </w:rPr>
        <w:t>。</w:t>
      </w:r>
    </w:p>
    <w:p w14:paraId="7D13E15C">
      <w:pPr>
        <w:widowControl/>
        <w:adjustRightInd w:val="0"/>
        <w:snapToGrid w:val="0"/>
        <w:spacing w:line="578" w:lineRule="exact"/>
        <w:ind w:firstLine="640" w:firstLineChars="200"/>
        <w:contextualSpacing/>
        <w:jc w:val="left"/>
        <w:rPr>
          <w:szCs w:val="32"/>
          <w:lang w:val="zh-CN"/>
        </w:rPr>
      </w:pPr>
      <w:r>
        <w:rPr>
          <w:rFonts w:hint="eastAsia" w:eastAsia="仿宋_GB2312"/>
          <w:sz w:val="32"/>
          <w:szCs w:val="32"/>
        </w:rPr>
        <w:t>攀枝花市</w:t>
      </w:r>
      <w:r>
        <w:rPr>
          <w:rFonts w:hint="eastAsia" w:eastAsia="仿宋_GB2312"/>
          <w:sz w:val="32"/>
          <w:szCs w:val="32"/>
          <w:lang w:val="en-US" w:eastAsia="zh-CN"/>
        </w:rPr>
        <w:t>西区</w:t>
      </w:r>
      <w:r>
        <w:rPr>
          <w:rFonts w:hint="eastAsia" w:eastAsia="仿宋_GB2312"/>
          <w:sz w:val="32"/>
          <w:szCs w:val="32"/>
        </w:rPr>
        <w:t>人民法院2024年年初预算支出为</w:t>
      </w:r>
      <w:r>
        <w:rPr>
          <w:rFonts w:hint="eastAsia" w:eastAsia="仿宋_GB2312"/>
          <w:sz w:val="32"/>
          <w:szCs w:val="32"/>
          <w:lang w:val="en-US" w:eastAsia="zh-CN"/>
        </w:rPr>
        <w:t>1685.94</w:t>
      </w:r>
      <w:r>
        <w:rPr>
          <w:rFonts w:hint="eastAsia" w:eastAsia="仿宋_GB2312"/>
          <w:sz w:val="32"/>
          <w:szCs w:val="32"/>
        </w:rPr>
        <w:t>万元、决算报表支出为</w:t>
      </w:r>
      <w:r>
        <w:rPr>
          <w:rFonts w:hint="eastAsia" w:eastAsia="仿宋_GB2312"/>
          <w:sz w:val="32"/>
          <w:szCs w:val="32"/>
          <w:lang w:val="en-US" w:eastAsia="zh-CN"/>
        </w:rPr>
        <w:t>1685.94</w:t>
      </w:r>
      <w:r>
        <w:rPr>
          <w:rFonts w:hint="eastAsia" w:eastAsia="仿宋_GB2312"/>
          <w:sz w:val="32"/>
          <w:szCs w:val="32"/>
        </w:rPr>
        <w:t>万元。</w:t>
      </w:r>
    </w:p>
    <w:p w14:paraId="22EA56F2">
      <w:pPr>
        <w:widowControl/>
        <w:adjustRightInd w:val="0"/>
        <w:snapToGrid w:val="0"/>
        <w:spacing w:line="578" w:lineRule="exact"/>
        <w:ind w:firstLine="643" w:firstLineChars="200"/>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三</w:t>
      </w:r>
      <w:r>
        <w:rPr>
          <w:rFonts w:eastAsia="楷体_GB2312"/>
          <w:b/>
          <w:bCs/>
          <w:color w:val="000000"/>
          <w:kern w:val="0"/>
          <w:sz w:val="32"/>
          <w:szCs w:val="32"/>
          <w:shd w:val="clear" w:color="auto" w:fill="FFFFFF"/>
          <w:lang w:val="zh-CN"/>
        </w:rPr>
        <w:t>）结余分配和结转结余情况</w:t>
      </w:r>
      <w:r>
        <w:rPr>
          <w:rFonts w:hint="eastAsia" w:eastAsia="楷体_GB2312"/>
          <w:b/>
          <w:bCs/>
          <w:color w:val="000000"/>
          <w:kern w:val="0"/>
          <w:sz w:val="32"/>
          <w:szCs w:val="32"/>
          <w:shd w:val="clear" w:color="auto" w:fill="FFFFFF"/>
          <w:lang w:val="zh-CN"/>
        </w:rPr>
        <w:t>。</w:t>
      </w:r>
    </w:p>
    <w:p w14:paraId="41303AEC">
      <w:pPr>
        <w:widowControl/>
        <w:adjustRightInd w:val="0"/>
        <w:snapToGrid w:val="0"/>
        <w:spacing w:line="578" w:lineRule="exact"/>
        <w:ind w:firstLine="640" w:firstLineChars="200"/>
        <w:contextualSpacing/>
        <w:jc w:val="left"/>
        <w:rPr>
          <w:rFonts w:eastAsia="仿宋_GB2312"/>
          <w:color w:val="000000"/>
          <w:kern w:val="0"/>
          <w:szCs w:val="32"/>
          <w:shd w:val="clear" w:color="auto" w:fill="FFFFFF"/>
          <w:lang w:val="zh-CN"/>
        </w:rPr>
      </w:pPr>
      <w:r>
        <w:rPr>
          <w:rFonts w:hint="eastAsia" w:eastAsia="仿宋_GB2312"/>
          <w:sz w:val="32"/>
          <w:szCs w:val="32"/>
        </w:rPr>
        <w:t>攀枝花市</w:t>
      </w:r>
      <w:r>
        <w:rPr>
          <w:rFonts w:hint="eastAsia" w:eastAsia="仿宋_GB2312"/>
          <w:sz w:val="32"/>
          <w:szCs w:val="32"/>
          <w:lang w:val="en-US" w:eastAsia="zh-CN"/>
        </w:rPr>
        <w:t>西区</w:t>
      </w:r>
      <w:r>
        <w:rPr>
          <w:rFonts w:hint="eastAsia" w:eastAsia="仿宋_GB2312"/>
          <w:sz w:val="32"/>
          <w:szCs w:val="32"/>
        </w:rPr>
        <w:t>人民法院2024年决算报表无</w:t>
      </w:r>
      <w:r>
        <w:rPr>
          <w:rFonts w:eastAsia="仿宋_GB2312"/>
          <w:sz w:val="32"/>
          <w:szCs w:val="32"/>
        </w:rPr>
        <w:t>结转结余。</w:t>
      </w:r>
    </w:p>
    <w:p w14:paraId="3366C87E">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三、部门预算绩效分析</w:t>
      </w:r>
    </w:p>
    <w:p w14:paraId="4A73ED23">
      <w:pPr>
        <w:adjustRightInd w:val="0"/>
        <w:snapToGrid w:val="0"/>
        <w:spacing w:line="578" w:lineRule="exact"/>
        <w:ind w:firstLine="643" w:firstLineChars="200"/>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（一）</w:t>
      </w:r>
      <w:r>
        <w:rPr>
          <w:rFonts w:hint="eastAsia" w:eastAsia="楷体_GB2312"/>
          <w:b/>
          <w:bCs/>
          <w:color w:val="000000"/>
          <w:kern w:val="0"/>
          <w:sz w:val="32"/>
          <w:szCs w:val="32"/>
          <w:shd w:val="clear" w:color="auto" w:fill="FFFFFF"/>
          <w:lang w:val="zh-CN"/>
        </w:rPr>
        <w:t>部门预算</w:t>
      </w:r>
      <w:r>
        <w:rPr>
          <w:rFonts w:eastAsia="楷体_GB2312"/>
          <w:b/>
          <w:bCs/>
          <w:color w:val="000000"/>
          <w:kern w:val="0"/>
          <w:sz w:val="32"/>
          <w:szCs w:val="32"/>
          <w:shd w:val="clear" w:color="auto" w:fill="FFFFFF"/>
          <w:lang w:val="zh-CN"/>
        </w:rPr>
        <w:t>总体绩效分析。</w:t>
      </w:r>
    </w:p>
    <w:p w14:paraId="35C85B59">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rPr>
        <w:t>1.</w:t>
      </w:r>
      <w:r>
        <w:rPr>
          <w:rFonts w:hint="eastAsia" w:eastAsia="仿宋_GB2312" w:cs="仿宋_GB2312"/>
          <w:sz w:val="32"/>
          <w:szCs w:val="32"/>
          <w:lang w:val="zh-CN"/>
        </w:rPr>
        <w:t>履职效能。</w:t>
      </w:r>
    </w:p>
    <w:p w14:paraId="46DD8C72">
      <w:pPr>
        <w:adjustRightInd w:val="0"/>
        <w:snapToGrid w:val="0"/>
        <w:spacing w:line="578" w:lineRule="exact"/>
        <w:ind w:firstLine="640" w:firstLineChars="200"/>
        <w:contextualSpacing/>
        <w:jc w:val="left"/>
        <w:rPr>
          <w:rFonts w:eastAsia="仿宋_GB2312"/>
          <w:sz w:val="32"/>
          <w:szCs w:val="32"/>
        </w:rPr>
      </w:pPr>
      <w:r>
        <w:rPr>
          <w:rFonts w:hint="eastAsia" w:eastAsia="仿宋_GB2312"/>
          <w:sz w:val="32"/>
          <w:szCs w:val="32"/>
        </w:rPr>
        <w:t>我院2024年全年受理案件</w:t>
      </w:r>
      <w:r>
        <w:rPr>
          <w:rFonts w:hint="eastAsia" w:eastAsia="仿宋_GB2312"/>
          <w:sz w:val="32"/>
          <w:szCs w:val="32"/>
          <w:lang w:val="en-US" w:eastAsia="zh-CN"/>
        </w:rPr>
        <w:t>3618</w:t>
      </w:r>
      <w:r>
        <w:rPr>
          <w:rFonts w:hint="eastAsia" w:eastAsia="仿宋_GB2312"/>
          <w:sz w:val="32"/>
          <w:szCs w:val="32"/>
        </w:rPr>
        <w:t>件，结案</w:t>
      </w:r>
      <w:r>
        <w:rPr>
          <w:rFonts w:hint="eastAsia" w:eastAsia="仿宋_GB2312"/>
          <w:sz w:val="32"/>
          <w:szCs w:val="32"/>
          <w:lang w:val="en-US" w:eastAsia="zh-CN"/>
        </w:rPr>
        <w:t>3464</w:t>
      </w:r>
      <w:r>
        <w:rPr>
          <w:rFonts w:hint="eastAsia" w:eastAsia="仿宋_GB2312"/>
          <w:sz w:val="32"/>
          <w:szCs w:val="32"/>
        </w:rPr>
        <w:t>件，结案率</w:t>
      </w:r>
      <w:r>
        <w:rPr>
          <w:rFonts w:hint="eastAsia" w:eastAsia="仿宋_GB2312"/>
          <w:sz w:val="32"/>
          <w:szCs w:val="32"/>
          <w:lang w:val="en-US" w:eastAsia="zh-CN"/>
        </w:rPr>
        <w:t>95.74</w:t>
      </w:r>
      <w:r>
        <w:rPr>
          <w:rFonts w:hint="eastAsia" w:eastAsia="仿宋_GB2312"/>
          <w:sz w:val="32"/>
          <w:szCs w:val="32"/>
        </w:rPr>
        <w:t>%，审判工作质效较高，完成了全年工作安排。</w:t>
      </w:r>
    </w:p>
    <w:p w14:paraId="1C17892C">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rPr>
        <w:t>2.</w:t>
      </w:r>
      <w:r>
        <w:rPr>
          <w:rFonts w:eastAsia="仿宋_GB2312" w:cs="仿宋_GB2312"/>
          <w:sz w:val="32"/>
          <w:szCs w:val="32"/>
          <w:lang w:val="zh-CN"/>
        </w:rPr>
        <w:t>预算管理</w:t>
      </w:r>
      <w:r>
        <w:rPr>
          <w:rFonts w:hint="eastAsia" w:eastAsia="仿宋_GB2312" w:cs="仿宋_GB2312"/>
          <w:sz w:val="32"/>
          <w:szCs w:val="32"/>
          <w:lang w:val="zh-CN"/>
        </w:rPr>
        <w:t>。</w:t>
      </w:r>
    </w:p>
    <w:p w14:paraId="6DE2550B">
      <w:pPr>
        <w:adjustRightInd w:val="0"/>
        <w:snapToGrid w:val="0"/>
        <w:spacing w:line="578" w:lineRule="exact"/>
        <w:ind w:firstLine="640" w:firstLineChars="200"/>
        <w:contextualSpacing/>
        <w:jc w:val="left"/>
        <w:rPr>
          <w:rFonts w:eastAsia="仿宋_GB2312"/>
          <w:sz w:val="32"/>
          <w:szCs w:val="32"/>
        </w:rPr>
      </w:pPr>
      <w:r>
        <w:rPr>
          <w:rFonts w:hint="eastAsia" w:eastAsia="仿宋_GB2312"/>
          <w:sz w:val="32"/>
          <w:szCs w:val="32"/>
        </w:rPr>
        <w:t>建立健全内部控制制度，制定资产管理、财务管理、绩效管理等规章制度。</w:t>
      </w:r>
    </w:p>
    <w:p w14:paraId="4B040581">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rPr>
        <w:t>3.</w:t>
      </w:r>
      <w:r>
        <w:rPr>
          <w:rFonts w:eastAsia="仿宋_GB2312" w:cs="仿宋_GB2312"/>
          <w:sz w:val="32"/>
          <w:szCs w:val="32"/>
          <w:lang w:val="zh-CN"/>
        </w:rPr>
        <w:t>财务管理</w:t>
      </w:r>
      <w:r>
        <w:rPr>
          <w:rFonts w:hint="eastAsia" w:eastAsia="仿宋_GB2312" w:cs="仿宋_GB2312"/>
          <w:sz w:val="32"/>
          <w:szCs w:val="32"/>
          <w:lang w:val="zh-CN"/>
        </w:rPr>
        <w:t>。</w:t>
      </w:r>
    </w:p>
    <w:p w14:paraId="2A90EF85">
      <w:pPr>
        <w:adjustRightInd w:val="0"/>
        <w:snapToGrid w:val="0"/>
        <w:spacing w:line="578" w:lineRule="exact"/>
        <w:ind w:firstLine="640" w:firstLineChars="200"/>
        <w:contextualSpacing/>
        <w:jc w:val="left"/>
        <w:rPr>
          <w:rFonts w:eastAsia="仿宋_GB2312"/>
          <w:sz w:val="32"/>
          <w:szCs w:val="32"/>
        </w:rPr>
      </w:pPr>
      <w:r>
        <w:rPr>
          <w:rFonts w:hint="eastAsia" w:eastAsia="仿宋_GB2312"/>
          <w:sz w:val="32"/>
          <w:szCs w:val="32"/>
        </w:rPr>
        <w:t>建立科学完善的体系、建立健全监督机制、规范预算行为。</w:t>
      </w:r>
    </w:p>
    <w:p w14:paraId="106013A3">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rPr>
        <w:t>4.</w:t>
      </w:r>
      <w:r>
        <w:rPr>
          <w:rFonts w:eastAsia="仿宋_GB2312" w:cs="仿宋_GB2312"/>
          <w:sz w:val="32"/>
          <w:szCs w:val="32"/>
          <w:lang w:val="zh-CN"/>
        </w:rPr>
        <w:t>资产管理</w:t>
      </w:r>
      <w:r>
        <w:rPr>
          <w:rFonts w:hint="eastAsia" w:eastAsia="仿宋_GB2312" w:cs="仿宋_GB2312"/>
          <w:sz w:val="32"/>
          <w:szCs w:val="32"/>
          <w:lang w:val="zh-CN"/>
        </w:rPr>
        <w:t>。</w:t>
      </w:r>
    </w:p>
    <w:p w14:paraId="6C53E3D7">
      <w:pPr>
        <w:adjustRightInd w:val="0"/>
        <w:snapToGrid w:val="0"/>
        <w:spacing w:line="578" w:lineRule="exact"/>
        <w:ind w:firstLine="640" w:firstLineChars="200"/>
        <w:contextualSpacing/>
        <w:jc w:val="left"/>
        <w:rPr>
          <w:rFonts w:hint="eastAsia" w:eastAsia="仿宋_GB2312"/>
          <w:sz w:val="32"/>
          <w:szCs w:val="32"/>
          <w:lang w:val="zh-CN"/>
        </w:rPr>
      </w:pPr>
      <w:r>
        <w:rPr>
          <w:rFonts w:hint="eastAsia" w:eastAsia="仿宋_GB2312"/>
          <w:sz w:val="32"/>
          <w:szCs w:val="32"/>
          <w:lang w:val="zh-CN"/>
        </w:rPr>
        <w:t>2024年对我院资产进行全面盘点，人均资产变化率与2023年相比无变化，资产利用率为100%。</w:t>
      </w:r>
    </w:p>
    <w:p w14:paraId="56FF1065">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rPr>
        <w:t>5.</w:t>
      </w:r>
      <w:r>
        <w:rPr>
          <w:rFonts w:eastAsia="仿宋_GB2312" w:cs="仿宋_GB2312"/>
          <w:sz w:val="32"/>
          <w:szCs w:val="32"/>
          <w:lang w:val="zh-CN"/>
        </w:rPr>
        <w:t>采购管理</w:t>
      </w:r>
      <w:r>
        <w:rPr>
          <w:rFonts w:hint="eastAsia" w:eastAsia="仿宋_GB2312" w:cs="仿宋_GB2312"/>
          <w:sz w:val="32"/>
          <w:szCs w:val="32"/>
          <w:lang w:val="zh-CN"/>
        </w:rPr>
        <w:t>。</w:t>
      </w:r>
    </w:p>
    <w:p w14:paraId="059BB1E4">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lang w:val="zh-CN"/>
        </w:rPr>
        <w:t>2024年，我院采购支出总额为</w:t>
      </w:r>
      <w:r>
        <w:rPr>
          <w:rFonts w:hint="eastAsia" w:eastAsia="仿宋_GB2312" w:cs="仿宋_GB2312"/>
          <w:sz w:val="32"/>
          <w:szCs w:val="32"/>
          <w:lang w:val="en-US" w:eastAsia="zh-CN"/>
        </w:rPr>
        <w:t>97.4</w:t>
      </w:r>
      <w:r>
        <w:rPr>
          <w:rFonts w:hint="eastAsia" w:eastAsia="仿宋_GB2312" w:cs="仿宋_GB2312"/>
          <w:sz w:val="32"/>
          <w:szCs w:val="32"/>
          <w:lang w:val="zh-CN"/>
        </w:rPr>
        <w:t>万元，其中</w:t>
      </w:r>
      <w:r>
        <w:rPr>
          <w:rFonts w:hint="eastAsia" w:ascii="仿宋_GB2312" w:hAnsi="仿宋_GB2312" w:eastAsia="仿宋_GB2312" w:cs="仿宋_GB2312"/>
          <w:sz w:val="32"/>
          <w:szCs w:val="32"/>
        </w:rPr>
        <w:t>授予小微企业合同金额</w:t>
      </w:r>
      <w:r>
        <w:rPr>
          <w:rFonts w:hint="eastAsia" w:ascii="仿宋_GB2312" w:hAnsi="仿宋_GB2312" w:eastAsia="仿宋_GB2312" w:cs="仿宋_GB2312"/>
          <w:sz w:val="32"/>
          <w:szCs w:val="32"/>
          <w:lang w:val="en-US" w:eastAsia="zh-CN"/>
        </w:rPr>
        <w:t>97</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99.58</w:t>
      </w:r>
      <w:r>
        <w:rPr>
          <w:rFonts w:hint="eastAsia" w:ascii="仿宋_GB2312" w:hAnsi="仿宋_GB2312" w:eastAsia="仿宋_GB2312" w:cs="仿宋_GB2312"/>
          <w:sz w:val="32"/>
          <w:szCs w:val="32"/>
        </w:rPr>
        <w:t>%。</w:t>
      </w:r>
    </w:p>
    <w:p w14:paraId="080FA36A">
      <w:pPr>
        <w:adjustRightInd w:val="0"/>
        <w:snapToGrid w:val="0"/>
        <w:spacing w:line="578" w:lineRule="exact"/>
        <w:ind w:firstLine="643" w:firstLineChars="200"/>
        <w:contextualSpacing/>
        <w:rPr>
          <w:rFonts w:eastAsia="仿宋_GB2312" w:cs="仿宋_GB2312"/>
          <w:sz w:val="32"/>
          <w:szCs w:val="32"/>
        </w:rPr>
      </w:pPr>
      <w:r>
        <w:rPr>
          <w:rFonts w:eastAsia="楷体_GB2312"/>
          <w:b/>
          <w:bCs/>
          <w:color w:val="000000"/>
          <w:kern w:val="0"/>
          <w:sz w:val="32"/>
          <w:szCs w:val="32"/>
          <w:shd w:val="clear" w:color="auto" w:fill="FFFFFF"/>
          <w:lang w:val="zh-CN"/>
        </w:rPr>
        <w:t>（二）部门预算项目绩效分析。</w:t>
      </w:r>
    </w:p>
    <w:p w14:paraId="2468B7AC">
      <w:pPr>
        <w:adjustRightInd w:val="0"/>
        <w:snapToGrid w:val="0"/>
        <w:spacing w:line="578" w:lineRule="exact"/>
        <w:ind w:firstLine="640" w:firstLineChars="200"/>
        <w:contextualSpacing/>
        <w:rPr>
          <w:rFonts w:eastAsia="仿宋_GB2312" w:cs="仿宋_GB2312"/>
          <w:sz w:val="32"/>
          <w:szCs w:val="32"/>
          <w:lang w:val="zh-CN"/>
        </w:rPr>
      </w:pPr>
      <w:r>
        <w:rPr>
          <w:rFonts w:eastAsia="仿宋_GB2312" w:cs="仿宋_GB2312"/>
          <w:sz w:val="32"/>
          <w:szCs w:val="32"/>
        </w:rPr>
        <w:t>常年项目绩效分析。</w:t>
      </w:r>
      <w:r>
        <w:rPr>
          <w:rFonts w:eastAsia="仿宋_GB2312" w:cs="仿宋_GB2312"/>
          <w:sz w:val="32"/>
          <w:szCs w:val="32"/>
          <w:lang w:val="zh-CN"/>
        </w:rPr>
        <w:t>该类项目总数</w:t>
      </w:r>
      <w:r>
        <w:rPr>
          <w:rFonts w:hint="eastAsia" w:eastAsia="仿宋_GB2312" w:cs="仿宋_GB2312"/>
          <w:sz w:val="32"/>
          <w:szCs w:val="32"/>
        </w:rPr>
        <w:t>1</w:t>
      </w:r>
      <w:r>
        <w:rPr>
          <w:rFonts w:eastAsia="仿宋_GB2312" w:cs="仿宋_GB2312"/>
          <w:sz w:val="32"/>
          <w:szCs w:val="32"/>
          <w:lang w:val="zh-CN"/>
        </w:rPr>
        <w:t>个，涉及预算总金额</w:t>
      </w:r>
      <w:r>
        <w:rPr>
          <w:rFonts w:hint="eastAsia" w:eastAsia="仿宋_GB2312" w:cs="仿宋_GB2312"/>
          <w:sz w:val="32"/>
          <w:szCs w:val="32"/>
        </w:rPr>
        <w:t>40</w:t>
      </w:r>
      <w:r>
        <w:rPr>
          <w:rFonts w:eastAsia="仿宋_GB2312" w:cs="仿宋_GB2312"/>
          <w:sz w:val="32"/>
          <w:szCs w:val="32"/>
          <w:lang w:val="zh-CN"/>
        </w:rPr>
        <w:t>万元，1</w:t>
      </w:r>
      <w:r>
        <w:rPr>
          <w:rFonts w:hint="eastAsia" w:eastAsia="仿宋_GB2312" w:cs="仿宋_GB2312"/>
          <w:sz w:val="32"/>
          <w:szCs w:val="32"/>
          <w:lang w:val="zh-CN"/>
        </w:rPr>
        <w:t>—</w:t>
      </w:r>
      <w:r>
        <w:rPr>
          <w:rFonts w:eastAsia="仿宋_GB2312" w:cs="仿宋_GB2312"/>
          <w:sz w:val="32"/>
          <w:szCs w:val="32"/>
          <w:lang w:val="zh-CN"/>
        </w:rPr>
        <w:t>1</w:t>
      </w:r>
      <w:r>
        <w:rPr>
          <w:rFonts w:eastAsia="仿宋_GB2312" w:cs="仿宋_GB2312"/>
          <w:sz w:val="32"/>
          <w:szCs w:val="32"/>
        </w:rPr>
        <w:t>2</w:t>
      </w:r>
      <w:r>
        <w:rPr>
          <w:rFonts w:eastAsia="仿宋_GB2312" w:cs="仿宋_GB2312"/>
          <w:sz w:val="32"/>
          <w:szCs w:val="32"/>
          <w:lang w:val="zh-CN"/>
        </w:rPr>
        <w:t>月预算执行总体进度为</w:t>
      </w:r>
      <w:r>
        <w:rPr>
          <w:rFonts w:hint="eastAsia" w:eastAsia="仿宋_GB2312" w:cs="仿宋_GB2312"/>
          <w:sz w:val="32"/>
          <w:szCs w:val="32"/>
        </w:rPr>
        <w:t>100</w:t>
      </w:r>
      <w:r>
        <w:rPr>
          <w:rFonts w:eastAsia="仿宋_GB2312" w:cs="仿宋_GB2312"/>
          <w:sz w:val="32"/>
          <w:szCs w:val="32"/>
          <w:lang w:val="zh-CN"/>
        </w:rPr>
        <w:t>%，其中：预算结余率大于</w:t>
      </w:r>
      <w:r>
        <w:rPr>
          <w:rFonts w:eastAsia="仿宋_GB2312" w:cs="仿宋_GB2312"/>
          <w:sz w:val="32"/>
          <w:szCs w:val="32"/>
        </w:rPr>
        <w:t>10%</w:t>
      </w:r>
      <w:r>
        <w:rPr>
          <w:rFonts w:eastAsia="仿宋_GB2312" w:cs="仿宋_GB2312"/>
          <w:sz w:val="32"/>
          <w:szCs w:val="32"/>
          <w:lang w:val="zh-CN"/>
        </w:rPr>
        <w:t>的项目共计</w:t>
      </w:r>
      <w:r>
        <w:rPr>
          <w:rFonts w:hint="eastAsia" w:eastAsia="仿宋_GB2312" w:cs="仿宋_GB2312"/>
          <w:sz w:val="32"/>
          <w:szCs w:val="32"/>
        </w:rPr>
        <w:t>0</w:t>
      </w:r>
      <w:r>
        <w:rPr>
          <w:rFonts w:eastAsia="仿宋_GB2312" w:cs="仿宋_GB2312"/>
          <w:sz w:val="32"/>
          <w:szCs w:val="32"/>
          <w:lang w:val="zh-CN"/>
        </w:rPr>
        <w:t>个。</w:t>
      </w:r>
    </w:p>
    <w:p w14:paraId="0465D3FA">
      <w:pPr>
        <w:adjustRightInd w:val="0"/>
        <w:snapToGrid w:val="0"/>
        <w:spacing w:line="578" w:lineRule="exact"/>
        <w:ind w:firstLine="640" w:firstLineChars="200"/>
        <w:contextualSpacing/>
        <w:rPr>
          <w:rFonts w:eastAsia="仿宋_GB2312" w:cs="仿宋_GB2312"/>
          <w:sz w:val="32"/>
          <w:szCs w:val="32"/>
          <w:lang w:val="zh-CN"/>
        </w:rPr>
      </w:pPr>
      <w:r>
        <w:rPr>
          <w:rFonts w:eastAsia="仿宋_GB2312" w:cs="仿宋_GB2312"/>
          <w:sz w:val="32"/>
          <w:szCs w:val="32"/>
        </w:rPr>
        <w:t>阶段</w:t>
      </w:r>
      <w:r>
        <w:rPr>
          <w:rFonts w:hint="eastAsia" w:eastAsia="仿宋_GB2312" w:cs="仿宋_GB2312"/>
          <w:sz w:val="32"/>
          <w:szCs w:val="32"/>
        </w:rPr>
        <w:t>（</w:t>
      </w:r>
      <w:r>
        <w:rPr>
          <w:rFonts w:eastAsia="仿宋_GB2312" w:cs="仿宋_GB2312"/>
          <w:sz w:val="32"/>
          <w:szCs w:val="32"/>
        </w:rPr>
        <w:t>一次性</w:t>
      </w:r>
      <w:r>
        <w:rPr>
          <w:rFonts w:hint="eastAsia" w:eastAsia="仿宋_GB2312" w:cs="仿宋_GB2312"/>
          <w:sz w:val="32"/>
          <w:szCs w:val="32"/>
        </w:rPr>
        <w:t>）</w:t>
      </w:r>
      <w:r>
        <w:rPr>
          <w:rFonts w:eastAsia="仿宋_GB2312" w:cs="仿宋_GB2312"/>
          <w:sz w:val="32"/>
          <w:szCs w:val="32"/>
        </w:rPr>
        <w:t>项目绩效分析。</w:t>
      </w:r>
      <w:r>
        <w:rPr>
          <w:rFonts w:eastAsia="仿宋_GB2312" w:cs="仿宋_GB2312"/>
          <w:sz w:val="32"/>
          <w:szCs w:val="32"/>
          <w:lang w:val="zh-CN"/>
        </w:rPr>
        <w:t>该类项目总数</w:t>
      </w:r>
      <w:r>
        <w:rPr>
          <w:rFonts w:hint="eastAsia" w:eastAsia="仿宋_GB2312" w:cs="仿宋_GB2312"/>
          <w:sz w:val="32"/>
          <w:szCs w:val="32"/>
        </w:rPr>
        <w:t>0</w:t>
      </w:r>
      <w:r>
        <w:rPr>
          <w:rFonts w:eastAsia="仿宋_GB2312" w:cs="仿宋_GB2312"/>
          <w:sz w:val="32"/>
          <w:szCs w:val="32"/>
          <w:lang w:val="zh-CN"/>
        </w:rPr>
        <w:t>个，涉及预算总金额</w:t>
      </w:r>
      <w:r>
        <w:rPr>
          <w:rFonts w:hint="eastAsia" w:eastAsia="仿宋_GB2312" w:cs="仿宋_GB2312"/>
          <w:sz w:val="32"/>
          <w:szCs w:val="32"/>
        </w:rPr>
        <w:t>0</w:t>
      </w:r>
      <w:r>
        <w:rPr>
          <w:rFonts w:eastAsia="仿宋_GB2312" w:cs="仿宋_GB2312"/>
          <w:sz w:val="32"/>
          <w:szCs w:val="32"/>
          <w:lang w:val="zh-CN"/>
        </w:rPr>
        <w:t>万元，1</w:t>
      </w:r>
      <w:r>
        <w:rPr>
          <w:rFonts w:hint="eastAsia" w:eastAsia="仿宋_GB2312" w:cs="仿宋_GB2312"/>
          <w:sz w:val="32"/>
          <w:szCs w:val="32"/>
          <w:lang w:val="zh-CN"/>
        </w:rPr>
        <w:t>—</w:t>
      </w:r>
      <w:r>
        <w:rPr>
          <w:rFonts w:eastAsia="仿宋_GB2312" w:cs="仿宋_GB2312"/>
          <w:sz w:val="32"/>
          <w:szCs w:val="32"/>
          <w:lang w:val="zh-CN"/>
        </w:rPr>
        <w:t>1</w:t>
      </w:r>
      <w:r>
        <w:rPr>
          <w:rFonts w:eastAsia="仿宋_GB2312" w:cs="仿宋_GB2312"/>
          <w:sz w:val="32"/>
          <w:szCs w:val="32"/>
        </w:rPr>
        <w:t>2</w:t>
      </w:r>
      <w:r>
        <w:rPr>
          <w:rFonts w:eastAsia="仿宋_GB2312" w:cs="仿宋_GB2312"/>
          <w:sz w:val="32"/>
          <w:szCs w:val="32"/>
          <w:lang w:val="zh-CN"/>
        </w:rPr>
        <w:t>月预算执行总体进度为</w:t>
      </w:r>
      <w:r>
        <w:rPr>
          <w:rFonts w:hint="eastAsia" w:eastAsia="仿宋_GB2312" w:cs="仿宋_GB2312"/>
          <w:sz w:val="32"/>
          <w:szCs w:val="32"/>
        </w:rPr>
        <w:t>0</w:t>
      </w:r>
      <w:r>
        <w:rPr>
          <w:rFonts w:eastAsia="仿宋_GB2312" w:cs="仿宋_GB2312"/>
          <w:sz w:val="32"/>
          <w:szCs w:val="32"/>
          <w:lang w:val="zh-CN"/>
        </w:rPr>
        <w:t>%，其中：预算结余率大于</w:t>
      </w:r>
      <w:r>
        <w:rPr>
          <w:rFonts w:eastAsia="仿宋_GB2312" w:cs="仿宋_GB2312"/>
          <w:sz w:val="32"/>
          <w:szCs w:val="32"/>
        </w:rPr>
        <w:t>10%</w:t>
      </w:r>
      <w:r>
        <w:rPr>
          <w:rFonts w:eastAsia="仿宋_GB2312" w:cs="仿宋_GB2312"/>
          <w:sz w:val="32"/>
          <w:szCs w:val="32"/>
          <w:lang w:val="zh-CN"/>
        </w:rPr>
        <w:t>的项目共计</w:t>
      </w:r>
      <w:r>
        <w:rPr>
          <w:rFonts w:hint="eastAsia" w:eastAsia="仿宋_GB2312" w:cs="仿宋_GB2312"/>
          <w:sz w:val="32"/>
          <w:szCs w:val="32"/>
        </w:rPr>
        <w:t>0</w:t>
      </w:r>
      <w:r>
        <w:rPr>
          <w:rFonts w:eastAsia="仿宋_GB2312" w:cs="仿宋_GB2312"/>
          <w:sz w:val="32"/>
          <w:szCs w:val="32"/>
          <w:lang w:val="zh-CN"/>
        </w:rPr>
        <w:t>个。</w:t>
      </w:r>
    </w:p>
    <w:p w14:paraId="19E7040C">
      <w:pPr>
        <w:pStyle w:val="27"/>
        <w:numPr>
          <w:ilvl w:val="0"/>
          <w:numId w:val="0"/>
        </w:numPr>
        <w:adjustRightInd w:val="0"/>
        <w:snapToGrid w:val="0"/>
        <w:spacing w:line="578" w:lineRule="exact"/>
        <w:ind w:left="640" w:leftChars="0"/>
        <w:contextualSpacing/>
        <w:rPr>
          <w:rFonts w:eastAsia="仿宋_GB2312" w:cs="仿宋_GB2312"/>
          <w:sz w:val="32"/>
          <w:szCs w:val="32"/>
          <w:lang w:val="zh-CN"/>
        </w:rPr>
      </w:pPr>
      <w:r>
        <w:rPr>
          <w:rFonts w:hint="eastAsia" w:eastAsia="仿宋_GB2312" w:cs="仿宋_GB2312"/>
          <w:sz w:val="32"/>
          <w:szCs w:val="32"/>
          <w:lang w:val="en-US" w:eastAsia="zh-CN"/>
        </w:rPr>
        <w:t>1.</w:t>
      </w:r>
      <w:r>
        <w:rPr>
          <w:rFonts w:hint="eastAsia" w:eastAsia="仿宋_GB2312" w:cs="仿宋_GB2312"/>
          <w:sz w:val="32"/>
          <w:szCs w:val="32"/>
          <w:lang w:val="zh-CN"/>
        </w:rPr>
        <w:t>项目决策。</w:t>
      </w:r>
    </w:p>
    <w:p w14:paraId="156D1591">
      <w:pPr>
        <w:adjustRightInd w:val="0"/>
        <w:snapToGrid w:val="0"/>
        <w:spacing w:line="578" w:lineRule="exact"/>
        <w:ind w:firstLine="480" w:firstLineChars="150"/>
        <w:contextualSpacing/>
        <w:jc w:val="left"/>
        <w:rPr>
          <w:rFonts w:eastAsia="仿宋_GB2312"/>
          <w:sz w:val="32"/>
          <w:szCs w:val="32"/>
          <w:lang w:val="zh-CN"/>
        </w:rPr>
      </w:pPr>
      <w:r>
        <w:rPr>
          <w:rFonts w:hint="eastAsia" w:eastAsia="仿宋_GB2312"/>
          <w:sz w:val="32"/>
          <w:szCs w:val="32"/>
          <w:lang w:val="zh-CN"/>
        </w:rPr>
        <w:t>根据项目执行情况，动态分析资金使用效率，及时调整项目执行进度，力争在规定的时间内完成项目。</w:t>
      </w:r>
    </w:p>
    <w:p w14:paraId="2C3A9B1A">
      <w:pPr>
        <w:pStyle w:val="27"/>
        <w:numPr>
          <w:ilvl w:val="0"/>
          <w:numId w:val="0"/>
        </w:numPr>
        <w:adjustRightInd w:val="0"/>
        <w:snapToGrid w:val="0"/>
        <w:spacing w:line="578" w:lineRule="exact"/>
        <w:ind w:left="640" w:leftChars="0"/>
        <w:contextualSpacing/>
        <w:rPr>
          <w:rFonts w:eastAsia="仿宋_GB2312" w:cs="仿宋_GB2312"/>
          <w:sz w:val="32"/>
          <w:szCs w:val="32"/>
          <w:lang w:val="zh-CN"/>
        </w:rPr>
      </w:pPr>
      <w:r>
        <w:rPr>
          <w:rFonts w:hint="eastAsia" w:eastAsia="仿宋_GB2312" w:cs="仿宋_GB2312"/>
          <w:sz w:val="32"/>
          <w:szCs w:val="32"/>
          <w:lang w:val="en-US" w:eastAsia="zh-CN"/>
        </w:rPr>
        <w:t>2.</w:t>
      </w:r>
      <w:r>
        <w:rPr>
          <w:rFonts w:hint="eastAsia" w:eastAsia="仿宋_GB2312" w:cs="仿宋_GB2312"/>
          <w:sz w:val="32"/>
          <w:szCs w:val="32"/>
        </w:rPr>
        <w:t>项目执行</w:t>
      </w:r>
      <w:r>
        <w:rPr>
          <w:rFonts w:hint="eastAsia" w:eastAsia="仿宋_GB2312" w:cs="仿宋_GB2312"/>
          <w:sz w:val="32"/>
          <w:szCs w:val="32"/>
          <w:lang w:val="zh-CN"/>
        </w:rPr>
        <w:t>。</w:t>
      </w:r>
    </w:p>
    <w:p w14:paraId="498C3580">
      <w:pPr>
        <w:adjustRightInd w:val="0"/>
        <w:snapToGrid w:val="0"/>
        <w:spacing w:line="578" w:lineRule="exact"/>
        <w:ind w:firstLine="480" w:firstLineChars="150"/>
        <w:contextualSpacing/>
        <w:jc w:val="left"/>
        <w:rPr>
          <w:rFonts w:eastAsia="仿宋_GB2312"/>
          <w:sz w:val="32"/>
          <w:szCs w:val="32"/>
          <w:lang w:val="zh-CN"/>
        </w:rPr>
      </w:pPr>
      <w:r>
        <w:rPr>
          <w:rFonts w:hint="eastAsia" w:eastAsia="仿宋_GB2312"/>
          <w:sz w:val="32"/>
          <w:szCs w:val="32"/>
          <w:lang w:val="zh-CN"/>
        </w:rPr>
        <w:t>根据项目执行情况，动态分析资金使用效率，及时调整项目执行进度，力争在规定的时间内完成项目。</w:t>
      </w:r>
    </w:p>
    <w:p w14:paraId="65336A50">
      <w:pPr>
        <w:pStyle w:val="27"/>
        <w:numPr>
          <w:ilvl w:val="0"/>
          <w:numId w:val="0"/>
        </w:numPr>
        <w:adjustRightInd w:val="0"/>
        <w:snapToGrid w:val="0"/>
        <w:spacing w:line="578" w:lineRule="exact"/>
        <w:ind w:left="640" w:leftChars="0"/>
        <w:contextualSpacing/>
        <w:rPr>
          <w:rFonts w:eastAsia="仿宋_GB2312" w:cs="仿宋_GB2312"/>
          <w:sz w:val="32"/>
          <w:szCs w:val="32"/>
          <w:lang w:val="zh-CN"/>
        </w:rPr>
      </w:pPr>
      <w:r>
        <w:rPr>
          <w:rFonts w:hint="eastAsia" w:eastAsia="仿宋_GB2312" w:cs="仿宋_GB2312"/>
          <w:sz w:val="32"/>
          <w:szCs w:val="32"/>
          <w:lang w:val="en-US" w:eastAsia="zh-CN"/>
        </w:rPr>
        <w:t>3.</w:t>
      </w:r>
      <w:r>
        <w:rPr>
          <w:rFonts w:hint="eastAsia" w:eastAsia="仿宋_GB2312" w:cs="仿宋_GB2312"/>
          <w:sz w:val="32"/>
          <w:szCs w:val="32"/>
          <w:lang w:val="zh-CN"/>
        </w:rPr>
        <w:t>目标实现。</w:t>
      </w:r>
    </w:p>
    <w:p w14:paraId="30CB1772">
      <w:pPr>
        <w:adjustRightInd w:val="0"/>
        <w:snapToGrid w:val="0"/>
        <w:spacing w:line="578" w:lineRule="exact"/>
        <w:ind w:firstLine="480" w:firstLineChars="150"/>
        <w:contextualSpacing/>
        <w:jc w:val="left"/>
        <w:rPr>
          <w:rFonts w:ascii="楷体_GB2312" w:hAnsi="楷体_GB2312" w:eastAsia="楷体_GB2312" w:cs="楷体_GB2312"/>
          <w:color w:val="000000"/>
          <w:kern w:val="0"/>
          <w:sz w:val="32"/>
          <w:szCs w:val="32"/>
          <w:shd w:val="clear" w:color="auto" w:fill="FFFFFF"/>
          <w:lang w:val="zh-CN"/>
        </w:rPr>
      </w:pPr>
      <w:r>
        <w:rPr>
          <w:rFonts w:hint="eastAsia" w:eastAsia="仿宋_GB2312"/>
          <w:sz w:val="32"/>
          <w:szCs w:val="32"/>
          <w:lang w:val="zh-CN"/>
        </w:rPr>
        <w:t>2024年项目都已在规定期限内完成。</w:t>
      </w:r>
    </w:p>
    <w:p w14:paraId="36B520F5">
      <w:pPr>
        <w:snapToGrid w:val="0"/>
        <w:spacing w:line="600" w:lineRule="exact"/>
        <w:ind w:firstLine="643" w:firstLineChars="200"/>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rPr>
        <w:t>三</w:t>
      </w:r>
      <w:r>
        <w:rPr>
          <w:rFonts w:eastAsia="楷体_GB2312"/>
          <w:b/>
          <w:bCs/>
          <w:color w:val="000000"/>
          <w:kern w:val="0"/>
          <w:sz w:val="32"/>
          <w:szCs w:val="32"/>
          <w:shd w:val="clear" w:color="auto" w:fill="FFFFFF"/>
          <w:lang w:val="zh-CN"/>
        </w:rPr>
        <w:t>）绩效结果应用情况</w:t>
      </w:r>
      <w:r>
        <w:rPr>
          <w:rFonts w:hint="eastAsia" w:eastAsia="楷体_GB2312"/>
          <w:b/>
          <w:bCs/>
          <w:color w:val="000000"/>
          <w:kern w:val="0"/>
          <w:sz w:val="32"/>
          <w:szCs w:val="32"/>
          <w:shd w:val="clear" w:color="auto" w:fill="FFFFFF"/>
          <w:lang w:val="zh-CN"/>
        </w:rPr>
        <w:t>。</w:t>
      </w:r>
    </w:p>
    <w:p w14:paraId="32815346">
      <w:pPr>
        <w:widowControl/>
        <w:adjustRightInd w:val="0"/>
        <w:snapToGrid w:val="0"/>
        <w:spacing w:line="578" w:lineRule="exact"/>
        <w:ind w:firstLine="640" w:firstLineChars="200"/>
        <w:contextualSpacing/>
        <w:jc w:val="left"/>
        <w:rPr>
          <w:rFonts w:eastAsia="仿宋_GB2312"/>
          <w:sz w:val="32"/>
          <w:szCs w:val="32"/>
          <w:lang w:val="zh-CN"/>
        </w:rPr>
      </w:pPr>
      <w:r>
        <w:rPr>
          <w:rFonts w:hint="eastAsia" w:eastAsia="仿宋_GB2312"/>
          <w:sz w:val="32"/>
          <w:szCs w:val="32"/>
          <w:lang w:val="zh-CN"/>
        </w:rPr>
        <w:t>对照绩效评价工作中发现的问题，结合绩效评价中的整改意见，进一步完善预算管理机制，增强支出责任，规范资金使用，强化监督检查，强化财政资金管理水平，提高财政资金使用效率。</w:t>
      </w:r>
    </w:p>
    <w:p w14:paraId="7EA5115A">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四、评价结论及建议</w:t>
      </w:r>
    </w:p>
    <w:p w14:paraId="36368981">
      <w:pPr>
        <w:widowControl/>
        <w:adjustRightInd w:val="0"/>
        <w:snapToGrid w:val="0"/>
        <w:spacing w:line="578" w:lineRule="exact"/>
        <w:ind w:firstLine="643" w:firstLineChars="200"/>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（一）评价结论。</w:t>
      </w:r>
    </w:p>
    <w:p w14:paraId="33E3840A">
      <w:pPr>
        <w:widowControl/>
        <w:adjustRightInd w:val="0"/>
        <w:snapToGrid w:val="0"/>
        <w:spacing w:line="560" w:lineRule="exact"/>
        <w:ind w:firstLine="640" w:firstLineChars="200"/>
        <w:contextualSpacing/>
        <w:jc w:val="left"/>
        <w:rPr>
          <w:rFonts w:eastAsia="方正仿宋_GBK"/>
          <w:color w:val="000000"/>
          <w:kern w:val="0"/>
          <w:sz w:val="33"/>
          <w:szCs w:val="33"/>
          <w:shd w:val="clear" w:color="auto" w:fill="FFFFFF"/>
        </w:rPr>
      </w:pPr>
      <w:r>
        <w:rPr>
          <w:rFonts w:hint="eastAsia" w:eastAsia="仿宋_GB2312"/>
          <w:sz w:val="32"/>
          <w:szCs w:val="32"/>
          <w:lang w:val="zh-CN"/>
        </w:rPr>
        <w:t>我院部门整体支出绩效自评得分为</w:t>
      </w:r>
      <w:r>
        <w:rPr>
          <w:rFonts w:hint="eastAsia" w:eastAsia="仿宋_GB2312"/>
          <w:sz w:val="32"/>
          <w:szCs w:val="32"/>
          <w:lang w:val="en-US" w:eastAsia="zh-CN"/>
        </w:rPr>
        <w:t>100</w:t>
      </w:r>
      <w:r>
        <w:rPr>
          <w:rFonts w:hint="eastAsia" w:eastAsia="仿宋_GB2312"/>
          <w:sz w:val="32"/>
          <w:szCs w:val="32"/>
          <w:lang w:val="zh-CN"/>
        </w:rPr>
        <w:t>分，结果显示绩效管理情况为优秀，达到了年初设定的各项绩效目标。所有资金使用严格按审批程序办理、操作规范，会计核算结果真实、准确，各项支出严格按照各项制度执行。</w:t>
      </w:r>
    </w:p>
    <w:p w14:paraId="4EC8BBAC">
      <w:pPr>
        <w:widowControl/>
        <w:adjustRightInd w:val="0"/>
        <w:snapToGrid w:val="0"/>
        <w:spacing w:line="578" w:lineRule="exact"/>
        <w:ind w:firstLine="643" w:firstLineChars="200"/>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（二）存在问题。</w:t>
      </w:r>
    </w:p>
    <w:p w14:paraId="1E88D9D0">
      <w:pPr>
        <w:widowControl/>
        <w:adjustRightInd w:val="0"/>
        <w:snapToGrid w:val="0"/>
        <w:spacing w:line="560" w:lineRule="exact"/>
        <w:ind w:firstLine="640" w:firstLineChars="200"/>
        <w:contextualSpacing/>
        <w:jc w:val="left"/>
        <w:rPr>
          <w:rFonts w:hint="eastAsia" w:eastAsia="仿宋_GB2312"/>
          <w:sz w:val="32"/>
          <w:szCs w:val="32"/>
          <w:lang w:val="zh-CN"/>
        </w:rPr>
      </w:pPr>
      <w:r>
        <w:rPr>
          <w:rFonts w:hint="eastAsia" w:eastAsia="仿宋_GB2312"/>
          <w:sz w:val="32"/>
          <w:szCs w:val="32"/>
          <w:lang w:val="zh-CN"/>
        </w:rPr>
        <w:t>1</w:t>
      </w:r>
      <w:r>
        <w:rPr>
          <w:rFonts w:hint="eastAsia" w:eastAsia="仿宋_GB2312"/>
          <w:sz w:val="32"/>
          <w:szCs w:val="32"/>
          <w:lang w:val="en-US" w:eastAsia="zh-CN"/>
        </w:rPr>
        <w:t>.</w:t>
      </w:r>
      <w:r>
        <w:rPr>
          <w:rFonts w:hint="eastAsia" w:eastAsia="仿宋_GB2312"/>
          <w:sz w:val="32"/>
          <w:szCs w:val="32"/>
          <w:lang w:val="zh-CN"/>
        </w:rPr>
        <w:t>预算编制工作有待细化，预算执行力度还需进一步加强。</w:t>
      </w:r>
    </w:p>
    <w:p w14:paraId="6F1E9D20">
      <w:pPr>
        <w:widowControl/>
        <w:adjustRightInd w:val="0"/>
        <w:snapToGrid w:val="0"/>
        <w:spacing w:line="560" w:lineRule="exact"/>
        <w:ind w:firstLine="640" w:firstLineChars="200"/>
        <w:contextualSpacing/>
        <w:jc w:val="left"/>
        <w:rPr>
          <w:rFonts w:hint="eastAsia" w:eastAsia="仿宋_GB2312"/>
          <w:sz w:val="32"/>
          <w:szCs w:val="32"/>
          <w:lang w:val="zh-CN"/>
        </w:rPr>
      </w:pPr>
      <w:r>
        <w:rPr>
          <w:rFonts w:hint="eastAsia" w:eastAsia="仿宋_GB2312"/>
          <w:sz w:val="32"/>
          <w:szCs w:val="32"/>
          <w:lang w:val="zh-CN"/>
        </w:rPr>
        <w:t>2</w:t>
      </w:r>
      <w:r>
        <w:rPr>
          <w:rFonts w:hint="eastAsia" w:eastAsia="仿宋_GB2312"/>
          <w:sz w:val="32"/>
          <w:szCs w:val="32"/>
          <w:lang w:val="en-US" w:eastAsia="zh-CN"/>
        </w:rPr>
        <w:t>.</w:t>
      </w:r>
      <w:r>
        <w:rPr>
          <w:rFonts w:hint="eastAsia" w:eastAsia="仿宋_GB2312"/>
          <w:sz w:val="32"/>
          <w:szCs w:val="32"/>
          <w:lang w:val="zh-CN"/>
        </w:rPr>
        <w:t>财政预算资金到位较晚，各项目经费支付不能及时到位。</w:t>
      </w:r>
    </w:p>
    <w:p w14:paraId="3C723127">
      <w:pPr>
        <w:widowControl/>
        <w:adjustRightInd w:val="0"/>
        <w:snapToGrid w:val="0"/>
        <w:spacing w:line="578" w:lineRule="exact"/>
        <w:ind w:firstLine="643" w:firstLineChars="200"/>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（三）改进建议。</w:t>
      </w:r>
    </w:p>
    <w:p w14:paraId="17ABA9F6">
      <w:pPr>
        <w:widowControl/>
        <w:adjustRightInd w:val="0"/>
        <w:snapToGrid w:val="0"/>
        <w:spacing w:line="560" w:lineRule="exact"/>
        <w:ind w:firstLine="640" w:firstLineChars="200"/>
        <w:contextualSpacing/>
        <w:jc w:val="left"/>
        <w:rPr>
          <w:rFonts w:hint="eastAsia" w:eastAsia="仿宋_GB2312"/>
          <w:sz w:val="32"/>
          <w:szCs w:val="32"/>
          <w:lang w:val="zh-CN"/>
        </w:rPr>
      </w:pPr>
      <w:r>
        <w:rPr>
          <w:rFonts w:hint="eastAsia" w:eastAsia="仿宋_GB2312"/>
          <w:sz w:val="32"/>
          <w:szCs w:val="32"/>
          <w:lang w:val="zh-CN"/>
        </w:rPr>
        <w:t>1.科学合理编制预算，严格执行预算。</w:t>
      </w:r>
    </w:p>
    <w:p w14:paraId="7457275C">
      <w:pPr>
        <w:widowControl/>
        <w:adjustRightInd w:val="0"/>
        <w:snapToGrid w:val="0"/>
        <w:spacing w:line="560" w:lineRule="exact"/>
        <w:ind w:firstLine="640" w:firstLineChars="200"/>
        <w:contextualSpacing/>
        <w:jc w:val="left"/>
        <w:rPr>
          <w:rFonts w:hint="eastAsia" w:eastAsia="仿宋_GB2312"/>
          <w:sz w:val="32"/>
          <w:szCs w:val="32"/>
          <w:lang w:val="zh-CN"/>
        </w:rPr>
      </w:pPr>
      <w:r>
        <w:rPr>
          <w:rFonts w:hint="eastAsia" w:eastAsia="仿宋_GB2312"/>
          <w:sz w:val="32"/>
          <w:szCs w:val="32"/>
          <w:lang w:val="zh-CN"/>
        </w:rPr>
        <w:t>加强预算编制的前瞻性，按照《预算法》及其实施条例的相关规定，按政策规定及本部门的发展规划，结合上一年度预算执行情况和本年度预算收支变化因素，科学合理的编制年度预算草案，避免项目支出与基本支出划分不准或预算支出与实际执行出现较大偏差的情况，执行中确需调剂预算的，按规定程序报经财政部门批准。</w:t>
      </w:r>
    </w:p>
    <w:p w14:paraId="27D22AAC">
      <w:pPr>
        <w:widowControl/>
        <w:adjustRightInd w:val="0"/>
        <w:snapToGrid w:val="0"/>
        <w:spacing w:line="560" w:lineRule="exact"/>
        <w:ind w:firstLine="640" w:firstLineChars="200"/>
        <w:contextualSpacing/>
        <w:jc w:val="left"/>
        <w:rPr>
          <w:rFonts w:hint="eastAsia" w:eastAsia="仿宋_GB2312"/>
          <w:sz w:val="32"/>
          <w:szCs w:val="32"/>
          <w:lang w:val="zh-CN"/>
        </w:rPr>
      </w:pPr>
      <w:r>
        <w:rPr>
          <w:rFonts w:hint="eastAsia" w:eastAsia="仿宋_GB2312"/>
          <w:sz w:val="32"/>
          <w:szCs w:val="32"/>
          <w:lang w:val="zh-CN"/>
        </w:rPr>
        <w:t>2.完善绩效评价体系，加强监督检查和考核工作。</w:t>
      </w:r>
    </w:p>
    <w:p w14:paraId="50B2536F">
      <w:pPr>
        <w:widowControl/>
        <w:adjustRightInd w:val="0"/>
        <w:snapToGrid w:val="0"/>
        <w:spacing w:line="560" w:lineRule="exact"/>
        <w:ind w:firstLine="640" w:firstLineChars="200"/>
        <w:contextualSpacing/>
        <w:jc w:val="left"/>
        <w:rPr>
          <w:rFonts w:hint="eastAsia" w:eastAsia="仿宋_GB2312"/>
          <w:sz w:val="32"/>
          <w:szCs w:val="32"/>
          <w:lang w:val="zh-CN"/>
        </w:rPr>
      </w:pPr>
      <w:r>
        <w:rPr>
          <w:rFonts w:hint="eastAsia" w:eastAsia="仿宋_GB2312"/>
          <w:sz w:val="32"/>
          <w:szCs w:val="32"/>
          <w:lang w:val="zh-CN"/>
        </w:rPr>
        <w:t>我院将进一步探索完善项目绩效评价指标体系、研究、关注绩效管理理论与实践发展的新思路、新动向。进一步完善项目绩效评价指标体系，增强绩效评价结果的可比性、可信度。加强对绩效管理工作的跟踪督查，做到绩效管理有依据、按程序、有奖惩，实现绩效管理的规范化、常态化。</w:t>
      </w:r>
    </w:p>
    <w:p w14:paraId="28959826">
      <w:pPr>
        <w:pStyle w:val="2"/>
        <w:rPr>
          <w:rFonts w:hint="eastAsia" w:eastAsia="仿宋_GB2312"/>
          <w:sz w:val="32"/>
          <w:szCs w:val="32"/>
          <w:lang w:val="zh-CN"/>
        </w:rPr>
      </w:pPr>
    </w:p>
    <w:p w14:paraId="13B203A8">
      <w:pPr>
        <w:pStyle w:val="3"/>
        <w:rPr>
          <w:rFonts w:hint="eastAsia"/>
          <w:lang w:val="zh-CN"/>
        </w:rPr>
      </w:pPr>
    </w:p>
    <w:p w14:paraId="71D840A9">
      <w:pPr>
        <w:pStyle w:val="2"/>
        <w:rPr>
          <w:rFonts w:hint="eastAsia" w:eastAsia="仿宋_GB2312"/>
          <w:sz w:val="32"/>
          <w:szCs w:val="32"/>
          <w:lang w:val="zh-CN"/>
        </w:rPr>
      </w:pPr>
    </w:p>
    <w:p w14:paraId="276F3568">
      <w:pPr>
        <w:pStyle w:val="3"/>
        <w:rPr>
          <w:rFonts w:hint="eastAsia" w:eastAsia="仿宋_GB2312"/>
          <w:sz w:val="32"/>
          <w:szCs w:val="32"/>
          <w:lang w:val="zh-CN"/>
        </w:rPr>
      </w:pPr>
    </w:p>
    <w:p w14:paraId="3FA1BDE1">
      <w:pPr>
        <w:pStyle w:val="3"/>
        <w:ind w:left="0" w:leftChars="0" w:firstLine="0" w:firstLineChars="0"/>
        <w:rPr>
          <w:rFonts w:hint="eastAsia" w:eastAsia="仿宋_GB2312"/>
          <w:sz w:val="32"/>
          <w:szCs w:val="32"/>
          <w:lang w:val="zh-CN"/>
        </w:rPr>
      </w:pPr>
    </w:p>
    <w:p w14:paraId="1E550B74">
      <w:pPr>
        <w:pStyle w:val="3"/>
        <w:ind w:left="0" w:leftChars="0" w:firstLine="0" w:firstLineChars="0"/>
        <w:rPr>
          <w:rFonts w:hint="eastAsia" w:eastAsia="仿宋_GB2312"/>
          <w:sz w:val="32"/>
          <w:szCs w:val="32"/>
          <w:lang w:val="zh-CN"/>
        </w:rPr>
      </w:pPr>
    </w:p>
    <w:p w14:paraId="7DE836D0">
      <w:pPr>
        <w:pStyle w:val="3"/>
        <w:ind w:left="0" w:leftChars="0" w:firstLine="0" w:firstLineChars="0"/>
        <w:rPr>
          <w:rFonts w:hint="eastAsia" w:eastAsia="仿宋_GB2312"/>
          <w:sz w:val="32"/>
          <w:szCs w:val="32"/>
          <w:lang w:val="zh-CN"/>
        </w:rPr>
      </w:pPr>
    </w:p>
    <w:p w14:paraId="0FA25889">
      <w:pPr>
        <w:pStyle w:val="3"/>
        <w:ind w:left="0" w:leftChars="0" w:firstLine="0" w:firstLineChars="0"/>
        <w:rPr>
          <w:rFonts w:hint="eastAsia" w:eastAsia="仿宋_GB2312"/>
          <w:sz w:val="32"/>
          <w:szCs w:val="32"/>
          <w:lang w:val="zh-CN"/>
        </w:rPr>
      </w:pPr>
    </w:p>
    <w:p w14:paraId="16632FF6">
      <w:pPr>
        <w:pStyle w:val="3"/>
        <w:ind w:left="0" w:leftChars="0" w:firstLine="0" w:firstLineChars="0"/>
        <w:rPr>
          <w:rFonts w:hint="eastAsia" w:eastAsia="仿宋_GB2312"/>
          <w:sz w:val="32"/>
          <w:szCs w:val="32"/>
          <w:lang w:val="zh-CN"/>
        </w:rPr>
      </w:pPr>
    </w:p>
    <w:p w14:paraId="1FE9694A">
      <w:pPr>
        <w:pStyle w:val="3"/>
        <w:ind w:left="0" w:leftChars="0" w:firstLine="0" w:firstLineChars="0"/>
        <w:rPr>
          <w:rFonts w:hint="eastAsia" w:eastAsia="仿宋_GB2312"/>
          <w:sz w:val="32"/>
          <w:szCs w:val="32"/>
          <w:lang w:val="zh-CN"/>
        </w:rPr>
      </w:pPr>
    </w:p>
    <w:p w14:paraId="24C45354">
      <w:pPr>
        <w:pStyle w:val="3"/>
        <w:ind w:left="0" w:leftChars="0" w:firstLine="0" w:firstLineChars="0"/>
        <w:rPr>
          <w:rFonts w:hint="eastAsia" w:eastAsia="仿宋_GB2312"/>
          <w:sz w:val="32"/>
          <w:szCs w:val="32"/>
          <w:lang w:val="zh-CN"/>
        </w:rPr>
      </w:pPr>
    </w:p>
    <w:p w14:paraId="2E19BAC7">
      <w:pPr>
        <w:pStyle w:val="8"/>
        <w:spacing w:before="93"/>
        <w:rPr>
          <w:rFonts w:ascii="Times New Roman" w:eastAsia="黑体" w:cs="黑体"/>
          <w:sz w:val="32"/>
          <w:szCs w:val="32"/>
        </w:rPr>
      </w:pPr>
      <w:r>
        <w:rPr>
          <w:rFonts w:hint="eastAsia" w:ascii="Times New Roman" w:eastAsia="黑体" w:cs="黑体"/>
          <w:sz w:val="32"/>
          <w:szCs w:val="32"/>
          <w:shd w:val="clear" w:color="auto" w:fill="FFFFFF"/>
          <w:lang w:val="zh-CN"/>
        </w:rPr>
        <w:t>附件</w:t>
      </w:r>
      <w:r>
        <w:rPr>
          <w:rFonts w:hint="eastAsia" w:ascii="Times New Roman" w:eastAsia="黑体" w:cs="黑体"/>
          <w:sz w:val="32"/>
          <w:szCs w:val="32"/>
          <w:shd w:val="clear" w:color="auto" w:fill="FFFFFF"/>
        </w:rPr>
        <w:t>2</w:t>
      </w:r>
    </w:p>
    <w:p w14:paraId="18FC79EC">
      <w:pPr>
        <w:pStyle w:val="34"/>
        <w:spacing w:line="578" w:lineRule="exact"/>
        <w:jc w:val="center"/>
        <w:rPr>
          <w:rFonts w:ascii="Times New Roman" w:hAnsi="Times New Roman" w:eastAsia="方正小标宋简体" w:cs="方正小标宋简体"/>
          <w:color w:val="auto"/>
          <w:kern w:val="2"/>
          <w:sz w:val="44"/>
          <w:szCs w:val="44"/>
          <w:lang w:val="en-US"/>
        </w:rPr>
      </w:pPr>
    </w:p>
    <w:p w14:paraId="2816E89F">
      <w:pPr>
        <w:pStyle w:val="34"/>
        <w:spacing w:line="578" w:lineRule="exact"/>
        <w:jc w:val="center"/>
        <w:rPr>
          <w:rFonts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rPr>
        <w:t>专项预算项目绩效评价报告</w:t>
      </w:r>
    </w:p>
    <w:p w14:paraId="05AFA88E">
      <w:pPr>
        <w:pStyle w:val="34"/>
        <w:spacing w:line="578" w:lineRule="exact"/>
        <w:ind w:firstLine="640"/>
        <w:jc w:val="center"/>
        <w:rPr>
          <w:rFonts w:ascii="Times New Roman" w:hAnsi="Times New Roman"/>
          <w:color w:val="auto"/>
          <w:kern w:val="2"/>
          <w:sz w:val="32"/>
          <w:szCs w:val="32"/>
        </w:rPr>
      </w:pPr>
    </w:p>
    <w:p w14:paraId="0C2E40F9">
      <w:pPr>
        <w:adjustRightInd w:val="0"/>
        <w:snapToGrid w:val="0"/>
        <w:spacing w:line="578" w:lineRule="exact"/>
        <w:ind w:firstLine="640" w:firstLineChars="200"/>
        <w:rPr>
          <w:rFonts w:eastAsia="黑体"/>
          <w:sz w:val="32"/>
          <w:szCs w:val="32"/>
          <w:lang w:val="zh-CN"/>
        </w:rPr>
      </w:pPr>
      <w:r>
        <w:rPr>
          <w:rFonts w:hint="eastAsia" w:eastAsia="黑体"/>
          <w:sz w:val="32"/>
          <w:szCs w:val="32"/>
        </w:rPr>
        <w:t>一、</w:t>
      </w:r>
      <w:r>
        <w:rPr>
          <w:rFonts w:hint="eastAsia" w:eastAsia="黑体"/>
          <w:sz w:val="32"/>
          <w:szCs w:val="32"/>
          <w:lang w:val="zh-CN"/>
        </w:rPr>
        <w:t>项目概况</w:t>
      </w:r>
    </w:p>
    <w:p w14:paraId="5403B74A">
      <w:pPr>
        <w:widowControl/>
        <w:adjustRightInd w:val="0"/>
        <w:snapToGrid w:val="0"/>
        <w:spacing w:line="578" w:lineRule="exact"/>
        <w:ind w:firstLine="643" w:firstLineChars="200"/>
        <w:contextualSpacing/>
        <w:jc w:val="left"/>
        <w:rPr>
          <w:rFonts w:eastAsia="楷体_GB2312"/>
          <w:b/>
          <w:sz w:val="32"/>
          <w:szCs w:val="32"/>
          <w:lang w:val="zh-CN"/>
        </w:rPr>
      </w:pPr>
      <w:r>
        <w:rPr>
          <w:rFonts w:hint="eastAsia" w:eastAsia="楷体_GB2312"/>
          <w:b/>
          <w:sz w:val="32"/>
          <w:szCs w:val="32"/>
          <w:lang w:val="zh-CN"/>
        </w:rPr>
        <w:t>（一）设立背景及基本情况。</w:t>
      </w:r>
    </w:p>
    <w:p w14:paraId="24609F1A">
      <w:pPr>
        <w:adjustRightInd w:val="0"/>
        <w:snapToGrid w:val="0"/>
        <w:spacing w:line="600" w:lineRule="exact"/>
        <w:ind w:firstLine="720"/>
        <w:rPr>
          <w:rFonts w:eastAsia="方正仿宋_GBK"/>
          <w:sz w:val="33"/>
          <w:szCs w:val="33"/>
        </w:rPr>
      </w:pPr>
      <w:r>
        <w:rPr>
          <w:rFonts w:hint="eastAsia" w:ascii="仿宋_GB2312" w:hAnsi="宋体" w:eastAsia="仿宋_GB2312"/>
          <w:sz w:val="32"/>
          <w:szCs w:val="32"/>
          <w:lang w:val="zh-CN"/>
        </w:rPr>
        <w:t>项目主管单位提供文件依据，申报项目，待批复后组织实施项目，并做好项目监督工作，待项目完成后，对项目进行评价，总结工作中的不足并提出解决办法。</w:t>
      </w:r>
    </w:p>
    <w:p w14:paraId="098C11DB">
      <w:pPr>
        <w:adjustRightInd w:val="0"/>
        <w:snapToGrid w:val="0"/>
        <w:spacing w:line="578" w:lineRule="exact"/>
        <w:ind w:firstLine="643" w:firstLineChars="200"/>
        <w:rPr>
          <w:rFonts w:eastAsia="楷体_GB2312"/>
          <w:b/>
          <w:sz w:val="32"/>
          <w:szCs w:val="32"/>
        </w:rPr>
      </w:pPr>
      <w:r>
        <w:rPr>
          <w:rFonts w:hint="eastAsia" w:eastAsia="楷体_GB2312"/>
          <w:b/>
          <w:sz w:val="32"/>
          <w:szCs w:val="32"/>
          <w:lang w:val="zh-CN"/>
        </w:rPr>
        <w:t>（二）</w:t>
      </w:r>
      <w:r>
        <w:rPr>
          <w:rFonts w:eastAsia="楷体_GB2312"/>
          <w:b/>
          <w:sz w:val="32"/>
          <w:szCs w:val="32"/>
        </w:rPr>
        <w:t>实施目的及支持方向</w:t>
      </w:r>
      <w:r>
        <w:rPr>
          <w:rFonts w:hint="eastAsia" w:eastAsia="楷体_GB2312"/>
          <w:b/>
          <w:sz w:val="32"/>
          <w:szCs w:val="32"/>
        </w:rPr>
        <w:t>。</w:t>
      </w:r>
    </w:p>
    <w:p w14:paraId="0764A170">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严格按照相关规定立项，项目资金使用符合资金管理办法等相关规定。我院严格按相关要求对项目资金进行申报、待批复后再投入使用。</w:t>
      </w:r>
    </w:p>
    <w:p w14:paraId="55AE6FD8">
      <w:pPr>
        <w:autoSpaceDE w:val="0"/>
        <w:autoSpaceDN w:val="0"/>
        <w:adjustRightInd w:val="0"/>
        <w:ind w:firstLine="640" w:firstLineChars="200"/>
        <w:jc w:val="left"/>
        <w:rPr>
          <w:rFonts w:eastAsia="方正仿宋_GBK"/>
          <w:sz w:val="33"/>
          <w:szCs w:val="33"/>
        </w:rPr>
      </w:pPr>
      <w:r>
        <w:rPr>
          <w:rFonts w:hint="eastAsia" w:ascii="仿宋_GB2312" w:hAnsi="宋体" w:eastAsia="仿宋_GB2312"/>
          <w:sz w:val="32"/>
          <w:szCs w:val="32"/>
          <w:lang w:val="zh-CN"/>
        </w:rPr>
        <w:t>为规范本院国家司法救助工作，维护当事人合法权益，保障社会公平正义，促进社会和谐稳定，根据中央政法委、财政部、最高人民法院、最高人民检察院、公安部、司法部《关于建立完善国家司法救助制度的意见（试行）》、四川省委政法委、四川省财政厅、四川省高级人民法院、四川省人民检察院、四川省公安厅、四川省司法厅《四川省国家司法救助实施办法（试行）》等文件要求和相关法律法规，结合本院工作实际，申请财政经费4万元。</w:t>
      </w:r>
    </w:p>
    <w:p w14:paraId="13C47801">
      <w:pPr>
        <w:widowControl/>
        <w:adjustRightInd w:val="0"/>
        <w:snapToGrid w:val="0"/>
        <w:spacing w:line="578" w:lineRule="exact"/>
        <w:ind w:firstLine="643" w:firstLineChars="200"/>
        <w:contextualSpacing/>
        <w:jc w:val="left"/>
        <w:rPr>
          <w:rFonts w:eastAsia="楷体_GB2312"/>
          <w:b/>
          <w:sz w:val="32"/>
          <w:szCs w:val="32"/>
          <w:lang w:val="zh-CN"/>
        </w:rPr>
      </w:pPr>
      <w:r>
        <w:rPr>
          <w:rFonts w:hint="eastAsia" w:eastAsia="楷体_GB2312"/>
          <w:b/>
          <w:sz w:val="32"/>
          <w:szCs w:val="32"/>
          <w:lang w:val="zh-CN"/>
        </w:rPr>
        <w:t>（三）</w:t>
      </w:r>
      <w:r>
        <w:rPr>
          <w:rFonts w:eastAsia="楷体_GB2312"/>
          <w:b/>
          <w:sz w:val="32"/>
          <w:szCs w:val="32"/>
        </w:rPr>
        <w:t>预算安排及分配管理</w:t>
      </w:r>
      <w:r>
        <w:rPr>
          <w:rFonts w:hint="eastAsia" w:eastAsia="楷体_GB2312"/>
          <w:b/>
          <w:sz w:val="32"/>
          <w:szCs w:val="32"/>
          <w:lang w:val="zh-CN"/>
        </w:rPr>
        <w:t>。</w:t>
      </w:r>
    </w:p>
    <w:p w14:paraId="0FABD3E8">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制定了专项资金管理制度，明确专项资金严格按照其审批范围使用。</w:t>
      </w:r>
    </w:p>
    <w:p w14:paraId="212089B0">
      <w:pPr>
        <w:adjustRightInd w:val="0"/>
        <w:snapToGrid w:val="0"/>
        <w:spacing w:line="578" w:lineRule="exact"/>
        <w:ind w:firstLine="643" w:firstLineChars="200"/>
        <w:rPr>
          <w:rFonts w:eastAsia="楷体_GB2312"/>
          <w:b/>
          <w:sz w:val="32"/>
          <w:szCs w:val="32"/>
          <w:lang w:val="zh-CN"/>
        </w:rPr>
      </w:pPr>
      <w:r>
        <w:rPr>
          <w:rFonts w:hint="eastAsia" w:eastAsia="楷体_GB2312"/>
          <w:b/>
          <w:sz w:val="32"/>
          <w:szCs w:val="32"/>
          <w:lang w:val="zh-CN"/>
        </w:rPr>
        <w:t>（四）项目绩效目标设置。</w:t>
      </w:r>
    </w:p>
    <w:p w14:paraId="4F84E7A3">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资金严格按照项目预算分配，保证专款专用。</w:t>
      </w:r>
    </w:p>
    <w:p w14:paraId="1F55ABC3">
      <w:pPr>
        <w:adjustRightInd w:val="0"/>
        <w:snapToGrid w:val="0"/>
        <w:spacing w:line="578" w:lineRule="exact"/>
        <w:ind w:firstLine="640" w:firstLineChars="200"/>
        <w:rPr>
          <w:rFonts w:eastAsia="黑体"/>
          <w:sz w:val="32"/>
          <w:szCs w:val="32"/>
        </w:rPr>
      </w:pPr>
      <w:r>
        <w:rPr>
          <w:rFonts w:hint="eastAsia" w:eastAsia="黑体"/>
          <w:sz w:val="32"/>
          <w:szCs w:val="32"/>
        </w:rPr>
        <w:t>二、评价实施</w:t>
      </w:r>
    </w:p>
    <w:p w14:paraId="0A97B299">
      <w:pPr>
        <w:spacing w:line="578" w:lineRule="exact"/>
        <w:ind w:firstLine="640"/>
        <w:rPr>
          <w:rFonts w:eastAsia="楷体_GB2312"/>
          <w:b/>
          <w:sz w:val="32"/>
          <w:szCs w:val="32"/>
          <w:lang w:val="zh-CN"/>
        </w:rPr>
      </w:pPr>
      <w:r>
        <w:rPr>
          <w:rFonts w:hint="eastAsia" w:eastAsia="楷体_GB2312"/>
          <w:b/>
          <w:sz w:val="32"/>
          <w:szCs w:val="32"/>
          <w:lang w:val="zh-CN"/>
        </w:rPr>
        <w:t>（一）评价目的。</w:t>
      </w:r>
    </w:p>
    <w:p w14:paraId="32D42589">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进一步落实最高人民法院《关于加强和规范人民法院国家司法救助工作的意见》、最高人民法院关于深化执行改革健全解决执行难长效机制的意见——人民法院执行工作纲要(2019—2023)文件精神，推动健全执行救助制度、司法救助制度，使更多涉民生案件困难当事人得到救助，切实增强人民群众的获得感。</w:t>
      </w:r>
    </w:p>
    <w:p w14:paraId="68E1A0E9">
      <w:pPr>
        <w:adjustRightInd w:val="0"/>
        <w:snapToGrid w:val="0"/>
        <w:spacing w:line="578" w:lineRule="exact"/>
        <w:ind w:firstLine="643" w:firstLineChars="200"/>
        <w:rPr>
          <w:rFonts w:eastAsia="楷体_GB2312"/>
          <w:b/>
          <w:sz w:val="32"/>
          <w:szCs w:val="32"/>
          <w:lang w:val="zh-CN"/>
        </w:rPr>
      </w:pPr>
      <w:r>
        <w:rPr>
          <w:rFonts w:hint="eastAsia" w:eastAsia="楷体_GB2312"/>
          <w:b/>
          <w:sz w:val="32"/>
          <w:szCs w:val="32"/>
          <w:lang w:val="zh-CN"/>
        </w:rPr>
        <w:t>（二）预设问题及评价重点。</w:t>
      </w:r>
    </w:p>
    <w:p w14:paraId="57F7D917">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我院支出经费均为财政资金，年初按项目名称编制了每个项目的资金使用计划。在使用中合理安排各项用款，坚持坚持厉行节约，严控一般性支出，切实将党政机关过紧日子要求落到实处，把各项开支降到最低。</w:t>
      </w:r>
    </w:p>
    <w:p w14:paraId="0379ED7F">
      <w:pPr>
        <w:spacing w:line="578" w:lineRule="exact"/>
        <w:ind w:firstLine="640"/>
        <w:rPr>
          <w:rFonts w:eastAsia="楷体_GB2312"/>
          <w:b/>
          <w:sz w:val="32"/>
          <w:szCs w:val="32"/>
          <w:lang w:val="zh-CN"/>
        </w:rPr>
      </w:pPr>
      <w:r>
        <w:rPr>
          <w:rFonts w:hint="eastAsia" w:eastAsia="楷体_GB2312"/>
          <w:b/>
          <w:sz w:val="32"/>
          <w:szCs w:val="32"/>
          <w:lang w:val="zh-CN"/>
        </w:rPr>
        <w:t>（三）评价选点。</w:t>
      </w:r>
    </w:p>
    <w:p w14:paraId="545245A3">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项目目标评价，项目经济评价，项目决策分析与评价。</w:t>
      </w:r>
    </w:p>
    <w:p w14:paraId="58299000">
      <w:pPr>
        <w:spacing w:line="578" w:lineRule="exact"/>
        <w:ind w:firstLine="640"/>
        <w:rPr>
          <w:rFonts w:eastAsia="楷体_GB2312"/>
          <w:b/>
          <w:sz w:val="32"/>
          <w:szCs w:val="32"/>
          <w:lang w:val="zh-CN"/>
        </w:rPr>
      </w:pPr>
      <w:r>
        <w:rPr>
          <w:rFonts w:hint="eastAsia" w:eastAsia="楷体_GB2312"/>
          <w:b/>
          <w:sz w:val="32"/>
          <w:szCs w:val="32"/>
          <w:lang w:val="zh-CN"/>
        </w:rPr>
        <w:t>（四）评价方法。</w:t>
      </w:r>
    </w:p>
    <w:p w14:paraId="57D40683">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单位自评法。</w:t>
      </w:r>
    </w:p>
    <w:p w14:paraId="2B76894A">
      <w:pPr>
        <w:spacing w:line="578" w:lineRule="exact"/>
        <w:ind w:firstLine="640"/>
        <w:rPr>
          <w:rFonts w:eastAsia="楷体_GB2312"/>
          <w:b/>
          <w:sz w:val="32"/>
          <w:szCs w:val="32"/>
          <w:lang w:val="zh-CN"/>
        </w:rPr>
      </w:pPr>
      <w:r>
        <w:rPr>
          <w:rFonts w:hint="eastAsia" w:eastAsia="楷体_GB2312"/>
          <w:b/>
          <w:sz w:val="32"/>
          <w:szCs w:val="32"/>
          <w:lang w:val="zh-CN"/>
        </w:rPr>
        <w:t>（五）评价组织。</w:t>
      </w:r>
    </w:p>
    <w:p w14:paraId="52806262">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项目负责人及综合办公室财务负责人按照职责完成工作。</w:t>
      </w:r>
    </w:p>
    <w:p w14:paraId="147D32F7">
      <w:pPr>
        <w:adjustRightInd w:val="0"/>
        <w:snapToGrid w:val="0"/>
        <w:spacing w:line="578" w:lineRule="exact"/>
        <w:ind w:firstLine="640" w:firstLineChars="200"/>
        <w:rPr>
          <w:sz w:val="32"/>
          <w:szCs w:val="32"/>
          <w:lang w:val="zh-CN"/>
        </w:rPr>
      </w:pPr>
      <w:r>
        <w:rPr>
          <w:rFonts w:hint="eastAsia" w:eastAsia="黑体"/>
          <w:sz w:val="32"/>
          <w:szCs w:val="32"/>
        </w:rPr>
        <w:t>三、绩效分析</w:t>
      </w:r>
      <w:r>
        <w:rPr>
          <w:rFonts w:hint="eastAsia"/>
          <w:sz w:val="32"/>
          <w:szCs w:val="32"/>
          <w:lang w:val="zh-CN"/>
        </w:rPr>
        <w:tab/>
      </w:r>
    </w:p>
    <w:p w14:paraId="5221F4EA">
      <w:pPr>
        <w:spacing w:line="578" w:lineRule="exact"/>
        <w:ind w:firstLine="640"/>
        <w:rPr>
          <w:rFonts w:eastAsia="楷体_GB2312"/>
          <w:b/>
          <w:sz w:val="32"/>
          <w:szCs w:val="32"/>
        </w:rPr>
      </w:pPr>
      <w:r>
        <w:rPr>
          <w:rFonts w:hint="eastAsia" w:eastAsia="楷体_GB2312"/>
          <w:b/>
          <w:sz w:val="32"/>
          <w:szCs w:val="32"/>
          <w:lang w:val="zh-CN"/>
        </w:rPr>
        <w:t>（一）</w:t>
      </w:r>
      <w:r>
        <w:rPr>
          <w:rFonts w:hint="eastAsia" w:eastAsia="楷体_GB2312"/>
          <w:b/>
          <w:sz w:val="32"/>
          <w:szCs w:val="32"/>
        </w:rPr>
        <w:t>通用指标</w:t>
      </w:r>
      <w:r>
        <w:rPr>
          <w:rFonts w:eastAsia="楷体_GB2312"/>
          <w:b/>
          <w:bCs/>
          <w:color w:val="000000"/>
          <w:kern w:val="0"/>
          <w:sz w:val="32"/>
          <w:szCs w:val="32"/>
          <w:shd w:val="clear" w:color="auto" w:fill="FFFFFF"/>
          <w:lang w:val="zh-CN"/>
        </w:rPr>
        <w:t>绩效分析。</w:t>
      </w:r>
    </w:p>
    <w:p w14:paraId="14520465">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1.项目决策。</w:t>
      </w:r>
    </w:p>
    <w:p w14:paraId="38EDAFB5">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我院司法救助项目由负责司法救助的业务部门提出项目需求，报院党组同意后实施。</w:t>
      </w:r>
    </w:p>
    <w:p w14:paraId="20B67891">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2.项目管理。</w:t>
      </w:r>
    </w:p>
    <w:p w14:paraId="1D0C0624">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项目运行过程中定期由督察部门等对项目进行情况进行抽查监督。</w:t>
      </w:r>
    </w:p>
    <w:p w14:paraId="62C48492">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3.项目实施。</w:t>
      </w:r>
    </w:p>
    <w:p w14:paraId="19DB9363">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由具体的业务部门完成对项目的实施。</w:t>
      </w:r>
    </w:p>
    <w:p w14:paraId="6837B2D8">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en-US" w:eastAsia="zh-CN"/>
        </w:rPr>
        <w:t>4.</w:t>
      </w:r>
      <w:r>
        <w:rPr>
          <w:rFonts w:hint="eastAsia" w:ascii="仿宋_GB2312" w:hAnsi="宋体" w:eastAsia="仿宋_GB2312"/>
          <w:sz w:val="32"/>
          <w:szCs w:val="32"/>
          <w:lang w:val="zh-CN"/>
        </w:rPr>
        <w:t>项目结果。</w:t>
      </w:r>
    </w:p>
    <w:p w14:paraId="69A7B0DC">
      <w:pPr>
        <w:adjustRightInd w:val="0"/>
        <w:snapToGrid w:val="0"/>
        <w:spacing w:line="600" w:lineRule="exact"/>
        <w:ind w:firstLine="720"/>
        <w:rPr>
          <w:rFonts w:eastAsia="方正仿宋_GBK"/>
          <w:sz w:val="33"/>
          <w:szCs w:val="33"/>
        </w:rPr>
      </w:pPr>
      <w:r>
        <w:rPr>
          <w:rFonts w:hint="eastAsia" w:ascii="仿宋_GB2312" w:hAnsi="宋体" w:eastAsia="仿宋_GB2312"/>
          <w:sz w:val="32"/>
          <w:szCs w:val="32"/>
          <w:lang w:val="zh-CN"/>
        </w:rPr>
        <w:t>已按年初预算完成项目指标。</w:t>
      </w:r>
    </w:p>
    <w:p w14:paraId="3B509A15">
      <w:pPr>
        <w:spacing w:line="578" w:lineRule="exact"/>
        <w:ind w:firstLine="640"/>
        <w:rPr>
          <w:rFonts w:eastAsia="仿宋_GB2312" w:cs="仿宋_GB2312"/>
          <w:kern w:val="0"/>
          <w:sz w:val="32"/>
          <w:szCs w:val="32"/>
          <w:lang w:val="zh-CN"/>
        </w:rPr>
      </w:pPr>
      <w:r>
        <w:rPr>
          <w:rFonts w:hint="eastAsia" w:eastAsia="楷体_GB2312"/>
          <w:b/>
          <w:sz w:val="32"/>
          <w:szCs w:val="32"/>
          <w:lang w:val="zh-CN"/>
        </w:rPr>
        <w:t>（二）</w:t>
      </w:r>
      <w:r>
        <w:rPr>
          <w:rFonts w:hint="eastAsia" w:eastAsia="楷体_GB2312"/>
          <w:b/>
          <w:sz w:val="32"/>
          <w:szCs w:val="32"/>
        </w:rPr>
        <w:t>专用指标</w:t>
      </w:r>
      <w:r>
        <w:rPr>
          <w:rFonts w:eastAsia="楷体_GB2312"/>
          <w:b/>
          <w:bCs/>
          <w:color w:val="000000"/>
          <w:kern w:val="0"/>
          <w:sz w:val="32"/>
          <w:szCs w:val="32"/>
          <w:shd w:val="clear" w:color="auto" w:fill="FFFFFF"/>
          <w:lang w:val="zh-CN"/>
        </w:rPr>
        <w:t>绩效分析。</w:t>
      </w:r>
    </w:p>
    <w:p w14:paraId="1F4242F8">
      <w:pPr>
        <w:adjustRightInd w:val="0"/>
        <w:snapToGrid w:val="0"/>
        <w:spacing w:line="600" w:lineRule="exact"/>
        <w:ind w:firstLine="72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1.产业发展。</w:t>
      </w:r>
    </w:p>
    <w:p w14:paraId="44BABFD5">
      <w:pPr>
        <w:adjustRightInd w:val="0"/>
        <w:snapToGrid w:val="0"/>
        <w:spacing w:line="600" w:lineRule="exact"/>
        <w:ind w:firstLine="72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使更多涉民生案件困难当事人得到救助，切实增强人民群众的获得感，提升司法、执行工作公信力及人民群众满意度。</w:t>
      </w:r>
    </w:p>
    <w:p w14:paraId="5E98F619">
      <w:pPr>
        <w:adjustRightInd w:val="0"/>
        <w:snapToGrid w:val="0"/>
        <w:spacing w:line="600" w:lineRule="exact"/>
        <w:ind w:firstLine="720"/>
        <w:rPr>
          <w:rFonts w:hint="eastAsia" w:ascii="仿宋_GB2312" w:hAnsi="宋体" w:eastAsia="仿宋_GB2312"/>
          <w:sz w:val="32"/>
          <w:szCs w:val="32"/>
          <w:lang w:val="zh-CN" w:eastAsia="zh-CN"/>
        </w:rPr>
      </w:pPr>
      <w:r>
        <w:rPr>
          <w:rFonts w:hint="eastAsia" w:ascii="仿宋_GB2312" w:hAnsi="宋体" w:eastAsia="仿宋_GB2312"/>
          <w:sz w:val="32"/>
          <w:szCs w:val="32"/>
          <w:lang w:val="en-US" w:eastAsia="zh-CN"/>
        </w:rPr>
        <w:t>2.</w:t>
      </w:r>
      <w:r>
        <w:rPr>
          <w:rFonts w:hint="eastAsia" w:ascii="仿宋_GB2312" w:hAnsi="宋体" w:eastAsia="仿宋_GB2312"/>
          <w:sz w:val="32"/>
          <w:szCs w:val="32"/>
          <w:lang w:val="zh-CN" w:eastAsia="zh-CN"/>
        </w:rPr>
        <w:t>民生保障。</w:t>
      </w:r>
    </w:p>
    <w:p w14:paraId="2ABC49E1">
      <w:pPr>
        <w:adjustRightInd w:val="0"/>
        <w:snapToGrid w:val="0"/>
        <w:spacing w:line="600" w:lineRule="exact"/>
        <w:ind w:firstLine="72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保障困难当事人的合法权益。</w:t>
      </w:r>
    </w:p>
    <w:p w14:paraId="458ABFF2">
      <w:pPr>
        <w:adjustRightInd w:val="0"/>
        <w:snapToGrid w:val="0"/>
        <w:spacing w:line="600" w:lineRule="exact"/>
        <w:ind w:firstLine="72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3.基础设施。</w:t>
      </w:r>
    </w:p>
    <w:p w14:paraId="36807472">
      <w:pPr>
        <w:adjustRightInd w:val="0"/>
        <w:snapToGrid w:val="0"/>
        <w:spacing w:line="600" w:lineRule="exact"/>
        <w:ind w:firstLine="72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无。</w:t>
      </w:r>
    </w:p>
    <w:p w14:paraId="228D51B9">
      <w:pPr>
        <w:adjustRightInd w:val="0"/>
        <w:snapToGrid w:val="0"/>
        <w:spacing w:line="600" w:lineRule="exact"/>
        <w:ind w:firstLine="720"/>
        <w:rPr>
          <w:rFonts w:hint="eastAsia" w:ascii="仿宋_GB2312" w:hAnsi="宋体" w:eastAsia="仿宋_GB2312"/>
          <w:sz w:val="32"/>
          <w:szCs w:val="32"/>
          <w:lang w:val="zh-CN" w:eastAsia="zh-CN"/>
        </w:rPr>
      </w:pPr>
      <w:r>
        <w:rPr>
          <w:rFonts w:hint="eastAsia" w:ascii="仿宋_GB2312" w:hAnsi="宋体" w:eastAsia="仿宋_GB2312"/>
          <w:sz w:val="32"/>
          <w:szCs w:val="32"/>
          <w:lang w:val="en-US" w:eastAsia="zh-CN"/>
        </w:rPr>
        <w:t>4.</w:t>
      </w:r>
      <w:r>
        <w:rPr>
          <w:rFonts w:hint="eastAsia" w:ascii="仿宋_GB2312" w:hAnsi="宋体" w:eastAsia="仿宋_GB2312"/>
          <w:sz w:val="32"/>
          <w:szCs w:val="32"/>
          <w:lang w:val="zh-CN" w:eastAsia="zh-CN"/>
        </w:rPr>
        <w:t>行政运转。</w:t>
      </w:r>
    </w:p>
    <w:p w14:paraId="5811AB5D">
      <w:pPr>
        <w:adjustRightInd w:val="0"/>
        <w:snapToGrid w:val="0"/>
        <w:spacing w:line="600" w:lineRule="exact"/>
        <w:ind w:firstLine="72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按照年初预算要求对资金进行管理，保障项目顺利开展。</w:t>
      </w:r>
    </w:p>
    <w:p w14:paraId="305990F8">
      <w:pPr>
        <w:spacing w:line="578" w:lineRule="exact"/>
        <w:ind w:firstLine="640"/>
        <w:rPr>
          <w:rFonts w:eastAsia="楷体_GB2312"/>
          <w:b/>
          <w:bCs/>
          <w:color w:val="000000"/>
          <w:kern w:val="0"/>
          <w:sz w:val="32"/>
          <w:szCs w:val="32"/>
          <w:shd w:val="clear" w:color="auto" w:fill="FFFFFF"/>
          <w:lang w:val="zh-CN"/>
        </w:rPr>
      </w:pPr>
      <w:r>
        <w:rPr>
          <w:rFonts w:hint="eastAsia" w:eastAsia="楷体_GB2312"/>
          <w:b/>
          <w:sz w:val="32"/>
          <w:szCs w:val="32"/>
          <w:lang w:val="zh-CN"/>
        </w:rPr>
        <w:t>（三）</w:t>
      </w:r>
      <w:r>
        <w:rPr>
          <w:rFonts w:hint="eastAsia" w:eastAsia="楷体_GB2312"/>
          <w:b/>
          <w:sz w:val="32"/>
          <w:szCs w:val="32"/>
        </w:rPr>
        <w:t>个性指标</w:t>
      </w:r>
      <w:r>
        <w:rPr>
          <w:rFonts w:eastAsia="楷体_GB2312"/>
          <w:b/>
          <w:bCs/>
          <w:color w:val="000000"/>
          <w:kern w:val="0"/>
          <w:sz w:val="32"/>
          <w:szCs w:val="32"/>
          <w:shd w:val="clear" w:color="auto" w:fill="FFFFFF"/>
          <w:lang w:val="zh-CN"/>
        </w:rPr>
        <w:t>绩效分析。</w:t>
      </w:r>
    </w:p>
    <w:p w14:paraId="58107AF2">
      <w:pPr>
        <w:adjustRightInd w:val="0"/>
        <w:snapToGrid w:val="0"/>
        <w:spacing w:line="600" w:lineRule="exact"/>
        <w:ind w:firstLine="72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被救助当事人满意度：98%。</w:t>
      </w:r>
    </w:p>
    <w:p w14:paraId="29719A07">
      <w:pPr>
        <w:spacing w:line="578" w:lineRule="exact"/>
        <w:ind w:firstLine="640"/>
        <w:rPr>
          <w:rFonts w:ascii="黑体" w:hAnsi="黑体" w:eastAsia="黑体" w:cs="黑体"/>
          <w:kern w:val="0"/>
          <w:sz w:val="32"/>
          <w:szCs w:val="32"/>
        </w:rPr>
      </w:pPr>
      <w:r>
        <w:rPr>
          <w:rFonts w:hint="eastAsia" w:ascii="黑体" w:hAnsi="黑体" w:eastAsia="黑体" w:cs="黑体"/>
          <w:kern w:val="0"/>
          <w:sz w:val="32"/>
          <w:szCs w:val="32"/>
        </w:rPr>
        <w:t>四、评价结论</w:t>
      </w:r>
    </w:p>
    <w:p w14:paraId="0BADC81F">
      <w:pPr>
        <w:spacing w:line="578" w:lineRule="exact"/>
        <w:ind w:firstLine="640"/>
        <w:rPr>
          <w:rFonts w:eastAsia="方正仿宋_GBK"/>
          <w:sz w:val="33"/>
          <w:szCs w:val="33"/>
        </w:rPr>
      </w:pPr>
      <w:r>
        <w:rPr>
          <w:rFonts w:hint="eastAsia" w:ascii="仿宋_GB2312" w:hAnsi="宋体" w:eastAsia="仿宋_GB2312"/>
          <w:sz w:val="32"/>
          <w:szCs w:val="32"/>
          <w:lang w:val="en-US" w:eastAsia="zh-CN"/>
        </w:rPr>
        <w:t>经过项目自评，我院司法救助项目总体运行情况良好，保障了生活困难当事人的各项经费开支。</w:t>
      </w:r>
    </w:p>
    <w:p w14:paraId="44D1C7CF">
      <w:pPr>
        <w:spacing w:line="578" w:lineRule="exact"/>
        <w:ind w:firstLine="640"/>
        <w:rPr>
          <w:rFonts w:ascii="黑体" w:hAnsi="黑体" w:eastAsia="黑体" w:cs="黑体"/>
          <w:kern w:val="0"/>
          <w:sz w:val="32"/>
          <w:szCs w:val="32"/>
        </w:rPr>
      </w:pPr>
      <w:r>
        <w:rPr>
          <w:rFonts w:hint="eastAsia" w:ascii="黑体" w:hAnsi="黑体" w:eastAsia="黑体" w:cs="黑体"/>
          <w:kern w:val="0"/>
          <w:sz w:val="32"/>
          <w:szCs w:val="32"/>
        </w:rPr>
        <w:t>五、存在主要问题</w:t>
      </w:r>
    </w:p>
    <w:p w14:paraId="23A46966">
      <w:pPr>
        <w:spacing w:line="578" w:lineRule="exact"/>
        <w:ind w:firstLine="640"/>
        <w:rPr>
          <w:rFonts w:eastAsia="仿宋_GB2312" w:cs="仿宋_GB2312"/>
          <w:kern w:val="0"/>
          <w:sz w:val="32"/>
          <w:szCs w:val="32"/>
        </w:rPr>
      </w:pPr>
      <w:r>
        <w:rPr>
          <w:rFonts w:hint="eastAsia" w:eastAsia="仿宋_GB2312" w:cs="仿宋_GB2312"/>
          <w:kern w:val="0"/>
          <w:sz w:val="32"/>
          <w:szCs w:val="32"/>
        </w:rPr>
        <w:t>无。</w:t>
      </w:r>
    </w:p>
    <w:p w14:paraId="64FD1DB0">
      <w:pPr>
        <w:spacing w:line="578" w:lineRule="exact"/>
        <w:ind w:firstLine="640"/>
        <w:rPr>
          <w:rFonts w:ascii="黑体" w:hAnsi="黑体" w:eastAsia="黑体" w:cs="黑体"/>
          <w:kern w:val="0"/>
          <w:sz w:val="32"/>
          <w:szCs w:val="32"/>
          <w:lang w:val="zh-CN"/>
        </w:rPr>
      </w:pPr>
      <w:r>
        <w:rPr>
          <w:rFonts w:hint="eastAsia" w:ascii="黑体" w:hAnsi="黑体" w:eastAsia="黑体" w:cs="黑体"/>
          <w:kern w:val="0"/>
          <w:sz w:val="32"/>
          <w:szCs w:val="32"/>
          <w:lang w:val="zh-CN"/>
        </w:rPr>
        <w:t>六、改进建议</w:t>
      </w:r>
    </w:p>
    <w:p w14:paraId="0C892FB5">
      <w:pPr>
        <w:spacing w:line="578" w:lineRule="exact"/>
        <w:ind w:firstLine="64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加强绩效工作的相关培训学习，与业务工作相紧密结合，预算绩效与业务工作考核挂钩,建立预算绩效管理制度,提高绩效管理水平。</w:t>
      </w:r>
    </w:p>
    <w:p w14:paraId="37D93574">
      <w:pPr>
        <w:pStyle w:val="3"/>
        <w:ind w:left="0" w:leftChars="0" w:firstLine="0" w:firstLineChars="0"/>
        <w:rPr>
          <w:rFonts w:hint="eastAsia" w:eastAsia="仿宋_GB2312"/>
          <w:sz w:val="32"/>
          <w:szCs w:val="32"/>
          <w:lang w:val="zh-CN"/>
        </w:rPr>
      </w:pPr>
    </w:p>
    <w:p w14:paraId="0831450A">
      <w:pPr>
        <w:widowControl/>
        <w:jc w:val="center"/>
        <w:rPr>
          <w:rFonts w:eastAsia="仿宋_GB2312" w:cs="仿宋_GB2312"/>
          <w:kern w:val="0"/>
          <w:sz w:val="32"/>
          <w:szCs w:val="32"/>
        </w:rPr>
      </w:pPr>
    </w:p>
    <w:p w14:paraId="58A3E433">
      <w:pPr>
        <w:widowControl/>
        <w:jc w:val="center"/>
        <w:rPr>
          <w:rFonts w:eastAsia="黑体"/>
          <w:sz w:val="44"/>
          <w:szCs w:val="44"/>
        </w:rPr>
      </w:pPr>
    </w:p>
    <w:p w14:paraId="31D3FE6E">
      <w:pPr>
        <w:widowControl/>
        <w:jc w:val="center"/>
        <w:rPr>
          <w:rFonts w:eastAsia="黑体"/>
          <w:sz w:val="44"/>
          <w:szCs w:val="44"/>
        </w:rPr>
      </w:pPr>
    </w:p>
    <w:p w14:paraId="269D9256">
      <w:pPr>
        <w:widowControl/>
        <w:jc w:val="center"/>
        <w:rPr>
          <w:rFonts w:eastAsia="黑体"/>
          <w:sz w:val="44"/>
          <w:szCs w:val="44"/>
        </w:rPr>
      </w:pPr>
    </w:p>
    <w:p w14:paraId="41EB4056">
      <w:pPr>
        <w:widowControl/>
        <w:jc w:val="center"/>
        <w:rPr>
          <w:rFonts w:eastAsia="黑体"/>
          <w:sz w:val="44"/>
          <w:szCs w:val="44"/>
        </w:rPr>
      </w:pPr>
    </w:p>
    <w:p w14:paraId="06E1D135">
      <w:pPr>
        <w:widowControl/>
        <w:jc w:val="center"/>
        <w:rPr>
          <w:rFonts w:eastAsia="黑体"/>
          <w:sz w:val="44"/>
          <w:szCs w:val="44"/>
        </w:rPr>
      </w:pPr>
    </w:p>
    <w:p w14:paraId="6E99C21D">
      <w:pPr>
        <w:widowControl/>
        <w:jc w:val="center"/>
        <w:rPr>
          <w:rFonts w:eastAsia="黑体"/>
          <w:sz w:val="44"/>
          <w:szCs w:val="44"/>
        </w:rPr>
      </w:pPr>
    </w:p>
    <w:p w14:paraId="224753A4">
      <w:pPr>
        <w:widowControl/>
        <w:jc w:val="center"/>
        <w:rPr>
          <w:rFonts w:hint="eastAsia" w:eastAsia="黑体"/>
          <w:sz w:val="44"/>
          <w:szCs w:val="44"/>
        </w:rPr>
      </w:pPr>
    </w:p>
    <w:p w14:paraId="4ECBAA64">
      <w:pPr>
        <w:widowControl/>
        <w:jc w:val="both"/>
        <w:rPr>
          <w:rFonts w:hint="eastAsia" w:eastAsia="黑体"/>
          <w:sz w:val="44"/>
          <w:szCs w:val="44"/>
        </w:rPr>
      </w:pPr>
    </w:p>
    <w:p w14:paraId="42053B1F">
      <w:pPr>
        <w:pStyle w:val="2"/>
        <w:rPr>
          <w:rFonts w:hint="eastAsia" w:eastAsia="黑体"/>
          <w:sz w:val="44"/>
          <w:szCs w:val="44"/>
        </w:rPr>
      </w:pPr>
    </w:p>
    <w:p w14:paraId="1911DD04">
      <w:pPr>
        <w:pStyle w:val="3"/>
        <w:rPr>
          <w:rFonts w:hint="eastAsia" w:eastAsia="黑体"/>
          <w:sz w:val="44"/>
          <w:szCs w:val="44"/>
        </w:rPr>
      </w:pPr>
    </w:p>
    <w:p w14:paraId="14B47B83">
      <w:pPr>
        <w:pStyle w:val="3"/>
        <w:spacing w:line="560" w:lineRule="exact"/>
        <w:ind w:left="0" w:leftChars="0" w:firstLine="0" w:firstLineChars="0"/>
        <w:rPr>
          <w:rFonts w:hint="eastAsia" w:ascii="Times New Roman" w:eastAsia="仿宋_GB2312"/>
          <w:sz w:val="32"/>
          <w:lang w:val="zh-CN"/>
        </w:rPr>
      </w:pPr>
    </w:p>
    <w:p w14:paraId="43B00FE2">
      <w:pPr>
        <w:pStyle w:val="3"/>
        <w:spacing w:line="560" w:lineRule="exact"/>
        <w:ind w:left="0" w:leftChars="0" w:firstLine="0" w:firstLineChars="0"/>
        <w:rPr>
          <w:rFonts w:hint="default" w:eastAsia="仿宋_GB2312"/>
          <w:sz w:val="32"/>
          <w:szCs w:val="32"/>
          <w:lang w:val="en-US" w:eastAsia="zh-CN"/>
        </w:rPr>
      </w:pPr>
      <w:r>
        <w:rPr>
          <w:rFonts w:hint="eastAsia" w:ascii="Times New Roman" w:eastAsia="仿宋_GB2312"/>
          <w:sz w:val="32"/>
          <w:lang w:val="zh-CN"/>
        </w:rPr>
        <w:t>附表：</w:t>
      </w:r>
      <w:r>
        <w:rPr>
          <w:rFonts w:hint="eastAsia" w:ascii="Times New Roman" w:eastAsia="仿宋_GB2312"/>
          <w:sz w:val="32"/>
        </w:rPr>
        <w:t>部门预算项目支出绩效自评表（2024年度）</w:t>
      </w:r>
      <w:r>
        <w:rPr>
          <w:rFonts w:hint="eastAsia" w:ascii="Times New Roman" w:eastAsia="仿宋_GB2312"/>
          <w:sz w:val="32"/>
          <w:lang w:val="en-US" w:eastAsia="zh-CN"/>
        </w:rPr>
        <w:t>见附件3</w:t>
      </w:r>
    </w:p>
    <w:p w14:paraId="15EEA2B9">
      <w:pPr>
        <w:pStyle w:val="3"/>
        <w:rPr>
          <w:rFonts w:hint="eastAsia" w:eastAsia="黑体"/>
          <w:sz w:val="44"/>
          <w:szCs w:val="44"/>
        </w:rPr>
      </w:pPr>
    </w:p>
    <w:p w14:paraId="3367AE5E">
      <w:pPr>
        <w:pStyle w:val="3"/>
        <w:rPr>
          <w:rFonts w:hint="eastAsia" w:eastAsia="黑体"/>
          <w:sz w:val="44"/>
          <w:szCs w:val="44"/>
        </w:rPr>
      </w:pPr>
    </w:p>
    <w:p w14:paraId="7CCEAB7C">
      <w:pPr>
        <w:pStyle w:val="3"/>
        <w:rPr>
          <w:rFonts w:hint="eastAsia" w:eastAsia="黑体"/>
          <w:sz w:val="44"/>
          <w:szCs w:val="44"/>
        </w:rPr>
      </w:pPr>
    </w:p>
    <w:p w14:paraId="2B5E3385">
      <w:pPr>
        <w:pStyle w:val="3"/>
        <w:rPr>
          <w:rFonts w:hint="eastAsia" w:eastAsia="黑体"/>
          <w:sz w:val="44"/>
          <w:szCs w:val="44"/>
        </w:rPr>
      </w:pPr>
    </w:p>
    <w:p w14:paraId="248D8866">
      <w:pPr>
        <w:pStyle w:val="3"/>
        <w:rPr>
          <w:rFonts w:hint="eastAsia" w:eastAsia="黑体"/>
          <w:sz w:val="44"/>
          <w:szCs w:val="44"/>
        </w:rPr>
      </w:pPr>
    </w:p>
    <w:p w14:paraId="3219EC74">
      <w:pPr>
        <w:pStyle w:val="3"/>
        <w:rPr>
          <w:rFonts w:hint="eastAsia" w:eastAsia="黑体"/>
          <w:sz w:val="44"/>
          <w:szCs w:val="44"/>
        </w:rPr>
      </w:pPr>
    </w:p>
    <w:p w14:paraId="7BD4ED4B">
      <w:pPr>
        <w:widowControl/>
        <w:jc w:val="center"/>
        <w:rPr>
          <w:rFonts w:hint="eastAsia" w:eastAsia="黑体"/>
          <w:sz w:val="44"/>
          <w:szCs w:val="44"/>
        </w:rPr>
      </w:pPr>
    </w:p>
    <w:p w14:paraId="205526F0">
      <w:pPr>
        <w:widowControl/>
        <w:jc w:val="center"/>
        <w:rPr>
          <w:rFonts w:hint="eastAsia" w:eastAsia="黑体"/>
          <w:sz w:val="44"/>
          <w:szCs w:val="44"/>
        </w:rPr>
      </w:pPr>
    </w:p>
    <w:p w14:paraId="73256B94">
      <w:pPr>
        <w:widowControl/>
        <w:jc w:val="center"/>
        <w:rPr>
          <w:rFonts w:hint="eastAsia" w:eastAsia="黑体"/>
          <w:sz w:val="44"/>
          <w:szCs w:val="44"/>
        </w:rPr>
      </w:pPr>
    </w:p>
    <w:p w14:paraId="6399A240">
      <w:pPr>
        <w:widowControl/>
        <w:jc w:val="center"/>
        <w:rPr>
          <w:rFonts w:hint="eastAsia" w:eastAsia="黑体"/>
          <w:sz w:val="44"/>
          <w:szCs w:val="44"/>
        </w:rPr>
      </w:pPr>
    </w:p>
    <w:p w14:paraId="5F8C70F8">
      <w:pPr>
        <w:widowControl/>
        <w:jc w:val="center"/>
        <w:rPr>
          <w:rFonts w:hint="eastAsia" w:eastAsia="黑体"/>
          <w:sz w:val="44"/>
          <w:szCs w:val="44"/>
        </w:rPr>
      </w:pPr>
    </w:p>
    <w:p w14:paraId="7645B5CD">
      <w:pPr>
        <w:widowControl/>
        <w:jc w:val="center"/>
        <w:rPr>
          <w:rFonts w:hint="eastAsia" w:eastAsia="黑体"/>
          <w:sz w:val="44"/>
          <w:szCs w:val="44"/>
        </w:rPr>
      </w:pPr>
    </w:p>
    <w:p w14:paraId="15083CA5">
      <w:pPr>
        <w:widowControl/>
        <w:jc w:val="center"/>
        <w:rPr>
          <w:rFonts w:hint="eastAsia" w:eastAsia="黑体"/>
          <w:sz w:val="44"/>
          <w:szCs w:val="44"/>
        </w:rPr>
      </w:pPr>
    </w:p>
    <w:p w14:paraId="2F79CDB4">
      <w:pPr>
        <w:widowControl/>
        <w:jc w:val="center"/>
        <w:rPr>
          <w:rFonts w:hint="eastAsia" w:eastAsia="黑体"/>
          <w:sz w:val="44"/>
          <w:szCs w:val="44"/>
        </w:rPr>
      </w:pPr>
    </w:p>
    <w:p w14:paraId="2F661F70">
      <w:pPr>
        <w:widowControl/>
        <w:jc w:val="center"/>
        <w:rPr>
          <w:rFonts w:hint="eastAsia" w:eastAsia="黑体"/>
          <w:sz w:val="44"/>
          <w:szCs w:val="44"/>
        </w:rPr>
      </w:pPr>
    </w:p>
    <w:p w14:paraId="2AA9638A">
      <w:pPr>
        <w:widowControl/>
        <w:jc w:val="center"/>
        <w:rPr>
          <w:rFonts w:hint="eastAsia" w:eastAsia="黑体"/>
          <w:sz w:val="44"/>
          <w:szCs w:val="44"/>
        </w:rPr>
      </w:pPr>
    </w:p>
    <w:p w14:paraId="065D950E">
      <w:pPr>
        <w:widowControl/>
        <w:jc w:val="center"/>
        <w:rPr>
          <w:rFonts w:hint="eastAsia" w:eastAsia="黑体"/>
          <w:sz w:val="44"/>
          <w:szCs w:val="44"/>
        </w:rPr>
      </w:pPr>
    </w:p>
    <w:p w14:paraId="2927D88B">
      <w:pPr>
        <w:widowControl/>
        <w:jc w:val="center"/>
        <w:rPr>
          <w:rFonts w:hint="eastAsia" w:eastAsia="黑体"/>
          <w:sz w:val="44"/>
          <w:szCs w:val="44"/>
        </w:rPr>
      </w:pPr>
    </w:p>
    <w:p w14:paraId="7B18F336">
      <w:pPr>
        <w:widowControl/>
        <w:jc w:val="center"/>
        <w:rPr>
          <w:rFonts w:hint="eastAsia" w:eastAsia="黑体"/>
          <w:sz w:val="44"/>
          <w:szCs w:val="44"/>
        </w:rPr>
      </w:pPr>
    </w:p>
    <w:p w14:paraId="0897CEF3">
      <w:pPr>
        <w:widowControl/>
        <w:jc w:val="center"/>
        <w:rPr>
          <w:rFonts w:eastAsia="仿宋"/>
        </w:rPr>
      </w:pPr>
      <w:r>
        <w:rPr>
          <w:rFonts w:hint="eastAsia" w:eastAsia="黑体"/>
          <w:sz w:val="44"/>
          <w:szCs w:val="44"/>
        </w:rPr>
        <w:t>第</w:t>
      </w:r>
      <w:r>
        <w:rPr>
          <w:rStyle w:val="28"/>
          <w:rFonts w:hint="eastAsia" w:eastAsia="黑体"/>
          <w:b w:val="0"/>
        </w:rPr>
        <w:t>五部分 附表</w:t>
      </w:r>
      <w:bookmarkEnd w:id="49"/>
      <w:bookmarkEnd w:id="51"/>
      <w:bookmarkStart w:id="52" w:name="_Toc15396619"/>
    </w:p>
    <w:p w14:paraId="045C4A31">
      <w:pPr>
        <w:pStyle w:val="14"/>
        <w:adjustRightInd w:val="0"/>
        <w:snapToGrid w:val="0"/>
        <w:spacing w:line="560" w:lineRule="exact"/>
        <w:jc w:val="left"/>
        <w:rPr>
          <w:rFonts w:eastAsia="仿宋_GB2312" w:cs="仿宋_GB2312"/>
          <w:sz w:val="32"/>
          <w:szCs w:val="32"/>
        </w:rPr>
      </w:pPr>
    </w:p>
    <w:p w14:paraId="7323F03F">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52"/>
    </w:p>
    <w:p w14:paraId="3BEE17C2">
      <w:pPr>
        <w:pStyle w:val="14"/>
        <w:adjustRightInd w:val="0"/>
        <w:snapToGrid w:val="0"/>
        <w:spacing w:line="560" w:lineRule="exact"/>
        <w:jc w:val="left"/>
        <w:rPr>
          <w:rFonts w:eastAsia="仿宋_GB2312" w:cs="仿宋_GB2312"/>
          <w:sz w:val="32"/>
          <w:szCs w:val="32"/>
        </w:rPr>
      </w:pPr>
      <w:bookmarkStart w:id="53" w:name="_Toc15396620"/>
      <w:r>
        <w:rPr>
          <w:rFonts w:hint="eastAsia" w:eastAsia="仿宋_GB2312" w:cs="仿宋_GB2312"/>
          <w:sz w:val="32"/>
          <w:szCs w:val="32"/>
        </w:rPr>
        <w:t>二、收入决算表</w:t>
      </w:r>
      <w:bookmarkEnd w:id="53"/>
    </w:p>
    <w:p w14:paraId="12062609">
      <w:pPr>
        <w:pStyle w:val="14"/>
        <w:adjustRightInd w:val="0"/>
        <w:snapToGrid w:val="0"/>
        <w:spacing w:line="560" w:lineRule="exact"/>
        <w:jc w:val="left"/>
        <w:rPr>
          <w:rFonts w:eastAsia="仿宋_GB2312" w:cs="仿宋_GB2312"/>
          <w:sz w:val="32"/>
          <w:szCs w:val="32"/>
        </w:rPr>
      </w:pPr>
      <w:bookmarkStart w:id="54" w:name="_Toc15396621"/>
      <w:r>
        <w:rPr>
          <w:rFonts w:hint="eastAsia" w:eastAsia="仿宋_GB2312" w:cs="仿宋_GB2312"/>
          <w:sz w:val="32"/>
          <w:szCs w:val="32"/>
        </w:rPr>
        <w:t>三、支出决算表</w:t>
      </w:r>
      <w:bookmarkEnd w:id="54"/>
    </w:p>
    <w:p w14:paraId="5F712169">
      <w:pPr>
        <w:pStyle w:val="14"/>
        <w:adjustRightInd w:val="0"/>
        <w:snapToGrid w:val="0"/>
        <w:spacing w:line="560" w:lineRule="exact"/>
        <w:jc w:val="left"/>
        <w:rPr>
          <w:rFonts w:eastAsia="仿宋_GB2312" w:cs="仿宋_GB2312"/>
          <w:sz w:val="32"/>
          <w:szCs w:val="32"/>
        </w:rPr>
      </w:pPr>
      <w:bookmarkStart w:id="55" w:name="_Toc15396622"/>
      <w:r>
        <w:rPr>
          <w:rFonts w:hint="eastAsia" w:eastAsia="仿宋_GB2312" w:cs="仿宋_GB2312"/>
          <w:sz w:val="32"/>
          <w:szCs w:val="32"/>
        </w:rPr>
        <w:t>四、财政拨款收入支出决算总表</w:t>
      </w:r>
      <w:bookmarkEnd w:id="55"/>
    </w:p>
    <w:p w14:paraId="2A54668E">
      <w:pPr>
        <w:pStyle w:val="14"/>
        <w:adjustRightInd w:val="0"/>
        <w:snapToGrid w:val="0"/>
        <w:spacing w:line="560" w:lineRule="exact"/>
        <w:jc w:val="left"/>
        <w:rPr>
          <w:rFonts w:eastAsia="仿宋_GB2312" w:cs="仿宋_GB2312"/>
          <w:sz w:val="32"/>
          <w:szCs w:val="32"/>
        </w:rPr>
      </w:pPr>
      <w:bookmarkStart w:id="56" w:name="_Toc15396623"/>
      <w:r>
        <w:rPr>
          <w:rFonts w:hint="eastAsia" w:eastAsia="仿宋_GB2312" w:cs="仿宋_GB2312"/>
          <w:sz w:val="32"/>
          <w:szCs w:val="32"/>
        </w:rPr>
        <w:t>五、财政拨款支出决算明细表</w:t>
      </w:r>
      <w:bookmarkEnd w:id="56"/>
      <w:bookmarkStart w:id="57" w:name="_Toc15396624"/>
    </w:p>
    <w:p w14:paraId="3CCD438D">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57"/>
    </w:p>
    <w:p w14:paraId="546FC309">
      <w:pPr>
        <w:pStyle w:val="14"/>
        <w:adjustRightInd w:val="0"/>
        <w:snapToGrid w:val="0"/>
        <w:spacing w:line="560" w:lineRule="exact"/>
        <w:jc w:val="left"/>
        <w:rPr>
          <w:rFonts w:eastAsia="仿宋_GB2312" w:cs="仿宋_GB2312"/>
          <w:sz w:val="32"/>
          <w:szCs w:val="32"/>
        </w:rPr>
      </w:pPr>
      <w:bookmarkStart w:id="58" w:name="_Toc15396625"/>
      <w:r>
        <w:rPr>
          <w:rFonts w:hint="eastAsia" w:eastAsia="仿宋_GB2312" w:cs="仿宋_GB2312"/>
          <w:sz w:val="32"/>
          <w:szCs w:val="32"/>
        </w:rPr>
        <w:t>七、一般公共预算财政拨款支出决算明细表</w:t>
      </w:r>
      <w:bookmarkEnd w:id="58"/>
    </w:p>
    <w:p w14:paraId="00172E3E">
      <w:pPr>
        <w:pStyle w:val="14"/>
        <w:adjustRightInd w:val="0"/>
        <w:snapToGrid w:val="0"/>
        <w:spacing w:line="560" w:lineRule="exact"/>
        <w:jc w:val="left"/>
        <w:rPr>
          <w:rFonts w:eastAsia="仿宋_GB2312" w:cs="仿宋_GB2312"/>
          <w:sz w:val="32"/>
          <w:szCs w:val="32"/>
        </w:rPr>
      </w:pPr>
      <w:bookmarkStart w:id="59" w:name="_Toc15396626"/>
      <w:r>
        <w:rPr>
          <w:rFonts w:hint="eastAsia" w:eastAsia="仿宋_GB2312" w:cs="仿宋_GB2312"/>
          <w:sz w:val="32"/>
          <w:szCs w:val="32"/>
        </w:rPr>
        <w:t>八、一般公共预算财政拨款基本支出决算表</w:t>
      </w:r>
      <w:bookmarkEnd w:id="59"/>
    </w:p>
    <w:p w14:paraId="722B0873">
      <w:pPr>
        <w:pStyle w:val="14"/>
        <w:adjustRightInd w:val="0"/>
        <w:snapToGrid w:val="0"/>
        <w:spacing w:line="560" w:lineRule="exact"/>
        <w:jc w:val="left"/>
        <w:rPr>
          <w:rFonts w:eastAsia="仿宋_GB2312" w:cs="仿宋_GB2312"/>
          <w:sz w:val="32"/>
          <w:szCs w:val="32"/>
        </w:rPr>
      </w:pPr>
      <w:bookmarkStart w:id="60" w:name="_Toc15396627"/>
      <w:r>
        <w:rPr>
          <w:rFonts w:hint="eastAsia" w:eastAsia="仿宋_GB2312" w:cs="仿宋_GB2312"/>
          <w:sz w:val="32"/>
          <w:szCs w:val="32"/>
        </w:rPr>
        <w:t>九、一般公共预算财政拨款项目支出决算表</w:t>
      </w:r>
      <w:bookmarkEnd w:id="60"/>
    </w:p>
    <w:p w14:paraId="11322AD1">
      <w:pPr>
        <w:pStyle w:val="14"/>
        <w:adjustRightInd w:val="0"/>
        <w:snapToGrid w:val="0"/>
        <w:spacing w:line="560" w:lineRule="exact"/>
        <w:jc w:val="left"/>
        <w:rPr>
          <w:rFonts w:eastAsia="仿宋_GB2312" w:cs="仿宋_GB2312"/>
          <w:sz w:val="32"/>
          <w:szCs w:val="32"/>
        </w:rPr>
      </w:pPr>
      <w:bookmarkStart w:id="61" w:name="_Toc15396628"/>
      <w:r>
        <w:rPr>
          <w:rFonts w:hint="eastAsia" w:eastAsia="仿宋_GB2312" w:cs="仿宋_GB2312"/>
          <w:sz w:val="32"/>
          <w:szCs w:val="32"/>
        </w:rPr>
        <w:t>十、</w:t>
      </w:r>
      <w:bookmarkEnd w:id="61"/>
      <w:r>
        <w:rPr>
          <w:rFonts w:hint="eastAsia" w:eastAsia="仿宋_GB2312" w:cs="仿宋_GB2312"/>
          <w:sz w:val="32"/>
          <w:szCs w:val="32"/>
        </w:rPr>
        <w:t>政府性基金预算财政拨款收入支出决算表</w:t>
      </w:r>
    </w:p>
    <w:p w14:paraId="4F15B63D">
      <w:pPr>
        <w:pStyle w:val="14"/>
        <w:adjustRightInd w:val="0"/>
        <w:snapToGrid w:val="0"/>
        <w:spacing w:line="560" w:lineRule="exact"/>
        <w:jc w:val="left"/>
        <w:rPr>
          <w:rFonts w:eastAsia="仿宋_GB2312" w:cs="仿宋_GB2312"/>
          <w:sz w:val="32"/>
          <w:szCs w:val="32"/>
        </w:rPr>
      </w:pPr>
      <w:bookmarkStart w:id="62" w:name="_Toc15396629"/>
      <w:r>
        <w:rPr>
          <w:rFonts w:hint="eastAsia" w:eastAsia="仿宋_GB2312" w:cs="仿宋_GB2312"/>
          <w:sz w:val="32"/>
          <w:szCs w:val="32"/>
        </w:rPr>
        <w:t>十一、</w:t>
      </w:r>
      <w:bookmarkEnd w:id="62"/>
      <w:r>
        <w:rPr>
          <w:rFonts w:hint="eastAsia" w:eastAsia="仿宋_GB2312" w:cs="仿宋_GB2312"/>
          <w:sz w:val="32"/>
          <w:szCs w:val="32"/>
        </w:rPr>
        <w:t>国有资本经营预算财政拨款收入支出决算表</w:t>
      </w:r>
    </w:p>
    <w:p w14:paraId="74236E50">
      <w:pPr>
        <w:pStyle w:val="14"/>
        <w:adjustRightInd w:val="0"/>
        <w:snapToGrid w:val="0"/>
        <w:spacing w:line="560" w:lineRule="exact"/>
        <w:jc w:val="left"/>
        <w:rPr>
          <w:rFonts w:eastAsia="仿宋_GB2312" w:cs="仿宋_GB2312"/>
          <w:sz w:val="32"/>
          <w:szCs w:val="32"/>
        </w:rPr>
      </w:pPr>
      <w:bookmarkStart w:id="63" w:name="_Toc15396630"/>
      <w:r>
        <w:rPr>
          <w:rFonts w:hint="eastAsia" w:eastAsia="仿宋_GB2312" w:cs="仿宋_GB2312"/>
          <w:sz w:val="32"/>
          <w:szCs w:val="32"/>
        </w:rPr>
        <w:t>十二、</w:t>
      </w:r>
      <w:bookmarkEnd w:id="63"/>
      <w:r>
        <w:rPr>
          <w:rFonts w:hint="eastAsia" w:eastAsia="仿宋_GB2312" w:cs="仿宋_GB2312"/>
          <w:sz w:val="32"/>
          <w:szCs w:val="32"/>
        </w:rPr>
        <w:t>国有资本经营预算财政拨款支出决算表</w:t>
      </w:r>
    </w:p>
    <w:p w14:paraId="3840121B">
      <w:pPr>
        <w:pStyle w:val="14"/>
        <w:adjustRightInd w:val="0"/>
        <w:snapToGrid w:val="0"/>
        <w:spacing w:line="560" w:lineRule="exact"/>
        <w:jc w:val="left"/>
        <w:rPr>
          <w:rFonts w:eastAsia="仿宋_GB2312" w:cs="仿宋_GB2312"/>
          <w:sz w:val="32"/>
          <w:szCs w:val="32"/>
        </w:rPr>
      </w:pPr>
      <w:bookmarkStart w:id="64" w:name="_Toc15396631"/>
      <w:r>
        <w:rPr>
          <w:rFonts w:hint="eastAsia" w:eastAsia="仿宋_GB2312" w:cs="仿宋_GB2312"/>
          <w:sz w:val="32"/>
          <w:szCs w:val="32"/>
        </w:rPr>
        <w:t>十三、</w:t>
      </w:r>
      <w:bookmarkEnd w:id="64"/>
      <w:r>
        <w:rPr>
          <w:rFonts w:hint="eastAsia" w:eastAsia="仿宋_GB2312" w:cs="仿宋_GB2312"/>
          <w:sz w:val="32"/>
          <w:szCs w:val="32"/>
        </w:rPr>
        <w:t>财政拨款“三公”经费支出决算表</w:t>
      </w:r>
    </w:p>
    <w:p w14:paraId="3082209E"/>
    <w:sectPr>
      <w:footerReference r:id="rId5" w:type="first"/>
      <w:footerReference r:id="rId4"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AC4A6">
    <w:pPr>
      <w:pStyle w:val="11"/>
      <w:jc w:val="right"/>
    </w:pPr>
  </w:p>
  <w:p w14:paraId="70B293A5">
    <w:pPr>
      <w:pStyle w:val="11"/>
      <w:tabs>
        <w:tab w:val="left" w:pos="7538"/>
        <w:tab w:val="clear" w:pos="4153"/>
        <w:tab w:val="clear" w:pos="8306"/>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41910"/>
      <w:docPartObj>
        <w:docPartGallery w:val="autotext"/>
      </w:docPartObj>
    </w:sdtPr>
    <w:sdtContent>
      <w:p w14:paraId="491F69F4">
        <w:pPr>
          <w:pStyle w:val="11"/>
          <w:jc w:val="right"/>
        </w:pPr>
        <w:r>
          <w:rPr>
            <w:lang w:val="zh-CN"/>
          </w:rPr>
          <w:fldChar w:fldCharType="begin"/>
        </w:r>
        <w:r>
          <w:rPr>
            <w:lang w:val="zh-CN"/>
          </w:rPr>
          <w:instrText xml:space="preserve"> PAGE   \* MERGEFORMAT </w:instrText>
        </w:r>
        <w:r>
          <w:rPr>
            <w:lang w:val="zh-CN"/>
          </w:rPr>
          <w:fldChar w:fldCharType="separate"/>
        </w:r>
        <w:r>
          <w:rPr>
            <w:lang w:val="zh-CN"/>
          </w:rPr>
          <w:t>-</w:t>
        </w:r>
        <w:r>
          <w:t xml:space="preserve"> 16 -</w:t>
        </w:r>
        <w:r>
          <w:fldChar w:fldCharType="end"/>
        </w:r>
      </w:p>
    </w:sdtContent>
  </w:sdt>
  <w:p w14:paraId="47A67CB7">
    <w:pPr>
      <w:pStyle w:val="11"/>
      <w:tabs>
        <w:tab w:val="left" w:pos="7538"/>
        <w:tab w:val="clear" w:pos="4153"/>
        <w:tab w:val="clear" w:pos="8306"/>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76ADC">
    <w:pPr>
      <w:pStyle w:val="11"/>
      <w:jc w:val="right"/>
    </w:pPr>
    <w:r>
      <w:rPr>
        <w:lang w:val="zh-CN"/>
      </w:rPr>
      <w:t>-</w:t>
    </w:r>
    <w:r>
      <w:t xml:space="preserve"> </w:t>
    </w:r>
    <w:r>
      <w:rPr>
        <w:rFonts w:hint="eastAsia"/>
      </w:rPr>
      <w:t>1</w:t>
    </w:r>
    <w: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CEBFA1"/>
    <w:multiLevelType w:val="singleLevel"/>
    <w:tmpl w:val="36CEBFA1"/>
    <w:lvl w:ilvl="0" w:tentative="0">
      <w:start w:val="12"/>
      <w:numFmt w:val="decimal"/>
      <w:lvlText w:val="%1."/>
      <w:lvlJc w:val="left"/>
      <w:pPr>
        <w:tabs>
          <w:tab w:val="left" w:pos="312"/>
        </w:tabs>
      </w:pPr>
    </w:lvl>
  </w:abstractNum>
  <w:abstractNum w:abstractNumId="1">
    <w:nsid w:val="64AE4329"/>
    <w:multiLevelType w:val="multilevel"/>
    <w:tmpl w:val="64AE4329"/>
    <w:lvl w:ilvl="0" w:tentative="0">
      <w:start w:val="1"/>
      <w:numFmt w:val="japaneseCounting"/>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1717F"/>
    <w:rsid w:val="000222C6"/>
    <w:rsid w:val="0002549F"/>
    <w:rsid w:val="00036C54"/>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4D39"/>
    <w:rsid w:val="000E6613"/>
    <w:rsid w:val="000E7119"/>
    <w:rsid w:val="000F3A25"/>
    <w:rsid w:val="000F7560"/>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0CB9"/>
    <w:rsid w:val="0021101A"/>
    <w:rsid w:val="00220536"/>
    <w:rsid w:val="00235629"/>
    <w:rsid w:val="002512C8"/>
    <w:rsid w:val="00260C38"/>
    <w:rsid w:val="002616C0"/>
    <w:rsid w:val="00265372"/>
    <w:rsid w:val="002662AA"/>
    <w:rsid w:val="00280496"/>
    <w:rsid w:val="00294DC9"/>
    <w:rsid w:val="00295495"/>
    <w:rsid w:val="002A31DE"/>
    <w:rsid w:val="002A343C"/>
    <w:rsid w:val="002B2613"/>
    <w:rsid w:val="002B2D53"/>
    <w:rsid w:val="002D6D05"/>
    <w:rsid w:val="002E2544"/>
    <w:rsid w:val="002F1818"/>
    <w:rsid w:val="002F567B"/>
    <w:rsid w:val="003178D3"/>
    <w:rsid w:val="003216A9"/>
    <w:rsid w:val="00335A74"/>
    <w:rsid w:val="00357E98"/>
    <w:rsid w:val="0036561B"/>
    <w:rsid w:val="0037013F"/>
    <w:rsid w:val="0037690C"/>
    <w:rsid w:val="00380C92"/>
    <w:rsid w:val="003A484F"/>
    <w:rsid w:val="003A4883"/>
    <w:rsid w:val="003B0BE0"/>
    <w:rsid w:val="003B0C1B"/>
    <w:rsid w:val="003B688C"/>
    <w:rsid w:val="003C0291"/>
    <w:rsid w:val="003C39AE"/>
    <w:rsid w:val="003C41CD"/>
    <w:rsid w:val="003C7B60"/>
    <w:rsid w:val="003D0C0F"/>
    <w:rsid w:val="003D1FB2"/>
    <w:rsid w:val="003D66DA"/>
    <w:rsid w:val="003E1310"/>
    <w:rsid w:val="003E6F55"/>
    <w:rsid w:val="00406254"/>
    <w:rsid w:val="004223DE"/>
    <w:rsid w:val="004250E8"/>
    <w:rsid w:val="0043341C"/>
    <w:rsid w:val="00434489"/>
    <w:rsid w:val="00437085"/>
    <w:rsid w:val="00443880"/>
    <w:rsid w:val="004464F4"/>
    <w:rsid w:val="00471401"/>
    <w:rsid w:val="00473F31"/>
    <w:rsid w:val="0048263A"/>
    <w:rsid w:val="00487E5D"/>
    <w:rsid w:val="004A711F"/>
    <w:rsid w:val="004B199D"/>
    <w:rsid w:val="004B4690"/>
    <w:rsid w:val="004E0A2D"/>
    <w:rsid w:val="004E206B"/>
    <w:rsid w:val="004E3FF6"/>
    <w:rsid w:val="004E6DF7"/>
    <w:rsid w:val="004F0FBD"/>
    <w:rsid w:val="00505A47"/>
    <w:rsid w:val="00512FDA"/>
    <w:rsid w:val="00520DA0"/>
    <w:rsid w:val="00563C5D"/>
    <w:rsid w:val="005664BB"/>
    <w:rsid w:val="00566FFA"/>
    <w:rsid w:val="0057481D"/>
    <w:rsid w:val="0058486E"/>
    <w:rsid w:val="00585B33"/>
    <w:rsid w:val="0059014D"/>
    <w:rsid w:val="005B0D0A"/>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E7B32"/>
    <w:rsid w:val="006F020C"/>
    <w:rsid w:val="007127B7"/>
    <w:rsid w:val="0071798E"/>
    <w:rsid w:val="00731E4F"/>
    <w:rsid w:val="00734D8F"/>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CED"/>
    <w:rsid w:val="00872FD8"/>
    <w:rsid w:val="00875E9B"/>
    <w:rsid w:val="00885AF4"/>
    <w:rsid w:val="00892470"/>
    <w:rsid w:val="008939CD"/>
    <w:rsid w:val="0089413B"/>
    <w:rsid w:val="008B768C"/>
    <w:rsid w:val="008C4DB1"/>
    <w:rsid w:val="008C4EAF"/>
    <w:rsid w:val="008C5176"/>
    <w:rsid w:val="008C7FD0"/>
    <w:rsid w:val="008D07B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3AF4"/>
    <w:rsid w:val="00A56DF2"/>
    <w:rsid w:val="00A56E6E"/>
    <w:rsid w:val="00A66C03"/>
    <w:rsid w:val="00A67AB5"/>
    <w:rsid w:val="00A733B2"/>
    <w:rsid w:val="00A741C2"/>
    <w:rsid w:val="00A91760"/>
    <w:rsid w:val="00A93B00"/>
    <w:rsid w:val="00A93C21"/>
    <w:rsid w:val="00A94468"/>
    <w:rsid w:val="00AB64C9"/>
    <w:rsid w:val="00AC3C6A"/>
    <w:rsid w:val="00AC741F"/>
    <w:rsid w:val="00AD5620"/>
    <w:rsid w:val="00AD656B"/>
    <w:rsid w:val="00AD7C1B"/>
    <w:rsid w:val="00AE16BA"/>
    <w:rsid w:val="00AE1EBE"/>
    <w:rsid w:val="00B03C9D"/>
    <w:rsid w:val="00B060AE"/>
    <w:rsid w:val="00B10517"/>
    <w:rsid w:val="00B14E76"/>
    <w:rsid w:val="00B161B8"/>
    <w:rsid w:val="00B2048C"/>
    <w:rsid w:val="00B310B9"/>
    <w:rsid w:val="00B31933"/>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BF5C63"/>
    <w:rsid w:val="00C03E31"/>
    <w:rsid w:val="00C03FC9"/>
    <w:rsid w:val="00C32919"/>
    <w:rsid w:val="00C33E72"/>
    <w:rsid w:val="00C354B2"/>
    <w:rsid w:val="00C35554"/>
    <w:rsid w:val="00C42709"/>
    <w:rsid w:val="00C533CC"/>
    <w:rsid w:val="00C5751C"/>
    <w:rsid w:val="00C61BFC"/>
    <w:rsid w:val="00C62B85"/>
    <w:rsid w:val="00C634DF"/>
    <w:rsid w:val="00C63F72"/>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27F06"/>
    <w:rsid w:val="00D34E7C"/>
    <w:rsid w:val="00D35489"/>
    <w:rsid w:val="00D36AFE"/>
    <w:rsid w:val="00D51276"/>
    <w:rsid w:val="00D7035F"/>
    <w:rsid w:val="00D84F47"/>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487E"/>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25249"/>
    <w:rsid w:val="00F36D8F"/>
    <w:rsid w:val="00F417B1"/>
    <w:rsid w:val="00F45853"/>
    <w:rsid w:val="00F602DF"/>
    <w:rsid w:val="00F754A1"/>
    <w:rsid w:val="00F81FD9"/>
    <w:rsid w:val="00F841AA"/>
    <w:rsid w:val="00F84A94"/>
    <w:rsid w:val="00F87A59"/>
    <w:rsid w:val="00F87E96"/>
    <w:rsid w:val="00FA23E8"/>
    <w:rsid w:val="00FD048F"/>
    <w:rsid w:val="00FD3CC1"/>
    <w:rsid w:val="00FF1E02"/>
    <w:rsid w:val="00FF30B4"/>
    <w:rsid w:val="012A5EC2"/>
    <w:rsid w:val="015975B8"/>
    <w:rsid w:val="02FEBE30"/>
    <w:rsid w:val="03D8242F"/>
    <w:rsid w:val="04916F1E"/>
    <w:rsid w:val="05A039EF"/>
    <w:rsid w:val="061E35DE"/>
    <w:rsid w:val="066E0107"/>
    <w:rsid w:val="07996F6E"/>
    <w:rsid w:val="07DFD8BA"/>
    <w:rsid w:val="09867E8F"/>
    <w:rsid w:val="0A2032A3"/>
    <w:rsid w:val="0AE8272E"/>
    <w:rsid w:val="0C976645"/>
    <w:rsid w:val="0CA8290A"/>
    <w:rsid w:val="0D35B1ED"/>
    <w:rsid w:val="0DCF6A19"/>
    <w:rsid w:val="0E254B6B"/>
    <w:rsid w:val="0F98263C"/>
    <w:rsid w:val="101860EC"/>
    <w:rsid w:val="101F47CC"/>
    <w:rsid w:val="10C055FF"/>
    <w:rsid w:val="11694EBD"/>
    <w:rsid w:val="11772AA4"/>
    <w:rsid w:val="118107EC"/>
    <w:rsid w:val="12754619"/>
    <w:rsid w:val="12E24EE2"/>
    <w:rsid w:val="13D50BC4"/>
    <w:rsid w:val="14B17F78"/>
    <w:rsid w:val="165E0673"/>
    <w:rsid w:val="16B831D5"/>
    <w:rsid w:val="16BB723D"/>
    <w:rsid w:val="170409B5"/>
    <w:rsid w:val="17E50567"/>
    <w:rsid w:val="186504BB"/>
    <w:rsid w:val="19A445FC"/>
    <w:rsid w:val="1BE8440E"/>
    <w:rsid w:val="1D155CEE"/>
    <w:rsid w:val="1D1638FE"/>
    <w:rsid w:val="1D1A3FCB"/>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BF26A51"/>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844C0"/>
    <w:rsid w:val="5D695134"/>
    <w:rsid w:val="5DAE1B18"/>
    <w:rsid w:val="5DE7D9E5"/>
    <w:rsid w:val="5ECEC941"/>
    <w:rsid w:val="5FBF9FF3"/>
    <w:rsid w:val="5FCD4E2C"/>
    <w:rsid w:val="5FEF394A"/>
    <w:rsid w:val="5FF67715"/>
    <w:rsid w:val="608043F6"/>
    <w:rsid w:val="621D5074"/>
    <w:rsid w:val="62BF3928"/>
    <w:rsid w:val="63B3701E"/>
    <w:rsid w:val="6411405C"/>
    <w:rsid w:val="647F5392"/>
    <w:rsid w:val="65E66580"/>
    <w:rsid w:val="66374D06"/>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7E161B"/>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5"/>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8"/>
    <w:qFormat/>
    <w:locked/>
    <w:uiPriority w:val="99"/>
    <w:rPr>
      <w:rFonts w:ascii="仿宋_GB2312" w:hAnsi="Times New Roman" w:eastAsia="仿宋_GB2312"/>
      <w:sz w:val="24"/>
    </w:rPr>
  </w:style>
  <w:style w:type="paragraph" w:customStyle="1" w:styleId="2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5"/>
    <w:qFormat/>
    <w:uiPriority w:val="9"/>
    <w:rPr>
      <w:rFonts w:ascii="Times New Roman" w:hAnsi="Times New Roman"/>
      <w:b/>
      <w:bCs/>
      <w:kern w:val="44"/>
      <w:sz w:val="44"/>
      <w:szCs w:val="44"/>
    </w:rPr>
  </w:style>
  <w:style w:type="character" w:customStyle="1" w:styleId="29">
    <w:name w:val="标题 2 Char"/>
    <w:basedOn w:val="16"/>
    <w:link w:val="6"/>
    <w:qFormat/>
    <w:uiPriority w:val="9"/>
    <w:rPr>
      <w:rFonts w:asciiTheme="majorHAnsi" w:hAnsiTheme="majorHAnsi" w:eastAsiaTheme="majorEastAsia" w:cstheme="majorBidi"/>
      <w:b/>
      <w:bCs/>
      <w:kern w:val="2"/>
      <w:sz w:val="32"/>
      <w:szCs w:val="32"/>
    </w:rPr>
  </w:style>
  <w:style w:type="paragraph" w:customStyle="1" w:styleId="30">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10"/>
    <w:semiHidden/>
    <w:qFormat/>
    <w:uiPriority w:val="99"/>
    <w:rPr>
      <w:rFonts w:ascii="Times New Roman" w:hAnsi="Times New Roman"/>
      <w:kern w:val="2"/>
      <w:sz w:val="18"/>
      <w:szCs w:val="18"/>
    </w:rPr>
  </w:style>
  <w:style w:type="character" w:customStyle="1" w:styleId="32">
    <w:name w:val="标题 3 Char"/>
    <w:basedOn w:val="16"/>
    <w:link w:val="7"/>
    <w:qFormat/>
    <w:uiPriority w:val="9"/>
    <w:rPr>
      <w:rFonts w:ascii="Times New Roman" w:hAnsi="Times New Roman"/>
      <w:b/>
      <w:bCs/>
      <w:kern w:val="2"/>
      <w:sz w:val="32"/>
      <w:szCs w:val="32"/>
    </w:rPr>
  </w:style>
  <w:style w:type="paragraph" w:customStyle="1" w:styleId="33">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图</a:t>
            </a:r>
            <a:r>
              <a:rPr lang="en-US" altLang="zh-CN"/>
              <a:t>1</a:t>
            </a:r>
            <a:r>
              <a:rPr altLang="en-US"/>
              <a:t>：</a:t>
            </a:r>
            <a:r>
              <a:t>收支总计变动情况图</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solidFill>
                <a:schemeClr val="accent2"/>
              </a:solidFill>
            </a:ln>
            <a:effectLst/>
          </c:spPr>
          <c:invertIfNegative val="0"/>
          <c:dPt>
            <c:idx val="0"/>
            <c:invertIfNegative val="0"/>
            <c:bubble3D val="0"/>
            <c:spPr>
              <a:solidFill>
                <a:schemeClr val="accent4"/>
              </a:solidFill>
              <a:ln>
                <a:solidFill>
                  <a:schemeClr val="accent2"/>
                </a:solidFill>
              </a:ln>
              <a:effectLst/>
            </c:spPr>
          </c:dPt>
          <c:dPt>
            <c:idx val="1"/>
            <c:invertIfNegative val="0"/>
            <c:bubble3D val="0"/>
            <c:spPr>
              <a:solidFill>
                <a:schemeClr val="accent4"/>
              </a:solidFill>
              <a:ln>
                <a:solidFill>
                  <a:schemeClr val="accent2"/>
                </a:solidFill>
              </a:ln>
              <a:effectLst/>
            </c:spPr>
          </c:dPt>
          <c:dLbls>
            <c:delete val="1"/>
          </c:dLbls>
          <c:cat>
            <c:strRef>
              <c:f>[工作簿1]收支总计!$A$1:$A$2</c:f>
              <c:strCache>
                <c:ptCount val="2"/>
                <c:pt idx="0">
                  <c:v>2023年</c:v>
                </c:pt>
                <c:pt idx="1">
                  <c:v>2024年</c:v>
                </c:pt>
              </c:strCache>
            </c:strRef>
          </c:cat>
          <c:val>
            <c:numRef>
              <c:f>[工作簿1]收支总计!$B$1:$B$2</c:f>
              <c:numCache>
                <c:formatCode>General</c:formatCode>
                <c:ptCount val="2"/>
                <c:pt idx="0">
                  <c:v>1761.33</c:v>
                </c:pt>
                <c:pt idx="1">
                  <c:v>1685.94</c:v>
                </c:pt>
              </c:numCache>
            </c:numRef>
          </c:val>
        </c:ser>
        <c:dLbls>
          <c:showLegendKey val="0"/>
          <c:showVal val="0"/>
          <c:showCatName val="0"/>
          <c:showSerName val="0"/>
          <c:showPercent val="0"/>
          <c:showBubbleSize val="0"/>
        </c:dLbls>
        <c:gapWidth val="246"/>
        <c:overlap val="-28"/>
        <c:axId val="875938223"/>
        <c:axId val="780891406"/>
      </c:barChart>
      <c:catAx>
        <c:axId val="87593822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0891406"/>
        <c:crosses val="autoZero"/>
        <c:auto val="1"/>
        <c:lblAlgn val="ctr"/>
        <c:lblOffset val="100"/>
        <c:noMultiLvlLbl val="0"/>
      </c:catAx>
      <c:valAx>
        <c:axId val="780891406"/>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5938223"/>
        <c:crosses val="autoZero"/>
        <c:crossBetween val="between"/>
      </c:valAx>
      <c:spPr>
        <a:noFill/>
        <a:ln>
          <a:noFill/>
        </a:ln>
        <a:effectLst/>
      </c:spPr>
    </c:plotArea>
    <c:plotVisOnly val="1"/>
    <c:dispBlanksAs val="gap"/>
    <c:showDLblsOverMax val="0"/>
    <c:extLst>
      <c:ext uri="{0b15fc19-7d7d-44ad-8c2d-2c3a37ce22c3}">
        <chartProps xmlns="https://web.wps.cn/et/2018/main" chartId="{2b9c765f-f143-45a1-8be7-745f885141e8}"/>
      </c:ext>
    </c:extLst>
  </c:chart>
  <c:spPr>
    <a:solidFill>
      <a:schemeClr val="bg1"/>
    </a:solidFill>
    <a:ln w="9525" cap="flat" cmpd="sng" algn="ctr">
      <a:solidFill>
        <a:schemeClr val="accent2"/>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altLang="en-US"/>
              <a:t>图</a:t>
            </a:r>
            <a:r>
              <a:rPr lang="en-US" altLang="zh-CN"/>
              <a:t>2</a:t>
            </a:r>
            <a:r>
              <a:rPr altLang="en-US"/>
              <a:t>：收入决算结构图</a:t>
            </a:r>
            <a:endParaRPr lang="en-US" altLang="zh-CN"/>
          </a:p>
        </c:rich>
      </c:tx>
      <c:layout>
        <c:manualLayout>
          <c:xMode val="edge"/>
          <c:yMode val="edge"/>
          <c:x val="0.418421052631579"/>
          <c:y val="0.0243055555555556"/>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dLblPos val="inEnd"/>
              <c:showLegendKey val="0"/>
              <c:showVal val="1"/>
              <c:showCatName val="0"/>
              <c:showSerName val="0"/>
              <c:showPercent val="0"/>
              <c:showBubbleSize val="0"/>
              <c:extLst>
                <c:ext xmlns:c15="http://schemas.microsoft.com/office/drawing/2012/chart" uri="{CE6537A1-D6FC-4f65-9D91-7224C49458BB}"/>
              </c:extLst>
            </c:dLbl>
            <c:dLbl>
              <c:idx val="1"/>
              <c:layout/>
              <c:dLblPos val="in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[工作簿1]收入决算结构图!$A$1:$A$2</c:f>
              <c:strCache>
                <c:ptCount val="2"/>
                <c:pt idx="0">
                  <c:v>一般公共预算财政拨款收入</c:v>
                </c:pt>
                <c:pt idx="1">
                  <c:v>其他收入</c:v>
                </c:pt>
              </c:strCache>
            </c:strRef>
          </c:cat>
          <c:val>
            <c:numRef>
              <c:f>[工作簿1]收入决算结构图!$B$1:$B$2</c:f>
              <c:numCache>
                <c:formatCode>General</c:formatCode>
                <c:ptCount val="2"/>
                <c:pt idx="0">
                  <c:v>1278.51</c:v>
                </c:pt>
                <c:pt idx="1">
                  <c:v>407.43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abdf2c9-b9c9-4bfb-8769-ff5aec6b778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图</a:t>
            </a:r>
            <a:r>
              <a:rPr lang="en-US" altLang="zh-CN"/>
              <a:t>3</a:t>
            </a:r>
            <a:r>
              <a:rPr altLang="en-US"/>
              <a:t>：</a:t>
            </a: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[工作簿1]支出决算情况表!$A$1:$A$5</c:f>
              <c:strCache>
                <c:ptCount val="5"/>
                <c:pt idx="0">
                  <c:v>公共安全支出</c:v>
                </c:pt>
                <c:pt idx="1">
                  <c:v>社会保障和就业支出</c:v>
                </c:pt>
                <c:pt idx="2">
                  <c:v>卫生健康支出</c:v>
                </c:pt>
                <c:pt idx="3">
                  <c:v>住房保障支出</c:v>
                </c:pt>
                <c:pt idx="4">
                  <c:v>一般公共服务支出</c:v>
                </c:pt>
              </c:strCache>
            </c:strRef>
          </c:cat>
          <c:val>
            <c:numRef>
              <c:f>[工作簿1]支出决算情况表!$B$1:$B$5</c:f>
              <c:numCache>
                <c:formatCode>General</c:formatCode>
                <c:ptCount val="5"/>
                <c:pt idx="0">
                  <c:v>1390.78</c:v>
                </c:pt>
                <c:pt idx="1">
                  <c:v>131.45</c:v>
                </c:pt>
                <c:pt idx="2">
                  <c:v>75.99</c:v>
                </c:pt>
                <c:pt idx="3">
                  <c:v>86.72</c:v>
                </c:pt>
                <c:pt idx="4">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c94b33a-ac36-47b0-8849-cc7b8f4a472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图</a:t>
            </a:r>
            <a:r>
              <a:rPr lang="en-US" altLang="zh-CN"/>
              <a:t>4</a:t>
            </a:r>
            <a:r>
              <a:rPr altLang="en-US"/>
              <a:t>：财政拨款收入支出总体情况表</a:t>
            </a:r>
            <a:endParaRPr lang="en-US" altLang="zh-CN"/>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[工作簿1]财政拨款收入支出总体情况表!$A$1:$A$2</c:f>
              <c:strCache>
                <c:ptCount val="2"/>
                <c:pt idx="0">
                  <c:v>2023年</c:v>
                </c:pt>
                <c:pt idx="1">
                  <c:v>2024年</c:v>
                </c:pt>
              </c:strCache>
            </c:strRef>
          </c:cat>
          <c:val>
            <c:numRef>
              <c:f>[工作簿1]财政拨款收入支出总体情况表!$B$1:$B$2</c:f>
              <c:numCache>
                <c:formatCode>General</c:formatCode>
                <c:ptCount val="2"/>
                <c:pt idx="0">
                  <c:v>1407.68</c:v>
                </c:pt>
                <c:pt idx="1">
                  <c:v>1278.51</c:v>
                </c:pt>
              </c:numCache>
            </c:numRef>
          </c:val>
        </c:ser>
        <c:dLbls>
          <c:showLegendKey val="0"/>
          <c:showVal val="0"/>
          <c:showCatName val="0"/>
          <c:showSerName val="0"/>
          <c:showPercent val="0"/>
          <c:showBubbleSize val="0"/>
        </c:dLbls>
        <c:gapWidth val="246"/>
        <c:overlap val="-28"/>
        <c:axId val="276588708"/>
        <c:axId val="510260366"/>
      </c:barChart>
      <c:catAx>
        <c:axId val="27658870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10260366"/>
        <c:crosses val="autoZero"/>
        <c:auto val="1"/>
        <c:lblAlgn val="ctr"/>
        <c:lblOffset val="100"/>
        <c:noMultiLvlLbl val="0"/>
      </c:catAx>
      <c:valAx>
        <c:axId val="510260366"/>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6588708"/>
        <c:crosses val="autoZero"/>
        <c:crossBetween val="between"/>
      </c:valAx>
      <c:spPr>
        <a:noFill/>
        <a:ln>
          <a:noFill/>
        </a:ln>
        <a:effectLst/>
      </c:spPr>
    </c:plotArea>
    <c:plotVisOnly val="1"/>
    <c:dispBlanksAs val="gap"/>
    <c:showDLblsOverMax val="0"/>
    <c:extLst>
      <c:ext uri="{0b15fc19-7d7d-44ad-8c2d-2c3a37ce22c3}">
        <chartProps xmlns="https://web.wps.cn/et/2018/main" chartId="{ea8d6884-8e16-40cd-a0e7-619c57248a4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图</a:t>
            </a:r>
            <a:r>
              <a:rPr lang="en-US" altLang="zh-CN"/>
              <a:t>5</a:t>
            </a:r>
            <a:r>
              <a:rPr altLang="en-US"/>
              <a:t>：</a:t>
            </a:r>
            <a:r>
              <a:t>一般公共预算财政拨款支出决算变动情况</a:t>
            </a:r>
          </a:p>
        </c:rich>
      </c:tx>
      <c:layout>
        <c:manualLayout>
          <c:xMode val="edge"/>
          <c:yMode val="edge"/>
          <c:x val="0.173684210526316"/>
          <c:y val="0.0381944444444444"/>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[工作簿1]一般公共预算财政拨款支出决算变动情况!$A$1:$A$2</c:f>
              <c:strCache>
                <c:ptCount val="2"/>
                <c:pt idx="0">
                  <c:v>2023年</c:v>
                </c:pt>
                <c:pt idx="1">
                  <c:v>2024年</c:v>
                </c:pt>
              </c:strCache>
            </c:strRef>
          </c:cat>
          <c:val>
            <c:numRef>
              <c:f>[工作簿1]一般公共预算财政拨款支出决算变动情况!$B$1:$B$2</c:f>
              <c:numCache>
                <c:formatCode>General</c:formatCode>
                <c:ptCount val="2"/>
                <c:pt idx="0">
                  <c:v>1761.33</c:v>
                </c:pt>
                <c:pt idx="1">
                  <c:v>1685.94</c:v>
                </c:pt>
              </c:numCache>
            </c:numRef>
          </c:val>
        </c:ser>
        <c:dLbls>
          <c:showLegendKey val="0"/>
          <c:showVal val="0"/>
          <c:showCatName val="0"/>
          <c:showSerName val="0"/>
          <c:showPercent val="0"/>
          <c:showBubbleSize val="0"/>
        </c:dLbls>
        <c:gapWidth val="246"/>
        <c:overlap val="-28"/>
        <c:axId val="388578070"/>
        <c:axId val="607900283"/>
      </c:barChart>
      <c:catAx>
        <c:axId val="38857807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7900283"/>
        <c:crosses val="autoZero"/>
        <c:auto val="1"/>
        <c:lblAlgn val="ctr"/>
        <c:lblOffset val="100"/>
        <c:noMultiLvlLbl val="0"/>
      </c:catAx>
      <c:valAx>
        <c:axId val="60790028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8578070"/>
        <c:crosses val="autoZero"/>
        <c:crossBetween val="between"/>
      </c:valAx>
      <c:spPr>
        <a:noFill/>
        <a:ln>
          <a:noFill/>
        </a:ln>
        <a:effectLst/>
      </c:spPr>
    </c:plotArea>
    <c:plotVisOnly val="1"/>
    <c:dispBlanksAs val="gap"/>
    <c:showDLblsOverMax val="0"/>
    <c:extLst>
      <c:ext uri="{0b15fc19-7d7d-44ad-8c2d-2c3a37ce22c3}">
        <chartProps xmlns="https://web.wps.cn/et/2018/main" chartId="{c45178b5-d780-400a-8b92-ec27811ac61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图</a:t>
            </a:r>
            <a:r>
              <a:rPr lang="en-US" altLang="zh-CN"/>
              <a:t>6</a:t>
            </a:r>
            <a:r>
              <a:rPr altLang="en-US"/>
              <a:t>：</a:t>
            </a:r>
            <a:r>
              <a:t>一般公共预算财政拨款支出</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[工作簿1]一般公共预算财政拨款支出!$A$1:$A$5</c:f>
              <c:strCache>
                <c:ptCount val="5"/>
                <c:pt idx="0">
                  <c:v>公共安全支出</c:v>
                </c:pt>
                <c:pt idx="1">
                  <c:v>社会保障和就业支出</c:v>
                </c:pt>
                <c:pt idx="2">
                  <c:v>卫生健康支出</c:v>
                </c:pt>
                <c:pt idx="3">
                  <c:v>住房保障支出</c:v>
                </c:pt>
                <c:pt idx="4">
                  <c:v>一般公共服务支出</c:v>
                </c:pt>
              </c:strCache>
            </c:strRef>
          </c:cat>
          <c:val>
            <c:numRef>
              <c:f>[工作簿1]一般公共预算财政拨款支出!$B$1:$B$5</c:f>
              <c:numCache>
                <c:formatCode>General</c:formatCode>
                <c:ptCount val="5"/>
                <c:pt idx="0">
                  <c:v>1390.78</c:v>
                </c:pt>
                <c:pt idx="1">
                  <c:v>131.45</c:v>
                </c:pt>
                <c:pt idx="2">
                  <c:v>75.99</c:v>
                </c:pt>
                <c:pt idx="3">
                  <c:v>86.72</c:v>
                </c:pt>
                <c:pt idx="4">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9ef356d-7c83-4dc1-8c7d-78d5713afc4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图</a:t>
            </a:r>
            <a:r>
              <a:rPr lang="en-US" altLang="zh-CN"/>
              <a:t>7</a:t>
            </a:r>
            <a:r>
              <a:rPr altLang="en-US"/>
              <a:t>：</a:t>
            </a:r>
            <a:r>
              <a:t>“三公”经费财政拨款支出结构图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[工作簿1]Sheet7!$A$1:$A$2</c:f>
              <c:strCache>
                <c:ptCount val="2"/>
                <c:pt idx="0">
                  <c:v>公务接待费支出</c:v>
                </c:pt>
                <c:pt idx="1">
                  <c:v>公务用车购置及运行维护费支出</c:v>
                </c:pt>
              </c:strCache>
            </c:strRef>
          </c:cat>
          <c:val>
            <c:numRef>
              <c:f>[工作簿1]Sheet7!$B$1:$B$2</c:f>
              <c:numCache>
                <c:formatCode>General</c:formatCode>
                <c:ptCount val="2"/>
                <c:pt idx="0">
                  <c:v>0.58</c:v>
                </c:pt>
                <c:pt idx="1">
                  <c:v>12.91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8230bfb-9c40-42c9-9dfd-cc4e9784e38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29</Pages>
  <Words>853</Words>
  <Characters>4868</Characters>
  <Lines>40</Lines>
  <Paragraphs>11</Paragraphs>
  <TotalTime>5</TotalTime>
  <ScaleCrop>false</ScaleCrop>
  <LinksUpToDate>false</LinksUpToDate>
  <CharactersWithSpaces>5710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贾春燕</cp:lastModifiedBy>
  <cp:lastPrinted>2025-08-06T17:34:00Z</cp:lastPrinted>
  <dcterms:modified xsi:type="dcterms:W3CDTF">2025-09-16T03:40:03Z</dcterms:modified>
  <dc:title>四川省***</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50C56EF974EC4378A0D6E03E3BB73846_13</vt:lpwstr>
  </property>
</Properties>
</file>