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15378441"/>
      <w:bookmarkStart w:id="1" w:name="_Toc15377193"/>
      <w:bookmarkStart w:id="2" w:name="_Toc15377425"/>
      <w:bookmarkStart w:id="3" w:name="_Toc15396597"/>
      <w:bookmarkStart w:id="4" w:name="_Toc15396475"/>
      <w:bookmarkStart w:id="5" w:name="_Toc15306267"/>
    </w:p>
    <w:p>
      <w:pPr>
        <w:pStyle w:val="8"/>
        <w:spacing w:before="93"/>
        <w:jc w:val="center"/>
        <w:rPr>
          <w:rFonts w:ascii="Times New Roman" w:eastAsia="方正小标宋简体"/>
          <w:kern w:val="2"/>
          <w:sz w:val="44"/>
          <w:szCs w:val="44"/>
        </w:rPr>
      </w:pPr>
    </w:p>
    <w:p>
      <w:pPr>
        <w:pStyle w:val="8"/>
        <w:spacing w:before="93"/>
        <w:jc w:val="center"/>
        <w:rPr>
          <w:rFonts w:ascii="Times New Roman" w:eastAsia="方正小标宋简体"/>
          <w:kern w:val="2"/>
          <w:sz w:val="44"/>
          <w:szCs w:val="44"/>
        </w:rPr>
      </w:pPr>
    </w:p>
    <w:p>
      <w:pPr>
        <w:pStyle w:val="8"/>
        <w:spacing w:before="93"/>
        <w:jc w:val="center"/>
        <w:rPr>
          <w:rFonts w:ascii="Times New Roman" w:eastAsia="方正小标宋简体"/>
          <w:kern w:val="2"/>
          <w:sz w:val="44"/>
          <w:szCs w:val="44"/>
        </w:rPr>
      </w:pPr>
    </w:p>
    <w:p>
      <w:pPr>
        <w:pStyle w:val="8"/>
        <w:spacing w:before="93"/>
        <w:jc w:val="center"/>
        <w:rPr>
          <w:rFonts w:ascii="Times New Roman" w:eastAsia="方正小标宋简体"/>
          <w:kern w:val="2"/>
          <w:sz w:val="44"/>
          <w:szCs w:val="44"/>
        </w:rPr>
      </w:pPr>
    </w:p>
    <w:bookmarkEnd w:id="0"/>
    <w:bookmarkEnd w:id="1"/>
    <w:bookmarkEnd w:id="2"/>
    <w:bookmarkEnd w:id="3"/>
    <w:bookmarkEnd w:id="4"/>
    <w:p>
      <w:pPr>
        <w:pStyle w:val="8"/>
        <w:spacing w:before="93"/>
        <w:jc w:val="center"/>
        <w:rPr>
          <w:rFonts w:ascii="Times New Roman" w:eastAsia="方正小标宋简体"/>
          <w:kern w:val="2"/>
          <w:sz w:val="44"/>
          <w:szCs w:val="44"/>
        </w:rPr>
      </w:pPr>
      <w:bookmarkStart w:id="6" w:name="_Toc15396598"/>
      <w:bookmarkStart w:id="7" w:name="_Toc15378442"/>
      <w:bookmarkStart w:id="8" w:name="_Toc15377194"/>
      <w:bookmarkStart w:id="9" w:name="_Toc15377426"/>
      <w:bookmarkStart w:id="10" w:name="_Toc15396476"/>
      <w:r>
        <w:rPr>
          <w:rFonts w:hint="eastAsia" w:ascii="Times New Roman" w:eastAsia="方正小标宋简体"/>
          <w:kern w:val="2"/>
          <w:sz w:val="44"/>
          <w:szCs w:val="44"/>
        </w:rPr>
        <w:t>2024年度四川省</w:t>
      </w:r>
      <w:bookmarkEnd w:id="5"/>
      <w:bookmarkStart w:id="11" w:name="_Toc15306268"/>
      <w:r>
        <w:rPr>
          <w:rFonts w:hint="eastAsia" w:ascii="Times New Roman" w:eastAsia="方正小标宋简体"/>
          <w:kern w:val="2"/>
          <w:sz w:val="44"/>
          <w:szCs w:val="44"/>
        </w:rPr>
        <w:t>攀枝花市仁和区人民法院部门决算</w:t>
      </w:r>
      <w:bookmarkEnd w:id="6"/>
      <w:bookmarkEnd w:id="7"/>
      <w:bookmarkEnd w:id="8"/>
      <w:bookmarkEnd w:id="9"/>
      <w:bookmarkEnd w:id="10"/>
      <w:bookmarkEnd w:id="11"/>
    </w:p>
    <w:p>
      <w:pPr>
        <w:widowControl/>
        <w:jc w:val="center"/>
        <w:rPr>
          <w:rFonts w:eastAsia="黑体"/>
          <w:sz w:val="48"/>
          <w:szCs w:val="48"/>
        </w:rPr>
      </w:pPr>
      <w:r>
        <w:rPr>
          <w:rFonts w:eastAsia="方正小标宋简体"/>
          <w:sz w:val="36"/>
          <w:szCs w:val="36"/>
        </w:rPr>
        <w:br w:type="page"/>
      </w:r>
      <w:r>
        <w:rPr>
          <w:rFonts w:hint="eastAsia" w:eastAsia="黑体"/>
          <w:sz w:val="48"/>
          <w:szCs w:val="48"/>
        </w:rPr>
        <w:t>目录</w:t>
      </w:r>
    </w:p>
    <w:p>
      <w:pPr>
        <w:widowControl/>
        <w:jc w:val="center"/>
        <w:rPr>
          <w:rFonts w:eastAsia="黑体" w:cstheme="minorBidi"/>
          <w:sz w:val="28"/>
          <w:szCs w:val="28"/>
        </w:rPr>
      </w:pPr>
    </w:p>
    <w:p>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公开时间：2024年 9 月 1</w:t>
      </w:r>
      <w:r>
        <w:rPr>
          <w:rFonts w:hint="default" w:ascii="Times New Roman" w:hAnsi="Times New Roman" w:eastAsia="仿宋_GB2312" w:cs="仿宋_GB2312"/>
          <w:sz w:val="32"/>
          <w:szCs w:val="32"/>
          <w:lang w:val="en"/>
        </w:rPr>
        <w:t>6</w:t>
      </w:r>
      <w:bookmarkStart w:id="71" w:name="_GoBack"/>
      <w:bookmarkEnd w:id="71"/>
      <w:r>
        <w:rPr>
          <w:rFonts w:hint="eastAsia" w:ascii="Times New Roman" w:hAnsi="Times New Roman" w:eastAsia="仿宋_GB2312" w:cs="仿宋_GB2312"/>
          <w:sz w:val="32"/>
          <w:szCs w:val="32"/>
        </w:rPr>
        <w:t xml:space="preserve"> 日</w:t>
      </w:r>
    </w:p>
    <w:p/>
    <w:p>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r>
        <w:rPr>
          <w:rFonts w:ascii="Times New Roman" w:hAnsi="Times New Roman" w:eastAsia="黑体" w:cs="黑体"/>
          <w:sz w:val="32"/>
          <w:szCs w:val="32"/>
        </w:rPr>
        <w:t>…………………………………………</w:t>
      </w:r>
      <w:r>
        <w:rPr>
          <w:rFonts w:hint="eastAsia" w:ascii="Times New Roman" w:hAnsi="Times New Roman" w:eastAsia="黑体" w:cs="黑体"/>
          <w:sz w:val="32"/>
          <w:szCs w:val="32"/>
        </w:rPr>
        <w:t>..1</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一、部门职责</w:t>
      </w:r>
      <w:r>
        <w:rPr>
          <w:rFonts w:eastAsia="仿宋_GB2312" w:cs="仿宋_GB2312"/>
          <w:sz w:val="32"/>
          <w:szCs w:val="32"/>
        </w:rPr>
        <w:t>……………………………………………</w:t>
      </w:r>
      <w:r>
        <w:rPr>
          <w:rFonts w:hint="eastAsia" w:eastAsia="仿宋_GB2312" w:cs="仿宋_GB2312"/>
          <w:sz w:val="32"/>
          <w:szCs w:val="32"/>
        </w:rPr>
        <w:t>1</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r>
        <w:rPr>
          <w:rFonts w:eastAsia="仿宋_GB2312" w:cs="仿宋_GB2312"/>
          <w:sz w:val="32"/>
          <w:szCs w:val="32"/>
        </w:rPr>
        <w:t>……………………………………………</w:t>
      </w:r>
      <w:r>
        <w:rPr>
          <w:rFonts w:hint="eastAsia" w:eastAsia="仿宋_GB2312" w:cs="仿宋_GB2312"/>
          <w:sz w:val="32"/>
          <w:szCs w:val="32"/>
        </w:rPr>
        <w:t>2</w:t>
      </w:r>
    </w:p>
    <w:p>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2024年度部门决算情况说明</w:t>
      </w:r>
      <w:r>
        <w:rPr>
          <w:rFonts w:ascii="Times New Roman" w:hAnsi="Times New Roman" w:eastAsia="黑体" w:cs="黑体"/>
          <w:sz w:val="32"/>
          <w:szCs w:val="32"/>
        </w:rPr>
        <w:t>……………………</w:t>
      </w:r>
      <w:r>
        <w:rPr>
          <w:rFonts w:hint="eastAsia" w:ascii="Times New Roman" w:hAnsi="Times New Roman" w:eastAsia="黑体" w:cs="黑体"/>
          <w:sz w:val="32"/>
          <w:szCs w:val="32"/>
        </w:rPr>
        <w:t>.3</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rFonts w:eastAsia="仿宋_GB2312" w:cs="仿宋_GB2312"/>
          <w:sz w:val="32"/>
          <w:szCs w:val="32"/>
        </w:rPr>
        <w:t>………………………</w:t>
      </w:r>
      <w:r>
        <w:rPr>
          <w:rFonts w:hint="eastAsia" w:eastAsia="仿宋_GB2312" w:cs="仿宋_GB2312"/>
          <w:sz w:val="32"/>
          <w:szCs w:val="32"/>
        </w:rPr>
        <w:t>3</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r>
        <w:rPr>
          <w:rFonts w:eastAsia="仿宋_GB2312" w:cs="仿宋_GB2312"/>
          <w:sz w:val="32"/>
          <w:szCs w:val="32"/>
        </w:rPr>
        <w:t>…………………………………</w:t>
      </w:r>
      <w:r>
        <w:rPr>
          <w:rFonts w:hint="eastAsia" w:eastAsia="仿宋_GB2312" w:cs="仿宋_GB2312"/>
          <w:sz w:val="32"/>
          <w:szCs w:val="32"/>
        </w:rPr>
        <w:t>3</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r>
        <w:rPr>
          <w:rFonts w:eastAsia="仿宋_GB2312" w:cs="仿宋_GB2312"/>
          <w:sz w:val="32"/>
          <w:szCs w:val="32"/>
        </w:rPr>
        <w:t>…………………………………</w:t>
      </w:r>
      <w:r>
        <w:rPr>
          <w:rFonts w:hint="eastAsia" w:eastAsia="仿宋_GB2312" w:cs="仿宋_GB2312"/>
          <w:sz w:val="32"/>
          <w:szCs w:val="32"/>
        </w:rPr>
        <w:t>.4</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r>
        <w:rPr>
          <w:rFonts w:eastAsia="仿宋_GB2312" w:cs="仿宋_GB2312"/>
          <w:sz w:val="32"/>
          <w:szCs w:val="32"/>
        </w:rPr>
        <w:t>……………</w:t>
      </w:r>
      <w:r>
        <w:rPr>
          <w:rFonts w:hint="eastAsia" w:eastAsia="仿宋_GB2312" w:cs="仿宋_GB2312"/>
          <w:sz w:val="32"/>
          <w:szCs w:val="32"/>
        </w:rPr>
        <w:t>.5</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rFonts w:eastAsia="仿宋_GB2312" w:cs="仿宋_GB2312"/>
          <w:sz w:val="32"/>
          <w:szCs w:val="32"/>
        </w:rPr>
        <w:t>………</w:t>
      </w:r>
      <w:r>
        <w:rPr>
          <w:rFonts w:hint="eastAsia" w:eastAsia="仿宋_GB2312" w:cs="仿宋_GB2312"/>
          <w:sz w:val="32"/>
          <w:szCs w:val="32"/>
        </w:rPr>
        <w:t>.5</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r>
        <w:rPr>
          <w:rFonts w:eastAsia="仿宋_GB2312" w:cs="仿宋_GB2312"/>
          <w:sz w:val="32"/>
          <w:szCs w:val="32"/>
        </w:rPr>
        <w:t>…</w:t>
      </w:r>
      <w:r>
        <w:rPr>
          <w:rFonts w:hint="eastAsia" w:eastAsia="仿宋_GB2312" w:cs="仿宋_GB2312"/>
          <w:sz w:val="32"/>
          <w:szCs w:val="32"/>
        </w:rPr>
        <w:t>.7</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rFonts w:eastAsia="仿宋_GB2312" w:cs="仿宋_GB2312"/>
          <w:sz w:val="32"/>
          <w:szCs w:val="32"/>
        </w:rPr>
        <w:t>……………</w:t>
      </w:r>
      <w:r>
        <w:rPr>
          <w:rFonts w:hint="eastAsia" w:eastAsia="仿宋_GB2312" w:cs="仿宋_GB2312"/>
          <w:sz w:val="32"/>
          <w:szCs w:val="32"/>
        </w:rPr>
        <w:t>8</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rFonts w:eastAsia="仿宋_GB2312" w:cs="仿宋_GB2312"/>
          <w:sz w:val="32"/>
          <w:szCs w:val="32"/>
        </w:rPr>
        <w:t>……………</w:t>
      </w:r>
      <w:r>
        <w:rPr>
          <w:rFonts w:hint="eastAsia" w:eastAsia="仿宋_GB2312" w:cs="仿宋_GB2312"/>
          <w:sz w:val="32"/>
          <w:szCs w:val="32"/>
        </w:rPr>
        <w:t xml:space="preserve"> ..10</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eastAsia="仿宋_GB2312" w:cs="仿宋_GB2312"/>
          <w:sz w:val="32"/>
          <w:szCs w:val="32"/>
        </w:rPr>
        <w:t>…………</w:t>
      </w:r>
      <w:r>
        <w:rPr>
          <w:rFonts w:hint="eastAsia" w:eastAsia="仿宋_GB2312" w:cs="仿宋_GB2312"/>
          <w:sz w:val="32"/>
          <w:szCs w:val="32"/>
        </w:rPr>
        <w:t>. .10</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十、其他重要事项的情况说明</w:t>
      </w:r>
      <w:r>
        <w:rPr>
          <w:rFonts w:eastAsia="仿宋_GB2312" w:cs="仿宋_GB2312"/>
          <w:sz w:val="32"/>
          <w:szCs w:val="32"/>
        </w:rPr>
        <w:t>………………………</w:t>
      </w:r>
      <w:r>
        <w:rPr>
          <w:rFonts w:hint="eastAsia" w:eastAsia="仿宋_GB2312" w:cs="仿宋_GB2312"/>
          <w:sz w:val="32"/>
          <w:szCs w:val="32"/>
        </w:rPr>
        <w:t xml:space="preserve"> ..10</w:t>
      </w:r>
    </w:p>
    <w:p>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第三部分 名词解释</w:t>
      </w:r>
      <w:r>
        <w:rPr>
          <w:rFonts w:ascii="Times New Roman" w:hAnsi="Times New Roman" w:eastAsia="黑体" w:cs="黑体"/>
          <w:sz w:val="32"/>
          <w:szCs w:val="32"/>
        </w:rPr>
        <w:t>…………………………………………</w:t>
      </w:r>
      <w:r>
        <w:rPr>
          <w:rFonts w:hint="eastAsia" w:ascii="Times New Roman" w:hAnsi="Times New Roman" w:eastAsia="黑体" w:cs="黑体"/>
          <w:sz w:val="32"/>
          <w:szCs w:val="32"/>
        </w:rPr>
        <w:t>.12</w:t>
      </w:r>
    </w:p>
    <w:p>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第四部分 附件</w:t>
      </w:r>
      <w:r>
        <w:rPr>
          <w:rFonts w:ascii="Times New Roman" w:hAnsi="Times New Roman" w:eastAsia="黑体" w:cs="黑体"/>
          <w:sz w:val="32"/>
          <w:szCs w:val="32"/>
        </w:rPr>
        <w:t>…………………………………………</w:t>
      </w:r>
      <w:r>
        <w:rPr>
          <w:rFonts w:hint="eastAsia" w:ascii="Times New Roman" w:hAnsi="Times New Roman" w:eastAsia="黑体" w:cs="黑体"/>
          <w:sz w:val="32"/>
          <w:szCs w:val="32"/>
        </w:rPr>
        <w:t xml:space="preserve"> </w:t>
      </w:r>
      <w:r>
        <w:rPr>
          <w:rFonts w:ascii="Times New Roman" w:hAnsi="Times New Roman" w:eastAsia="黑体" w:cs="黑体"/>
          <w:sz w:val="32"/>
          <w:szCs w:val="32"/>
        </w:rPr>
        <w:t>……</w:t>
      </w:r>
      <w:r>
        <w:rPr>
          <w:rFonts w:hint="eastAsia" w:ascii="Times New Roman" w:hAnsi="Times New Roman" w:eastAsia="黑体" w:cs="黑体"/>
          <w:sz w:val="32"/>
          <w:szCs w:val="32"/>
        </w:rPr>
        <w:t>15</w:t>
      </w:r>
    </w:p>
    <w:p>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第五部分 附表</w:t>
      </w:r>
      <w:r>
        <w:rPr>
          <w:rFonts w:ascii="Times New Roman" w:hAnsi="Times New Roman" w:eastAsia="黑体" w:cs="黑体"/>
          <w:sz w:val="32"/>
          <w:szCs w:val="32"/>
        </w:rPr>
        <w:t>………………………………………………</w:t>
      </w:r>
      <w:r>
        <w:rPr>
          <w:rFonts w:hint="eastAsia" w:ascii="Times New Roman" w:hAnsi="Times New Roman" w:eastAsia="黑体" w:cs="黑体"/>
          <w:sz w:val="32"/>
          <w:szCs w:val="32"/>
        </w:rPr>
        <w:t xml:space="preserve"> 25</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pPr>
        <w:widowControl/>
        <w:spacing w:line="560" w:lineRule="exact"/>
        <w:jc w:val="left"/>
        <w:rPr>
          <w:rFonts w:eastAsia="仿宋_GB2312" w:cs="仿宋_GB2312"/>
          <w:bCs/>
          <w:kern w:val="44"/>
          <w:sz w:val="32"/>
          <w:szCs w:val="32"/>
        </w:rPr>
      </w:pPr>
      <w:bookmarkStart w:id="12" w:name="_Toc15377196"/>
      <w:bookmarkStart w:id="13" w:name="_Toc15396599"/>
      <w:r>
        <w:rPr>
          <w:rFonts w:hint="eastAsia" w:eastAsia="仿宋_GB2312" w:cs="仿宋_GB2312"/>
          <w:b/>
          <w:sz w:val="32"/>
          <w:szCs w:val="32"/>
        </w:rPr>
        <w:br w:type="page"/>
      </w:r>
    </w:p>
    <w:p>
      <w:pPr>
        <w:pStyle w:val="5"/>
        <w:jc w:val="center"/>
        <w:rPr>
          <w:rFonts w:eastAsia="方正小标宋简体" w:cs="方正小标宋简体"/>
          <w:b w:val="0"/>
        </w:rPr>
        <w:sectPr>
          <w:footerReference r:id="rId3" w:type="default"/>
          <w:pgSz w:w="11906" w:h="16838"/>
          <w:pgMar w:top="1440" w:right="1800" w:bottom="1440" w:left="1800" w:header="851" w:footer="992" w:gutter="0"/>
          <w:pgNumType w:fmt="numberInDash" w:start="1"/>
          <w:cols w:space="425" w:num="1"/>
          <w:titlePg/>
          <w:docGrid w:type="lines" w:linePitch="312" w:charSpace="0"/>
        </w:sectPr>
      </w:pPr>
    </w:p>
    <w:p>
      <w:pPr>
        <w:pStyle w:val="5"/>
        <w:jc w:val="center"/>
        <w:rPr>
          <w:rStyle w:val="28"/>
          <w:rFonts w:eastAsia="方正小标宋简体" w:cs="方正小标宋简体"/>
          <w:b/>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部门概况</w:t>
      </w:r>
      <w:bookmarkEnd w:id="12"/>
      <w:bookmarkEnd w:id="13"/>
    </w:p>
    <w:p>
      <w:pPr>
        <w:widowControl/>
        <w:jc w:val="left"/>
        <w:rPr>
          <w:rFonts w:eastAsia="黑体"/>
          <w:sz w:val="32"/>
          <w:szCs w:val="32"/>
        </w:rPr>
      </w:pPr>
    </w:p>
    <w:p>
      <w:pPr>
        <w:pStyle w:val="6"/>
        <w:numPr>
          <w:ilvl w:val="0"/>
          <w:numId w:val="1"/>
        </w:numPr>
        <w:rPr>
          <w:rFonts w:ascii="Times New Roman" w:hAnsi="Times New Roman" w:eastAsia="黑体"/>
          <w:b w:val="0"/>
        </w:rPr>
      </w:pPr>
      <w:r>
        <w:rPr>
          <w:rFonts w:hint="eastAsia" w:ascii="Times New Roman" w:hAnsi="Times New Roman" w:eastAsia="黑体"/>
          <w:b w:val="0"/>
        </w:rPr>
        <w:t>部门职责</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根据仁和区人民法院“三定”方案区法院的职责主要是：（一）负责对仁和区人民代表大会及其常务委员会报告工作，接受仁和区人民代表大会及其常务委员会的监督。（二）贯彻执行最高人民法院、省高级人民法院、市中级人民法院确定的工作方针和工作任务。（三）依法审判法律规定由本院管辖的刑事、民事、行政等第一审案件。（四）依法审理由市中级人民法院、区人大交办的各类案件。（五）依法审判由人民检察院按照审判监督程序提出的抗诉案件。（六）依法审理本院决定再审的案件，审理上级法院指令再审的案件和发回重审的案件。（七）依法行使司法执行权和司法决定权（八）负责向区人大常委会提请人事任免工作；负责本院的思想政治工作和队伍建设工作；负责本院的法官及其它工作人员的管理和教育培训工作；负责本院的纪检监察工作；负责本院司法警察管理工作（九）开展调查研究工作，总结审判经验；开展司法建议工作和法制宣传工作；参与社会治安综合治理工作（十）负责本院的装备计划工作；负责本院的财务管理工作；负责本院的诉讼费收取、管理工作和罚没款的上缴工作（十一）经办其他应由本院负责的工作。</w:t>
      </w:r>
    </w:p>
    <w:p/>
    <w:p>
      <w:pPr>
        <w:pStyle w:val="6"/>
        <w:rPr>
          <w:rStyle w:val="29"/>
          <w:rFonts w:ascii="Times New Roman" w:hAnsi="Times New Roman"/>
          <w:b w:val="0"/>
          <w:bCs w:val="0"/>
        </w:rPr>
      </w:pPr>
      <w:bookmarkStart w:id="14" w:name="_Toc15377200"/>
      <w:bookmarkStart w:id="15" w:name="_Toc15396601"/>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14"/>
      <w:bookmarkEnd w:id="15"/>
    </w:p>
    <w:p>
      <w:pPr>
        <w:pStyle w:val="26"/>
        <w:ind w:firstLine="640" w:firstLineChars="200"/>
        <w:rPr>
          <w:rFonts w:hAnsi="仿宋" w:cs="Times New Roman"/>
          <w:color w:val="auto"/>
          <w:kern w:val="2"/>
          <w:sz w:val="32"/>
          <w:szCs w:val="32"/>
        </w:rPr>
      </w:pPr>
      <w:bookmarkStart w:id="16" w:name="_Toc15306275"/>
      <w:bookmarkStart w:id="17" w:name="_Toc15378448"/>
      <w:bookmarkStart w:id="18" w:name="_Toc15377201"/>
      <w:bookmarkStart w:id="19" w:name="_Toc15377432"/>
      <w:r>
        <w:rPr>
          <w:rFonts w:hint="eastAsia" w:ascii="仿宋_GB2312" w:hAnsi="仿宋_GB2312" w:eastAsia="仿宋_GB2312" w:cs="仿宋_GB2312"/>
          <w:color w:val="auto"/>
          <w:kern w:val="2"/>
          <w:sz w:val="32"/>
          <w:szCs w:val="32"/>
        </w:rPr>
        <w:t>仁和法院为一级预算单位,无下属二级预算单位，只有一个行政机构，内设机构10个：综合办公室、政治部（督察室）、立案庭（诉讼服务中心）、刑事审判庭（未成年人案件审判庭）、民事审判第一庭、民事审判第二庭、行政审判庭（综合审判庭）、执行局、审判管理办公室（研究室）、法警队。派出机构4个：同德法庭、大田法庭、金江法庭、仁和法庭。</w:t>
      </w:r>
    </w:p>
    <w:bookmarkEnd w:id="16"/>
    <w:bookmarkEnd w:id="17"/>
    <w:bookmarkEnd w:id="18"/>
    <w:bookmarkEnd w:id="19"/>
    <w:p>
      <w:pPr>
        <w:widowControl/>
        <w:jc w:val="left"/>
        <w:rPr>
          <w:rFonts w:eastAsia="仿宋"/>
          <w:kern w:val="0"/>
          <w:sz w:val="32"/>
          <w:szCs w:val="32"/>
        </w:rPr>
      </w:pPr>
      <w:r>
        <w:rPr>
          <w:rFonts w:eastAsia="仿宋"/>
          <w:sz w:val="32"/>
          <w:szCs w:val="32"/>
        </w:rPr>
        <w:br w:type="page"/>
      </w:r>
    </w:p>
    <w:p>
      <w:pPr>
        <w:pStyle w:val="5"/>
        <w:jc w:val="center"/>
        <w:rPr>
          <w:rFonts w:eastAsia="方正小标宋简体" w:cs="方正小标宋简体"/>
          <w:b w:val="0"/>
        </w:rPr>
      </w:pPr>
      <w:bookmarkStart w:id="20" w:name="_Toc15396602"/>
      <w:bookmarkStart w:id="21" w:name="_Toc15377204"/>
      <w:r>
        <w:rPr>
          <w:rFonts w:hint="eastAsia" w:eastAsia="方正小标宋简体" w:cs="方正小标宋简体"/>
          <w:b w:val="0"/>
        </w:rPr>
        <w:t>第二部分  2024年度部门决算情况说明</w:t>
      </w:r>
      <w:bookmarkEnd w:id="20"/>
      <w:bookmarkEnd w:id="21"/>
    </w:p>
    <w:p/>
    <w:p>
      <w:pPr>
        <w:pStyle w:val="27"/>
        <w:spacing w:line="600" w:lineRule="exact"/>
        <w:ind w:firstLine="640"/>
        <w:outlineLvl w:val="1"/>
        <w:rPr>
          <w:rStyle w:val="29"/>
          <w:rFonts w:ascii="Times New Roman" w:hAnsi="Times New Roman" w:eastAsia="黑体"/>
          <w:b w:val="0"/>
        </w:rPr>
      </w:pPr>
      <w:bookmarkStart w:id="22" w:name="_Toc15377205"/>
      <w:bookmarkStart w:id="23"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22"/>
      <w:bookmarkEnd w:id="23"/>
    </w:p>
    <w:p>
      <w:pPr>
        <w:pStyle w:val="27"/>
        <w:spacing w:line="600" w:lineRule="exact"/>
        <w:ind w:firstLine="640"/>
        <w:outlineLvl w:val="1"/>
        <w:rPr>
          <w:rFonts w:eastAsia="仿宋_GB2312" w:cs="仿宋_GB2312"/>
          <w:sz w:val="32"/>
          <w:szCs w:val="32"/>
        </w:rPr>
      </w:pPr>
      <w:r>
        <w:rPr>
          <w:rFonts w:hint="eastAsia" w:ascii="仿宋_GB2312" w:hAnsi="仿宋_GB2312" w:eastAsia="仿宋_GB2312" w:cs="仿宋_GB2312"/>
          <w:sz w:val="32"/>
          <w:szCs w:val="32"/>
        </w:rPr>
        <w:t>2024</w:t>
      </w:r>
      <w:r>
        <w:rPr>
          <w:rFonts w:hint="eastAsia" w:eastAsia="仿宋_GB2312" w:cs="仿宋_GB2312"/>
          <w:sz w:val="32"/>
          <w:szCs w:val="32"/>
        </w:rPr>
        <w:t>年度收入、支出总计均为</w:t>
      </w:r>
      <w:r>
        <w:rPr>
          <w:rFonts w:hint="eastAsia" w:ascii="仿宋_GB2312" w:hAnsi="仿宋_GB2312" w:eastAsia="仿宋_GB2312" w:cs="仿宋_GB2312"/>
          <w:sz w:val="32"/>
          <w:szCs w:val="32"/>
        </w:rPr>
        <w:t>1986.15</w:t>
      </w:r>
      <w:r>
        <w:rPr>
          <w:rFonts w:hint="eastAsia" w:eastAsia="仿宋_GB2312" w:cs="仿宋_GB2312"/>
          <w:sz w:val="32"/>
          <w:szCs w:val="32"/>
        </w:rPr>
        <w:t>万元。与2023年度相比，收入、支出总计各增加</w:t>
      </w:r>
      <w:r>
        <w:rPr>
          <w:rFonts w:hint="eastAsia" w:ascii="仿宋_GB2312" w:hAnsi="仿宋_GB2312" w:eastAsia="仿宋_GB2312" w:cs="仿宋_GB2312"/>
          <w:sz w:val="32"/>
          <w:szCs w:val="32"/>
        </w:rPr>
        <w:t>6.34</w:t>
      </w:r>
      <w:r>
        <w:rPr>
          <w:rFonts w:hint="eastAsia" w:eastAsia="仿宋_GB2312" w:cs="仿宋_GB2312"/>
          <w:sz w:val="32"/>
          <w:szCs w:val="32"/>
        </w:rPr>
        <w:t>万元，增长0.32%。主要变动原因是新招录公务员导致经费增加。</w:t>
      </w:r>
    </w:p>
    <w:p>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pPr>
        <w:ind w:firstLine="640" w:firstLineChars="200"/>
        <w:rPr>
          <w:rFonts w:eastAsia="仿宋_GB2312" w:cs="仿宋_GB2312"/>
          <w:sz w:val="32"/>
          <w:szCs w:val="32"/>
        </w:rPr>
      </w:pPr>
      <w:r>
        <w:rPr>
          <w:rFonts w:eastAsia="仿宋_GB2312" w:cs="仿宋_GB2312"/>
          <w:sz w:val="32"/>
          <w:szCs w:val="32"/>
        </w:rPr>
        <w:drawing>
          <wp:inline distT="0" distB="0" distL="0" distR="0">
            <wp:extent cx="5274310" cy="3076575"/>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rPr>
          <w:rFonts w:eastAsia="仿宋_GB2312" w:cs="仿宋_GB2312"/>
          <w:sz w:val="32"/>
          <w:szCs w:val="32"/>
        </w:rPr>
      </w:pPr>
    </w:p>
    <w:p>
      <w:pPr>
        <w:pStyle w:val="27"/>
        <w:spacing w:line="600" w:lineRule="exact"/>
        <w:ind w:firstLine="640"/>
        <w:outlineLvl w:val="1"/>
        <w:rPr>
          <w:rFonts w:eastAsia="黑体"/>
          <w:sz w:val="32"/>
          <w:szCs w:val="32"/>
        </w:rPr>
      </w:pPr>
      <w:bookmarkStart w:id="24" w:name="_Toc15377206"/>
      <w:bookmarkStart w:id="25" w:name="_Toc15396604"/>
      <w:r>
        <w:rPr>
          <w:rFonts w:hint="eastAsia" w:eastAsia="黑体"/>
          <w:sz w:val="32"/>
          <w:szCs w:val="32"/>
        </w:rPr>
        <w:t>二、收入决算情况说明</w:t>
      </w:r>
      <w:bookmarkEnd w:id="24"/>
      <w:bookmarkEnd w:id="25"/>
    </w:p>
    <w:p>
      <w:pPr>
        <w:pStyle w:val="27"/>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2024年度本年收入合计1986.15万元，其中：一般公共预算财政拨款收入1710.77万元，占86.13%；其他收入274.32万元，占13.87%。</w:t>
      </w:r>
    </w:p>
    <w:p>
      <w:pPr>
        <w:ind w:firstLine="800" w:firstLineChars="250"/>
        <w:rPr>
          <w:rFonts w:eastAsia="仿宋_GB2312" w:cs="仿宋_GB2312"/>
          <w:sz w:val="32"/>
          <w:szCs w:val="32"/>
        </w:rPr>
      </w:pPr>
      <w:r>
        <w:rPr>
          <w:rFonts w:hint="eastAsia" w:eastAsia="仿宋_GB2312" w:cs="仿宋_GB2312"/>
          <w:sz w:val="32"/>
          <w:szCs w:val="32"/>
        </w:rPr>
        <w:t>（图2：收入决算结构图）（饼状图）</w:t>
      </w:r>
    </w:p>
    <w:p>
      <w:pPr>
        <w:ind w:firstLine="800" w:firstLineChars="250"/>
        <w:rPr>
          <w:rFonts w:eastAsia="仿宋_GB2312" w:cs="仿宋_GB2312"/>
          <w:sz w:val="32"/>
          <w:szCs w:val="32"/>
        </w:rPr>
      </w:pPr>
      <w:r>
        <w:rPr>
          <w:rFonts w:eastAsia="仿宋_GB2312" w:cs="仿宋_GB2312"/>
          <w:sz w:val="32"/>
          <w:szCs w:val="32"/>
        </w:rPr>
        <w:drawing>
          <wp:inline distT="0" distB="0" distL="0" distR="0">
            <wp:extent cx="5274310" cy="3076575"/>
            <wp:effectExtent l="19050" t="0" r="2159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800" w:firstLineChars="250"/>
        <w:rPr>
          <w:rFonts w:eastAsia="仿宋_GB2312" w:cs="仿宋_GB2312"/>
          <w:sz w:val="32"/>
          <w:szCs w:val="32"/>
        </w:rPr>
      </w:pPr>
    </w:p>
    <w:p>
      <w:pPr>
        <w:pStyle w:val="27"/>
        <w:spacing w:line="600" w:lineRule="exact"/>
        <w:ind w:firstLine="640"/>
        <w:outlineLvl w:val="1"/>
        <w:rPr>
          <w:rStyle w:val="29"/>
          <w:rFonts w:ascii="Times New Roman" w:hAnsi="Times New Roman" w:eastAsia="黑体"/>
          <w:b w:val="0"/>
        </w:rPr>
      </w:pPr>
      <w:bookmarkStart w:id="26" w:name="_Toc15377207"/>
      <w:bookmarkStart w:id="27" w:name="_Toc15396605"/>
      <w:r>
        <w:rPr>
          <w:rFonts w:hint="eastAsia" w:eastAsia="黑体"/>
          <w:sz w:val="32"/>
          <w:szCs w:val="32"/>
        </w:rPr>
        <w:t>三、支</w:t>
      </w:r>
      <w:r>
        <w:rPr>
          <w:rStyle w:val="29"/>
          <w:rFonts w:hint="eastAsia" w:ascii="Times New Roman" w:hAnsi="Times New Roman" w:eastAsia="黑体"/>
          <w:b w:val="0"/>
        </w:rPr>
        <w:t>出决算情况说明</w:t>
      </w:r>
      <w:bookmarkEnd w:id="26"/>
      <w:bookmarkEnd w:id="27"/>
    </w:p>
    <w:p>
      <w:pPr>
        <w:pStyle w:val="27"/>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2024年度本年支出合计1986.15万元，其中：基本支出1620.6万元，占81.59%；项目支出365.54万元，占18.41%。</w:t>
      </w:r>
    </w:p>
    <w:p>
      <w:pPr>
        <w:ind w:firstLine="800" w:firstLineChars="250"/>
        <w:rPr>
          <w:rFonts w:eastAsia="仿宋_GB2312" w:cs="仿宋_GB2312"/>
          <w:sz w:val="32"/>
          <w:szCs w:val="32"/>
        </w:rPr>
      </w:pPr>
      <w:r>
        <w:rPr>
          <w:rFonts w:hint="eastAsia" w:eastAsia="仿宋_GB2312" w:cs="仿宋_GB2312"/>
          <w:sz w:val="32"/>
          <w:szCs w:val="32"/>
        </w:rPr>
        <w:t>（图3：支出决算结构图）（饼状图）</w:t>
      </w:r>
    </w:p>
    <w:p>
      <w:pPr>
        <w:ind w:firstLine="800" w:firstLineChars="250"/>
        <w:rPr>
          <w:rFonts w:eastAsia="仿宋_GB2312" w:cs="仿宋_GB2312"/>
          <w:sz w:val="32"/>
          <w:szCs w:val="32"/>
        </w:rPr>
      </w:pPr>
      <w:r>
        <w:rPr>
          <w:rFonts w:eastAsia="仿宋_GB2312" w:cs="仿宋_GB2312"/>
          <w:sz w:val="32"/>
          <w:szCs w:val="32"/>
        </w:rPr>
        <w:drawing>
          <wp:inline distT="0" distB="0" distL="0" distR="0">
            <wp:extent cx="5274310" cy="3076575"/>
            <wp:effectExtent l="19050" t="0" r="2159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800" w:firstLineChars="250"/>
        <w:rPr>
          <w:rFonts w:eastAsia="仿宋_GB2312" w:cs="仿宋_GB2312"/>
          <w:sz w:val="32"/>
          <w:szCs w:val="32"/>
        </w:rPr>
      </w:pPr>
    </w:p>
    <w:p>
      <w:pPr>
        <w:spacing w:line="600" w:lineRule="exact"/>
        <w:ind w:firstLine="640" w:firstLineChars="200"/>
        <w:outlineLvl w:val="1"/>
        <w:rPr>
          <w:rStyle w:val="29"/>
          <w:rFonts w:ascii="Times New Roman" w:hAnsi="Times New Roman" w:eastAsia="黑体"/>
          <w:b w:val="0"/>
        </w:rPr>
      </w:pPr>
      <w:bookmarkStart w:id="28" w:name="_Toc15377208"/>
      <w:bookmarkStart w:id="29" w:name="_Toc15396606"/>
      <w:r>
        <w:rPr>
          <w:rFonts w:hint="eastAsia" w:eastAsia="黑体"/>
          <w:sz w:val="32"/>
          <w:szCs w:val="32"/>
        </w:rPr>
        <w:t>四、财</w:t>
      </w:r>
      <w:r>
        <w:rPr>
          <w:rStyle w:val="29"/>
          <w:rFonts w:hint="eastAsia" w:ascii="Times New Roman" w:hAnsi="Times New Roman" w:eastAsia="黑体"/>
          <w:b w:val="0"/>
        </w:rPr>
        <w:t>政拨款收入支出决算总体情况说明</w:t>
      </w:r>
      <w:bookmarkEnd w:id="28"/>
      <w:bookmarkEnd w:id="29"/>
    </w:p>
    <w:p>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1710.77</w:t>
      </w:r>
      <w:r>
        <w:rPr>
          <w:rFonts w:hint="eastAsia" w:eastAsia="仿宋_GB2312" w:cs="仿宋_GB2312"/>
          <w:sz w:val="32"/>
          <w:szCs w:val="32"/>
        </w:rPr>
        <w:t>万元。与2023年度相比，财政拨款收入总计、支出总计各增加43.33万元，增长2.6%。主要变动原因是2024年新招录公务员，导致费用增加。</w:t>
      </w:r>
    </w:p>
    <w:p>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pPr>
        <w:pStyle w:val="2"/>
      </w:pPr>
      <w:r>
        <w:rPr>
          <w:rFonts w:hint="eastAsia"/>
        </w:rPr>
        <w:drawing>
          <wp:inline distT="0" distB="0" distL="0" distR="0">
            <wp:extent cx="5274310" cy="3076575"/>
            <wp:effectExtent l="19050" t="0" r="21590"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9"/>
          <w:rFonts w:ascii="Times New Roman" w:hAnsi="Times New Roman" w:eastAsia="黑体"/>
          <w:b w:val="0"/>
        </w:rPr>
      </w:pPr>
      <w:bookmarkStart w:id="30" w:name="_Toc15396607"/>
      <w:bookmarkStart w:id="31" w:name="_Toc15377209"/>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30"/>
      <w:bookmarkEnd w:id="31"/>
    </w:p>
    <w:p>
      <w:pPr>
        <w:spacing w:line="600" w:lineRule="exact"/>
        <w:ind w:firstLine="642" w:firstLineChars="200"/>
        <w:outlineLvl w:val="2"/>
        <w:rPr>
          <w:rFonts w:eastAsia="楷体_GB2312" w:cs="楷体_GB2312"/>
          <w:b/>
          <w:sz w:val="32"/>
          <w:szCs w:val="32"/>
        </w:rPr>
      </w:pPr>
      <w:bookmarkStart w:id="32" w:name="_Toc15377210"/>
      <w:r>
        <w:rPr>
          <w:rFonts w:hint="eastAsia" w:eastAsia="楷体_GB2312" w:cs="楷体_GB2312"/>
          <w:b/>
          <w:sz w:val="32"/>
          <w:szCs w:val="32"/>
        </w:rPr>
        <w:t>（一）一般公共预算财政拨款支出决算总体情况</w:t>
      </w:r>
      <w:bookmarkEnd w:id="32"/>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2024年度一般公共预算财政拨款支出1710.77万元，占本年支出合计的86.13%。与2023年度相比，一般公共预算财政拨款支出增加43.33万元，增长2.6%。主要变动原因是</w:t>
      </w:r>
      <w:r>
        <w:rPr>
          <w:rFonts w:hint="eastAsia" w:eastAsia="仿宋_GB2312" w:cs="仿宋_GB2312"/>
          <w:sz w:val="32"/>
          <w:szCs w:val="32"/>
        </w:rPr>
        <w:t>2024年新招录公务员，导致费用增加。</w:t>
      </w:r>
    </w:p>
    <w:p>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pPr>
        <w:pStyle w:val="2"/>
      </w:pPr>
      <w:r>
        <w:drawing>
          <wp:inline distT="0" distB="0" distL="0" distR="0">
            <wp:extent cx="5274310" cy="3076575"/>
            <wp:effectExtent l="19050" t="0" r="21590" b="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eastAsia="楷体_GB2312" w:cs="楷体_GB2312"/>
          <w:b/>
          <w:sz w:val="32"/>
          <w:szCs w:val="32"/>
        </w:rPr>
      </w:pPr>
      <w:bookmarkStart w:id="33" w:name="_Toc15377211"/>
      <w:r>
        <w:rPr>
          <w:rFonts w:hint="eastAsia" w:eastAsia="楷体_GB2312" w:cs="楷体_GB2312"/>
          <w:b/>
          <w:sz w:val="32"/>
          <w:szCs w:val="32"/>
        </w:rPr>
        <w:t>（二）一般公共预算财政拨款支出决算结构情况</w:t>
      </w:r>
      <w:bookmarkEnd w:id="33"/>
    </w:p>
    <w:p>
      <w:pPr>
        <w:spacing w:line="600" w:lineRule="exact"/>
        <w:ind w:firstLine="640"/>
        <w:rPr>
          <w:rFonts w:eastAsia="仿宋_GB2312" w:cs="仿宋_GB2312"/>
          <w:b/>
          <w:bCs/>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1710.77万元</w:t>
      </w:r>
      <w:r>
        <w:rPr>
          <w:rFonts w:hint="eastAsia" w:eastAsia="仿宋_GB2312" w:cs="仿宋_GB2312"/>
          <w:sz w:val="32"/>
          <w:szCs w:val="32"/>
        </w:rPr>
        <w:t>，主要用于以下方面：公共安全支出1399.52万元，占81.81%；社会保障和就业支出135.99万元，占7.95%；卫生健康支出70.13万元，占4.1%；住房保障支出105.12万元，占6.14%。</w:t>
      </w:r>
    </w:p>
    <w:p>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pPr>
        <w:pStyle w:val="2"/>
      </w:pPr>
      <w:r>
        <w:drawing>
          <wp:inline distT="0" distB="0" distL="0" distR="0">
            <wp:extent cx="5274310" cy="3076575"/>
            <wp:effectExtent l="19050" t="0" r="21590" b="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rPr>
          <w:rFonts w:eastAsia="仿宋_GB2312" w:cs="仿宋_GB2312"/>
          <w:sz w:val="32"/>
          <w:szCs w:val="32"/>
        </w:rPr>
      </w:pPr>
    </w:p>
    <w:p>
      <w:pPr>
        <w:spacing w:line="600" w:lineRule="exact"/>
        <w:ind w:firstLine="642" w:firstLineChars="200"/>
        <w:outlineLvl w:val="2"/>
        <w:rPr>
          <w:rFonts w:eastAsia="楷体_GB2312" w:cs="楷体_GB2312"/>
          <w:b/>
          <w:sz w:val="32"/>
          <w:szCs w:val="32"/>
        </w:rPr>
      </w:pPr>
      <w:bookmarkStart w:id="34" w:name="_Toc15377212"/>
      <w:r>
        <w:rPr>
          <w:rFonts w:hint="eastAsia" w:eastAsia="楷体_GB2312" w:cs="楷体_GB2312"/>
          <w:b/>
          <w:sz w:val="32"/>
          <w:szCs w:val="32"/>
        </w:rPr>
        <w:t>（三）一般公共预算财政拨款支出决算具体情况</w:t>
      </w:r>
      <w:bookmarkEnd w:id="34"/>
    </w:p>
    <w:p>
      <w:pPr>
        <w:spacing w:line="600" w:lineRule="exact"/>
        <w:ind w:firstLine="640"/>
        <w:rPr>
          <w:rFonts w:eastAsia="仿宋_GB2312" w:cs="仿宋_GB2312"/>
          <w:sz w:val="32"/>
          <w:szCs w:val="32"/>
        </w:rPr>
      </w:pPr>
      <w:bookmarkStart w:id="35" w:name="_Toc15377444"/>
      <w:bookmarkStart w:id="36" w:name="_Toc15378460"/>
      <w:bookmarkStart w:id="37"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1710.77万元，</w:t>
      </w:r>
      <w:r>
        <w:rPr>
          <w:rFonts w:hint="eastAsia" w:eastAsia="仿宋_GB2312" w:cs="仿宋_GB2312"/>
          <w:sz w:val="32"/>
          <w:szCs w:val="32"/>
        </w:rPr>
        <w:t>完成预算100%。其中：</w:t>
      </w:r>
      <w:bookmarkEnd w:id="35"/>
      <w:bookmarkEnd w:id="36"/>
      <w:bookmarkEnd w:id="37"/>
    </w:p>
    <w:p>
      <w:pPr>
        <w:spacing w:line="600" w:lineRule="exact"/>
        <w:ind w:firstLine="640"/>
        <w:rPr>
          <w:rFonts w:eastAsia="仿宋_GB2312" w:cs="仿宋_GB2312"/>
          <w:sz w:val="32"/>
          <w:szCs w:val="32"/>
        </w:rPr>
      </w:pPr>
      <w:r>
        <w:rPr>
          <w:rFonts w:hint="eastAsia" w:eastAsia="仿宋_GB2312" w:cs="仿宋_GB2312"/>
          <w:sz w:val="32"/>
          <w:szCs w:val="32"/>
        </w:rPr>
        <w:t>1.公共安全支出204（类）05（款）01、02、50、99（项）：支出决算为1399.52万元，完成预算100%。</w:t>
      </w:r>
    </w:p>
    <w:p>
      <w:pPr>
        <w:spacing w:line="600" w:lineRule="exact"/>
        <w:ind w:firstLine="640"/>
        <w:rPr>
          <w:rFonts w:eastAsia="仿宋_GB2312" w:cs="仿宋_GB2312"/>
          <w:sz w:val="32"/>
          <w:szCs w:val="32"/>
        </w:rPr>
      </w:pPr>
      <w:r>
        <w:rPr>
          <w:rFonts w:hint="eastAsia" w:eastAsia="仿宋_GB2312" w:cs="仿宋_GB2312"/>
          <w:sz w:val="32"/>
          <w:szCs w:val="32"/>
        </w:rPr>
        <w:t>2. 社会保障和就业支出208（类）05（款）01、05（项）: 支出决算为135.99万元，完成预算100%。</w:t>
      </w:r>
    </w:p>
    <w:p>
      <w:pPr>
        <w:spacing w:line="600" w:lineRule="exact"/>
        <w:ind w:firstLine="640"/>
        <w:rPr>
          <w:rFonts w:eastAsia="仿宋_GB2312" w:cs="仿宋_GB2312"/>
          <w:sz w:val="32"/>
          <w:szCs w:val="32"/>
        </w:rPr>
      </w:pPr>
      <w:r>
        <w:rPr>
          <w:rFonts w:hint="eastAsia" w:eastAsia="仿宋_GB2312" w:cs="仿宋_GB2312"/>
          <w:sz w:val="32"/>
          <w:szCs w:val="32"/>
        </w:rPr>
        <w:t>3. 卫生健康支出210（类）11（款）01、03（项）：支出决算为70.13万元，完成预算100%。</w:t>
      </w:r>
    </w:p>
    <w:p>
      <w:pPr>
        <w:spacing w:line="600" w:lineRule="exact"/>
        <w:ind w:firstLine="640"/>
        <w:rPr>
          <w:rFonts w:eastAsia="仿宋_GB2312" w:cs="仿宋_GB2312"/>
          <w:sz w:val="32"/>
          <w:szCs w:val="32"/>
        </w:rPr>
      </w:pPr>
      <w:r>
        <w:rPr>
          <w:rFonts w:hint="eastAsia" w:eastAsia="仿宋_GB2312" w:cs="仿宋_GB2312"/>
          <w:sz w:val="32"/>
          <w:szCs w:val="32"/>
        </w:rPr>
        <w:t>4. 住房保障支出221（类）02（款）01（项）：支出决算为105.12万元，完成预算100%。</w:t>
      </w:r>
    </w:p>
    <w:p>
      <w:pPr>
        <w:spacing w:line="600" w:lineRule="exact"/>
        <w:ind w:firstLine="640"/>
        <w:rPr>
          <w:rFonts w:eastAsia="仿宋_GB2312" w:cs="仿宋_GB2312"/>
          <w:sz w:val="32"/>
          <w:szCs w:val="32"/>
        </w:rPr>
      </w:pPr>
    </w:p>
    <w:p>
      <w:pPr>
        <w:tabs>
          <w:tab w:val="right" w:pos="8306"/>
        </w:tabs>
        <w:spacing w:line="600" w:lineRule="exact"/>
        <w:ind w:firstLine="640"/>
        <w:outlineLvl w:val="1"/>
        <w:rPr>
          <w:rStyle w:val="29"/>
          <w:rFonts w:ascii="Times New Roman" w:hAnsi="Times New Roman"/>
        </w:rPr>
      </w:pPr>
      <w:bookmarkStart w:id="38" w:name="_Toc15377214"/>
      <w:bookmarkStart w:id="39" w:name="_Toc15396608"/>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38"/>
      <w:bookmarkEnd w:id="39"/>
      <w:r>
        <w:rPr>
          <w:rStyle w:val="29"/>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1345.23万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1174.32万</w:t>
      </w:r>
      <w:r>
        <w:rPr>
          <w:rFonts w:hint="eastAsia" w:eastAsia="仿宋_GB2312" w:cs="仿宋_GB2312"/>
          <w:sz w:val="32"/>
          <w:szCs w:val="32"/>
        </w:rPr>
        <w:t>元，主要包括：基本工资、津贴补贴、奖金、机关事业单位基本养老保险缴费、职工基本医疗保险缴费、公务员医疗补助缴费、他社会保障缴费、住房公积金、其他工资福利支出、抚恤金、生活补助、奖励金等。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170.91万</w:t>
      </w:r>
      <w:r>
        <w:rPr>
          <w:rFonts w:hint="eastAsia" w:eastAsia="仿宋_GB2312" w:cs="仿宋_GB2312"/>
          <w:sz w:val="32"/>
          <w:szCs w:val="32"/>
        </w:rPr>
        <w:t>元，主要包括：办公费、水费、电费、邮电费、差旅费、维修（护）费、培训费、公务接待费、劳务费、工会经费、福利费、公务用车运行维护费、其他交通费、其他商品和服务支出。</w:t>
      </w:r>
    </w:p>
    <w:p>
      <w:pPr>
        <w:spacing w:line="600" w:lineRule="exact"/>
        <w:ind w:firstLine="640"/>
        <w:rPr>
          <w:rFonts w:eastAsia="仿宋_GB2312" w:cs="仿宋_GB2312"/>
          <w:sz w:val="32"/>
          <w:szCs w:val="32"/>
        </w:rPr>
      </w:pPr>
    </w:p>
    <w:p>
      <w:pPr>
        <w:spacing w:line="600" w:lineRule="exact"/>
        <w:ind w:firstLine="640"/>
        <w:outlineLvl w:val="1"/>
        <w:rPr>
          <w:rStyle w:val="29"/>
          <w:rFonts w:ascii="Times New Roman" w:hAnsi="Times New Roman" w:eastAsia="黑体"/>
          <w:b w:val="0"/>
        </w:rPr>
      </w:pPr>
      <w:bookmarkStart w:id="40" w:name="_Toc15377215"/>
      <w:bookmarkStart w:id="41" w:name="_Toc15396609"/>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40"/>
      <w:bookmarkEnd w:id="41"/>
    </w:p>
    <w:p>
      <w:pPr>
        <w:spacing w:line="600" w:lineRule="exact"/>
        <w:ind w:firstLine="642" w:firstLineChars="200"/>
        <w:outlineLvl w:val="2"/>
        <w:rPr>
          <w:rFonts w:eastAsia="楷体_GB2312" w:cs="楷体_GB2312"/>
          <w:b/>
          <w:sz w:val="32"/>
          <w:szCs w:val="32"/>
        </w:rPr>
      </w:pPr>
      <w:bookmarkStart w:id="42" w:name="_Toc15377216"/>
      <w:r>
        <w:rPr>
          <w:rFonts w:hint="eastAsia" w:eastAsia="楷体_GB2312" w:cs="楷体_GB2312"/>
          <w:b/>
          <w:sz w:val="32"/>
          <w:szCs w:val="32"/>
        </w:rPr>
        <w:t>（一）“三公”经费财政拨款支出决算总体情况说明</w:t>
      </w:r>
      <w:bookmarkEnd w:id="42"/>
    </w:p>
    <w:p>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15.43万元，完成预算100%，</w:t>
      </w:r>
      <w:r>
        <w:rPr>
          <w:rFonts w:hint="eastAsia" w:eastAsia="仿宋_GB2312" w:cs="仿宋_GB2312"/>
          <w:sz w:val="32"/>
          <w:szCs w:val="32"/>
        </w:rPr>
        <w:t>较上年度增加0.05万元，增长0.33%。决算数小于预算数的主要原因是公务接待费未使用完。</w:t>
      </w:r>
    </w:p>
    <w:p>
      <w:pPr>
        <w:spacing w:line="600" w:lineRule="exact"/>
        <w:ind w:firstLine="642" w:firstLineChars="200"/>
        <w:outlineLvl w:val="2"/>
        <w:rPr>
          <w:rFonts w:eastAsia="楷体_GB2312" w:cs="楷体_GB2312"/>
          <w:b/>
          <w:sz w:val="32"/>
          <w:szCs w:val="32"/>
        </w:rPr>
      </w:pPr>
      <w:bookmarkStart w:id="43" w:name="_Toc15377217"/>
      <w:r>
        <w:rPr>
          <w:rFonts w:hint="eastAsia" w:eastAsia="楷体_GB2312" w:cs="楷体_GB2312"/>
          <w:b/>
          <w:sz w:val="32"/>
          <w:szCs w:val="32"/>
        </w:rPr>
        <w:t>（二）“三公”经费财政拨款支出决算具体情况说明</w:t>
      </w:r>
      <w:bookmarkEnd w:id="43"/>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2024年度“三公”经费财政拨款支出决算中，因公出国（境）费支出决算0万元，占0%；公务用车购置及运行维护费支出决算14.94万元，占96.82%；公务接待费支出决算0.49万元，占3.18%。具体情况如下：</w:t>
      </w:r>
    </w:p>
    <w:p>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pPr>
        <w:pStyle w:val="2"/>
      </w:pPr>
      <w:r>
        <w:drawing>
          <wp:inline distT="0" distB="0" distL="0" distR="0">
            <wp:extent cx="5274310" cy="3076575"/>
            <wp:effectExtent l="19050" t="0" r="21590" b="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。因公出国（境）支出决算与2023年持平。</w:t>
      </w:r>
      <w:bookmarkStart w:id="44" w:name="_Toc15377218"/>
      <w:bookmarkStart w:id="45" w:name="_Toc15396610"/>
    </w:p>
    <w:p>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14.94万</w:t>
      </w:r>
      <w:r>
        <w:rPr>
          <w:rFonts w:hint="eastAsia" w:eastAsia="仿宋_GB2312" w:cs="仿宋_GB2312"/>
          <w:b/>
          <w:bCs/>
          <w:sz w:val="32"/>
          <w:szCs w:val="32"/>
        </w:rPr>
        <w:t>元，完成预算94.08%。</w:t>
      </w:r>
      <w:r>
        <w:rPr>
          <w:rFonts w:hint="eastAsia" w:eastAsia="仿宋_GB2312" w:cs="仿宋_GB2312"/>
          <w:sz w:val="32"/>
          <w:szCs w:val="32"/>
        </w:rPr>
        <w:t>公务用车购置及运行维护费支出决算比2023年度增加1.06万元，增长7.64%。主要原因是部分车辆老化严重，维修费增加。</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万元。全年按规定更新购置公务用车0辆，其中：轿车0辆、金额0万元，越野车0辆、金额0万元，载客汽车0辆、金额0万元。截至2024年12月31日，单位共有公务用车10辆，其中：轿车6辆、越野车2辆、载客汽车1辆。</w:t>
      </w:r>
    </w:p>
    <w:p>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出14.94</w:t>
      </w:r>
      <w:r>
        <w:rPr>
          <w:rFonts w:hint="eastAsia" w:eastAsia="仿宋_GB2312" w:cs="仿宋_GB2312"/>
          <w:sz w:val="32"/>
          <w:szCs w:val="32"/>
        </w:rPr>
        <w:t>万元。主要用于审判办案所需的公务用车燃料费、维修费、过路过桥费、保险费等支出。</w:t>
      </w:r>
    </w:p>
    <w:p>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0.49万</w:t>
      </w:r>
      <w:r>
        <w:rPr>
          <w:rFonts w:hint="eastAsia" w:eastAsia="仿宋_GB2312" w:cs="仿宋_GB2312"/>
          <w:b/>
          <w:bCs/>
          <w:sz w:val="32"/>
          <w:szCs w:val="32"/>
        </w:rPr>
        <w:t>元，完成预算23.33%。</w:t>
      </w:r>
      <w:r>
        <w:rPr>
          <w:rFonts w:hint="eastAsia" w:eastAsia="仿宋_GB2312" w:cs="仿宋_GB2312"/>
          <w:sz w:val="32"/>
          <w:szCs w:val="32"/>
        </w:rPr>
        <w:t>公务接待费支出决算比2023年度减少1.05万元，下降68.18%。主要原因是2024年接待任务较少。其中：</w:t>
      </w:r>
    </w:p>
    <w:p>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出0.49万</w:t>
      </w:r>
      <w:r>
        <w:rPr>
          <w:rFonts w:hint="eastAsia" w:eastAsia="仿宋_GB2312" w:cs="仿宋_GB2312"/>
          <w:sz w:val="32"/>
          <w:szCs w:val="32"/>
        </w:rPr>
        <w:t>元，主要用于执行公务、开展业务活动开支的交通费等。国内公务接</w:t>
      </w:r>
      <w:r>
        <w:rPr>
          <w:rFonts w:hint="eastAsia" w:ascii="仿宋_GB2312" w:hAnsi="仿宋_GB2312" w:eastAsia="仿宋_GB2312" w:cs="仿宋_GB2312"/>
          <w:sz w:val="32"/>
          <w:szCs w:val="32"/>
        </w:rPr>
        <w:t>待4批次，33</w:t>
      </w:r>
      <w:r>
        <w:rPr>
          <w:rFonts w:hint="eastAsia" w:eastAsia="仿宋_GB2312" w:cs="仿宋_GB2312"/>
          <w:sz w:val="32"/>
          <w:szCs w:val="32"/>
        </w:rPr>
        <w:t>人次（不包括陪同人员），共计支出0.49万元，具体内容包括接待省法院调研督导工作1377元，接待省高院行政庭到我院查卷、询问当事人934元，接待省高院到我院开展执行案款管理专项政治调研督导工作2039元，接待省高院到我院参加主题教育专题民主生活会530元。</w:t>
      </w:r>
    </w:p>
    <w:p>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出0万元。外事接待0批次，0人次（不包括陪同人员），共计支出0万</w:t>
      </w:r>
      <w:r>
        <w:rPr>
          <w:rFonts w:hint="eastAsia" w:eastAsia="仿宋_GB2312" w:cs="仿宋_GB2312"/>
          <w:sz w:val="32"/>
          <w:szCs w:val="32"/>
        </w:rPr>
        <w:t>元。</w:t>
      </w:r>
    </w:p>
    <w:p>
      <w:pPr>
        <w:spacing w:line="600" w:lineRule="exact"/>
        <w:ind w:firstLine="640"/>
        <w:rPr>
          <w:rFonts w:eastAsia="仿宋_GB2312" w:cs="仿宋_GB2312"/>
          <w:sz w:val="32"/>
          <w:szCs w:val="32"/>
        </w:rPr>
      </w:pPr>
    </w:p>
    <w:p>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44"/>
      <w:bookmarkEnd w:id="45"/>
    </w:p>
    <w:p>
      <w:pPr>
        <w:spacing w:line="600" w:lineRule="exact"/>
        <w:ind w:firstLine="640"/>
        <w:rPr>
          <w:rFonts w:eastAsia="仿宋_GB2312" w:cs="仿宋_GB2312"/>
          <w:b/>
          <w:bCs/>
          <w:sz w:val="32"/>
          <w:szCs w:val="32"/>
        </w:rPr>
      </w:pPr>
      <w:r>
        <w:rPr>
          <w:rFonts w:hint="eastAsia" w:ascii="仿宋_GB2312" w:hAnsi="仿宋_GB2312" w:eastAsia="仿宋_GB2312" w:cs="仿宋_GB2312"/>
          <w:sz w:val="32"/>
          <w:szCs w:val="32"/>
        </w:rPr>
        <w:t>2024年度政府性基金预算财政拨款支出0万元。</w:t>
      </w:r>
    </w:p>
    <w:p>
      <w:pPr>
        <w:spacing w:line="600" w:lineRule="exact"/>
        <w:ind w:firstLine="640"/>
        <w:rPr>
          <w:rFonts w:eastAsia="仿宋_GB2312" w:cs="仿宋_GB2312"/>
          <w:sz w:val="32"/>
          <w:szCs w:val="32"/>
        </w:rPr>
      </w:pPr>
    </w:p>
    <w:p>
      <w:pPr>
        <w:spacing w:line="600" w:lineRule="exact"/>
        <w:ind w:left="630"/>
        <w:outlineLvl w:val="1"/>
        <w:rPr>
          <w:rStyle w:val="29"/>
          <w:rFonts w:ascii="Times New Roman" w:hAnsi="Times New Roman" w:eastAsia="黑体"/>
          <w:b w:val="0"/>
        </w:rPr>
      </w:pPr>
      <w:bookmarkStart w:id="46" w:name="_Toc15377219"/>
      <w:bookmarkStart w:id="47" w:name="_Toc15396611"/>
      <w:r>
        <w:rPr>
          <w:rStyle w:val="29"/>
          <w:rFonts w:hint="eastAsia" w:ascii="Times New Roman" w:hAnsi="Times New Roman" w:eastAsia="黑体"/>
          <w:b w:val="0"/>
        </w:rPr>
        <w:t>九、国有资本经营预算支出决算情况说明</w:t>
      </w:r>
      <w:bookmarkEnd w:id="46"/>
      <w:bookmarkEnd w:id="47"/>
    </w:p>
    <w:p>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w:t>
      </w:r>
    </w:p>
    <w:p>
      <w:pPr>
        <w:spacing w:line="600" w:lineRule="exact"/>
        <w:ind w:firstLine="640"/>
        <w:rPr>
          <w:rFonts w:eastAsia="仿宋_GB2312" w:cs="仿宋_GB2312"/>
          <w:sz w:val="32"/>
          <w:szCs w:val="32"/>
        </w:rPr>
      </w:pPr>
    </w:p>
    <w:p>
      <w:pPr>
        <w:spacing w:line="600" w:lineRule="exact"/>
        <w:ind w:left="630"/>
        <w:outlineLvl w:val="1"/>
        <w:rPr>
          <w:rStyle w:val="29"/>
          <w:rFonts w:ascii="Times New Roman" w:hAnsi="Times New Roman" w:eastAsia="黑体"/>
          <w:b w:val="0"/>
        </w:rPr>
      </w:pPr>
      <w:bookmarkStart w:id="48" w:name="_Toc15396612"/>
      <w:bookmarkStart w:id="49" w:name="_Toc15377221"/>
      <w:r>
        <w:rPr>
          <w:rStyle w:val="29"/>
          <w:rFonts w:hint="eastAsia" w:ascii="Times New Roman" w:hAnsi="Times New Roman" w:eastAsia="黑体"/>
          <w:b w:val="0"/>
        </w:rPr>
        <w:t>十、其他重要事项的情况说明</w:t>
      </w:r>
      <w:bookmarkEnd w:id="48"/>
      <w:bookmarkEnd w:id="49"/>
    </w:p>
    <w:p>
      <w:pPr>
        <w:spacing w:line="600" w:lineRule="exact"/>
        <w:ind w:firstLine="642" w:firstLineChars="200"/>
        <w:outlineLvl w:val="2"/>
        <w:rPr>
          <w:rFonts w:eastAsia="楷体_GB2312" w:cs="楷体_GB2312"/>
          <w:b/>
          <w:sz w:val="32"/>
          <w:szCs w:val="32"/>
        </w:rPr>
      </w:pPr>
      <w:bookmarkStart w:id="50" w:name="_Toc15377222"/>
      <w:r>
        <w:rPr>
          <w:rFonts w:hint="eastAsia" w:eastAsia="楷体_GB2312" w:cs="楷体_GB2312"/>
          <w:b/>
          <w:sz w:val="32"/>
          <w:szCs w:val="32"/>
        </w:rPr>
        <w:t>（一）机关运行经费支出情况</w:t>
      </w:r>
      <w:bookmarkEnd w:id="50"/>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，四川省攀枝花市仁和区人民法院机关运行经费支出170.91万</w:t>
      </w:r>
      <w:r>
        <w:rPr>
          <w:rFonts w:hint="eastAsia" w:eastAsia="仿宋_GB2312" w:cs="仿宋_GB2312"/>
          <w:sz w:val="32"/>
          <w:szCs w:val="32"/>
        </w:rPr>
        <w:t>元，比2023年度增加13.01万元，增长8.24%。主要原因是2024年新招录公务员，导致经费增加。</w:t>
      </w:r>
    </w:p>
    <w:p>
      <w:pPr>
        <w:spacing w:line="600" w:lineRule="exact"/>
        <w:ind w:firstLine="640"/>
        <w:rPr>
          <w:rFonts w:eastAsia="仿宋_GB2312" w:cs="仿宋_GB2312"/>
          <w:sz w:val="32"/>
          <w:szCs w:val="32"/>
        </w:rPr>
      </w:pPr>
    </w:p>
    <w:p>
      <w:pPr>
        <w:spacing w:line="600" w:lineRule="exact"/>
        <w:ind w:firstLine="642" w:firstLineChars="200"/>
        <w:outlineLvl w:val="2"/>
        <w:rPr>
          <w:rFonts w:eastAsia="楷体_GB2312" w:cs="楷体_GB2312"/>
          <w:b/>
          <w:sz w:val="32"/>
          <w:szCs w:val="32"/>
        </w:rPr>
      </w:pPr>
      <w:bookmarkStart w:id="51" w:name="_Toc15377223"/>
      <w:r>
        <w:rPr>
          <w:rFonts w:hint="eastAsia" w:eastAsia="楷体_GB2312" w:cs="楷体_GB2312"/>
          <w:b/>
          <w:sz w:val="32"/>
          <w:szCs w:val="32"/>
        </w:rPr>
        <w:t>（二）政府采购支出情况</w:t>
      </w:r>
      <w:bookmarkEnd w:id="51"/>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四川省攀枝花市仁和区人民法院政府采购支出总额90.88万元，其中：政府采购货物支出12.98万元、政府采购工程支出0万元、政府采购服务支出77.9万元。主要用于行政审判工作。授予中小企业合同金额21.36万元，占政府采购支出总额的23.5%，其中：授予小微企业合同金额15.16万元，占政府采购支出总额的16.68%。</w:t>
      </w:r>
    </w:p>
    <w:p>
      <w:pPr>
        <w:spacing w:line="600" w:lineRule="exact"/>
        <w:ind w:firstLine="640"/>
        <w:rPr>
          <w:rFonts w:eastAsia="仿宋_GB2312" w:cs="仿宋_GB2312"/>
          <w:sz w:val="32"/>
          <w:szCs w:val="32"/>
        </w:rPr>
      </w:pPr>
    </w:p>
    <w:p>
      <w:pPr>
        <w:spacing w:line="600" w:lineRule="exact"/>
        <w:ind w:firstLine="642" w:firstLineChars="200"/>
        <w:outlineLvl w:val="2"/>
        <w:rPr>
          <w:rFonts w:eastAsia="楷体_GB2312" w:cs="楷体_GB2312"/>
          <w:b/>
          <w:sz w:val="32"/>
          <w:szCs w:val="32"/>
        </w:rPr>
      </w:pPr>
      <w:bookmarkStart w:id="52" w:name="_Toc15377224"/>
      <w:r>
        <w:rPr>
          <w:rFonts w:hint="eastAsia" w:eastAsia="楷体_GB2312" w:cs="楷体_GB2312"/>
          <w:b/>
          <w:sz w:val="32"/>
          <w:szCs w:val="32"/>
        </w:rPr>
        <w:t>（三）国有资产占有使用情况</w:t>
      </w:r>
      <w:bookmarkEnd w:id="52"/>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四川省攀枝花市仁和区人民法院共有车辆10辆，其中：主要负责人用车0辆、机要通信用车0辆、应急保障用车0辆、其他用车10辆，其他用车主要是用于日常工作。单价100万元（含）以上设备（不含车辆）0台（套）</w:t>
      </w:r>
      <w:r>
        <w:rPr>
          <w:rFonts w:hint="eastAsia" w:eastAsia="仿宋_GB2312" w:cs="仿宋_GB2312"/>
          <w:sz w:val="32"/>
          <w:szCs w:val="32"/>
        </w:rPr>
        <w:t>。</w:t>
      </w:r>
    </w:p>
    <w:p>
      <w:pPr>
        <w:spacing w:line="600" w:lineRule="exact"/>
        <w:ind w:firstLine="640"/>
        <w:rPr>
          <w:rFonts w:eastAsia="仿宋_GB2312" w:cs="仿宋_GB2312"/>
          <w:sz w:val="32"/>
          <w:szCs w:val="32"/>
        </w:rPr>
      </w:pPr>
    </w:p>
    <w:p>
      <w:pPr>
        <w:spacing w:line="600" w:lineRule="exact"/>
        <w:ind w:firstLine="642"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根据预算绩效管理要求，本单位在2024年度预算编制阶段，组织对人民陪审员、司法救助等2个项目开展了预算事前绩效评估，对2个项目编制了绩效目标，预算执行过程中，选取2个项目开展绩效监控。</w:t>
      </w:r>
    </w:p>
    <w:p>
      <w:pPr>
        <w:spacing w:line="600" w:lineRule="exact"/>
        <w:ind w:firstLine="640"/>
        <w:rPr>
          <w:rFonts w:eastAsia="仿宋_GB2312" w:cs="仿宋_GB2312"/>
          <w:b/>
          <w:bCs/>
          <w:sz w:val="32"/>
          <w:szCs w:val="32"/>
        </w:rPr>
      </w:pPr>
      <w:r>
        <w:rPr>
          <w:rFonts w:hint="eastAsia" w:eastAsia="仿宋_GB2312" w:cs="仿宋_GB2312"/>
          <w:sz w:val="32"/>
          <w:szCs w:val="32"/>
        </w:rPr>
        <w:t>组织对2024年度一般公共预算全面开展绩效自评，形成</w:t>
      </w:r>
      <w:r>
        <w:rPr>
          <w:rFonts w:hint="eastAsia" w:ascii="仿宋_GB2312" w:hAnsi="仿宋_GB2312" w:eastAsia="仿宋_GB2312" w:cs="仿宋_GB2312"/>
          <w:sz w:val="32"/>
          <w:szCs w:val="32"/>
        </w:rPr>
        <w:t>攀枝花市仁和区人民法院</w:t>
      </w:r>
      <w:r>
        <w:rPr>
          <w:rFonts w:hint="eastAsia" w:eastAsia="仿宋_GB2312" w:cs="仿宋_GB2312"/>
          <w:sz w:val="32"/>
          <w:szCs w:val="32"/>
        </w:rPr>
        <w:t>部门整体（含部门预算项目）绩效自评报告、</w:t>
      </w:r>
      <w:r>
        <w:rPr>
          <w:rFonts w:hint="eastAsia" w:ascii="仿宋_GB2312" w:hAnsi="仿宋_GB2312" w:eastAsia="仿宋_GB2312" w:cs="仿宋_GB2312"/>
          <w:sz w:val="32"/>
          <w:szCs w:val="32"/>
        </w:rPr>
        <w:t>司法救助款</w:t>
      </w:r>
      <w:r>
        <w:rPr>
          <w:rFonts w:hint="eastAsia" w:eastAsia="仿宋_GB2312" w:cs="仿宋_GB2312"/>
          <w:sz w:val="32"/>
          <w:szCs w:val="32"/>
        </w:rPr>
        <w:t>专项预算项目绩效自评报告，其中，</w:t>
      </w:r>
      <w:r>
        <w:rPr>
          <w:rFonts w:hint="eastAsia" w:ascii="仿宋_GB2312" w:hAnsi="仿宋_GB2312" w:eastAsia="仿宋_GB2312" w:cs="仿宋_GB2312"/>
          <w:sz w:val="32"/>
          <w:szCs w:val="32"/>
        </w:rPr>
        <w:t>攀枝花市仁和区人民法院</w:t>
      </w:r>
      <w:r>
        <w:rPr>
          <w:rFonts w:hint="eastAsia" w:eastAsia="仿宋_GB2312" w:cs="仿宋_GB2312"/>
          <w:sz w:val="32"/>
          <w:szCs w:val="32"/>
        </w:rPr>
        <w:t>部门整体（含部门预算项目）绩效自评得分为98分，绩效自评综述</w:t>
      </w:r>
      <w:r>
        <w:rPr>
          <w:rFonts w:hint="eastAsia" w:ascii="仿宋_GB2312" w:hAnsi="仿宋_GB2312" w:eastAsia="仿宋_GB2312" w:cs="仿宋_GB2312"/>
          <w:sz w:val="32"/>
          <w:szCs w:val="32"/>
        </w:rPr>
        <w:t>预算绩效执行情况较好</w:t>
      </w:r>
      <w:r>
        <w:rPr>
          <w:rFonts w:hint="eastAsia" w:eastAsia="仿宋_GB2312" w:cs="仿宋_GB2312"/>
          <w:sz w:val="32"/>
          <w:szCs w:val="32"/>
        </w:rPr>
        <w:t>；</w:t>
      </w:r>
      <w:r>
        <w:rPr>
          <w:rFonts w:hint="eastAsia" w:ascii="仿宋_GB2312" w:hAnsi="仿宋_GB2312" w:eastAsia="仿宋_GB2312" w:cs="仿宋_GB2312"/>
          <w:sz w:val="32"/>
          <w:szCs w:val="32"/>
        </w:rPr>
        <w:t>司法救助款</w:t>
      </w:r>
      <w:r>
        <w:rPr>
          <w:rFonts w:hint="eastAsia" w:eastAsia="仿宋_GB2312" w:cs="仿宋_GB2312"/>
          <w:sz w:val="32"/>
          <w:szCs w:val="32"/>
        </w:rPr>
        <w:t>专项预算项目绩效自评得分为98分，绩效自评综述</w:t>
      </w:r>
      <w:r>
        <w:rPr>
          <w:rFonts w:hint="eastAsia" w:ascii="仿宋_GB2312" w:hAnsi="仿宋_GB2312" w:eastAsia="仿宋_GB2312" w:cs="仿宋_GB2312"/>
          <w:sz w:val="32"/>
          <w:szCs w:val="32"/>
        </w:rPr>
        <w:t>预算绩效执行情况较好</w:t>
      </w:r>
      <w:r>
        <w:rPr>
          <w:rFonts w:hint="eastAsia" w:eastAsia="仿宋_GB2312" w:cs="仿宋_GB2312"/>
          <w:sz w:val="32"/>
          <w:szCs w:val="32"/>
        </w:rPr>
        <w:t>。绩效自评报告详见附件。</w:t>
      </w:r>
      <w:r>
        <w:rPr>
          <w:rFonts w:eastAsia="仿宋_GB2312" w:cs="仿宋_GB2312"/>
          <w:b/>
          <w:bCs/>
          <w:sz w:val="32"/>
          <w:szCs w:val="32"/>
        </w:rPr>
        <w:t xml:space="preserve"> </w:t>
      </w: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spacing w:line="600" w:lineRule="exact"/>
        <w:jc w:val="center"/>
        <w:outlineLvl w:val="0"/>
        <w:rPr>
          <w:rFonts w:eastAsia="黑体"/>
          <w:sz w:val="44"/>
          <w:szCs w:val="44"/>
        </w:rPr>
      </w:pPr>
      <w:bookmarkStart w:id="53" w:name="_Toc15396613"/>
      <w:bookmarkStart w:id="54" w:name="_Toc15377225"/>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r>
        <w:rPr>
          <w:rFonts w:hint="eastAsia" w:eastAsia="黑体"/>
          <w:sz w:val="44"/>
          <w:szCs w:val="44"/>
        </w:rPr>
        <w:t>第三部分  名词解释</w:t>
      </w:r>
      <w:bookmarkEnd w:id="53"/>
      <w:bookmarkEnd w:id="54"/>
    </w:p>
    <w:p>
      <w:pPr>
        <w:spacing w:line="600" w:lineRule="exact"/>
        <w:jc w:val="left"/>
        <w:rPr>
          <w:b/>
          <w:sz w:val="44"/>
          <w:szCs w:val="44"/>
        </w:rPr>
      </w:pPr>
    </w:p>
    <w:p>
      <w:pPr>
        <w:autoSpaceDE w:val="0"/>
        <w:autoSpaceDN w:val="0"/>
        <w:adjustRightInd w:val="0"/>
        <w:spacing w:line="560" w:lineRule="exact"/>
        <w:ind w:firstLine="640" w:firstLineChars="200"/>
        <w:jc w:val="left"/>
        <w:rPr>
          <w:rFonts w:ascii="仿宋_GB2312" w:eastAsia="仿宋_GB2312" w:cs="仿宋"/>
          <w:color w:val="000000"/>
          <w:kern w:val="0"/>
          <w:sz w:val="32"/>
          <w:szCs w:val="32"/>
        </w:rPr>
      </w:pPr>
      <w:r>
        <w:rPr>
          <w:rFonts w:ascii="仿宋_GB2312" w:eastAsia="仿宋_GB2312" w:cs="仿宋"/>
          <w:color w:val="000000"/>
          <w:kern w:val="0"/>
          <w:sz w:val="32"/>
          <w:szCs w:val="32"/>
        </w:rPr>
        <w:t>1.</w:t>
      </w:r>
      <w:r>
        <w:rPr>
          <w:rFonts w:hint="eastAsia" w:ascii="仿宋_GB2312" w:eastAsia="仿宋_GB2312" w:cs="仿宋"/>
          <w:color w:val="000000"/>
          <w:kern w:val="0"/>
          <w:sz w:val="32"/>
          <w:szCs w:val="32"/>
        </w:rPr>
        <w:t xml:space="preserve"> 财政拨款收入：指单位从同级财政部门取得的财政预算资金。</w:t>
      </w:r>
    </w:p>
    <w:p>
      <w:pPr>
        <w:autoSpaceDE w:val="0"/>
        <w:autoSpaceDN w:val="0"/>
        <w:adjustRightInd w:val="0"/>
        <w:spacing w:line="560" w:lineRule="exact"/>
        <w:ind w:firstLine="640" w:firstLineChars="20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2</w:t>
      </w:r>
      <w:r>
        <w:rPr>
          <w:rFonts w:ascii="仿宋_GB2312" w:eastAsia="仿宋_GB2312" w:cs="仿宋"/>
          <w:color w:val="000000"/>
          <w:kern w:val="0"/>
          <w:sz w:val="32"/>
          <w:szCs w:val="32"/>
        </w:rPr>
        <w:t>.</w:t>
      </w:r>
      <w:r>
        <w:rPr>
          <w:rFonts w:hint="eastAsia" w:ascii="仿宋_GB2312" w:eastAsia="仿宋_GB2312" w:cs="仿宋"/>
          <w:color w:val="000000"/>
          <w:kern w:val="0"/>
          <w:sz w:val="32"/>
          <w:szCs w:val="32"/>
        </w:rPr>
        <w:t xml:space="preserve"> 其他收入：指单位取得的除上述收入以外的各项收入。主要是银行存款利息等。</w:t>
      </w:r>
    </w:p>
    <w:p>
      <w:pPr>
        <w:autoSpaceDE w:val="0"/>
        <w:autoSpaceDN w:val="0"/>
        <w:adjustRightInd w:val="0"/>
        <w:spacing w:line="560" w:lineRule="exact"/>
        <w:ind w:firstLine="640" w:firstLineChars="20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3</w:t>
      </w:r>
      <w:r>
        <w:rPr>
          <w:rFonts w:ascii="仿宋_GB2312" w:eastAsia="仿宋_GB2312" w:cs="仿宋"/>
          <w:color w:val="000000"/>
          <w:kern w:val="0"/>
          <w:sz w:val="32"/>
          <w:szCs w:val="32"/>
        </w:rPr>
        <w:t>.</w:t>
      </w:r>
      <w:r>
        <w:rPr>
          <w:rFonts w:hint="eastAsia" w:ascii="仿宋_GB2312" w:eastAsia="仿宋_GB2312" w:cs="仿宋"/>
          <w:color w:val="000000"/>
          <w:kern w:val="0"/>
          <w:sz w:val="32"/>
          <w:szCs w:val="32"/>
        </w:rPr>
        <w:t xml:space="preserve"> 年初结转和结余：指以前年度尚未完成、结转到本年按有关规定继续使用的资金。</w:t>
      </w:r>
    </w:p>
    <w:p>
      <w:pPr>
        <w:autoSpaceDE w:val="0"/>
        <w:autoSpaceDN w:val="0"/>
        <w:adjustRightInd w:val="0"/>
        <w:spacing w:line="560" w:lineRule="exact"/>
        <w:ind w:firstLine="640" w:firstLineChars="20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4. 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 xml:space="preserve"> 公共安全204（类）05（款）01（项）：指行政单位的基本支出。</w:t>
      </w:r>
    </w:p>
    <w:p>
      <w:pPr>
        <w:ind w:firstLine="640" w:firstLineChars="200"/>
        <w:rPr>
          <w:rFonts w:ascii="仿宋_GB2312" w:eastAsia="仿宋_GB2312"/>
          <w:color w:val="000000"/>
          <w:sz w:val="32"/>
          <w:szCs w:val="32"/>
        </w:rPr>
      </w:pPr>
      <w:r>
        <w:rPr>
          <w:rFonts w:hint="eastAsia"/>
          <w:color w:val="000000"/>
          <w:sz w:val="32"/>
          <w:szCs w:val="32"/>
        </w:rPr>
        <w:t xml:space="preserve">6. </w:t>
      </w:r>
      <w:r>
        <w:rPr>
          <w:rFonts w:hint="eastAsia" w:ascii="仿宋_GB2312" w:eastAsia="仿宋_GB2312"/>
          <w:color w:val="000000"/>
          <w:sz w:val="32"/>
          <w:szCs w:val="32"/>
        </w:rPr>
        <w:t>公共安全204（类）05（款）02（项）：指行政单位的项目支出。</w:t>
      </w:r>
    </w:p>
    <w:p>
      <w:pPr>
        <w:ind w:firstLine="640" w:firstLineChars="200"/>
        <w:rPr>
          <w:rFonts w:eastAsia="仿宋_GB2312"/>
        </w:rPr>
      </w:pPr>
      <w:r>
        <w:rPr>
          <w:rFonts w:hint="eastAsia"/>
          <w:color w:val="000000"/>
          <w:sz w:val="32"/>
          <w:szCs w:val="32"/>
        </w:rPr>
        <w:t xml:space="preserve">7. </w:t>
      </w:r>
      <w:r>
        <w:rPr>
          <w:rFonts w:hint="eastAsia" w:ascii="仿宋_GB2312" w:eastAsia="仿宋_GB2312"/>
          <w:color w:val="000000"/>
          <w:sz w:val="32"/>
          <w:szCs w:val="32"/>
        </w:rPr>
        <w:t>公共安全204（类）05（款）99（项）：指行政单位的其他项目支出。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8</w:t>
      </w:r>
      <w:r>
        <w:rPr>
          <w:rFonts w:ascii="仿宋_GB2312" w:eastAsia="仿宋_GB2312"/>
          <w:color w:val="000000"/>
          <w:sz w:val="32"/>
          <w:szCs w:val="32"/>
        </w:rPr>
        <w:t>.</w:t>
      </w:r>
      <w:r>
        <w:rPr>
          <w:rFonts w:hint="eastAsia" w:ascii="仿宋_GB2312" w:eastAsia="仿宋_GB2312"/>
          <w:color w:val="000000"/>
          <w:sz w:val="32"/>
          <w:szCs w:val="32"/>
        </w:rPr>
        <w:t xml:space="preserve"> 社会保障和就业208（类）05（款）01（项）：指实行归口管理的行政单位开支的退休费。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 xml:space="preserve"> 社会保障和就业208（类）05（款）05（项）：指反映机关事业单位实施养老保险制度由单位缴纳的基本养老保险。</w:t>
      </w:r>
    </w:p>
    <w:p>
      <w:pPr>
        <w:autoSpaceDE w:val="0"/>
        <w:autoSpaceDN w:val="0"/>
        <w:adjustRightInd w:val="0"/>
        <w:spacing w:line="560" w:lineRule="exact"/>
        <w:ind w:firstLine="640" w:firstLineChars="20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10. 社会保障和就业208（类）05（款）06（项）：指反映机关事业单位缴纳的职业年金。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 卫生健康210（类）11（款）01（项）：指财政部门集中安排的行政单位的基本医疗保险缴费经费。</w:t>
      </w:r>
    </w:p>
    <w:p>
      <w:pPr>
        <w:numPr>
          <w:ilvl w:val="0"/>
          <w:numId w:val="2"/>
        </w:numPr>
        <w:ind w:firstLine="640" w:firstLineChars="200"/>
        <w:rPr>
          <w:rFonts w:ascii="仿宋_GB2312" w:eastAsia="仿宋_GB2312"/>
          <w:color w:val="000000"/>
          <w:sz w:val="32"/>
          <w:szCs w:val="32"/>
        </w:rPr>
      </w:pPr>
      <w:r>
        <w:rPr>
          <w:rFonts w:hint="eastAsia" w:ascii="仿宋_GB2312" w:eastAsia="仿宋_GB2312"/>
          <w:color w:val="000000"/>
          <w:sz w:val="32"/>
          <w:szCs w:val="32"/>
        </w:rPr>
        <w:t>卫生健康210（类）11（款）03（项）：指财政部门集中安排的行政单位的公务员医疗补助缴费。</w:t>
      </w:r>
    </w:p>
    <w:p>
      <w:pPr>
        <w:pStyle w:val="8"/>
        <w:numPr>
          <w:ilvl w:val="0"/>
          <w:numId w:val="2"/>
        </w:numPr>
        <w:spacing w:before="93"/>
        <w:ind w:firstLine="640" w:firstLineChars="200"/>
        <w:rPr>
          <w:color w:val="000000"/>
          <w:sz w:val="32"/>
          <w:szCs w:val="32"/>
        </w:rPr>
      </w:pPr>
      <w:r>
        <w:rPr>
          <w:rFonts w:hint="eastAsia"/>
          <w:color w:val="000000"/>
          <w:sz w:val="32"/>
          <w:szCs w:val="32"/>
        </w:rPr>
        <w:t>城乡社区212（类）08（款）02（项）：指反映不含计提和划转部分的国有土地使用权出让收入及对应专项债务收入安排的支出。</w:t>
      </w:r>
    </w:p>
    <w:p>
      <w:pPr>
        <w:pStyle w:val="8"/>
        <w:numPr>
          <w:ilvl w:val="0"/>
          <w:numId w:val="2"/>
        </w:numPr>
        <w:spacing w:before="93"/>
        <w:ind w:firstLine="640" w:firstLineChars="200"/>
        <w:rPr>
          <w:color w:val="000000"/>
          <w:sz w:val="32"/>
          <w:szCs w:val="32"/>
        </w:rPr>
      </w:pPr>
      <w:r>
        <w:rPr>
          <w:rFonts w:hint="eastAsia"/>
          <w:color w:val="000000"/>
          <w:sz w:val="32"/>
          <w:szCs w:val="32"/>
        </w:rPr>
        <w:t>住房保障支出221（类）02（款）01（项）：指住房改革支出—住房公积金支出。</w:t>
      </w:r>
    </w:p>
    <w:p>
      <w:pPr>
        <w:numPr>
          <w:ilvl w:val="0"/>
          <w:numId w:val="2"/>
        </w:numPr>
        <w:suppressAutoHyphens/>
        <w:ind w:firstLine="640"/>
        <w:rPr>
          <w:rFonts w:ascii="仿宋_GB2312" w:eastAsia="仿宋_GB2312"/>
          <w:sz w:val="32"/>
          <w:szCs w:val="32"/>
        </w:rPr>
      </w:pPr>
      <w:r>
        <w:rPr>
          <w:rFonts w:hint="eastAsia" w:ascii="仿宋_GB2312" w:eastAsia="仿宋_GB2312"/>
          <w:sz w:val="32"/>
          <w:szCs w:val="32"/>
        </w:rPr>
        <w:t>基本支出：指为保障机构正常运转、完成日常工作任务而发生的人员支出和公用支出。</w:t>
      </w:r>
    </w:p>
    <w:p>
      <w:pPr>
        <w:numPr>
          <w:ilvl w:val="0"/>
          <w:numId w:val="2"/>
        </w:numPr>
        <w:suppressAutoHyphens/>
        <w:ind w:firstLine="640"/>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numPr>
          <w:ilvl w:val="0"/>
          <w:numId w:val="2"/>
        </w:numPr>
        <w:suppressAutoHyphens/>
        <w:ind w:firstLine="640"/>
        <w:rPr>
          <w:rFonts w:ascii="仿宋_GB2312" w:eastAsia="仿宋_GB2312"/>
          <w:sz w:val="32"/>
          <w:szCs w:val="32"/>
        </w:rPr>
      </w:pPr>
      <w:r>
        <w:rPr>
          <w:rFonts w:hint="eastAsia" w:ascii="仿宋_GB2312" w:eastAsia="仿宋_GB2312"/>
          <w:sz w:val="32"/>
          <w:szCs w:val="32"/>
        </w:rPr>
        <w:t>经营支出：指事业单位在专业业务活动及其辅助活动之外开展非独立核算经营活动发生的支出。</w:t>
      </w:r>
    </w:p>
    <w:p>
      <w:pPr>
        <w:pStyle w:val="26"/>
        <w:numPr>
          <w:ilvl w:val="0"/>
          <w:numId w:val="2"/>
        </w:numPr>
        <w:spacing w:line="560" w:lineRule="exact"/>
        <w:ind w:firstLine="640"/>
        <w:rPr>
          <w:rFonts w:ascii="仿宋_GB2312" w:eastAsia="仿宋_GB2312"/>
          <w:color w:val="auto"/>
          <w:sz w:val="32"/>
          <w:szCs w:val="32"/>
        </w:rPr>
      </w:pP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eastAsia="仿宋_GB2312" w:cs="仿宋_GB2312"/>
          <w:b/>
          <w:bCs/>
          <w:sz w:val="32"/>
          <w:szCs w:val="32"/>
        </w:rPr>
      </w:pP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28"/>
          <w:rFonts w:eastAsia="黑体"/>
          <w:b w:val="0"/>
        </w:rPr>
      </w:pPr>
      <w:bookmarkStart w:id="55" w:name="_Toc15377226"/>
      <w:r>
        <w:rPr>
          <w:rFonts w:hint="eastAsia" w:eastAsia="仿宋_GB2312" w:cs="仿宋_GB2312"/>
          <w:sz w:val="32"/>
          <w:szCs w:val="32"/>
        </w:rPr>
        <w:br w:type="page"/>
      </w:r>
      <w:bookmarkStart w:id="56" w:name="_Toc15396614"/>
      <w:r>
        <w:rPr>
          <w:rFonts w:hint="eastAsia" w:eastAsia="黑体"/>
          <w:sz w:val="44"/>
          <w:szCs w:val="44"/>
        </w:rPr>
        <w:t>第四部分  附件</w:t>
      </w:r>
      <w:bookmarkEnd w:id="56"/>
    </w:p>
    <w:p>
      <w:pPr>
        <w:spacing w:line="572" w:lineRule="exact"/>
        <w:jc w:val="left"/>
        <w:outlineLvl w:val="0"/>
        <w:rPr>
          <w:rFonts w:eastAsia="黑体" w:cs="黑体"/>
          <w:color w:val="FF0000"/>
          <w:sz w:val="32"/>
          <w:szCs w:val="32"/>
        </w:rPr>
      </w:pPr>
    </w:p>
    <w:p>
      <w:pPr>
        <w:spacing w:line="572" w:lineRule="exact"/>
        <w:jc w:val="left"/>
        <w:outlineLvl w:val="0"/>
        <w:rPr>
          <w:rFonts w:eastAsia="黑体" w:cs="方正小标宋简体"/>
          <w:sz w:val="44"/>
          <w:szCs w:val="44"/>
        </w:rPr>
      </w:pPr>
      <w:r>
        <w:rPr>
          <w:rFonts w:hint="eastAsia" w:eastAsia="黑体" w:cs="黑体"/>
          <w:sz w:val="32"/>
          <w:szCs w:val="32"/>
        </w:rPr>
        <w:t>附件1</w:t>
      </w:r>
    </w:p>
    <w:p>
      <w:pPr>
        <w:widowControl/>
        <w:spacing w:line="578" w:lineRule="exact"/>
        <w:contextualSpacing/>
        <w:jc w:val="center"/>
        <w:rPr>
          <w:rFonts w:eastAsia="方正小标宋简体"/>
          <w:bCs/>
          <w:sz w:val="44"/>
          <w:szCs w:val="44"/>
          <w:shd w:val="clear" w:color="auto" w:fill="FFFFFF"/>
        </w:rPr>
      </w:pPr>
    </w:p>
    <w:p>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部门基本情况</w:t>
      </w:r>
    </w:p>
    <w:p>
      <w:pPr>
        <w:widowControl/>
        <w:adjustRightInd w:val="0"/>
        <w:snapToGrid w:val="0"/>
        <w:spacing w:line="578" w:lineRule="exact"/>
        <w:ind w:firstLine="642" w:firstLineChars="200"/>
        <w:contextualSpacing/>
        <w:jc w:val="left"/>
        <w:rPr>
          <w:rFonts w:eastAsia="楷体_GB2312" w:cs="楷体_GB2312"/>
          <w:b/>
          <w:sz w:val="32"/>
          <w:szCs w:val="32"/>
          <w:lang w:val="zh-CN"/>
        </w:rPr>
      </w:pPr>
      <w:r>
        <w:rPr>
          <w:rFonts w:hint="eastAsia" w:eastAsia="楷体_GB2312" w:cs="楷体_GB2312"/>
          <w:b/>
          <w:sz w:val="32"/>
          <w:szCs w:val="32"/>
          <w:lang w:val="zh-CN"/>
        </w:rPr>
        <w:t>（一）</w:t>
      </w:r>
      <w:r>
        <w:rPr>
          <w:rFonts w:eastAsia="楷体_GB2312" w:cs="楷体_GB2312"/>
          <w:b/>
          <w:sz w:val="32"/>
          <w:szCs w:val="32"/>
          <w:lang w:val="zh-CN"/>
        </w:rPr>
        <w:t>机构组成。</w:t>
      </w:r>
    </w:p>
    <w:p>
      <w:pPr>
        <w:widowControl/>
        <w:adjustRightInd w:val="0"/>
        <w:snapToGrid w:val="0"/>
        <w:spacing w:line="578" w:lineRule="exact"/>
        <w:ind w:firstLine="640" w:firstLineChars="200"/>
        <w:contextualSpacing/>
        <w:jc w:val="left"/>
        <w:rPr>
          <w:rFonts w:eastAsia="仿宋_GB2312"/>
          <w:sz w:val="32"/>
          <w:szCs w:val="32"/>
        </w:rPr>
      </w:pPr>
      <w:r>
        <w:rPr>
          <w:rFonts w:hint="eastAsia" w:eastAsia="仿宋_GB2312"/>
          <w:sz w:val="32"/>
          <w:szCs w:val="32"/>
        </w:rPr>
        <w:t>攀枝花市仁和区人民法院内设4个审判庭、1个立案庭、1个执行局、1个政治部（督察室） 、1个综合办公室、1个审判管理办公室和1个司法警察大队。</w:t>
      </w:r>
    </w:p>
    <w:p>
      <w:pPr>
        <w:widowControl/>
        <w:adjustRightInd w:val="0"/>
        <w:snapToGrid w:val="0"/>
        <w:spacing w:line="578" w:lineRule="exact"/>
        <w:ind w:firstLine="642" w:firstLineChars="200"/>
        <w:contextualSpacing/>
        <w:jc w:val="left"/>
        <w:rPr>
          <w:rFonts w:eastAsia="楷体_GB2312" w:cs="楷体_GB2312"/>
          <w:b/>
          <w:sz w:val="32"/>
          <w:szCs w:val="32"/>
          <w:lang w:val="zh-CN"/>
        </w:rPr>
      </w:pPr>
      <w:r>
        <w:rPr>
          <w:rFonts w:eastAsia="楷体_GB2312" w:cs="楷体_GB2312"/>
          <w:b/>
          <w:sz w:val="32"/>
          <w:szCs w:val="32"/>
          <w:lang w:val="zh-CN"/>
        </w:rPr>
        <w:t>（二）机构职能</w:t>
      </w:r>
      <w:r>
        <w:rPr>
          <w:rFonts w:hint="eastAsia" w:eastAsia="楷体_GB2312" w:cs="楷体_GB2312"/>
          <w:b/>
          <w:sz w:val="32"/>
          <w:szCs w:val="32"/>
          <w:lang w:val="zh-CN"/>
        </w:rPr>
        <w:t>。</w:t>
      </w:r>
    </w:p>
    <w:p>
      <w:pPr>
        <w:spacing w:line="600" w:lineRule="exact"/>
        <w:ind w:firstLine="640" w:firstLineChars="200"/>
        <w:rPr>
          <w:rFonts w:eastAsia="楷体_GB2312"/>
          <w:b/>
          <w:bCs/>
          <w:color w:val="000000"/>
          <w:kern w:val="0"/>
          <w:sz w:val="32"/>
          <w:szCs w:val="32"/>
          <w:shd w:val="clear" w:color="auto" w:fill="FFFFFF"/>
          <w:lang w:val="zh-CN"/>
        </w:rPr>
      </w:pPr>
      <w:r>
        <w:rPr>
          <w:rFonts w:hint="eastAsia" w:eastAsia="仿宋_GB2312"/>
          <w:sz w:val="32"/>
          <w:szCs w:val="32"/>
        </w:rPr>
        <w:t>根据仁和区人民法院“三定”方案区法院的职责主要是：（一）负责对仁和区人民代表大会及其常务委员会报告工作，接受仁和区人民代表大会及其常务委员会的监督。（二）贯彻执行最高人民法院、省高级人民法院、市中级人民法院确定的工作方针和工作任务。（三）依法审判法律规定由本院管辖的刑事、民事、行政等第一审案件。（四）依法审理由市中级人民法院、区人大交办的各类案件。（五）依法审判由人民检察院按照审判监督程序提出的抗诉案件。（六）依法审理本院决定再审的案件，审理上级法院指令再审的案件和发回重审的案件。（七）依法行使司法执行权和司法决定权。（八）负责向区人大常委会提请人事任免工作；负责本院的思想政治工作和队伍建设工作；负责本院的法官及其它工作人员的管理和教育培训工作；负责本院的纪检监察工作；负责本院司法警察管理工作。（九）开展调查研究工作，总结审判经验；开展司法建议工作和法制宣传工作；参与社会治安综合治理工作。（十）负责本院的装备计划工作；负责本院的财务管理工作；负责本院的诉讼费收取、管理工作和罚没款的上缴工作。（十一）经办其他应由本院负责的工作。</w:t>
      </w: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r>
        <w:rPr>
          <w:rFonts w:hint="eastAsia" w:eastAsia="楷体_GB2312"/>
          <w:b/>
          <w:bCs/>
          <w:color w:val="000000"/>
          <w:kern w:val="0"/>
          <w:sz w:val="32"/>
          <w:szCs w:val="32"/>
          <w:shd w:val="clear" w:color="auto" w:fill="FFFFFF"/>
          <w:lang w:val="zh-CN"/>
        </w:rPr>
        <w:t>。</w:t>
      </w:r>
    </w:p>
    <w:p>
      <w:pPr>
        <w:spacing w:line="600" w:lineRule="exact"/>
        <w:ind w:firstLine="640" w:firstLineChars="200"/>
        <w:rPr>
          <w:szCs w:val="32"/>
        </w:rPr>
      </w:pPr>
      <w:r>
        <w:rPr>
          <w:rFonts w:eastAsia="仿宋_GB2312"/>
          <w:sz w:val="32"/>
          <w:szCs w:val="32"/>
        </w:rPr>
        <w:t>截至202</w:t>
      </w:r>
      <w:r>
        <w:rPr>
          <w:rFonts w:hint="eastAsia" w:eastAsia="仿宋_GB2312"/>
          <w:sz w:val="32"/>
          <w:szCs w:val="32"/>
        </w:rPr>
        <w:t>4</w:t>
      </w:r>
      <w:r>
        <w:rPr>
          <w:rFonts w:eastAsia="仿宋_GB2312"/>
          <w:sz w:val="32"/>
          <w:szCs w:val="32"/>
        </w:rPr>
        <w:t>年末，</w:t>
      </w:r>
      <w:r>
        <w:rPr>
          <w:rFonts w:hint="eastAsia" w:eastAsia="仿宋_GB2312"/>
          <w:sz w:val="32"/>
          <w:szCs w:val="32"/>
        </w:rPr>
        <w:t>攀枝花市仁和区人民法院</w:t>
      </w:r>
      <w:r>
        <w:rPr>
          <w:rFonts w:eastAsia="仿宋_GB2312"/>
          <w:sz w:val="32"/>
          <w:szCs w:val="32"/>
        </w:rPr>
        <w:t>编制</w:t>
      </w:r>
      <w:r>
        <w:rPr>
          <w:rFonts w:hint="eastAsia" w:eastAsia="仿宋_GB2312"/>
          <w:sz w:val="32"/>
          <w:szCs w:val="32"/>
        </w:rPr>
        <w:t>68人，</w:t>
      </w:r>
      <w:r>
        <w:rPr>
          <w:rFonts w:eastAsia="仿宋_GB2312"/>
          <w:sz w:val="32"/>
          <w:szCs w:val="32"/>
        </w:rPr>
        <w:t>年末实有人数</w:t>
      </w:r>
      <w:r>
        <w:rPr>
          <w:rFonts w:hint="eastAsia" w:eastAsia="仿宋_GB2312"/>
          <w:sz w:val="32"/>
          <w:szCs w:val="32"/>
        </w:rPr>
        <w:t>60人情况。</w:t>
      </w: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pPr>
        <w:widowControl/>
        <w:adjustRightInd w:val="0"/>
        <w:snapToGrid w:val="0"/>
        <w:spacing w:line="578" w:lineRule="exact"/>
        <w:ind w:firstLine="642"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p>
    <w:p>
      <w:pPr>
        <w:widowControl/>
        <w:adjustRightInd w:val="0"/>
        <w:snapToGrid w:val="0"/>
        <w:spacing w:line="578" w:lineRule="exact"/>
        <w:ind w:firstLine="640" w:firstLineChars="200"/>
        <w:contextualSpacing/>
        <w:jc w:val="left"/>
        <w:rPr>
          <w:rFonts w:eastAsia="楷体_GB2312"/>
          <w:b/>
          <w:bCs/>
          <w:color w:val="000000"/>
          <w:kern w:val="0"/>
          <w:szCs w:val="32"/>
          <w:shd w:val="clear" w:color="auto" w:fill="FFFFFF"/>
        </w:rPr>
      </w:pPr>
      <w:r>
        <w:rPr>
          <w:rFonts w:hint="eastAsia" w:eastAsia="仿宋_GB2312"/>
          <w:sz w:val="32"/>
          <w:szCs w:val="32"/>
        </w:rPr>
        <w:t>攀枝花市仁和区人民法院2024年年初预算收入为1986.15万元、决算报表收入为19386.15万元。</w:t>
      </w:r>
    </w:p>
    <w:p>
      <w:pPr>
        <w:widowControl/>
        <w:adjustRightInd w:val="0"/>
        <w:snapToGrid w:val="0"/>
        <w:spacing w:line="578" w:lineRule="exact"/>
        <w:ind w:firstLine="642"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p>
    <w:p>
      <w:pPr>
        <w:widowControl/>
        <w:adjustRightInd w:val="0"/>
        <w:snapToGrid w:val="0"/>
        <w:spacing w:line="578" w:lineRule="exact"/>
        <w:ind w:firstLine="640" w:firstLineChars="200"/>
        <w:contextualSpacing/>
        <w:jc w:val="left"/>
        <w:rPr>
          <w:szCs w:val="32"/>
          <w:lang w:val="zh-CN"/>
        </w:rPr>
      </w:pPr>
      <w:r>
        <w:rPr>
          <w:rFonts w:hint="eastAsia" w:eastAsia="仿宋_GB2312"/>
          <w:sz w:val="32"/>
          <w:szCs w:val="32"/>
        </w:rPr>
        <w:t>攀枝花市仁和区人民法院2024年年初预算支出为1986.15万元、决算报表支出为1986.15万元。</w:t>
      </w:r>
    </w:p>
    <w:p>
      <w:pPr>
        <w:widowControl/>
        <w:adjustRightInd w:val="0"/>
        <w:snapToGrid w:val="0"/>
        <w:spacing w:line="578" w:lineRule="exact"/>
        <w:ind w:firstLine="642"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p>
    <w:p>
      <w:pPr>
        <w:widowControl/>
        <w:adjustRightInd w:val="0"/>
        <w:snapToGrid w:val="0"/>
        <w:spacing w:line="578" w:lineRule="exact"/>
        <w:ind w:firstLine="640" w:firstLineChars="200"/>
        <w:contextualSpacing/>
        <w:jc w:val="left"/>
        <w:rPr>
          <w:rFonts w:eastAsia="仿宋_GB2312"/>
          <w:color w:val="000000"/>
          <w:kern w:val="0"/>
          <w:szCs w:val="32"/>
          <w:shd w:val="clear" w:color="auto" w:fill="FFFFFF"/>
          <w:lang w:val="zh-CN"/>
        </w:rPr>
      </w:pPr>
      <w:r>
        <w:rPr>
          <w:rFonts w:hint="eastAsia" w:eastAsia="仿宋_GB2312"/>
          <w:sz w:val="32"/>
          <w:szCs w:val="32"/>
        </w:rPr>
        <w:t>攀枝花市仁和区人民法院2024年决算报表无</w:t>
      </w:r>
      <w:r>
        <w:rPr>
          <w:rFonts w:eastAsia="仿宋_GB2312"/>
          <w:sz w:val="32"/>
          <w:szCs w:val="32"/>
        </w:rPr>
        <w:t>结转结余。</w:t>
      </w: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pPr>
        <w:adjustRightInd w:val="0"/>
        <w:snapToGrid w:val="0"/>
        <w:spacing w:line="578" w:lineRule="exact"/>
        <w:ind w:firstLine="642"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1.</w:t>
      </w:r>
      <w:r>
        <w:rPr>
          <w:rFonts w:hint="eastAsia" w:eastAsia="仿宋_GB2312" w:cs="仿宋_GB2312"/>
          <w:sz w:val="32"/>
          <w:szCs w:val="32"/>
          <w:lang w:val="zh-CN"/>
        </w:rPr>
        <w:t>履职效能。</w:t>
      </w:r>
    </w:p>
    <w:p>
      <w:pPr>
        <w:adjustRightInd w:val="0"/>
        <w:snapToGrid w:val="0"/>
        <w:spacing w:line="578" w:lineRule="exact"/>
        <w:ind w:firstLine="640" w:firstLineChars="200"/>
        <w:contextualSpacing/>
        <w:jc w:val="left"/>
        <w:rPr>
          <w:rFonts w:eastAsia="仿宋_GB2312"/>
          <w:sz w:val="32"/>
          <w:szCs w:val="32"/>
        </w:rPr>
      </w:pPr>
      <w:r>
        <w:rPr>
          <w:rFonts w:hint="eastAsia" w:eastAsia="仿宋_GB2312"/>
          <w:sz w:val="32"/>
          <w:szCs w:val="32"/>
        </w:rPr>
        <w:t>我院2024年全年受理案件6603件，结案6645件，结案率85.49%，审判工作质效较高，完成了全年工作安排。</w:t>
      </w:r>
    </w:p>
    <w:p>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2.</w:t>
      </w:r>
      <w:r>
        <w:rPr>
          <w:rFonts w:eastAsia="仿宋_GB2312" w:cs="仿宋_GB2312"/>
          <w:sz w:val="32"/>
          <w:szCs w:val="32"/>
          <w:lang w:val="zh-CN"/>
        </w:rPr>
        <w:t>预算管理</w:t>
      </w:r>
      <w:r>
        <w:rPr>
          <w:rFonts w:hint="eastAsia" w:eastAsia="仿宋_GB2312" w:cs="仿宋_GB2312"/>
          <w:sz w:val="32"/>
          <w:szCs w:val="32"/>
          <w:lang w:val="zh-CN"/>
        </w:rPr>
        <w:t>。</w:t>
      </w:r>
    </w:p>
    <w:p>
      <w:pPr>
        <w:adjustRightInd w:val="0"/>
        <w:snapToGrid w:val="0"/>
        <w:spacing w:line="578" w:lineRule="exact"/>
        <w:ind w:firstLine="640" w:firstLineChars="200"/>
        <w:contextualSpacing/>
        <w:jc w:val="left"/>
        <w:rPr>
          <w:rFonts w:eastAsia="仿宋_GB2312"/>
          <w:sz w:val="32"/>
          <w:szCs w:val="32"/>
        </w:rPr>
      </w:pPr>
      <w:r>
        <w:rPr>
          <w:rFonts w:hint="eastAsia" w:eastAsia="仿宋_GB2312"/>
          <w:sz w:val="32"/>
          <w:szCs w:val="32"/>
        </w:rPr>
        <w:t>建立健全内部控制制度，制定资产管理、财务管理、绩效管理等规章制度。</w:t>
      </w:r>
    </w:p>
    <w:p>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3.</w:t>
      </w:r>
      <w:r>
        <w:rPr>
          <w:rFonts w:eastAsia="仿宋_GB2312" w:cs="仿宋_GB2312"/>
          <w:sz w:val="32"/>
          <w:szCs w:val="32"/>
          <w:lang w:val="zh-CN"/>
        </w:rPr>
        <w:t>财务管理</w:t>
      </w:r>
      <w:r>
        <w:rPr>
          <w:rFonts w:hint="eastAsia" w:eastAsia="仿宋_GB2312" w:cs="仿宋_GB2312"/>
          <w:sz w:val="32"/>
          <w:szCs w:val="32"/>
          <w:lang w:val="zh-CN"/>
        </w:rPr>
        <w:t>。</w:t>
      </w:r>
    </w:p>
    <w:p>
      <w:pPr>
        <w:adjustRightInd w:val="0"/>
        <w:snapToGrid w:val="0"/>
        <w:spacing w:line="578" w:lineRule="exact"/>
        <w:ind w:firstLine="640" w:firstLineChars="200"/>
        <w:contextualSpacing/>
        <w:jc w:val="left"/>
        <w:rPr>
          <w:rFonts w:eastAsia="仿宋_GB2312"/>
          <w:sz w:val="32"/>
          <w:szCs w:val="32"/>
        </w:rPr>
      </w:pPr>
      <w:r>
        <w:rPr>
          <w:rFonts w:hint="eastAsia" w:eastAsia="仿宋_GB2312"/>
          <w:sz w:val="32"/>
          <w:szCs w:val="32"/>
        </w:rPr>
        <w:t>建立科学完善的体系、建立健全监督机制、规范预算行为。</w:t>
      </w:r>
    </w:p>
    <w:p>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4.</w:t>
      </w:r>
      <w:r>
        <w:rPr>
          <w:rFonts w:eastAsia="仿宋_GB2312" w:cs="仿宋_GB2312"/>
          <w:sz w:val="32"/>
          <w:szCs w:val="32"/>
          <w:lang w:val="zh-CN"/>
        </w:rPr>
        <w:t>资产管理</w:t>
      </w:r>
      <w:r>
        <w:rPr>
          <w:rFonts w:hint="eastAsia" w:eastAsia="仿宋_GB2312" w:cs="仿宋_GB2312"/>
          <w:sz w:val="32"/>
          <w:szCs w:val="32"/>
          <w:lang w:val="zh-CN"/>
        </w:rPr>
        <w:t>。</w:t>
      </w:r>
    </w:p>
    <w:p>
      <w:pPr>
        <w:adjustRightInd w:val="0"/>
        <w:snapToGrid w:val="0"/>
        <w:spacing w:line="578"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2024年对我院资产进行全面盘点，人均资产变化率与2023年相比无变化，资产利用率为100%。</w:t>
      </w:r>
    </w:p>
    <w:p>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5.</w:t>
      </w:r>
      <w:r>
        <w:rPr>
          <w:rFonts w:eastAsia="仿宋_GB2312" w:cs="仿宋_GB2312"/>
          <w:sz w:val="32"/>
          <w:szCs w:val="32"/>
          <w:lang w:val="zh-CN"/>
        </w:rPr>
        <w:t>采购管理</w:t>
      </w:r>
      <w:r>
        <w:rPr>
          <w:rFonts w:hint="eastAsia" w:eastAsia="仿宋_GB2312" w:cs="仿宋_GB2312"/>
          <w:sz w:val="32"/>
          <w:szCs w:val="32"/>
          <w:lang w:val="zh-CN"/>
        </w:rPr>
        <w:t>。</w:t>
      </w:r>
    </w:p>
    <w:p>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2024年，我院采购支出总额为90.88万元，其中</w:t>
      </w:r>
      <w:r>
        <w:rPr>
          <w:rFonts w:hint="eastAsia" w:ascii="仿宋_GB2312" w:hAnsi="仿宋_GB2312" w:eastAsia="仿宋_GB2312" w:cs="仿宋_GB2312"/>
          <w:sz w:val="32"/>
          <w:szCs w:val="32"/>
        </w:rPr>
        <w:t>授予小微企业合同金额15.16万元，占政府采购支出总额的16.68%。</w:t>
      </w:r>
    </w:p>
    <w:p>
      <w:pPr>
        <w:adjustRightInd w:val="0"/>
        <w:snapToGrid w:val="0"/>
        <w:spacing w:line="578" w:lineRule="exact"/>
        <w:ind w:firstLine="642" w:firstLineChars="200"/>
        <w:contextualSpacing/>
        <w:rPr>
          <w:rFonts w:eastAsia="仿宋_GB2312" w:cs="仿宋_GB2312"/>
          <w:sz w:val="32"/>
          <w:szCs w:val="32"/>
        </w:rPr>
      </w:pPr>
      <w:r>
        <w:rPr>
          <w:rFonts w:eastAsia="楷体_GB2312"/>
          <w:b/>
          <w:bCs/>
          <w:color w:val="000000"/>
          <w:kern w:val="0"/>
          <w:sz w:val="32"/>
          <w:szCs w:val="32"/>
          <w:shd w:val="clear" w:color="auto" w:fill="FFFFFF"/>
          <w:lang w:val="zh-CN"/>
        </w:rPr>
        <w:t>（二）部门预算项目绩效分析。</w:t>
      </w:r>
    </w:p>
    <w:p>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rPr>
        <w:t>常年项目绩效分析。</w:t>
      </w:r>
      <w:r>
        <w:rPr>
          <w:rFonts w:eastAsia="仿宋_GB2312" w:cs="仿宋_GB2312"/>
          <w:sz w:val="32"/>
          <w:szCs w:val="32"/>
          <w:lang w:val="zh-CN"/>
        </w:rPr>
        <w:t>该类项目总数</w:t>
      </w:r>
      <w:r>
        <w:rPr>
          <w:rFonts w:hint="eastAsia" w:eastAsia="仿宋_GB2312" w:cs="仿宋_GB2312"/>
          <w:sz w:val="32"/>
          <w:szCs w:val="32"/>
        </w:rPr>
        <w:t>1</w:t>
      </w:r>
      <w:r>
        <w:rPr>
          <w:rFonts w:eastAsia="仿宋_GB2312" w:cs="仿宋_GB2312"/>
          <w:sz w:val="32"/>
          <w:szCs w:val="32"/>
          <w:lang w:val="zh-CN"/>
        </w:rPr>
        <w:t>个，涉及预算总金额</w:t>
      </w:r>
      <w:r>
        <w:rPr>
          <w:rFonts w:hint="eastAsia" w:eastAsia="仿宋_GB2312" w:cs="仿宋_GB2312"/>
          <w:sz w:val="32"/>
          <w:szCs w:val="32"/>
        </w:rPr>
        <w:t>40</w:t>
      </w:r>
      <w:r>
        <w:rPr>
          <w:rFonts w:eastAsia="仿宋_GB2312" w:cs="仿宋_GB2312"/>
          <w:sz w:val="32"/>
          <w:szCs w:val="32"/>
          <w:lang w:val="zh-CN"/>
        </w:rPr>
        <w:t>万元，1</w:t>
      </w:r>
      <w:r>
        <w:rPr>
          <w:rFonts w:hint="eastAsia" w:eastAsia="仿宋_GB2312" w:cs="仿宋_GB2312"/>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hint="eastAsia" w:eastAsia="仿宋_GB2312" w:cs="仿宋_GB2312"/>
          <w:sz w:val="32"/>
          <w:szCs w:val="32"/>
        </w:rPr>
        <w:t>100</w:t>
      </w:r>
      <w:r>
        <w:rPr>
          <w:rFonts w:eastAsia="仿宋_GB2312" w:cs="仿宋_GB2312"/>
          <w:sz w:val="32"/>
          <w:szCs w:val="32"/>
          <w:lang w:val="zh-CN"/>
        </w:rPr>
        <w:t>%，其中：预算结余率大于</w:t>
      </w:r>
      <w:r>
        <w:rPr>
          <w:rFonts w:eastAsia="仿宋_GB2312" w:cs="仿宋_GB2312"/>
          <w:sz w:val="32"/>
          <w:szCs w:val="32"/>
        </w:rPr>
        <w:t>10%</w:t>
      </w:r>
      <w:r>
        <w:rPr>
          <w:rFonts w:eastAsia="仿宋_GB2312" w:cs="仿宋_GB2312"/>
          <w:sz w:val="32"/>
          <w:szCs w:val="32"/>
          <w:lang w:val="zh-CN"/>
        </w:rPr>
        <w:t>的项目共计</w:t>
      </w:r>
      <w:r>
        <w:rPr>
          <w:rFonts w:hint="eastAsia" w:eastAsia="仿宋_GB2312" w:cs="仿宋_GB2312"/>
          <w:sz w:val="32"/>
          <w:szCs w:val="32"/>
        </w:rPr>
        <w:t>0</w:t>
      </w:r>
      <w:r>
        <w:rPr>
          <w:rFonts w:eastAsia="仿宋_GB2312" w:cs="仿宋_GB2312"/>
          <w:sz w:val="32"/>
          <w:szCs w:val="32"/>
          <w:lang w:val="zh-CN"/>
        </w:rPr>
        <w:t>个。</w:t>
      </w:r>
    </w:p>
    <w:p>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rPr>
        <w:t>阶段</w:t>
      </w:r>
      <w:r>
        <w:rPr>
          <w:rFonts w:hint="eastAsia" w:eastAsia="仿宋_GB2312" w:cs="仿宋_GB2312"/>
          <w:sz w:val="32"/>
          <w:szCs w:val="32"/>
        </w:rPr>
        <w:t>（</w:t>
      </w:r>
      <w:r>
        <w:rPr>
          <w:rFonts w:eastAsia="仿宋_GB2312" w:cs="仿宋_GB2312"/>
          <w:sz w:val="32"/>
          <w:szCs w:val="32"/>
        </w:rPr>
        <w:t>一次性</w:t>
      </w:r>
      <w:r>
        <w:rPr>
          <w:rFonts w:hint="eastAsia" w:eastAsia="仿宋_GB2312" w:cs="仿宋_GB2312"/>
          <w:sz w:val="32"/>
          <w:szCs w:val="32"/>
        </w:rPr>
        <w:t>）</w:t>
      </w:r>
      <w:r>
        <w:rPr>
          <w:rFonts w:eastAsia="仿宋_GB2312" w:cs="仿宋_GB2312"/>
          <w:sz w:val="32"/>
          <w:szCs w:val="32"/>
        </w:rPr>
        <w:t>项目绩效分析。</w:t>
      </w:r>
      <w:r>
        <w:rPr>
          <w:rFonts w:eastAsia="仿宋_GB2312" w:cs="仿宋_GB2312"/>
          <w:sz w:val="32"/>
          <w:szCs w:val="32"/>
          <w:lang w:val="zh-CN"/>
        </w:rPr>
        <w:t>该类项目总数</w:t>
      </w:r>
      <w:r>
        <w:rPr>
          <w:rFonts w:hint="eastAsia" w:eastAsia="仿宋_GB2312" w:cs="仿宋_GB2312"/>
          <w:sz w:val="32"/>
          <w:szCs w:val="32"/>
        </w:rPr>
        <w:t>0</w:t>
      </w:r>
      <w:r>
        <w:rPr>
          <w:rFonts w:eastAsia="仿宋_GB2312" w:cs="仿宋_GB2312"/>
          <w:sz w:val="32"/>
          <w:szCs w:val="32"/>
          <w:lang w:val="zh-CN"/>
        </w:rPr>
        <w:t>个，涉及预算总金额</w:t>
      </w:r>
      <w:r>
        <w:rPr>
          <w:rFonts w:hint="eastAsia" w:eastAsia="仿宋_GB2312" w:cs="仿宋_GB2312"/>
          <w:sz w:val="32"/>
          <w:szCs w:val="32"/>
        </w:rPr>
        <w:t>0</w:t>
      </w:r>
      <w:r>
        <w:rPr>
          <w:rFonts w:eastAsia="仿宋_GB2312" w:cs="仿宋_GB2312"/>
          <w:sz w:val="32"/>
          <w:szCs w:val="32"/>
          <w:lang w:val="zh-CN"/>
        </w:rPr>
        <w:t>万元，1</w:t>
      </w:r>
      <w:r>
        <w:rPr>
          <w:rFonts w:hint="eastAsia" w:eastAsia="仿宋_GB2312" w:cs="仿宋_GB2312"/>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hint="eastAsia" w:eastAsia="仿宋_GB2312" w:cs="仿宋_GB2312"/>
          <w:sz w:val="32"/>
          <w:szCs w:val="32"/>
        </w:rPr>
        <w:t>0</w:t>
      </w:r>
      <w:r>
        <w:rPr>
          <w:rFonts w:eastAsia="仿宋_GB2312" w:cs="仿宋_GB2312"/>
          <w:sz w:val="32"/>
          <w:szCs w:val="32"/>
          <w:lang w:val="zh-CN"/>
        </w:rPr>
        <w:t>%，其中：预算结余率大于</w:t>
      </w:r>
      <w:r>
        <w:rPr>
          <w:rFonts w:eastAsia="仿宋_GB2312" w:cs="仿宋_GB2312"/>
          <w:sz w:val="32"/>
          <w:szCs w:val="32"/>
        </w:rPr>
        <w:t>10%</w:t>
      </w:r>
      <w:r>
        <w:rPr>
          <w:rFonts w:eastAsia="仿宋_GB2312" w:cs="仿宋_GB2312"/>
          <w:sz w:val="32"/>
          <w:szCs w:val="32"/>
          <w:lang w:val="zh-CN"/>
        </w:rPr>
        <w:t>的项目共计</w:t>
      </w:r>
      <w:r>
        <w:rPr>
          <w:rFonts w:hint="eastAsia" w:eastAsia="仿宋_GB2312" w:cs="仿宋_GB2312"/>
          <w:sz w:val="32"/>
          <w:szCs w:val="32"/>
        </w:rPr>
        <w:t>0</w:t>
      </w:r>
      <w:r>
        <w:rPr>
          <w:rFonts w:eastAsia="仿宋_GB2312" w:cs="仿宋_GB2312"/>
          <w:sz w:val="32"/>
          <w:szCs w:val="32"/>
          <w:lang w:val="zh-CN"/>
        </w:rPr>
        <w:t>个。</w:t>
      </w:r>
    </w:p>
    <w:p>
      <w:pPr>
        <w:pStyle w:val="27"/>
        <w:numPr>
          <w:ilvl w:val="0"/>
          <w:numId w:val="3"/>
        </w:numPr>
        <w:adjustRightInd w:val="0"/>
        <w:snapToGrid w:val="0"/>
        <w:spacing w:line="578" w:lineRule="exact"/>
        <w:ind w:firstLineChars="0"/>
        <w:contextualSpacing/>
        <w:rPr>
          <w:rFonts w:eastAsia="仿宋_GB2312" w:cs="仿宋_GB2312"/>
          <w:sz w:val="32"/>
          <w:szCs w:val="32"/>
          <w:lang w:val="zh-CN"/>
        </w:rPr>
      </w:pPr>
      <w:r>
        <w:rPr>
          <w:rFonts w:hint="eastAsia" w:eastAsia="仿宋_GB2312" w:cs="仿宋_GB2312"/>
          <w:sz w:val="32"/>
          <w:szCs w:val="32"/>
          <w:lang w:val="zh-CN"/>
        </w:rPr>
        <w:t>项目决策。</w:t>
      </w:r>
    </w:p>
    <w:p>
      <w:pPr>
        <w:adjustRightInd w:val="0"/>
        <w:snapToGrid w:val="0"/>
        <w:spacing w:line="578" w:lineRule="exact"/>
        <w:ind w:firstLine="480" w:firstLineChars="150"/>
        <w:contextualSpacing/>
        <w:jc w:val="left"/>
        <w:rPr>
          <w:rFonts w:eastAsia="仿宋_GB2312"/>
          <w:sz w:val="32"/>
          <w:szCs w:val="32"/>
          <w:lang w:val="zh-CN"/>
        </w:rPr>
      </w:pPr>
      <w:r>
        <w:rPr>
          <w:rFonts w:hint="eastAsia" w:eastAsia="仿宋_GB2312"/>
          <w:sz w:val="32"/>
          <w:szCs w:val="32"/>
          <w:lang w:val="zh-CN"/>
        </w:rPr>
        <w:t>根据项目执行情况，动态分析资金使用效率，及时调整项目执行进度，力争在规定的时间内完成项目。</w:t>
      </w:r>
    </w:p>
    <w:p>
      <w:pPr>
        <w:pStyle w:val="27"/>
        <w:numPr>
          <w:ilvl w:val="0"/>
          <w:numId w:val="3"/>
        </w:numPr>
        <w:adjustRightInd w:val="0"/>
        <w:snapToGrid w:val="0"/>
        <w:spacing w:line="578" w:lineRule="exact"/>
        <w:ind w:firstLineChars="0"/>
        <w:contextualSpacing/>
        <w:rPr>
          <w:rFonts w:eastAsia="仿宋_GB2312" w:cs="仿宋_GB2312"/>
          <w:sz w:val="32"/>
          <w:szCs w:val="32"/>
          <w:lang w:val="zh-CN"/>
        </w:rPr>
      </w:pPr>
      <w:r>
        <w:rPr>
          <w:rFonts w:hint="eastAsia" w:eastAsia="仿宋_GB2312" w:cs="仿宋_GB2312"/>
          <w:sz w:val="32"/>
          <w:szCs w:val="32"/>
        </w:rPr>
        <w:t>项目执行</w:t>
      </w:r>
      <w:r>
        <w:rPr>
          <w:rFonts w:hint="eastAsia" w:eastAsia="仿宋_GB2312" w:cs="仿宋_GB2312"/>
          <w:sz w:val="32"/>
          <w:szCs w:val="32"/>
          <w:lang w:val="zh-CN"/>
        </w:rPr>
        <w:t>。</w:t>
      </w:r>
    </w:p>
    <w:p>
      <w:pPr>
        <w:adjustRightInd w:val="0"/>
        <w:snapToGrid w:val="0"/>
        <w:spacing w:line="578" w:lineRule="exact"/>
        <w:ind w:firstLine="480" w:firstLineChars="150"/>
        <w:contextualSpacing/>
        <w:jc w:val="left"/>
        <w:rPr>
          <w:rFonts w:eastAsia="仿宋_GB2312"/>
          <w:sz w:val="32"/>
          <w:szCs w:val="32"/>
          <w:lang w:val="zh-CN"/>
        </w:rPr>
      </w:pPr>
      <w:r>
        <w:rPr>
          <w:rFonts w:hint="eastAsia" w:eastAsia="仿宋_GB2312"/>
          <w:sz w:val="32"/>
          <w:szCs w:val="32"/>
          <w:lang w:val="zh-CN"/>
        </w:rPr>
        <w:t>根据项目执行情况，动态分析资金使用效率，及时调整项目执行进度，力争在规定的时间内完成项目。</w:t>
      </w:r>
    </w:p>
    <w:p>
      <w:pPr>
        <w:pStyle w:val="27"/>
        <w:numPr>
          <w:ilvl w:val="0"/>
          <w:numId w:val="3"/>
        </w:numPr>
        <w:adjustRightInd w:val="0"/>
        <w:snapToGrid w:val="0"/>
        <w:spacing w:line="578" w:lineRule="exact"/>
        <w:ind w:firstLineChars="0"/>
        <w:contextualSpacing/>
        <w:rPr>
          <w:rFonts w:eastAsia="仿宋_GB2312" w:cs="仿宋_GB2312"/>
          <w:sz w:val="32"/>
          <w:szCs w:val="32"/>
          <w:lang w:val="zh-CN"/>
        </w:rPr>
      </w:pPr>
      <w:r>
        <w:rPr>
          <w:rFonts w:hint="eastAsia" w:eastAsia="仿宋_GB2312" w:cs="仿宋_GB2312"/>
          <w:sz w:val="32"/>
          <w:szCs w:val="32"/>
          <w:lang w:val="zh-CN"/>
        </w:rPr>
        <w:t>目标实现。</w:t>
      </w:r>
    </w:p>
    <w:p>
      <w:pPr>
        <w:adjustRightInd w:val="0"/>
        <w:snapToGrid w:val="0"/>
        <w:spacing w:line="578" w:lineRule="exact"/>
        <w:ind w:firstLine="480" w:firstLineChars="150"/>
        <w:contextualSpacing/>
        <w:jc w:val="left"/>
        <w:rPr>
          <w:rFonts w:ascii="楷体_GB2312" w:hAnsi="楷体_GB2312" w:eastAsia="楷体_GB2312" w:cs="楷体_GB2312"/>
          <w:color w:val="000000"/>
          <w:kern w:val="0"/>
          <w:sz w:val="32"/>
          <w:szCs w:val="32"/>
          <w:shd w:val="clear" w:color="auto" w:fill="FFFFFF"/>
          <w:lang w:val="zh-CN"/>
        </w:rPr>
      </w:pPr>
      <w:r>
        <w:rPr>
          <w:rFonts w:hint="eastAsia" w:eastAsia="仿宋_GB2312"/>
          <w:sz w:val="32"/>
          <w:szCs w:val="32"/>
          <w:lang w:val="zh-CN"/>
        </w:rPr>
        <w:t>2024年项目都已在规定期限内完成。</w:t>
      </w:r>
    </w:p>
    <w:p>
      <w:pPr>
        <w:snapToGrid w:val="0"/>
        <w:spacing w:line="600" w:lineRule="exact"/>
        <w:ind w:firstLine="642" w:firstLineChars="200"/>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rPr>
        <w:t>三</w:t>
      </w:r>
      <w:r>
        <w:rPr>
          <w:rFonts w:eastAsia="楷体_GB2312"/>
          <w:b/>
          <w:bCs/>
          <w:color w:val="000000"/>
          <w:kern w:val="0"/>
          <w:sz w:val="32"/>
          <w:szCs w:val="32"/>
          <w:shd w:val="clear" w:color="auto" w:fill="FFFFFF"/>
          <w:lang w:val="zh-CN"/>
        </w:rPr>
        <w:t>）绩效结果应用情况</w:t>
      </w:r>
      <w:r>
        <w:rPr>
          <w:rFonts w:hint="eastAsia" w:eastAsia="楷体_GB2312"/>
          <w:b/>
          <w:bCs/>
          <w:color w:val="000000"/>
          <w:kern w:val="0"/>
          <w:sz w:val="32"/>
          <w:szCs w:val="32"/>
          <w:shd w:val="clear" w:color="auto" w:fill="FFFFFF"/>
          <w:lang w:val="zh-CN"/>
        </w:rPr>
        <w:t>。</w:t>
      </w:r>
    </w:p>
    <w:p>
      <w:pPr>
        <w:widowControl/>
        <w:adjustRightInd w:val="0"/>
        <w:snapToGrid w:val="0"/>
        <w:spacing w:line="578" w:lineRule="exact"/>
        <w:ind w:firstLine="640" w:firstLineChars="200"/>
        <w:contextualSpacing/>
        <w:jc w:val="left"/>
        <w:rPr>
          <w:rFonts w:eastAsia="仿宋_GB2312"/>
          <w:sz w:val="32"/>
          <w:szCs w:val="32"/>
          <w:lang w:val="zh-CN"/>
        </w:rPr>
      </w:pPr>
      <w:r>
        <w:rPr>
          <w:rFonts w:hint="eastAsia" w:eastAsia="仿宋_GB2312"/>
          <w:sz w:val="32"/>
          <w:szCs w:val="32"/>
          <w:lang w:val="zh-CN"/>
        </w:rPr>
        <w:t>对照绩效评价工作中发现的问题，结合绩效评价中的整改意见，进一步完善预算管理机制，增强支出责任，规范资金使用，强化监督检查，强化财政资金管理水平，提高财政资金使用效率。</w:t>
      </w: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pPr>
        <w:widowControl/>
        <w:adjustRightInd w:val="0"/>
        <w:snapToGrid w:val="0"/>
        <w:spacing w:line="578" w:lineRule="exact"/>
        <w:ind w:firstLine="642"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（一）评价结论。</w:t>
      </w:r>
    </w:p>
    <w:p>
      <w:pPr>
        <w:widowControl/>
        <w:adjustRightInd w:val="0"/>
        <w:snapToGrid w:val="0"/>
        <w:spacing w:line="560" w:lineRule="exact"/>
        <w:ind w:firstLine="660" w:firstLineChars="200"/>
        <w:contextualSpacing/>
        <w:jc w:val="left"/>
        <w:rPr>
          <w:rFonts w:eastAsia="方正仿宋_GBK"/>
          <w:color w:val="000000"/>
          <w:kern w:val="0"/>
          <w:sz w:val="33"/>
          <w:szCs w:val="33"/>
          <w:shd w:val="clear" w:color="auto" w:fill="FFFFFF"/>
        </w:rPr>
      </w:pPr>
      <w:r>
        <w:rPr>
          <w:rFonts w:eastAsia="方正仿宋_GBK"/>
          <w:color w:val="000000"/>
          <w:kern w:val="0"/>
          <w:sz w:val="33"/>
          <w:szCs w:val="33"/>
          <w:shd w:val="clear" w:color="auto" w:fill="FFFFFF"/>
          <w:lang w:val="zh-CN"/>
        </w:rPr>
        <w:t>我院部门整体支出绩效自评得分为</w:t>
      </w:r>
      <w:r>
        <w:rPr>
          <w:rFonts w:eastAsia="方正仿宋_GBK"/>
          <w:color w:val="000000"/>
          <w:kern w:val="0"/>
          <w:sz w:val="33"/>
          <w:szCs w:val="33"/>
          <w:shd w:val="clear" w:color="auto" w:fill="FFFFFF"/>
        </w:rPr>
        <w:t>9</w:t>
      </w:r>
      <w:r>
        <w:rPr>
          <w:rFonts w:hint="eastAsia" w:eastAsia="方正仿宋_GBK"/>
          <w:color w:val="000000"/>
          <w:kern w:val="0"/>
          <w:sz w:val="33"/>
          <w:szCs w:val="33"/>
          <w:shd w:val="clear" w:color="auto" w:fill="FFFFFF"/>
        </w:rPr>
        <w:t>8</w:t>
      </w:r>
      <w:r>
        <w:rPr>
          <w:rFonts w:eastAsia="方正仿宋_GBK"/>
          <w:color w:val="000000"/>
          <w:kern w:val="0"/>
          <w:sz w:val="33"/>
          <w:szCs w:val="33"/>
          <w:shd w:val="clear" w:color="auto" w:fill="FFFFFF"/>
        </w:rPr>
        <w:t>分，结果显示绩效管理情况为优秀，达到了年初设定的各项绩效目标。所有资金使用严格按审批程序办理、操作规范，会计核算结果真实、准确，各项支出严格按照各项制度执行。</w:t>
      </w:r>
    </w:p>
    <w:p>
      <w:pPr>
        <w:widowControl/>
        <w:adjustRightInd w:val="0"/>
        <w:snapToGrid w:val="0"/>
        <w:spacing w:line="578" w:lineRule="exact"/>
        <w:ind w:firstLine="642"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（二）存在问题。</w:t>
      </w:r>
    </w:p>
    <w:p>
      <w:pPr>
        <w:widowControl/>
        <w:adjustRightInd w:val="0"/>
        <w:snapToGrid w:val="0"/>
        <w:spacing w:line="560" w:lineRule="exact"/>
        <w:ind w:firstLine="660" w:firstLineChars="200"/>
        <w:contextualSpacing/>
        <w:jc w:val="left"/>
        <w:rPr>
          <w:rFonts w:eastAsia="方正仿宋_GBK"/>
          <w:color w:val="000000"/>
          <w:kern w:val="0"/>
          <w:sz w:val="33"/>
          <w:szCs w:val="33"/>
          <w:shd w:val="clear" w:color="auto" w:fill="FFFFFF"/>
        </w:rPr>
      </w:pPr>
      <w:r>
        <w:rPr>
          <w:rFonts w:eastAsia="方正仿宋_GBK"/>
          <w:color w:val="000000"/>
          <w:kern w:val="0"/>
          <w:sz w:val="33"/>
          <w:szCs w:val="33"/>
          <w:shd w:val="clear" w:color="auto" w:fill="FFFFFF"/>
        </w:rPr>
        <w:t>1、预算编制工作有待细化，预算执行力度还需进一步加强。</w:t>
      </w:r>
    </w:p>
    <w:p>
      <w:pPr>
        <w:widowControl/>
        <w:adjustRightInd w:val="0"/>
        <w:snapToGrid w:val="0"/>
        <w:spacing w:line="578" w:lineRule="exact"/>
        <w:ind w:firstLine="660" w:firstLineChars="200"/>
        <w:contextualSpacing/>
        <w:jc w:val="left"/>
        <w:rPr>
          <w:rFonts w:eastAsia="方正仿宋_GBK"/>
          <w:color w:val="000000"/>
          <w:kern w:val="0"/>
          <w:sz w:val="33"/>
          <w:szCs w:val="33"/>
          <w:shd w:val="clear" w:color="auto" w:fill="FFFFFF"/>
        </w:rPr>
      </w:pPr>
      <w:r>
        <w:rPr>
          <w:rFonts w:eastAsia="方正仿宋_GBK"/>
          <w:color w:val="000000"/>
          <w:kern w:val="0"/>
          <w:sz w:val="33"/>
          <w:szCs w:val="33"/>
          <w:shd w:val="clear" w:color="auto" w:fill="FFFFFF"/>
        </w:rPr>
        <w:t>2、财政预算资金到位较晚，各项目经费支付不能及时到位。</w:t>
      </w:r>
    </w:p>
    <w:p>
      <w:pPr>
        <w:widowControl/>
        <w:adjustRightInd w:val="0"/>
        <w:snapToGrid w:val="0"/>
        <w:spacing w:line="578" w:lineRule="exact"/>
        <w:ind w:firstLine="642"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（三）改进建议。</w:t>
      </w:r>
    </w:p>
    <w:p>
      <w:pPr>
        <w:widowControl/>
        <w:adjustRightInd w:val="0"/>
        <w:snapToGrid w:val="0"/>
        <w:spacing w:line="560" w:lineRule="exact"/>
        <w:ind w:firstLine="660" w:firstLineChars="200"/>
        <w:contextualSpacing/>
        <w:jc w:val="left"/>
        <w:rPr>
          <w:rFonts w:eastAsia="方正仿宋_GBK"/>
          <w:color w:val="000000"/>
          <w:kern w:val="0"/>
          <w:sz w:val="33"/>
          <w:szCs w:val="33"/>
          <w:shd w:val="clear" w:color="auto" w:fill="FFFFFF"/>
          <w:lang w:val="zh-CN"/>
        </w:rPr>
      </w:pPr>
      <w:r>
        <w:rPr>
          <w:rFonts w:eastAsia="方正仿宋_GBK"/>
          <w:color w:val="000000"/>
          <w:kern w:val="0"/>
          <w:sz w:val="33"/>
          <w:szCs w:val="33"/>
          <w:shd w:val="clear" w:color="auto" w:fill="FFFFFF"/>
          <w:lang w:val="zh-CN"/>
        </w:rPr>
        <w:t>1.科学合理编制预算，严格执行预算。</w:t>
      </w:r>
    </w:p>
    <w:p>
      <w:pPr>
        <w:widowControl/>
        <w:adjustRightInd w:val="0"/>
        <w:snapToGrid w:val="0"/>
        <w:spacing w:line="560" w:lineRule="exact"/>
        <w:ind w:firstLine="660" w:firstLineChars="200"/>
        <w:contextualSpacing/>
        <w:jc w:val="left"/>
        <w:rPr>
          <w:rFonts w:eastAsia="方正仿宋_GBK"/>
          <w:color w:val="000000"/>
          <w:kern w:val="0"/>
          <w:sz w:val="33"/>
          <w:szCs w:val="33"/>
          <w:shd w:val="clear" w:color="auto" w:fill="FFFFFF"/>
          <w:lang w:val="zh-CN"/>
        </w:rPr>
      </w:pPr>
      <w:r>
        <w:rPr>
          <w:rFonts w:eastAsia="方正仿宋_GBK"/>
          <w:color w:val="000000"/>
          <w:kern w:val="0"/>
          <w:sz w:val="33"/>
          <w:szCs w:val="33"/>
          <w:shd w:val="clear" w:color="auto" w:fill="FFFFFF"/>
          <w:lang w:val="zh-CN"/>
        </w:rPr>
        <w:t>加强预算编制的前瞻性，按照《预算法》及其实施条例的相关规定，按政策规定及本部门的发展规划，结合上一年度预算执行情况和本年度预算收支变化因素，科学合理的编制年度预算草案，避免项目支出与基本支出划分不准或预算支出与实际执行出现较大偏差的情况，执行中确需调剂预算的，按规定程序报经财政部门批准。</w:t>
      </w:r>
    </w:p>
    <w:p>
      <w:pPr>
        <w:widowControl/>
        <w:adjustRightInd w:val="0"/>
        <w:snapToGrid w:val="0"/>
        <w:spacing w:line="560" w:lineRule="exact"/>
        <w:ind w:firstLine="660" w:firstLineChars="200"/>
        <w:contextualSpacing/>
        <w:jc w:val="left"/>
        <w:rPr>
          <w:rFonts w:eastAsia="方正仿宋_GBK"/>
          <w:color w:val="000000"/>
          <w:kern w:val="0"/>
          <w:sz w:val="33"/>
          <w:szCs w:val="33"/>
          <w:shd w:val="clear" w:color="auto" w:fill="FFFFFF"/>
          <w:lang w:val="zh-CN"/>
        </w:rPr>
      </w:pPr>
      <w:r>
        <w:rPr>
          <w:rFonts w:eastAsia="方正仿宋_GBK"/>
          <w:color w:val="000000"/>
          <w:kern w:val="0"/>
          <w:sz w:val="33"/>
          <w:szCs w:val="33"/>
          <w:shd w:val="clear" w:color="auto" w:fill="FFFFFF"/>
          <w:lang w:val="zh-CN"/>
        </w:rPr>
        <w:t>2.完善绩效评价体系，加强监督检查和考核工作。</w:t>
      </w:r>
    </w:p>
    <w:p>
      <w:pPr>
        <w:widowControl/>
        <w:adjustRightInd w:val="0"/>
        <w:snapToGrid w:val="0"/>
        <w:spacing w:line="560" w:lineRule="exact"/>
        <w:ind w:firstLine="660" w:firstLineChars="200"/>
        <w:contextualSpacing/>
        <w:jc w:val="left"/>
        <w:rPr>
          <w:color w:val="000000"/>
          <w:kern w:val="0"/>
          <w:sz w:val="33"/>
          <w:szCs w:val="33"/>
          <w:shd w:val="clear" w:color="auto" w:fill="FFFFFF"/>
          <w:lang w:val="zh-CN"/>
        </w:rPr>
      </w:pPr>
      <w:r>
        <w:rPr>
          <w:rFonts w:eastAsia="方正仿宋_GBK"/>
          <w:color w:val="000000"/>
          <w:kern w:val="0"/>
          <w:sz w:val="33"/>
          <w:szCs w:val="33"/>
          <w:shd w:val="clear" w:color="auto" w:fill="FFFFFF"/>
          <w:lang w:val="zh-CN"/>
        </w:rPr>
        <w:t>我院将进一步探索完善项目绩效评价指标体系、研究、关注绩效管理理论与实践发展的新思路、新动向。进一步完善项目绩效评价指标体系，增强绩效评价结果的可比性、可信度。加强对绩效管理工作的跟踪督查，做到绩效管理有依据、按程序、有奖惩，实现绩效管理的规范化、常态化。</w:t>
      </w:r>
    </w:p>
    <w:p>
      <w:pPr>
        <w:pStyle w:val="3"/>
        <w:spacing w:line="560" w:lineRule="exact"/>
        <w:ind w:left="0" w:leftChars="0" w:firstLine="640"/>
        <w:rPr>
          <w:rFonts w:ascii="Times New Roman" w:eastAsia="仿宋_GB2312"/>
          <w:sz w:val="32"/>
          <w:lang w:val="zh-CN"/>
        </w:rPr>
      </w:pPr>
    </w:p>
    <w:p>
      <w:pPr>
        <w:pStyle w:val="3"/>
        <w:spacing w:line="560" w:lineRule="exact"/>
        <w:ind w:left="0" w:leftChars="0" w:firstLine="640"/>
        <w:rPr>
          <w:rFonts w:ascii="Times New Roman" w:eastAsia="仿宋_GB2312"/>
          <w:sz w:val="32"/>
          <w:lang w:val="zh-CN"/>
        </w:rPr>
      </w:pPr>
    </w:p>
    <w:p>
      <w:pPr>
        <w:pStyle w:val="3"/>
        <w:spacing w:line="560" w:lineRule="exact"/>
        <w:ind w:left="0" w:leftChars="0" w:firstLine="640"/>
        <w:rPr>
          <w:rFonts w:ascii="Times New Roman" w:eastAsia="仿宋_GB2312"/>
          <w:sz w:val="32"/>
          <w:lang w:val="zh-CN"/>
        </w:rPr>
      </w:pPr>
    </w:p>
    <w:p>
      <w:pPr>
        <w:pStyle w:val="3"/>
        <w:spacing w:line="560" w:lineRule="exact"/>
        <w:ind w:left="0" w:leftChars="0" w:firstLine="640"/>
        <w:rPr>
          <w:rFonts w:ascii="Times New Roman" w:eastAsia="仿宋_GB2312"/>
          <w:sz w:val="32"/>
          <w:lang w:val="zh-CN"/>
        </w:rPr>
      </w:pPr>
    </w:p>
    <w:p>
      <w:pPr>
        <w:pStyle w:val="3"/>
        <w:spacing w:line="560" w:lineRule="exact"/>
        <w:ind w:left="0" w:leftChars="0" w:firstLine="640"/>
        <w:rPr>
          <w:rFonts w:ascii="Times New Roman" w:eastAsia="仿宋_GB2312"/>
          <w:sz w:val="32"/>
          <w:lang w:val="zh-CN"/>
        </w:rPr>
      </w:pPr>
    </w:p>
    <w:p>
      <w:pPr>
        <w:pStyle w:val="3"/>
        <w:spacing w:line="560" w:lineRule="exact"/>
        <w:ind w:left="0" w:leftChars="0" w:firstLine="640"/>
        <w:rPr>
          <w:rFonts w:ascii="Times New Roman" w:eastAsia="仿宋_GB2312"/>
          <w:sz w:val="32"/>
          <w:lang w:val="zh-CN"/>
        </w:rPr>
      </w:pPr>
    </w:p>
    <w:p>
      <w:pPr>
        <w:pStyle w:val="3"/>
        <w:spacing w:line="560" w:lineRule="exact"/>
        <w:ind w:left="0" w:leftChars="0" w:firstLine="640"/>
        <w:rPr>
          <w:rFonts w:ascii="Times New Roman" w:eastAsia="仿宋_GB2312"/>
          <w:sz w:val="32"/>
          <w:lang w:val="zh-CN"/>
        </w:rPr>
      </w:pPr>
    </w:p>
    <w:p>
      <w:pPr>
        <w:pStyle w:val="3"/>
        <w:spacing w:line="560" w:lineRule="exact"/>
        <w:ind w:left="0" w:leftChars="0" w:firstLine="640"/>
        <w:rPr>
          <w:rFonts w:ascii="Times New Roman" w:eastAsia="仿宋_GB2312"/>
          <w:sz w:val="32"/>
          <w:lang w:val="zh-CN"/>
        </w:rPr>
      </w:pPr>
    </w:p>
    <w:p>
      <w:pPr>
        <w:pStyle w:val="3"/>
        <w:spacing w:line="560" w:lineRule="exact"/>
        <w:ind w:left="0" w:leftChars="0" w:firstLine="640"/>
        <w:rPr>
          <w:rFonts w:ascii="Times New Roman" w:eastAsia="仿宋_GB2312"/>
          <w:sz w:val="32"/>
          <w:lang w:val="zh-CN"/>
        </w:rPr>
      </w:pPr>
    </w:p>
    <w:p>
      <w:pPr>
        <w:pStyle w:val="3"/>
        <w:spacing w:line="560" w:lineRule="exact"/>
        <w:ind w:left="0" w:leftChars="0" w:firstLine="640"/>
        <w:rPr>
          <w:rFonts w:ascii="Times New Roman" w:eastAsia="仿宋_GB2312"/>
          <w:sz w:val="32"/>
          <w:lang w:val="zh-CN"/>
        </w:rPr>
      </w:pPr>
    </w:p>
    <w:p>
      <w:pPr>
        <w:pStyle w:val="3"/>
        <w:spacing w:line="560" w:lineRule="exact"/>
        <w:ind w:left="0" w:leftChars="0" w:firstLine="640"/>
        <w:rPr>
          <w:rFonts w:ascii="Times New Roman" w:eastAsia="仿宋_GB2312"/>
          <w:sz w:val="32"/>
          <w:lang w:val="zh-CN"/>
        </w:rPr>
      </w:pPr>
    </w:p>
    <w:p>
      <w:pPr>
        <w:pStyle w:val="3"/>
        <w:spacing w:line="560" w:lineRule="exact"/>
        <w:ind w:left="0" w:leftChars="0" w:firstLine="640"/>
        <w:rPr>
          <w:rFonts w:ascii="Times New Roman" w:eastAsia="仿宋_GB2312"/>
          <w:sz w:val="32"/>
          <w:lang w:val="zh-CN"/>
        </w:rPr>
      </w:pPr>
      <w:r>
        <w:rPr>
          <w:rFonts w:hint="eastAsia" w:ascii="Times New Roman" w:eastAsia="仿宋_GB2312"/>
          <w:sz w:val="32"/>
          <w:lang w:val="zh-CN"/>
        </w:rPr>
        <w:t>附表：</w:t>
      </w:r>
      <w:r>
        <w:rPr>
          <w:rFonts w:hint="eastAsia" w:ascii="Times New Roman" w:eastAsia="仿宋_GB2312"/>
          <w:sz w:val="32"/>
        </w:rPr>
        <w:t>部门预算项目支出绩效自评表（2024年度）</w:t>
      </w:r>
    </w:p>
    <w:p>
      <w:pPr>
        <w:pStyle w:val="3"/>
        <w:spacing w:line="560" w:lineRule="exact"/>
        <w:ind w:left="0" w:leftChars="0" w:firstLine="0" w:firstLineChars="0"/>
        <w:rPr>
          <w:rFonts w:ascii="Times New Roman"/>
          <w:sz w:val="32"/>
          <w:highlight w:val="yellow"/>
          <w:lang w:val="zh-CN"/>
        </w:rPr>
      </w:pPr>
    </w:p>
    <w:p>
      <w:pPr>
        <w:pStyle w:val="8"/>
        <w:spacing w:before="93"/>
        <w:rPr>
          <w:rFonts w:ascii="Times New Roman" w:cs="宋体"/>
          <w:color w:val="FF0000"/>
          <w:sz w:val="32"/>
          <w:szCs w:val="32"/>
          <w:highlight w:val="yellow"/>
          <w:shd w:val="clear" w:color="auto" w:fill="FFFFFF"/>
          <w:lang w:val="zh-CN"/>
        </w:rPr>
      </w:pPr>
      <w:r>
        <w:rPr>
          <w:rFonts w:hint="eastAsia" w:ascii="宋体" w:cs="宋体" w:hAnsiTheme="minorHAnsi"/>
          <w:sz w:val="18"/>
          <w:szCs w:val="18"/>
          <w:lang w:val="zh-CN"/>
        </w:rPr>
        <w:object>
          <v:shape id="_x0000_i1025" o:spt="75" type="#_x0000_t75" style="height:388.8pt;width:478.35pt;" o:ole="t" filled="f" o:preferrelative="t" stroked="f" coordsize="21600,21600">
            <v:path/>
            <v:fill on="f" focussize="0,0"/>
            <v:stroke on="f" joinstyle="miter"/>
            <v:imagedata r:id="rId15" o:title=""/>
            <o:lock v:ext="edit" aspectratio="t"/>
            <w10:wrap type="none"/>
            <w10:anchorlock/>
          </v:shape>
          <o:OLEObject Type="Embed" ProgID="Picture.PicObj.1" ShapeID="_x0000_i1025" DrawAspect="Content" ObjectID="_1468075725" r:id="rId14">
            <o:LockedField>false</o:LockedField>
          </o:OLEObject>
        </w:object>
      </w:r>
    </w:p>
    <w:p>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pPr>
        <w:pStyle w:val="8"/>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pPr>
        <w:pStyle w:val="34"/>
        <w:spacing w:line="578" w:lineRule="exact"/>
        <w:jc w:val="center"/>
        <w:rPr>
          <w:rFonts w:ascii="Times New Roman" w:hAnsi="Times New Roman" w:eastAsia="方正小标宋简体" w:cs="方正小标宋简体"/>
          <w:color w:val="auto"/>
          <w:kern w:val="2"/>
          <w:sz w:val="44"/>
          <w:szCs w:val="44"/>
          <w:lang w:val="en-US"/>
        </w:rPr>
      </w:pPr>
    </w:p>
    <w:p>
      <w:pPr>
        <w:pStyle w:val="34"/>
        <w:spacing w:line="578" w:lineRule="exact"/>
        <w:jc w:val="center"/>
        <w:rPr>
          <w:rFonts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pPr>
        <w:pStyle w:val="34"/>
        <w:spacing w:line="578" w:lineRule="exact"/>
        <w:ind w:firstLine="640"/>
        <w:jc w:val="center"/>
        <w:rPr>
          <w:rFonts w:ascii="Times New Roman" w:hAnsi="Times New Roman"/>
          <w:color w:val="auto"/>
          <w:kern w:val="2"/>
          <w:sz w:val="32"/>
          <w:szCs w:val="32"/>
        </w:rPr>
      </w:pPr>
    </w:p>
    <w:p>
      <w:pPr>
        <w:adjustRightInd w:val="0"/>
        <w:snapToGrid w:val="0"/>
        <w:spacing w:line="578"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pPr>
        <w:widowControl/>
        <w:adjustRightInd w:val="0"/>
        <w:snapToGrid w:val="0"/>
        <w:spacing w:line="578" w:lineRule="exact"/>
        <w:ind w:firstLine="642" w:firstLineChars="200"/>
        <w:contextualSpacing/>
        <w:jc w:val="left"/>
        <w:rPr>
          <w:rFonts w:eastAsia="楷体_GB2312"/>
          <w:b/>
          <w:sz w:val="32"/>
          <w:szCs w:val="32"/>
          <w:lang w:val="zh-CN"/>
        </w:rPr>
      </w:pPr>
      <w:r>
        <w:rPr>
          <w:rFonts w:hint="eastAsia" w:eastAsia="楷体_GB2312"/>
          <w:b/>
          <w:sz w:val="32"/>
          <w:szCs w:val="32"/>
          <w:lang w:val="zh-CN"/>
        </w:rPr>
        <w:t>（一）设立背景及基本情况。</w:t>
      </w:r>
    </w:p>
    <w:p>
      <w:pPr>
        <w:adjustRightInd w:val="0"/>
        <w:snapToGrid w:val="0"/>
        <w:spacing w:line="600" w:lineRule="exact"/>
        <w:ind w:firstLine="720"/>
        <w:rPr>
          <w:rFonts w:eastAsia="方正仿宋_GBK"/>
          <w:sz w:val="33"/>
          <w:szCs w:val="33"/>
        </w:rPr>
      </w:pPr>
      <w:r>
        <w:rPr>
          <w:rFonts w:hint="eastAsia" w:eastAsia="方正仿宋_GBK"/>
          <w:sz w:val="33"/>
          <w:szCs w:val="33"/>
        </w:rPr>
        <w:t>项目主管单位提供文件依据，申报项目，待批复后组织实施项目，并做好项目监督工作，待项目完成后，对项目进行评价，总结工作中的不足并提出解决办法。</w:t>
      </w:r>
    </w:p>
    <w:p>
      <w:pPr>
        <w:adjustRightInd w:val="0"/>
        <w:snapToGrid w:val="0"/>
        <w:spacing w:line="578" w:lineRule="exact"/>
        <w:ind w:firstLine="642" w:firstLineChars="200"/>
        <w:rPr>
          <w:rFonts w:eastAsia="楷体_GB2312"/>
          <w:b/>
          <w:sz w:val="32"/>
          <w:szCs w:val="32"/>
        </w:rPr>
      </w:pPr>
      <w:r>
        <w:rPr>
          <w:rFonts w:hint="eastAsia" w:eastAsia="楷体_GB2312"/>
          <w:b/>
          <w:sz w:val="32"/>
          <w:szCs w:val="32"/>
          <w:lang w:val="zh-CN"/>
        </w:rPr>
        <w:t>（二）</w:t>
      </w:r>
      <w:r>
        <w:rPr>
          <w:rFonts w:eastAsia="楷体_GB2312"/>
          <w:b/>
          <w:sz w:val="32"/>
          <w:szCs w:val="32"/>
        </w:rPr>
        <w:t>实施目的及支持方向</w:t>
      </w:r>
      <w:r>
        <w:rPr>
          <w:rFonts w:hint="eastAsia" w:eastAsia="楷体_GB2312"/>
          <w:b/>
          <w:sz w:val="32"/>
          <w:szCs w:val="32"/>
        </w:rPr>
        <w:t>。</w:t>
      </w:r>
    </w:p>
    <w:p>
      <w:pPr>
        <w:autoSpaceDE w:val="0"/>
        <w:autoSpaceDN w:val="0"/>
        <w:adjustRightInd w:val="0"/>
        <w:spacing w:line="600" w:lineRule="exact"/>
        <w:ind w:firstLine="660" w:firstLineChars="200"/>
        <w:jc w:val="left"/>
        <w:rPr>
          <w:rFonts w:eastAsia="方正仿宋_GBK"/>
          <w:sz w:val="33"/>
          <w:szCs w:val="33"/>
        </w:rPr>
      </w:pPr>
      <w:r>
        <w:rPr>
          <w:rFonts w:hint="eastAsia" w:eastAsia="方正仿宋_GBK"/>
          <w:sz w:val="33"/>
          <w:szCs w:val="33"/>
        </w:rPr>
        <w:t>严格按照相关规定立项，项目资金使用符合资金管理办法等相关规定。我院严格按相关要求对项目资金进行申报、待批复后再投入使用。</w:t>
      </w:r>
    </w:p>
    <w:p>
      <w:pPr>
        <w:autoSpaceDE w:val="0"/>
        <w:autoSpaceDN w:val="0"/>
        <w:adjustRightInd w:val="0"/>
        <w:ind w:firstLine="660" w:firstLineChars="200"/>
        <w:jc w:val="left"/>
        <w:rPr>
          <w:rFonts w:eastAsia="方正仿宋_GBK"/>
          <w:sz w:val="33"/>
          <w:szCs w:val="33"/>
        </w:rPr>
      </w:pPr>
      <w:r>
        <w:rPr>
          <w:rFonts w:eastAsia="方正仿宋_GBK"/>
          <w:sz w:val="33"/>
          <w:szCs w:val="33"/>
        </w:rPr>
        <w:t>为规范本院国家司法救助工作，维护当事人合法权益，保障社会公平正义，促进社会和谐稳定，根据中央政法委、财政部、最高人民法院、最高人民检察院、公安部、司法部《关于建立完善国家司法救助制度的意见（试行）》、四川省委政法委、四川省财政厅、四川省高级人民法院、四川省人民检察院、四川省公安厅、四川省司法厅《四川省国家司法救助实施办法（试行）》等文件要求和相关法律法规，结合本院工作实际，申请财政经费</w:t>
      </w:r>
      <w:r>
        <w:rPr>
          <w:rFonts w:hint="eastAsia" w:eastAsia="方正仿宋_GBK"/>
          <w:sz w:val="33"/>
          <w:szCs w:val="33"/>
        </w:rPr>
        <w:t>40</w:t>
      </w:r>
      <w:r>
        <w:rPr>
          <w:rFonts w:eastAsia="方正仿宋_GBK"/>
          <w:sz w:val="33"/>
          <w:szCs w:val="33"/>
        </w:rPr>
        <w:t>万元。</w:t>
      </w:r>
    </w:p>
    <w:p>
      <w:pPr>
        <w:widowControl/>
        <w:adjustRightInd w:val="0"/>
        <w:snapToGrid w:val="0"/>
        <w:spacing w:line="578" w:lineRule="exact"/>
        <w:ind w:firstLine="642" w:firstLineChars="200"/>
        <w:contextualSpacing/>
        <w:jc w:val="left"/>
        <w:rPr>
          <w:rFonts w:eastAsia="楷体_GB2312"/>
          <w:b/>
          <w:sz w:val="32"/>
          <w:szCs w:val="32"/>
          <w:lang w:val="zh-CN"/>
        </w:rPr>
      </w:pPr>
      <w:r>
        <w:rPr>
          <w:rFonts w:hint="eastAsia" w:eastAsia="楷体_GB2312"/>
          <w:b/>
          <w:sz w:val="32"/>
          <w:szCs w:val="32"/>
          <w:lang w:val="zh-CN"/>
        </w:rPr>
        <w:t>（三）</w:t>
      </w:r>
      <w:r>
        <w:rPr>
          <w:rFonts w:eastAsia="楷体_GB2312"/>
          <w:b/>
          <w:sz w:val="32"/>
          <w:szCs w:val="32"/>
        </w:rPr>
        <w:t>预算安排及分配管理</w:t>
      </w:r>
      <w:r>
        <w:rPr>
          <w:rFonts w:hint="eastAsia" w:eastAsia="楷体_GB2312"/>
          <w:b/>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制定了专项资金管理制度，明确专项资金严格按照其审批范围使用。</w:t>
      </w:r>
    </w:p>
    <w:p>
      <w:pPr>
        <w:adjustRightInd w:val="0"/>
        <w:snapToGrid w:val="0"/>
        <w:spacing w:line="578" w:lineRule="exact"/>
        <w:ind w:firstLine="642" w:firstLineChars="200"/>
        <w:rPr>
          <w:rFonts w:eastAsia="楷体_GB2312"/>
          <w:b/>
          <w:sz w:val="32"/>
          <w:szCs w:val="32"/>
          <w:lang w:val="zh-CN"/>
        </w:rPr>
      </w:pPr>
      <w:r>
        <w:rPr>
          <w:rFonts w:hint="eastAsia" w:eastAsia="楷体_GB2312"/>
          <w:b/>
          <w:sz w:val="32"/>
          <w:szCs w:val="32"/>
          <w:lang w:val="zh-CN"/>
        </w:rPr>
        <w:t>（四）项目绩效目标设置。</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资金严格按照项目预算分配，保证专款专用。</w:t>
      </w:r>
    </w:p>
    <w:p>
      <w:pPr>
        <w:adjustRightInd w:val="0"/>
        <w:snapToGrid w:val="0"/>
        <w:spacing w:line="578" w:lineRule="exact"/>
        <w:ind w:firstLine="640" w:firstLineChars="200"/>
        <w:rPr>
          <w:rFonts w:eastAsia="黑体"/>
          <w:sz w:val="32"/>
          <w:szCs w:val="32"/>
        </w:rPr>
      </w:pPr>
      <w:r>
        <w:rPr>
          <w:rFonts w:hint="eastAsia" w:eastAsia="黑体"/>
          <w:sz w:val="32"/>
          <w:szCs w:val="32"/>
        </w:rPr>
        <w:t>二、评价实施</w:t>
      </w:r>
    </w:p>
    <w:p>
      <w:pPr>
        <w:spacing w:line="578" w:lineRule="exact"/>
        <w:ind w:firstLine="640"/>
        <w:rPr>
          <w:rFonts w:eastAsia="楷体_GB2312"/>
          <w:b/>
          <w:sz w:val="32"/>
          <w:szCs w:val="32"/>
          <w:lang w:val="zh-CN"/>
        </w:rPr>
      </w:pPr>
      <w:r>
        <w:rPr>
          <w:rFonts w:hint="eastAsia" w:eastAsia="楷体_GB2312"/>
          <w:b/>
          <w:sz w:val="32"/>
          <w:szCs w:val="32"/>
          <w:lang w:val="zh-CN"/>
        </w:rPr>
        <w:t>（一）评价目的。</w:t>
      </w:r>
    </w:p>
    <w:p>
      <w:pPr>
        <w:autoSpaceDE w:val="0"/>
        <w:autoSpaceDN w:val="0"/>
        <w:adjustRightInd w:val="0"/>
        <w:ind w:firstLine="660" w:firstLineChars="200"/>
        <w:jc w:val="left"/>
        <w:rPr>
          <w:rFonts w:eastAsia="方正仿宋_GBK"/>
          <w:sz w:val="33"/>
          <w:szCs w:val="33"/>
          <w:lang w:val="zh-CN"/>
        </w:rPr>
      </w:pPr>
      <w:r>
        <w:rPr>
          <w:rFonts w:eastAsia="方正仿宋_GBK"/>
          <w:sz w:val="33"/>
          <w:szCs w:val="33"/>
        </w:rPr>
        <w:t>进一步落实最高人民法院《关于加强和规范人民法院国家司法救助工作的意见》、</w:t>
      </w:r>
      <w:r>
        <w:rPr>
          <w:rFonts w:eastAsia="方正仿宋_GBK"/>
          <w:kern w:val="0"/>
          <w:sz w:val="33"/>
          <w:szCs w:val="33"/>
        </w:rPr>
        <w:t>最高人民法院关于深化执行改革健全解决执行难长效机制的意见——人民法院执行工作纲要</w:t>
      </w:r>
      <w:r>
        <w:rPr>
          <w:rFonts w:eastAsia="方正仿宋_GBK"/>
          <w:bCs/>
          <w:kern w:val="0"/>
          <w:sz w:val="33"/>
          <w:szCs w:val="33"/>
        </w:rPr>
        <w:t>(2019</w:t>
      </w:r>
      <w:r>
        <w:rPr>
          <w:rFonts w:eastAsia="方正仿宋_GBK"/>
          <w:kern w:val="0"/>
          <w:sz w:val="33"/>
          <w:szCs w:val="33"/>
        </w:rPr>
        <w:t>—</w:t>
      </w:r>
      <w:r>
        <w:rPr>
          <w:rFonts w:eastAsia="方正仿宋_GBK"/>
          <w:bCs/>
          <w:kern w:val="0"/>
          <w:sz w:val="33"/>
          <w:szCs w:val="33"/>
        </w:rPr>
        <w:t>2023)</w:t>
      </w:r>
      <w:r>
        <w:rPr>
          <w:rFonts w:eastAsia="方正仿宋_GBK"/>
          <w:sz w:val="33"/>
          <w:szCs w:val="33"/>
        </w:rPr>
        <w:t>文件精神，推动健全执行救助制度、司法救助制度，使更多涉民生案件困难当事人得到救助，切实增强人民群众的获得感。</w:t>
      </w:r>
    </w:p>
    <w:p>
      <w:pPr>
        <w:adjustRightInd w:val="0"/>
        <w:snapToGrid w:val="0"/>
        <w:spacing w:line="578" w:lineRule="exact"/>
        <w:ind w:firstLine="642" w:firstLineChars="200"/>
        <w:rPr>
          <w:rFonts w:eastAsia="楷体_GB2312"/>
          <w:b/>
          <w:sz w:val="32"/>
          <w:szCs w:val="32"/>
          <w:lang w:val="zh-CN"/>
        </w:rPr>
      </w:pPr>
      <w:r>
        <w:rPr>
          <w:rFonts w:hint="eastAsia" w:eastAsia="楷体_GB2312"/>
          <w:b/>
          <w:sz w:val="32"/>
          <w:szCs w:val="32"/>
          <w:lang w:val="zh-CN"/>
        </w:rPr>
        <w:t>（二）预设问题及评价重点。</w:t>
      </w:r>
    </w:p>
    <w:p>
      <w:pPr>
        <w:adjustRightInd w:val="0"/>
        <w:snapToGrid w:val="0"/>
        <w:spacing w:line="578" w:lineRule="exact"/>
        <w:ind w:firstLine="660" w:firstLineChars="200"/>
        <w:rPr>
          <w:rFonts w:eastAsia="方正仿宋_GBK"/>
          <w:sz w:val="33"/>
          <w:szCs w:val="33"/>
        </w:rPr>
      </w:pPr>
      <w:r>
        <w:rPr>
          <w:rFonts w:hint="eastAsia" w:eastAsia="方正仿宋_GBK"/>
          <w:sz w:val="33"/>
          <w:szCs w:val="33"/>
        </w:rPr>
        <w:t>我院支出经费均为财政资金，年初按项目名称编制了每个项目的资金使用计划。在使用中合理安排各项用款，坚持坚持厉行节约，严控一般性支出，切实将党政机关过紧日子要求落到实处，把各项开支降到最低。</w:t>
      </w:r>
    </w:p>
    <w:p>
      <w:pPr>
        <w:spacing w:line="578" w:lineRule="exact"/>
        <w:ind w:firstLine="640"/>
        <w:rPr>
          <w:rFonts w:eastAsia="楷体_GB2312"/>
          <w:b/>
          <w:sz w:val="32"/>
          <w:szCs w:val="32"/>
          <w:lang w:val="zh-CN"/>
        </w:rPr>
      </w:pPr>
      <w:r>
        <w:rPr>
          <w:rFonts w:hint="eastAsia" w:eastAsia="楷体_GB2312"/>
          <w:b/>
          <w:sz w:val="32"/>
          <w:szCs w:val="32"/>
          <w:lang w:val="zh-CN"/>
        </w:rPr>
        <w:t>（三）评价选点。</w:t>
      </w:r>
    </w:p>
    <w:p>
      <w:pPr>
        <w:adjustRightInd w:val="0"/>
        <w:snapToGrid w:val="0"/>
        <w:spacing w:line="578" w:lineRule="exact"/>
        <w:ind w:firstLine="660" w:firstLineChars="200"/>
        <w:rPr>
          <w:rFonts w:eastAsia="方正仿宋_GBK"/>
          <w:sz w:val="33"/>
          <w:szCs w:val="33"/>
        </w:rPr>
      </w:pPr>
      <w:r>
        <w:rPr>
          <w:rFonts w:hint="eastAsia" w:eastAsia="方正仿宋_GBK"/>
          <w:sz w:val="33"/>
          <w:szCs w:val="33"/>
        </w:rPr>
        <w:t>项目目标评价，项目经济评价，项目决策分析与评价。</w:t>
      </w:r>
    </w:p>
    <w:p>
      <w:pPr>
        <w:spacing w:line="578" w:lineRule="exact"/>
        <w:ind w:firstLine="640"/>
        <w:rPr>
          <w:rFonts w:eastAsia="楷体_GB2312"/>
          <w:b/>
          <w:sz w:val="32"/>
          <w:szCs w:val="32"/>
          <w:lang w:val="zh-CN"/>
        </w:rPr>
      </w:pPr>
      <w:r>
        <w:rPr>
          <w:rFonts w:hint="eastAsia" w:eastAsia="楷体_GB2312"/>
          <w:b/>
          <w:sz w:val="32"/>
          <w:szCs w:val="32"/>
          <w:lang w:val="zh-CN"/>
        </w:rPr>
        <w:t>（四）评价方法。</w:t>
      </w:r>
    </w:p>
    <w:p>
      <w:pPr>
        <w:spacing w:line="578" w:lineRule="exact"/>
        <w:ind w:firstLine="640"/>
        <w:rPr>
          <w:rFonts w:eastAsia="方正仿宋_GBK"/>
          <w:sz w:val="33"/>
          <w:szCs w:val="33"/>
        </w:rPr>
      </w:pPr>
      <w:r>
        <w:rPr>
          <w:rFonts w:hint="eastAsia" w:eastAsia="方正仿宋_GBK"/>
          <w:sz w:val="33"/>
          <w:szCs w:val="33"/>
        </w:rPr>
        <w:t>单位自评法。</w:t>
      </w:r>
    </w:p>
    <w:p>
      <w:pPr>
        <w:spacing w:line="578" w:lineRule="exact"/>
        <w:ind w:firstLine="640"/>
        <w:rPr>
          <w:rFonts w:eastAsia="楷体_GB2312"/>
          <w:b/>
          <w:sz w:val="32"/>
          <w:szCs w:val="32"/>
          <w:lang w:val="zh-CN"/>
        </w:rPr>
      </w:pPr>
      <w:r>
        <w:rPr>
          <w:rFonts w:hint="eastAsia" w:eastAsia="楷体_GB2312"/>
          <w:b/>
          <w:sz w:val="32"/>
          <w:szCs w:val="32"/>
          <w:lang w:val="zh-CN"/>
        </w:rPr>
        <w:t>（五）评价组织。</w:t>
      </w:r>
    </w:p>
    <w:p>
      <w:pPr>
        <w:spacing w:line="578" w:lineRule="exact"/>
        <w:ind w:firstLine="640"/>
        <w:rPr>
          <w:rFonts w:eastAsia="仿宋_GB2312"/>
          <w:bCs/>
        </w:rPr>
      </w:pPr>
      <w:r>
        <w:rPr>
          <w:rFonts w:hint="eastAsia" w:eastAsia="方正仿宋_GBK"/>
          <w:sz w:val="33"/>
          <w:szCs w:val="33"/>
        </w:rPr>
        <w:t>项目负责人及综合办公室财务负责人按照职责完成工作</w:t>
      </w:r>
      <w:r>
        <w:rPr>
          <w:rFonts w:hint="eastAsia" w:eastAsia="仿宋_GB2312" w:cs="仿宋_GB2312"/>
          <w:kern w:val="0"/>
          <w:sz w:val="32"/>
          <w:szCs w:val="32"/>
          <w:lang w:val="zh-CN"/>
        </w:rPr>
        <w:t>。</w:t>
      </w:r>
    </w:p>
    <w:p>
      <w:pPr>
        <w:adjustRightInd w:val="0"/>
        <w:snapToGrid w:val="0"/>
        <w:spacing w:line="578" w:lineRule="exact"/>
        <w:ind w:firstLine="640" w:firstLineChars="200"/>
        <w:rPr>
          <w:sz w:val="32"/>
          <w:szCs w:val="32"/>
          <w:lang w:val="zh-CN"/>
        </w:rPr>
      </w:pPr>
      <w:r>
        <w:rPr>
          <w:rFonts w:hint="eastAsia" w:eastAsia="黑体"/>
          <w:sz w:val="32"/>
          <w:szCs w:val="32"/>
        </w:rPr>
        <w:t>三、绩效分析</w:t>
      </w:r>
      <w:r>
        <w:rPr>
          <w:rFonts w:hint="eastAsia"/>
          <w:sz w:val="32"/>
          <w:szCs w:val="32"/>
          <w:lang w:val="zh-CN"/>
        </w:rPr>
        <w:tab/>
      </w:r>
    </w:p>
    <w:p>
      <w:pPr>
        <w:spacing w:line="578" w:lineRule="exact"/>
        <w:ind w:firstLine="640"/>
        <w:rPr>
          <w:rFonts w:eastAsia="楷体_GB2312"/>
          <w:b/>
          <w:sz w:val="32"/>
          <w:szCs w:val="32"/>
        </w:rPr>
      </w:pPr>
      <w:r>
        <w:rPr>
          <w:rFonts w:hint="eastAsia" w:eastAsia="楷体_GB2312"/>
          <w:b/>
          <w:sz w:val="32"/>
          <w:szCs w:val="32"/>
          <w:lang w:val="zh-CN"/>
        </w:rPr>
        <w:t>（一）</w:t>
      </w:r>
      <w:r>
        <w:rPr>
          <w:rFonts w:hint="eastAsia" w:eastAsia="楷体_GB2312"/>
          <w:b/>
          <w:sz w:val="32"/>
          <w:szCs w:val="32"/>
        </w:rPr>
        <w:t>通用指标</w:t>
      </w:r>
      <w:r>
        <w:rPr>
          <w:rFonts w:eastAsia="楷体_GB2312"/>
          <w:b/>
          <w:bCs/>
          <w:color w:val="000000"/>
          <w:kern w:val="0"/>
          <w:sz w:val="32"/>
          <w:szCs w:val="32"/>
          <w:shd w:val="clear" w:color="auto" w:fill="FFFFFF"/>
          <w:lang w:val="zh-CN"/>
        </w:rPr>
        <w:t>绩效分析。</w:t>
      </w:r>
    </w:p>
    <w:p>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1.</w:t>
      </w:r>
      <w:r>
        <w:rPr>
          <w:rFonts w:hint="eastAsia" w:eastAsia="仿宋_GB2312" w:cs="仿宋_GB2312"/>
          <w:kern w:val="0"/>
          <w:sz w:val="32"/>
          <w:szCs w:val="32"/>
          <w:lang w:val="zh-CN"/>
        </w:rPr>
        <w:t>项目决策。</w:t>
      </w:r>
    </w:p>
    <w:p>
      <w:pPr>
        <w:spacing w:line="578" w:lineRule="exact"/>
        <w:ind w:firstLine="640"/>
        <w:rPr>
          <w:rFonts w:eastAsia="方正仿宋_GBK"/>
          <w:sz w:val="33"/>
          <w:szCs w:val="33"/>
        </w:rPr>
      </w:pPr>
      <w:r>
        <w:rPr>
          <w:rFonts w:hint="eastAsia" w:eastAsia="方正仿宋_GBK"/>
          <w:sz w:val="33"/>
          <w:szCs w:val="33"/>
        </w:rPr>
        <w:t>我院司法救助项目由负责司法救助的业务部门提出项目需求，报院党组同意后实施。</w:t>
      </w:r>
    </w:p>
    <w:p>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2.</w:t>
      </w:r>
      <w:r>
        <w:rPr>
          <w:rFonts w:hint="eastAsia" w:eastAsia="仿宋_GB2312" w:cs="仿宋_GB2312"/>
          <w:kern w:val="0"/>
          <w:sz w:val="32"/>
          <w:szCs w:val="32"/>
          <w:lang w:val="zh-CN"/>
        </w:rPr>
        <w:t>项目管理。</w:t>
      </w:r>
    </w:p>
    <w:p>
      <w:pPr>
        <w:spacing w:line="578" w:lineRule="exact"/>
        <w:ind w:firstLine="640"/>
        <w:rPr>
          <w:rFonts w:eastAsia="方正仿宋_GBK"/>
          <w:sz w:val="33"/>
          <w:szCs w:val="33"/>
        </w:rPr>
      </w:pPr>
      <w:r>
        <w:rPr>
          <w:rFonts w:hint="eastAsia" w:eastAsia="方正仿宋_GBK"/>
          <w:sz w:val="33"/>
          <w:szCs w:val="33"/>
        </w:rPr>
        <w:t>项目运行过程中定期由督察部门等对项目进行情况进行抽查监督。</w:t>
      </w:r>
    </w:p>
    <w:p>
      <w:pPr>
        <w:spacing w:line="578" w:lineRule="exact"/>
        <w:ind w:firstLine="640" w:firstLineChars="200"/>
        <w:rPr>
          <w:rFonts w:eastAsia="仿宋_GB2312" w:cs="仿宋_GB2312"/>
          <w:kern w:val="0"/>
          <w:sz w:val="32"/>
          <w:szCs w:val="32"/>
        </w:rPr>
      </w:pPr>
      <w:r>
        <w:rPr>
          <w:rFonts w:hint="eastAsia" w:eastAsia="仿宋_GB2312" w:cs="仿宋_GB2312"/>
          <w:kern w:val="0"/>
          <w:sz w:val="32"/>
          <w:szCs w:val="32"/>
        </w:rPr>
        <w:t>3.项目实施。</w:t>
      </w:r>
    </w:p>
    <w:p>
      <w:pPr>
        <w:spacing w:line="578" w:lineRule="exact"/>
        <w:ind w:firstLine="495" w:firstLineChars="150"/>
        <w:rPr>
          <w:rFonts w:eastAsia="仿宋_GB2312" w:cs="仿宋_GB2312"/>
          <w:kern w:val="0"/>
          <w:sz w:val="32"/>
          <w:szCs w:val="32"/>
        </w:rPr>
      </w:pPr>
      <w:r>
        <w:rPr>
          <w:rFonts w:hint="eastAsia" w:eastAsia="方正仿宋_GBK"/>
          <w:sz w:val="33"/>
          <w:szCs w:val="33"/>
        </w:rPr>
        <w:t>由具体的业务部门完成对项目的实施。</w:t>
      </w:r>
    </w:p>
    <w:p>
      <w:pPr>
        <w:pStyle w:val="27"/>
        <w:numPr>
          <w:ilvl w:val="0"/>
          <w:numId w:val="3"/>
        </w:numPr>
        <w:spacing w:line="578" w:lineRule="exact"/>
        <w:ind w:firstLineChars="0"/>
        <w:rPr>
          <w:rFonts w:eastAsia="仿宋_GB2312" w:cs="仿宋_GB2312"/>
          <w:kern w:val="0"/>
          <w:sz w:val="32"/>
          <w:szCs w:val="32"/>
        </w:rPr>
      </w:pPr>
      <w:r>
        <w:rPr>
          <w:rFonts w:hint="eastAsia" w:eastAsia="仿宋_GB2312" w:cs="仿宋_GB2312"/>
          <w:kern w:val="0"/>
          <w:sz w:val="32"/>
          <w:szCs w:val="32"/>
        </w:rPr>
        <w:t>项目结果。</w:t>
      </w:r>
    </w:p>
    <w:p>
      <w:pPr>
        <w:spacing w:line="578" w:lineRule="exact"/>
        <w:ind w:firstLine="495" w:firstLineChars="150"/>
        <w:rPr>
          <w:rFonts w:eastAsia="方正仿宋_GBK"/>
          <w:sz w:val="33"/>
          <w:szCs w:val="33"/>
        </w:rPr>
      </w:pPr>
      <w:r>
        <w:rPr>
          <w:rFonts w:hint="eastAsia" w:eastAsia="方正仿宋_GBK"/>
          <w:sz w:val="33"/>
          <w:szCs w:val="33"/>
        </w:rPr>
        <w:t>已按年初预算完成项目指标。</w:t>
      </w:r>
    </w:p>
    <w:p>
      <w:pPr>
        <w:spacing w:line="578" w:lineRule="exact"/>
        <w:ind w:firstLine="640"/>
        <w:rPr>
          <w:rFonts w:eastAsia="仿宋_GB2312" w:cs="仿宋_GB2312"/>
          <w:kern w:val="0"/>
          <w:sz w:val="32"/>
          <w:szCs w:val="32"/>
          <w:lang w:val="zh-CN"/>
        </w:rPr>
      </w:pPr>
      <w:r>
        <w:rPr>
          <w:rFonts w:hint="eastAsia" w:eastAsia="楷体_GB2312"/>
          <w:b/>
          <w:sz w:val="32"/>
          <w:szCs w:val="32"/>
          <w:lang w:val="zh-CN"/>
        </w:rPr>
        <w:t>（二）</w:t>
      </w:r>
      <w:r>
        <w:rPr>
          <w:rFonts w:hint="eastAsia" w:eastAsia="楷体_GB2312"/>
          <w:b/>
          <w:sz w:val="32"/>
          <w:szCs w:val="32"/>
        </w:rPr>
        <w:t>专用指标</w:t>
      </w:r>
      <w:r>
        <w:rPr>
          <w:rFonts w:eastAsia="楷体_GB2312"/>
          <w:b/>
          <w:bCs/>
          <w:color w:val="000000"/>
          <w:kern w:val="0"/>
          <w:sz w:val="32"/>
          <w:szCs w:val="32"/>
          <w:shd w:val="clear" w:color="auto" w:fill="FFFFFF"/>
          <w:lang w:val="zh-CN"/>
        </w:rPr>
        <w:t>绩效分析。</w:t>
      </w:r>
    </w:p>
    <w:p>
      <w:pPr>
        <w:spacing w:line="578" w:lineRule="exact"/>
        <w:ind w:firstLine="640"/>
        <w:rPr>
          <w:rFonts w:eastAsia="仿宋_GB2312" w:cs="仿宋_GB2312"/>
          <w:kern w:val="0"/>
          <w:sz w:val="32"/>
          <w:szCs w:val="32"/>
        </w:rPr>
      </w:pPr>
      <w:r>
        <w:rPr>
          <w:rFonts w:hint="eastAsia" w:eastAsia="仿宋_GB2312" w:cs="仿宋_GB2312"/>
          <w:kern w:val="0"/>
          <w:sz w:val="32"/>
          <w:szCs w:val="32"/>
        </w:rPr>
        <w:t>1.产业发展。</w:t>
      </w:r>
    </w:p>
    <w:p>
      <w:pPr>
        <w:spacing w:line="578" w:lineRule="exact"/>
        <w:ind w:firstLine="660" w:firstLineChars="200"/>
        <w:rPr>
          <w:rFonts w:eastAsia="方正仿宋_GBK"/>
          <w:sz w:val="33"/>
          <w:szCs w:val="33"/>
        </w:rPr>
      </w:pPr>
      <w:r>
        <w:rPr>
          <w:rFonts w:hint="eastAsia" w:eastAsia="方正仿宋_GBK"/>
          <w:sz w:val="33"/>
          <w:szCs w:val="33"/>
        </w:rPr>
        <w:t>使更多涉民生案件困难当事人得到救助，切实增强人民群众的获得感，提升司法、执行工作公信力及人民群众满意度。</w:t>
      </w:r>
    </w:p>
    <w:p>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2.</w:t>
      </w:r>
      <w:r>
        <w:rPr>
          <w:rFonts w:hint="eastAsia" w:eastAsia="仿宋_GB2312" w:cs="仿宋_GB2312"/>
          <w:kern w:val="0"/>
          <w:sz w:val="32"/>
          <w:szCs w:val="32"/>
          <w:lang w:val="zh-CN"/>
        </w:rPr>
        <w:t>民生保障。</w:t>
      </w:r>
    </w:p>
    <w:p>
      <w:pPr>
        <w:spacing w:line="578" w:lineRule="exact"/>
        <w:ind w:firstLine="660" w:firstLineChars="200"/>
        <w:rPr>
          <w:rFonts w:eastAsia="方正仿宋_GBK"/>
          <w:sz w:val="33"/>
          <w:szCs w:val="33"/>
        </w:rPr>
      </w:pPr>
      <w:r>
        <w:rPr>
          <w:rFonts w:hint="eastAsia" w:eastAsia="方正仿宋_GBK"/>
          <w:sz w:val="33"/>
          <w:szCs w:val="33"/>
        </w:rPr>
        <w:t>保障困难当事人的合法权益。</w:t>
      </w:r>
    </w:p>
    <w:p>
      <w:pPr>
        <w:spacing w:line="578" w:lineRule="exact"/>
        <w:ind w:firstLine="640"/>
        <w:rPr>
          <w:rFonts w:eastAsia="仿宋_GB2312" w:cs="仿宋_GB2312"/>
          <w:kern w:val="0"/>
          <w:sz w:val="32"/>
          <w:szCs w:val="32"/>
        </w:rPr>
      </w:pPr>
      <w:r>
        <w:rPr>
          <w:rFonts w:hint="eastAsia" w:eastAsia="仿宋_GB2312" w:cs="仿宋_GB2312"/>
          <w:kern w:val="0"/>
          <w:sz w:val="32"/>
          <w:szCs w:val="32"/>
        </w:rPr>
        <w:t>3.基础设施。</w:t>
      </w:r>
    </w:p>
    <w:p>
      <w:pPr>
        <w:spacing w:line="578" w:lineRule="exact"/>
        <w:ind w:firstLine="640"/>
        <w:rPr>
          <w:rFonts w:eastAsia="仿宋_GB2312" w:cs="仿宋_GB2312"/>
          <w:kern w:val="0"/>
          <w:sz w:val="32"/>
          <w:szCs w:val="32"/>
        </w:rPr>
      </w:pPr>
      <w:r>
        <w:rPr>
          <w:rFonts w:hint="eastAsia" w:eastAsia="仿宋_GB2312" w:cs="仿宋_GB2312"/>
          <w:kern w:val="0"/>
          <w:sz w:val="32"/>
          <w:szCs w:val="32"/>
        </w:rPr>
        <w:t>无。</w:t>
      </w:r>
    </w:p>
    <w:p>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4.</w:t>
      </w:r>
      <w:r>
        <w:rPr>
          <w:rFonts w:hint="eastAsia" w:eastAsia="仿宋_GB2312" w:cs="仿宋_GB2312"/>
          <w:kern w:val="0"/>
          <w:sz w:val="32"/>
          <w:szCs w:val="32"/>
          <w:lang w:val="zh-CN"/>
        </w:rPr>
        <w:t>行政运转。</w:t>
      </w:r>
    </w:p>
    <w:p>
      <w:pPr>
        <w:spacing w:line="578" w:lineRule="exact"/>
        <w:ind w:firstLine="660" w:firstLineChars="200"/>
        <w:rPr>
          <w:rFonts w:ascii="仿宋_GB2312" w:hAnsi="仿宋_GB2312" w:eastAsia="仿宋_GB2312" w:cs="仿宋_GB2312"/>
          <w:kern w:val="0"/>
          <w:sz w:val="32"/>
          <w:szCs w:val="32"/>
        </w:rPr>
      </w:pPr>
      <w:r>
        <w:rPr>
          <w:rFonts w:hint="eastAsia" w:eastAsia="方正仿宋_GBK"/>
          <w:sz w:val="33"/>
          <w:szCs w:val="33"/>
        </w:rPr>
        <w:t>按照年初预算要求对资金进行管理，保障项目顺利开展。</w:t>
      </w:r>
    </w:p>
    <w:p>
      <w:pPr>
        <w:spacing w:line="578" w:lineRule="exact"/>
        <w:ind w:firstLine="640"/>
        <w:rPr>
          <w:rFonts w:eastAsia="楷体_GB2312"/>
          <w:b/>
          <w:bCs/>
          <w:color w:val="000000"/>
          <w:kern w:val="0"/>
          <w:sz w:val="32"/>
          <w:szCs w:val="32"/>
          <w:shd w:val="clear" w:color="auto" w:fill="FFFFFF"/>
          <w:lang w:val="zh-CN"/>
        </w:rPr>
      </w:pPr>
      <w:r>
        <w:rPr>
          <w:rFonts w:hint="eastAsia" w:eastAsia="楷体_GB2312"/>
          <w:b/>
          <w:sz w:val="32"/>
          <w:szCs w:val="32"/>
          <w:lang w:val="zh-CN"/>
        </w:rPr>
        <w:t>（三）</w:t>
      </w:r>
      <w:r>
        <w:rPr>
          <w:rFonts w:hint="eastAsia" w:eastAsia="楷体_GB2312"/>
          <w:b/>
          <w:sz w:val="32"/>
          <w:szCs w:val="32"/>
        </w:rPr>
        <w:t>个性指标</w:t>
      </w:r>
      <w:r>
        <w:rPr>
          <w:rFonts w:eastAsia="楷体_GB2312"/>
          <w:b/>
          <w:bCs/>
          <w:color w:val="000000"/>
          <w:kern w:val="0"/>
          <w:sz w:val="32"/>
          <w:szCs w:val="32"/>
          <w:shd w:val="clear" w:color="auto" w:fill="FFFFFF"/>
          <w:lang w:val="zh-CN"/>
        </w:rPr>
        <w:t>绩效分析。</w:t>
      </w:r>
    </w:p>
    <w:p>
      <w:pPr>
        <w:spacing w:line="578" w:lineRule="exact"/>
        <w:ind w:firstLine="640"/>
        <w:rPr>
          <w:rFonts w:eastAsia="方正仿宋_GBK"/>
          <w:sz w:val="33"/>
          <w:szCs w:val="33"/>
        </w:rPr>
      </w:pPr>
      <w:r>
        <w:rPr>
          <w:rFonts w:hint="eastAsia" w:eastAsia="方正仿宋_GBK"/>
          <w:sz w:val="33"/>
          <w:szCs w:val="33"/>
        </w:rPr>
        <w:t>困难当事人满意度：当事人满意度为100%。</w:t>
      </w:r>
    </w:p>
    <w:p>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四、评价结论</w:t>
      </w:r>
    </w:p>
    <w:p>
      <w:pPr>
        <w:spacing w:line="578" w:lineRule="exact"/>
        <w:ind w:firstLine="640"/>
        <w:rPr>
          <w:rFonts w:eastAsia="方正仿宋_GBK"/>
          <w:sz w:val="33"/>
          <w:szCs w:val="33"/>
        </w:rPr>
      </w:pPr>
      <w:r>
        <w:rPr>
          <w:rFonts w:hint="eastAsia" w:eastAsia="方正仿宋_GBK"/>
          <w:sz w:val="33"/>
          <w:szCs w:val="33"/>
        </w:rPr>
        <w:t>经过项目自评，我院司法救助项目总体运行情况良好，保障了生活困难当事人的各项经费开支。</w:t>
      </w:r>
    </w:p>
    <w:p>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五、存在主要问题</w:t>
      </w:r>
    </w:p>
    <w:p>
      <w:pPr>
        <w:spacing w:line="578" w:lineRule="exact"/>
        <w:ind w:firstLine="640"/>
        <w:rPr>
          <w:rFonts w:eastAsia="仿宋_GB2312" w:cs="仿宋_GB2312"/>
          <w:kern w:val="0"/>
          <w:sz w:val="32"/>
          <w:szCs w:val="32"/>
        </w:rPr>
      </w:pPr>
      <w:r>
        <w:rPr>
          <w:rFonts w:hint="eastAsia" w:eastAsia="仿宋_GB2312" w:cs="仿宋_GB2312"/>
          <w:kern w:val="0"/>
          <w:sz w:val="32"/>
          <w:szCs w:val="32"/>
        </w:rPr>
        <w:t>无。</w:t>
      </w:r>
    </w:p>
    <w:p>
      <w:pPr>
        <w:spacing w:line="578" w:lineRule="exact"/>
        <w:ind w:firstLine="640"/>
        <w:rPr>
          <w:rFonts w:ascii="黑体" w:hAnsi="黑体" w:eastAsia="黑体" w:cs="黑体"/>
          <w:kern w:val="0"/>
          <w:sz w:val="32"/>
          <w:szCs w:val="32"/>
          <w:lang w:val="zh-CN"/>
        </w:rPr>
      </w:pPr>
      <w:r>
        <w:rPr>
          <w:rFonts w:hint="eastAsia" w:ascii="黑体" w:hAnsi="黑体" w:eastAsia="黑体" w:cs="黑体"/>
          <w:kern w:val="0"/>
          <w:sz w:val="32"/>
          <w:szCs w:val="32"/>
          <w:lang w:val="zh-CN"/>
        </w:rPr>
        <w:t>六、改进建议</w:t>
      </w:r>
    </w:p>
    <w:p>
      <w:pPr>
        <w:widowControl/>
        <w:shd w:val="clear" w:color="auto" w:fill="FFFFFF"/>
        <w:ind w:firstLine="640"/>
        <w:jc w:val="left"/>
        <w:rPr>
          <w:rFonts w:eastAsia="方正仿宋_GBK"/>
          <w:color w:val="000000"/>
          <w:sz w:val="33"/>
          <w:szCs w:val="33"/>
        </w:rPr>
      </w:pPr>
      <w:r>
        <w:rPr>
          <w:rFonts w:eastAsia="方正仿宋_GBK"/>
          <w:color w:val="000000"/>
          <w:kern w:val="0"/>
          <w:sz w:val="33"/>
          <w:szCs w:val="33"/>
          <w:shd w:val="clear" w:color="auto" w:fill="FFFFFF"/>
        </w:rPr>
        <w:t>加强绩效工作的相关培训学习，与业务工作相紧密结合，预算绩效与业务工作考核挂钩,建立预算绩效管理制度,提高绩效管理水平。</w:t>
      </w:r>
    </w:p>
    <w:p>
      <w:pPr>
        <w:spacing w:line="578" w:lineRule="exact"/>
        <w:ind w:firstLine="640"/>
        <w:rPr>
          <w:rFonts w:eastAsia="仿宋_GB2312" w:cs="仿宋_GB2312"/>
          <w:kern w:val="0"/>
          <w:sz w:val="32"/>
          <w:szCs w:val="32"/>
        </w:rPr>
      </w:pPr>
    </w:p>
    <w:p>
      <w:pPr>
        <w:spacing w:line="578" w:lineRule="exact"/>
        <w:ind w:firstLine="640"/>
        <w:rPr>
          <w:rFonts w:eastAsia="仿宋_GB2312" w:cs="仿宋_GB2312"/>
          <w:kern w:val="0"/>
          <w:sz w:val="32"/>
          <w:szCs w:val="32"/>
        </w:rPr>
      </w:pPr>
    </w:p>
    <w:p>
      <w:pPr>
        <w:spacing w:line="578" w:lineRule="exact"/>
        <w:ind w:firstLine="640"/>
        <w:rPr>
          <w:rFonts w:eastAsia="仿宋_GB2312" w:cs="仿宋_GB2312"/>
          <w:kern w:val="0"/>
          <w:sz w:val="32"/>
          <w:szCs w:val="32"/>
        </w:rPr>
      </w:pPr>
      <w:bookmarkStart w:id="57" w:name="_Toc15396618"/>
      <w:r>
        <w:rPr>
          <w:rFonts w:hint="eastAsia" w:eastAsia="仿宋_GB2312" w:cs="仿宋_GB2312"/>
          <w:kern w:val="0"/>
          <w:sz w:val="32"/>
          <w:szCs w:val="32"/>
        </w:rPr>
        <w:br w:type="page"/>
      </w:r>
    </w:p>
    <w:p>
      <w:pPr>
        <w:widowControl/>
        <w:jc w:val="center"/>
        <w:rPr>
          <w:rFonts w:eastAsia="仿宋"/>
        </w:rPr>
      </w:pPr>
      <w:r>
        <w:rPr>
          <w:rFonts w:hint="eastAsia" w:eastAsia="黑体"/>
          <w:sz w:val="44"/>
          <w:szCs w:val="44"/>
        </w:rPr>
        <w:t>第</w:t>
      </w:r>
      <w:r>
        <w:rPr>
          <w:rStyle w:val="28"/>
          <w:rFonts w:hint="eastAsia" w:eastAsia="黑体"/>
          <w:b w:val="0"/>
        </w:rPr>
        <w:t>五部分 附表</w:t>
      </w:r>
      <w:bookmarkEnd w:id="55"/>
      <w:bookmarkEnd w:id="57"/>
      <w:bookmarkStart w:id="58" w:name="_Toc15396619"/>
    </w:p>
    <w:p>
      <w:pPr>
        <w:pStyle w:val="14"/>
        <w:adjustRightInd w:val="0"/>
        <w:snapToGrid w:val="0"/>
        <w:spacing w:line="560" w:lineRule="exact"/>
        <w:jc w:val="left"/>
        <w:rPr>
          <w:rFonts w:eastAsia="仿宋_GB2312" w:cs="仿宋_GB2312"/>
          <w:sz w:val="32"/>
          <w:szCs w:val="32"/>
        </w:rPr>
      </w:pPr>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8"/>
    </w:p>
    <w:p>
      <w:pPr>
        <w:pStyle w:val="14"/>
        <w:adjustRightInd w:val="0"/>
        <w:snapToGrid w:val="0"/>
        <w:spacing w:line="560" w:lineRule="exact"/>
        <w:jc w:val="left"/>
        <w:rPr>
          <w:rFonts w:eastAsia="仿宋_GB2312" w:cs="仿宋_GB2312"/>
          <w:sz w:val="32"/>
          <w:szCs w:val="32"/>
        </w:rPr>
      </w:pPr>
      <w:bookmarkStart w:id="59" w:name="_Toc15396620"/>
      <w:r>
        <w:rPr>
          <w:rFonts w:hint="eastAsia" w:eastAsia="仿宋_GB2312" w:cs="仿宋_GB2312"/>
          <w:sz w:val="32"/>
          <w:szCs w:val="32"/>
        </w:rPr>
        <w:t>二、收入决算表</w:t>
      </w:r>
      <w:bookmarkEnd w:id="59"/>
    </w:p>
    <w:p>
      <w:pPr>
        <w:pStyle w:val="14"/>
        <w:adjustRightInd w:val="0"/>
        <w:snapToGrid w:val="0"/>
        <w:spacing w:line="560" w:lineRule="exact"/>
        <w:jc w:val="left"/>
        <w:rPr>
          <w:rFonts w:eastAsia="仿宋_GB2312" w:cs="仿宋_GB2312"/>
          <w:sz w:val="32"/>
          <w:szCs w:val="32"/>
        </w:rPr>
      </w:pPr>
      <w:bookmarkStart w:id="60" w:name="_Toc15396621"/>
      <w:r>
        <w:rPr>
          <w:rFonts w:hint="eastAsia" w:eastAsia="仿宋_GB2312" w:cs="仿宋_GB2312"/>
          <w:sz w:val="32"/>
          <w:szCs w:val="32"/>
        </w:rPr>
        <w:t>三、支出决算表</w:t>
      </w:r>
      <w:bookmarkEnd w:id="60"/>
    </w:p>
    <w:p>
      <w:pPr>
        <w:pStyle w:val="14"/>
        <w:adjustRightInd w:val="0"/>
        <w:snapToGrid w:val="0"/>
        <w:spacing w:line="560" w:lineRule="exact"/>
        <w:jc w:val="left"/>
        <w:rPr>
          <w:rFonts w:eastAsia="仿宋_GB2312" w:cs="仿宋_GB2312"/>
          <w:sz w:val="32"/>
          <w:szCs w:val="32"/>
        </w:rPr>
      </w:pPr>
      <w:bookmarkStart w:id="61" w:name="_Toc15396622"/>
      <w:r>
        <w:rPr>
          <w:rFonts w:hint="eastAsia" w:eastAsia="仿宋_GB2312" w:cs="仿宋_GB2312"/>
          <w:sz w:val="32"/>
          <w:szCs w:val="32"/>
        </w:rPr>
        <w:t>四、财政拨款收入支出决算总表</w:t>
      </w:r>
      <w:bookmarkEnd w:id="61"/>
    </w:p>
    <w:p>
      <w:pPr>
        <w:pStyle w:val="14"/>
        <w:adjustRightInd w:val="0"/>
        <w:snapToGrid w:val="0"/>
        <w:spacing w:line="560" w:lineRule="exact"/>
        <w:jc w:val="left"/>
        <w:rPr>
          <w:rFonts w:eastAsia="仿宋_GB2312" w:cs="仿宋_GB2312"/>
          <w:sz w:val="32"/>
          <w:szCs w:val="32"/>
        </w:rPr>
      </w:pPr>
      <w:bookmarkStart w:id="62" w:name="_Toc15396623"/>
      <w:r>
        <w:rPr>
          <w:rFonts w:hint="eastAsia" w:eastAsia="仿宋_GB2312" w:cs="仿宋_GB2312"/>
          <w:sz w:val="32"/>
          <w:szCs w:val="32"/>
        </w:rPr>
        <w:t>五、财政拨款支出决算明细表</w:t>
      </w:r>
      <w:bookmarkEnd w:id="62"/>
      <w:bookmarkStart w:id="63" w:name="_Toc15396624"/>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63"/>
    </w:p>
    <w:p>
      <w:pPr>
        <w:pStyle w:val="14"/>
        <w:adjustRightInd w:val="0"/>
        <w:snapToGrid w:val="0"/>
        <w:spacing w:line="560" w:lineRule="exact"/>
        <w:jc w:val="left"/>
        <w:rPr>
          <w:rFonts w:eastAsia="仿宋_GB2312" w:cs="仿宋_GB2312"/>
          <w:sz w:val="32"/>
          <w:szCs w:val="32"/>
        </w:rPr>
      </w:pPr>
      <w:bookmarkStart w:id="64" w:name="_Toc15396625"/>
      <w:r>
        <w:rPr>
          <w:rFonts w:hint="eastAsia" w:eastAsia="仿宋_GB2312" w:cs="仿宋_GB2312"/>
          <w:sz w:val="32"/>
          <w:szCs w:val="32"/>
        </w:rPr>
        <w:t>七、一般公共预算财政拨款支出决算明细表</w:t>
      </w:r>
      <w:bookmarkEnd w:id="64"/>
    </w:p>
    <w:p>
      <w:pPr>
        <w:pStyle w:val="14"/>
        <w:adjustRightInd w:val="0"/>
        <w:snapToGrid w:val="0"/>
        <w:spacing w:line="560" w:lineRule="exact"/>
        <w:jc w:val="left"/>
        <w:rPr>
          <w:rFonts w:eastAsia="仿宋_GB2312" w:cs="仿宋_GB2312"/>
          <w:sz w:val="32"/>
          <w:szCs w:val="32"/>
        </w:rPr>
      </w:pPr>
      <w:bookmarkStart w:id="65" w:name="_Toc15396626"/>
      <w:r>
        <w:rPr>
          <w:rFonts w:hint="eastAsia" w:eastAsia="仿宋_GB2312" w:cs="仿宋_GB2312"/>
          <w:sz w:val="32"/>
          <w:szCs w:val="32"/>
        </w:rPr>
        <w:t>八、一般公共预算财政拨款基本支出决算表</w:t>
      </w:r>
      <w:bookmarkEnd w:id="65"/>
    </w:p>
    <w:p>
      <w:pPr>
        <w:pStyle w:val="14"/>
        <w:adjustRightInd w:val="0"/>
        <w:snapToGrid w:val="0"/>
        <w:spacing w:line="560" w:lineRule="exact"/>
        <w:jc w:val="left"/>
        <w:rPr>
          <w:rFonts w:eastAsia="仿宋_GB2312" w:cs="仿宋_GB2312"/>
          <w:sz w:val="32"/>
          <w:szCs w:val="32"/>
        </w:rPr>
      </w:pPr>
      <w:bookmarkStart w:id="66" w:name="_Toc15396627"/>
      <w:r>
        <w:rPr>
          <w:rFonts w:hint="eastAsia" w:eastAsia="仿宋_GB2312" w:cs="仿宋_GB2312"/>
          <w:sz w:val="32"/>
          <w:szCs w:val="32"/>
        </w:rPr>
        <w:t>九、一般公共预算财政拨款项目支出决算表</w:t>
      </w:r>
      <w:bookmarkEnd w:id="66"/>
    </w:p>
    <w:p>
      <w:pPr>
        <w:pStyle w:val="14"/>
        <w:adjustRightInd w:val="0"/>
        <w:snapToGrid w:val="0"/>
        <w:spacing w:line="560" w:lineRule="exact"/>
        <w:jc w:val="left"/>
        <w:rPr>
          <w:rFonts w:eastAsia="仿宋_GB2312" w:cs="仿宋_GB2312"/>
          <w:sz w:val="32"/>
          <w:szCs w:val="32"/>
        </w:rPr>
      </w:pPr>
      <w:bookmarkStart w:id="67" w:name="_Toc15396628"/>
      <w:r>
        <w:rPr>
          <w:rFonts w:hint="eastAsia" w:eastAsia="仿宋_GB2312" w:cs="仿宋_GB2312"/>
          <w:sz w:val="32"/>
          <w:szCs w:val="32"/>
        </w:rPr>
        <w:t>十、</w:t>
      </w:r>
      <w:bookmarkEnd w:id="67"/>
      <w:r>
        <w:rPr>
          <w:rFonts w:hint="eastAsia" w:eastAsia="仿宋_GB2312" w:cs="仿宋_GB2312"/>
          <w:sz w:val="32"/>
          <w:szCs w:val="32"/>
        </w:rPr>
        <w:t>政府性基金预算财政拨款收入支出决算表</w:t>
      </w:r>
    </w:p>
    <w:p>
      <w:pPr>
        <w:pStyle w:val="14"/>
        <w:adjustRightInd w:val="0"/>
        <w:snapToGrid w:val="0"/>
        <w:spacing w:line="560" w:lineRule="exact"/>
        <w:jc w:val="left"/>
        <w:rPr>
          <w:rFonts w:eastAsia="仿宋_GB2312" w:cs="仿宋_GB2312"/>
          <w:sz w:val="32"/>
          <w:szCs w:val="32"/>
        </w:rPr>
      </w:pPr>
      <w:bookmarkStart w:id="68" w:name="_Toc15396629"/>
      <w:r>
        <w:rPr>
          <w:rFonts w:hint="eastAsia" w:eastAsia="仿宋_GB2312" w:cs="仿宋_GB2312"/>
          <w:sz w:val="32"/>
          <w:szCs w:val="32"/>
        </w:rPr>
        <w:t>十一、</w:t>
      </w:r>
      <w:bookmarkEnd w:id="68"/>
      <w:r>
        <w:rPr>
          <w:rFonts w:hint="eastAsia" w:eastAsia="仿宋_GB2312" w:cs="仿宋_GB2312"/>
          <w:sz w:val="32"/>
          <w:szCs w:val="32"/>
        </w:rPr>
        <w:t>国有资本经营预算财政拨款收入支出决算表</w:t>
      </w:r>
    </w:p>
    <w:p>
      <w:pPr>
        <w:pStyle w:val="14"/>
        <w:adjustRightInd w:val="0"/>
        <w:snapToGrid w:val="0"/>
        <w:spacing w:line="560" w:lineRule="exact"/>
        <w:jc w:val="left"/>
        <w:rPr>
          <w:rFonts w:eastAsia="仿宋_GB2312" w:cs="仿宋_GB2312"/>
          <w:sz w:val="32"/>
          <w:szCs w:val="32"/>
        </w:rPr>
      </w:pPr>
      <w:bookmarkStart w:id="69" w:name="_Toc15396630"/>
      <w:r>
        <w:rPr>
          <w:rFonts w:hint="eastAsia" w:eastAsia="仿宋_GB2312" w:cs="仿宋_GB2312"/>
          <w:sz w:val="32"/>
          <w:szCs w:val="32"/>
        </w:rPr>
        <w:t>十二、</w:t>
      </w:r>
      <w:bookmarkEnd w:id="69"/>
      <w:r>
        <w:rPr>
          <w:rFonts w:hint="eastAsia" w:eastAsia="仿宋_GB2312" w:cs="仿宋_GB2312"/>
          <w:sz w:val="32"/>
          <w:szCs w:val="32"/>
        </w:rPr>
        <w:t>国有资本经营预算财政拨款支出决算表</w:t>
      </w:r>
    </w:p>
    <w:p>
      <w:pPr>
        <w:pStyle w:val="14"/>
        <w:adjustRightInd w:val="0"/>
        <w:snapToGrid w:val="0"/>
        <w:spacing w:line="560" w:lineRule="exact"/>
        <w:jc w:val="left"/>
        <w:rPr>
          <w:rFonts w:eastAsia="仿宋_GB2312" w:cs="仿宋_GB2312"/>
          <w:sz w:val="32"/>
          <w:szCs w:val="32"/>
        </w:rPr>
      </w:pPr>
      <w:bookmarkStart w:id="70" w:name="_Toc15396631"/>
      <w:r>
        <w:rPr>
          <w:rFonts w:hint="eastAsia" w:eastAsia="仿宋_GB2312" w:cs="仿宋_GB2312"/>
          <w:sz w:val="32"/>
          <w:szCs w:val="32"/>
        </w:rPr>
        <w:t>十三、</w:t>
      </w:r>
      <w:bookmarkEnd w:id="70"/>
      <w:r>
        <w:rPr>
          <w:rFonts w:hint="eastAsia" w:eastAsia="仿宋_GB2312" w:cs="仿宋_GB2312"/>
          <w:sz w:val="32"/>
          <w:szCs w:val="32"/>
        </w:rPr>
        <w:t>财政拨款“三公”经费支出决算表</w:t>
      </w:r>
    </w:p>
    <w:p/>
    <w:sectPr>
      <w:footerReference r:id="rId5" w:type="firs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altName w:val="Nimbus Roman No9 L"/>
    <w:panose1 w:val="020B0604020202020204"/>
    <w:charset w:val="00"/>
    <w:family w:val="swiss"/>
    <w:pitch w:val="default"/>
    <w:sig w:usb0="00000000" w:usb1="00000000" w:usb2="00000009" w:usb3="00000000" w:csb0="000001FF"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41104"/>
      <w:docPartObj>
        <w:docPartGallery w:val="AutoText"/>
      </w:docPartObj>
    </w:sdtPr>
    <w:sdtContent>
      <w:p>
        <w:pPr>
          <w:pStyle w:val="11"/>
          <w:jc w:val="right"/>
        </w:pPr>
        <w:r>
          <w:fldChar w:fldCharType="begin"/>
        </w:r>
        <w:r>
          <w:instrText xml:space="preserve"> PAGE   \* MERGEFORMAT </w:instrText>
        </w:r>
        <w:r>
          <w:fldChar w:fldCharType="separate"/>
        </w:r>
        <w:r>
          <w:rPr>
            <w:lang w:val="zh-CN"/>
          </w:rPr>
          <w:t>-</w:t>
        </w:r>
        <w:r>
          <w:t xml:space="preserve"> 2 -</w:t>
        </w:r>
        <w:r>
          <w:fldChar w:fldCharType="end"/>
        </w:r>
      </w:p>
    </w:sdtContent>
  </w:sdt>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lang w:val="zh-CN"/>
      </w:rPr>
      <w:t>-</w:t>
    </w:r>
    <w:r>
      <w:t xml:space="preserve"> </w:t>
    </w:r>
    <w:r>
      <w:rPr>
        <w:rFonts w:hint="eastAsia"/>
      </w:rPr>
      <w:t>1</w:t>
    </w:r>
    <w: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A24EA"/>
    <w:multiLevelType w:val="multilevel"/>
    <w:tmpl w:val="112A24EA"/>
    <w:lvl w:ilvl="0" w:tentative="0">
      <w:start w:val="1"/>
      <w:numFmt w:val="decimal"/>
      <w:lvlText w:val="%1."/>
      <w:lvlJc w:val="left"/>
      <w:pPr>
        <w:ind w:left="880" w:hanging="24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36CEBFA1"/>
    <w:multiLevelType w:val="singleLevel"/>
    <w:tmpl w:val="36CEBFA1"/>
    <w:lvl w:ilvl="0" w:tentative="0">
      <w:start w:val="12"/>
      <w:numFmt w:val="decimal"/>
      <w:lvlText w:val="%1."/>
      <w:lvlJc w:val="left"/>
      <w:pPr>
        <w:tabs>
          <w:tab w:val="left" w:pos="312"/>
        </w:tabs>
      </w:pPr>
    </w:lvl>
  </w:abstractNum>
  <w:abstractNum w:abstractNumId="2">
    <w:nsid w:val="75797EB1"/>
    <w:multiLevelType w:val="multilevel"/>
    <w:tmpl w:val="75797EB1"/>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C77E8"/>
    <w:rsid w:val="000D1267"/>
    <w:rsid w:val="000D1D50"/>
    <w:rsid w:val="000D5782"/>
    <w:rsid w:val="000E24B7"/>
    <w:rsid w:val="000E6613"/>
    <w:rsid w:val="000E7119"/>
    <w:rsid w:val="001143D3"/>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3322"/>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6415"/>
    <w:rsid w:val="00433C0D"/>
    <w:rsid w:val="00434489"/>
    <w:rsid w:val="00437085"/>
    <w:rsid w:val="00443880"/>
    <w:rsid w:val="004464F4"/>
    <w:rsid w:val="00471401"/>
    <w:rsid w:val="00473F31"/>
    <w:rsid w:val="0048263A"/>
    <w:rsid w:val="00487E5D"/>
    <w:rsid w:val="004A711F"/>
    <w:rsid w:val="004B199D"/>
    <w:rsid w:val="004B4690"/>
    <w:rsid w:val="004C3A0B"/>
    <w:rsid w:val="004E0A2D"/>
    <w:rsid w:val="004E206B"/>
    <w:rsid w:val="004E6DF7"/>
    <w:rsid w:val="004F0FBD"/>
    <w:rsid w:val="00505A47"/>
    <w:rsid w:val="00512FDA"/>
    <w:rsid w:val="00520DA0"/>
    <w:rsid w:val="0052125D"/>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7E3D"/>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04B"/>
    <w:rsid w:val="009931C3"/>
    <w:rsid w:val="009B2C43"/>
    <w:rsid w:val="009B4EAE"/>
    <w:rsid w:val="009B7573"/>
    <w:rsid w:val="009C22F4"/>
    <w:rsid w:val="009C2A4B"/>
    <w:rsid w:val="009C2E98"/>
    <w:rsid w:val="009D0932"/>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3653D"/>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B41FB"/>
    <w:rsid w:val="00DC410D"/>
    <w:rsid w:val="00DC5A81"/>
    <w:rsid w:val="00DC68CA"/>
    <w:rsid w:val="00DC7CBA"/>
    <w:rsid w:val="00DD73B7"/>
    <w:rsid w:val="00DF28BC"/>
    <w:rsid w:val="00DF34B9"/>
    <w:rsid w:val="00E01053"/>
    <w:rsid w:val="00E07ACF"/>
    <w:rsid w:val="00E331A1"/>
    <w:rsid w:val="00E33202"/>
    <w:rsid w:val="00E336A9"/>
    <w:rsid w:val="00E443C0"/>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3906"/>
    <w:rsid w:val="00F2408F"/>
    <w:rsid w:val="00F240E9"/>
    <w:rsid w:val="00F36D8F"/>
    <w:rsid w:val="00F417B1"/>
    <w:rsid w:val="00F45853"/>
    <w:rsid w:val="00F602DF"/>
    <w:rsid w:val="00F72E18"/>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BFF2C1A"/>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oleObject" Target="embeddings/oleObject1.bin"/><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收支总计</c:v>
                </c:pt>
              </c:strCache>
            </c:strRef>
          </c:tx>
          <c:invertIfNegative val="false"/>
          <c:dLbls>
            <c:delete val="true"/>
          </c:dLbls>
          <c:cat>
            <c:strRef>
              <c:f>Sheet1!$A$2:$A$3</c:f>
              <c:strCache>
                <c:ptCount val="2"/>
                <c:pt idx="0">
                  <c:v>2023年</c:v>
                </c:pt>
                <c:pt idx="1">
                  <c:v>2024年</c:v>
                </c:pt>
              </c:strCache>
            </c:strRef>
          </c:cat>
          <c:val>
            <c:numRef>
              <c:f>Sheet1!$B$2:$B$3</c:f>
              <c:numCache>
                <c:formatCode>General</c:formatCode>
                <c:ptCount val="2"/>
                <c:pt idx="0">
                  <c:v>1979.79</c:v>
                </c:pt>
                <c:pt idx="1">
                  <c:v>1986.15</c:v>
                </c:pt>
              </c:numCache>
            </c:numRef>
          </c:val>
        </c:ser>
        <c:dLbls>
          <c:showLegendKey val="false"/>
          <c:showVal val="false"/>
          <c:showCatName val="false"/>
          <c:showSerName val="false"/>
          <c:showPercent val="false"/>
          <c:showBubbleSize val="false"/>
        </c:dLbls>
        <c:gapWidth val="150"/>
        <c:axId val="111437312"/>
        <c:axId val="111439232"/>
      </c:barChart>
      <c:catAx>
        <c:axId val="11143731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11439232"/>
        <c:crosses val="autoZero"/>
        <c:auto val="true"/>
        <c:lblAlgn val="ctr"/>
        <c:lblOffset val="100"/>
        <c:noMultiLvlLbl val="false"/>
      </c:catAx>
      <c:valAx>
        <c:axId val="11143923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11437312"/>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收入决算情况</c:v>
                </c:pt>
              </c:strCache>
            </c:strRef>
          </c:tx>
          <c:explosion val="0"/>
          <c:dPt>
            <c:idx val="0"/>
            <c:bubble3D val="false"/>
          </c:dPt>
          <c:dPt>
            <c:idx val="1"/>
            <c:bubble3D val="false"/>
          </c:dPt>
          <c:dLbls>
            <c:delete val="true"/>
          </c:dLbls>
          <c:cat>
            <c:strRef>
              <c:f>Sheet1!$A$2:$A$3</c:f>
              <c:strCache>
                <c:ptCount val="2"/>
                <c:pt idx="0">
                  <c:v>一般公共预算财政拨款收入</c:v>
                </c:pt>
                <c:pt idx="1">
                  <c:v>其他收入</c:v>
                </c:pt>
              </c:strCache>
            </c:strRef>
          </c:cat>
          <c:val>
            <c:numRef>
              <c:f>Sheet1!$B$2:$B$3</c:f>
              <c:numCache>
                <c:formatCode>General</c:formatCode>
                <c:ptCount val="2"/>
                <c:pt idx="0">
                  <c:v>1710.77</c:v>
                </c:pt>
                <c:pt idx="1">
                  <c:v>274.32</c:v>
                </c:pt>
              </c:numCache>
            </c:numRef>
          </c:val>
        </c:ser>
        <c:dLbls>
          <c:showLegendKey val="false"/>
          <c:showVal val="fals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支出决算情况</c:v>
                </c:pt>
              </c:strCache>
            </c:strRef>
          </c:tx>
          <c:explosion val="0"/>
          <c:dPt>
            <c:idx val="0"/>
            <c:bubble3D val="false"/>
          </c:dPt>
          <c:dPt>
            <c:idx val="1"/>
            <c:bubble3D val="false"/>
          </c:dPt>
          <c:dLbls>
            <c:delete val="true"/>
          </c:dLbls>
          <c:cat>
            <c:strRef>
              <c:f>Sheet1!$A$2:$A$3</c:f>
              <c:strCache>
                <c:ptCount val="2"/>
                <c:pt idx="0">
                  <c:v>基本支出</c:v>
                </c:pt>
                <c:pt idx="1">
                  <c:v>项目支出</c:v>
                </c:pt>
              </c:strCache>
            </c:strRef>
          </c:cat>
          <c:val>
            <c:numRef>
              <c:f>Sheet1!$B$2:$B$3</c:f>
              <c:numCache>
                <c:formatCode>General</c:formatCode>
                <c:ptCount val="2"/>
                <c:pt idx="0">
                  <c:v>1620.6</c:v>
                </c:pt>
                <c:pt idx="1">
                  <c:v>365.54</c:v>
                </c:pt>
              </c:numCache>
            </c:numRef>
          </c:val>
        </c:ser>
        <c:dLbls>
          <c:showLegendKey val="false"/>
          <c:showVal val="fals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财政拨款收入支出决算总体情况</c:v>
                </c:pt>
              </c:strCache>
            </c:strRef>
          </c:tx>
          <c:invertIfNegative val="false"/>
          <c:dLbls>
            <c:delete val="true"/>
          </c:dLbls>
          <c:cat>
            <c:strRef>
              <c:f>Sheet1!$A$2:$A$3</c:f>
              <c:strCache>
                <c:ptCount val="2"/>
                <c:pt idx="0">
                  <c:v>2023年</c:v>
                </c:pt>
                <c:pt idx="1">
                  <c:v>2024年</c:v>
                </c:pt>
              </c:strCache>
            </c:strRef>
          </c:cat>
          <c:val>
            <c:numRef>
              <c:f>Sheet1!$B$2:$B$3</c:f>
              <c:numCache>
                <c:formatCode>General</c:formatCode>
                <c:ptCount val="2"/>
                <c:pt idx="0">
                  <c:v>1667.44</c:v>
                </c:pt>
                <c:pt idx="1">
                  <c:v>1710.77</c:v>
                </c:pt>
              </c:numCache>
            </c:numRef>
          </c:val>
        </c:ser>
        <c:dLbls>
          <c:showLegendKey val="false"/>
          <c:showVal val="false"/>
          <c:showCatName val="false"/>
          <c:showSerName val="false"/>
          <c:showPercent val="false"/>
          <c:showBubbleSize val="false"/>
        </c:dLbls>
        <c:gapWidth val="150"/>
        <c:axId val="138432896"/>
        <c:axId val="138434432"/>
      </c:barChart>
      <c:catAx>
        <c:axId val="138432896"/>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8434432"/>
        <c:crosses val="autoZero"/>
        <c:auto val="true"/>
        <c:lblAlgn val="ctr"/>
        <c:lblOffset val="100"/>
        <c:noMultiLvlLbl val="false"/>
      </c:catAx>
      <c:valAx>
        <c:axId val="13843443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8432896"/>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一般公共预算财政拨款支出决算情况</c:v>
                </c:pt>
              </c:strCache>
            </c:strRef>
          </c:tx>
          <c:invertIfNegative val="false"/>
          <c:dLbls>
            <c:delete val="true"/>
          </c:dLbls>
          <c:cat>
            <c:strRef>
              <c:f>Sheet1!$A$2:$A$3</c:f>
              <c:strCache>
                <c:ptCount val="2"/>
                <c:pt idx="0">
                  <c:v>2023年</c:v>
                </c:pt>
                <c:pt idx="1">
                  <c:v>2024年</c:v>
                </c:pt>
              </c:strCache>
            </c:strRef>
          </c:cat>
          <c:val>
            <c:numRef>
              <c:f>Sheet1!$B$2:$B$3</c:f>
              <c:numCache>
                <c:formatCode>General</c:formatCode>
                <c:ptCount val="2"/>
                <c:pt idx="0">
                  <c:v>4.3</c:v>
                </c:pt>
                <c:pt idx="1">
                  <c:v>2.5</c:v>
                </c:pt>
              </c:numCache>
            </c:numRef>
          </c:val>
        </c:ser>
        <c:dLbls>
          <c:showLegendKey val="false"/>
          <c:showVal val="false"/>
          <c:showCatName val="false"/>
          <c:showSerName val="false"/>
          <c:showPercent val="false"/>
          <c:showBubbleSize val="false"/>
        </c:dLbls>
        <c:gapWidth val="150"/>
        <c:axId val="111076864"/>
        <c:axId val="111078400"/>
      </c:barChart>
      <c:catAx>
        <c:axId val="11107686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11078400"/>
        <c:crosses val="autoZero"/>
        <c:auto val="true"/>
        <c:lblAlgn val="ctr"/>
        <c:lblOffset val="100"/>
        <c:noMultiLvlLbl val="false"/>
      </c:catAx>
      <c:valAx>
        <c:axId val="11107840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1107686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c:v>
                </c:pt>
              </c:strCache>
            </c:strRef>
          </c:tx>
          <c:explosion val="0"/>
          <c:dPt>
            <c:idx val="0"/>
            <c:bubble3D val="false"/>
          </c:dPt>
          <c:dPt>
            <c:idx val="1"/>
            <c:bubble3D val="false"/>
          </c:dPt>
          <c:dPt>
            <c:idx val="2"/>
            <c:bubble3D val="false"/>
          </c:dPt>
          <c:dPt>
            <c:idx val="3"/>
            <c:bubble3D val="false"/>
          </c:dPt>
          <c:dLbls>
            <c:delete val="true"/>
          </c:dLbls>
          <c:cat>
            <c:strRef>
              <c:f>Sheet1!$A$2:$A$5</c:f>
              <c:strCache>
                <c:ptCount val="4"/>
                <c:pt idx="0">
                  <c:v>公共安全支出</c:v>
                </c:pt>
                <c:pt idx="1">
                  <c:v>社会保障和就业支出</c:v>
                </c:pt>
                <c:pt idx="2">
                  <c:v>卫生健康支出</c:v>
                </c:pt>
                <c:pt idx="3">
                  <c:v>住房保障支出</c:v>
                </c:pt>
              </c:strCache>
            </c:strRef>
          </c:cat>
          <c:val>
            <c:numRef>
              <c:f>Sheet1!$B$2:$B$5</c:f>
              <c:numCache>
                <c:formatCode>General</c:formatCode>
                <c:ptCount val="4"/>
                <c:pt idx="0">
                  <c:v>1399.52</c:v>
                </c:pt>
                <c:pt idx="1">
                  <c:v>135.99</c:v>
                </c:pt>
                <c:pt idx="2">
                  <c:v>70.13</c:v>
                </c:pt>
                <c:pt idx="3">
                  <c:v>105.12</c:v>
                </c:pt>
              </c:numCache>
            </c:numRef>
          </c:val>
        </c:ser>
        <c:dLbls>
          <c:showLegendKey val="false"/>
          <c:showVal val="fals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销售额</c:v>
                </c:pt>
              </c:strCache>
            </c:strRef>
          </c:tx>
          <c:explosion val="0"/>
          <c:dPt>
            <c:idx val="0"/>
            <c:bubble3D val="false"/>
          </c:dPt>
          <c:dPt>
            <c:idx val="1"/>
            <c:bubble3D val="false"/>
          </c:dPt>
          <c:dPt>
            <c:idx val="2"/>
            <c:bubble3D val="false"/>
          </c:dPt>
          <c:dLbls>
            <c:delete val="true"/>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14.94</c:v>
                </c:pt>
                <c:pt idx="2">
                  <c:v>0.49</c:v>
                </c:pt>
              </c:numCache>
            </c:numRef>
          </c:val>
        </c:ser>
        <c:dLbls>
          <c:showLegendKey val="false"/>
          <c:showVal val="fals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28</Pages>
  <Words>1369</Words>
  <Characters>7809</Characters>
  <Lines>65</Lines>
  <Paragraphs>18</Paragraphs>
  <TotalTime>43</TotalTime>
  <ScaleCrop>false</ScaleCrop>
  <LinksUpToDate>false</LinksUpToDate>
  <CharactersWithSpaces>9160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2025-08-07T01:34:00Z</cp:lastPrinted>
  <dcterms:modified xsi:type="dcterms:W3CDTF">2025-09-16T08:50:41Z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04787F2533EB45DC91BCDE4AB213247F</vt:lpwstr>
  </property>
</Properties>
</file>