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zh-CN" w:eastAsia="zh-CN" w:bidi="ar-SA"/>
        </w:rPr>
      </w:pPr>
      <w:bookmarkStart w:id="0" w:name="_Toc15378441"/>
      <w:bookmarkStart w:id="1" w:name="_Toc15306267"/>
      <w:bookmarkStart w:id="2" w:name="_Toc15377425"/>
      <w:bookmarkStart w:id="3" w:name="_Toc15396475"/>
      <w:bookmarkStart w:id="4" w:name="_Toc15396597"/>
      <w:bookmarkStart w:id="5" w:name="_Toc15377193"/>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p>
      <w:pPr>
        <w:pStyle w:val="2"/>
        <w:rPr>
          <w:rFonts w:hint="default" w:ascii="Times New Roman" w:hAnsi="Times New Roman" w:eastAsia="方正仿宋_GBK" w:cs="Times New Roman"/>
          <w:kern w:val="2"/>
          <w:sz w:val="32"/>
          <w:szCs w:val="32"/>
          <w:lang w:val="en-US" w:eastAsia="zh-CN" w:bidi="ar-SA"/>
        </w:rPr>
      </w:pPr>
    </w:p>
    <w:p>
      <w:pPr>
        <w:pStyle w:val="3"/>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kern w:val="2"/>
          <w:sz w:val="32"/>
          <w:szCs w:val="32"/>
          <w:lang w:val="en-US" w:eastAsia="zh-CN" w:bidi="ar-SA"/>
        </w:rPr>
      </w:pPr>
    </w:p>
    <w:bookmarkEnd w:id="0"/>
    <w:bookmarkEnd w:id="1"/>
    <w:bookmarkEnd w:id="2"/>
    <w:bookmarkEnd w:id="3"/>
    <w:bookmarkEnd w:id="4"/>
    <w:bookmarkEnd w:id="5"/>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bookmarkStart w:id="6" w:name="_Toc19089"/>
      <w:bookmarkStart w:id="7" w:name="_Toc5803"/>
      <w:bookmarkStart w:id="8" w:name="_Toc15378442"/>
      <w:bookmarkStart w:id="9" w:name="_Toc15377194"/>
      <w:bookmarkStart w:id="10" w:name="_Toc15306268"/>
      <w:bookmarkStart w:id="11" w:name="_Toc15396476"/>
      <w:bookmarkStart w:id="12" w:name="_Toc15377426"/>
      <w:bookmarkStart w:id="13" w:name="_Toc15396598"/>
      <w:r>
        <w:rPr>
          <w:rFonts w:hint="default" w:ascii="Times New Roman" w:hAnsi="Times New Roman" w:eastAsia="方正小标宋_GBK" w:cs="Times New Roman"/>
          <w:b/>
          <w:bCs/>
          <w:kern w:val="2"/>
          <w:sz w:val="44"/>
          <w:szCs w:val="44"/>
          <w:lang w:val="en-US" w:eastAsia="zh-CN"/>
        </w:rPr>
        <w:t>2024年度市级</w:t>
      </w:r>
      <w:r>
        <w:rPr>
          <w:rFonts w:hint="eastAsia" w:ascii="Times New Roman" w:eastAsia="方正小标宋_GBK" w:cs="Times New Roman"/>
          <w:b/>
          <w:bCs/>
          <w:kern w:val="2"/>
          <w:sz w:val="44"/>
          <w:szCs w:val="44"/>
          <w:lang w:val="en-US" w:eastAsia="zh-CN"/>
        </w:rPr>
        <w:t>单位</w:t>
      </w:r>
      <w:r>
        <w:rPr>
          <w:rFonts w:hint="default" w:ascii="Times New Roman" w:hAnsi="Times New Roman" w:eastAsia="方正小标宋_GBK" w:cs="Times New Roman"/>
          <w:b/>
          <w:bCs/>
          <w:kern w:val="2"/>
          <w:sz w:val="44"/>
          <w:szCs w:val="44"/>
          <w:lang w:val="en-US" w:eastAsia="zh-CN"/>
        </w:rPr>
        <w:t>决算公开文字说明</w:t>
      </w:r>
      <w:bookmarkEnd w:id="6"/>
      <w:bookmarkEnd w:id="7"/>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小标宋_GBK" w:cs="Times New Roman"/>
          <w:b/>
          <w:bCs/>
          <w:spacing w:val="-20"/>
          <w:kern w:val="2"/>
          <w:sz w:val="44"/>
          <w:szCs w:val="44"/>
          <w:lang w:val="en-US" w:eastAsia="zh-CN"/>
        </w:rPr>
      </w:pPr>
      <w:r>
        <w:rPr>
          <w:rFonts w:hint="default" w:ascii="Times New Roman" w:hAnsi="Times New Roman" w:eastAsia="方正小标宋_GBK" w:cs="Times New Roman"/>
          <w:b/>
          <w:bCs/>
          <w:spacing w:val="-20"/>
          <w:kern w:val="2"/>
          <w:sz w:val="44"/>
          <w:szCs w:val="44"/>
          <w:lang w:val="en-US" w:eastAsia="zh-CN"/>
        </w:rPr>
        <w:t>2024年度中共攀枝花市委社会工作部</w:t>
      </w:r>
      <w:r>
        <w:rPr>
          <w:rFonts w:hint="eastAsia" w:ascii="Times New Roman" w:eastAsia="方正小标宋_GBK" w:cs="Times New Roman"/>
          <w:b/>
          <w:bCs/>
          <w:spacing w:val="-20"/>
          <w:kern w:val="2"/>
          <w:sz w:val="44"/>
          <w:szCs w:val="44"/>
          <w:lang w:val="en-US" w:eastAsia="zh-CN"/>
        </w:rPr>
        <w:t>单位</w:t>
      </w:r>
      <w:r>
        <w:rPr>
          <w:rFonts w:hint="default" w:ascii="Times New Roman" w:hAnsi="Times New Roman" w:eastAsia="方正小标宋_GBK" w:cs="Times New Roman"/>
          <w:b/>
          <w:bCs/>
          <w:spacing w:val="-20"/>
          <w:kern w:val="2"/>
          <w:sz w:val="44"/>
          <w:szCs w:val="44"/>
          <w:lang w:val="en-US" w:eastAsia="zh-CN"/>
        </w:rPr>
        <w:t>决算</w:t>
      </w: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9"/>
        <w:rPr>
          <w:rFonts w:hint="default" w:ascii="Times New Roman" w:hAnsi="Times New Roman" w:eastAsia="方正小标宋_GBK" w:cs="Times New Roman"/>
          <w:b/>
          <w:bCs/>
          <w:kern w:val="2"/>
          <w:sz w:val="44"/>
          <w:szCs w:val="44"/>
          <w:lang w:val="en-US" w:eastAsia="zh-CN"/>
        </w:rPr>
      </w:pPr>
      <w:r>
        <w:rPr>
          <w:rFonts w:hint="default" w:ascii="Times New Roman" w:hAnsi="Times New Roman" w:eastAsia="方正仿宋_GBK" w:cs="Times New Roman"/>
          <w:kern w:val="2"/>
          <w:sz w:val="32"/>
          <w:szCs w:val="32"/>
          <w:lang w:val="zh-CN"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_GBK" w:cs="Times New Roman"/>
          <w:b/>
          <w:bCs/>
          <w:kern w:val="2"/>
          <w:sz w:val="44"/>
          <w:szCs w:val="44"/>
          <w:lang w:val="zh-CN" w:eastAsia="zh-CN" w:bidi="ar-SA"/>
        </w:rPr>
      </w:pPr>
      <w:r>
        <w:rPr>
          <w:rFonts w:hint="default" w:ascii="Times New Roman" w:hAnsi="Times New Roman" w:eastAsia="方正小标宋_GBK" w:cs="Times New Roman"/>
          <w:b/>
          <w:bCs/>
          <w:kern w:val="2"/>
          <w:sz w:val="44"/>
          <w:szCs w:val="44"/>
          <w:lang w:val="zh-CN" w:eastAsia="zh-CN" w:bidi="ar-SA"/>
        </w:rPr>
        <w:t>目</w:t>
      </w:r>
      <w:r>
        <w:rPr>
          <w:rFonts w:hint="eastAsia" w:eastAsia="方正小标宋_GBK" w:cs="Times New Roman"/>
          <w:b/>
          <w:bCs/>
          <w:kern w:val="2"/>
          <w:sz w:val="44"/>
          <w:szCs w:val="44"/>
          <w:lang w:val="en-US" w:eastAsia="zh-CN" w:bidi="ar-SA"/>
        </w:rPr>
        <w:t xml:space="preserve">  </w:t>
      </w:r>
      <w:r>
        <w:rPr>
          <w:rFonts w:hint="default" w:ascii="Times New Roman" w:hAnsi="Times New Roman" w:eastAsia="方正小标宋_GBK" w:cs="Times New Roman"/>
          <w:b/>
          <w:bCs/>
          <w:kern w:val="2"/>
          <w:sz w:val="44"/>
          <w:szCs w:val="44"/>
          <w:lang w:val="zh-CN" w:eastAsia="zh-CN" w:bidi="ar-SA"/>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317" w:firstLineChars="7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zh-CN" w:eastAsia="zh-CN" w:bidi="ar-SA"/>
        </w:rPr>
        <w:t>公开时间：20</w:t>
      </w:r>
      <w:r>
        <w:rPr>
          <w:rFonts w:hint="default" w:ascii="Times New Roman" w:hAnsi="Times New Roman" w:eastAsia="方正仿宋_GBK" w:cs="Times New Roman"/>
          <w:kern w:val="2"/>
          <w:sz w:val="32"/>
          <w:szCs w:val="32"/>
          <w:lang w:val="en-US" w:eastAsia="zh-CN" w:bidi="ar-SA"/>
        </w:rPr>
        <w:t>24</w:t>
      </w:r>
      <w:r>
        <w:rPr>
          <w:rFonts w:hint="default" w:ascii="Times New Roman" w:hAnsi="Times New Roman" w:eastAsia="方正仿宋_GBK" w:cs="Times New Roman"/>
          <w:kern w:val="2"/>
          <w:sz w:val="32"/>
          <w:szCs w:val="32"/>
          <w:lang w:val="zh-CN" w:eastAsia="zh-CN" w:bidi="ar-SA"/>
        </w:rPr>
        <w:t>年</w:t>
      </w:r>
      <w:r>
        <w:rPr>
          <w:rFonts w:hint="default" w:ascii="Times New Roman" w:hAnsi="Times New Roman" w:eastAsia="方正仿宋_GBK" w:cs="Times New Roman"/>
          <w:kern w:val="2"/>
          <w:sz w:val="32"/>
          <w:szCs w:val="32"/>
          <w:lang w:val="en-US" w:eastAsia="zh-CN" w:bidi="ar-SA"/>
        </w:rPr>
        <w:t>9</w:t>
      </w:r>
      <w:r>
        <w:rPr>
          <w:rFonts w:hint="default" w:ascii="Times New Roman" w:hAnsi="Times New Roman" w:eastAsia="方正仿宋_GBK" w:cs="Times New Roman"/>
          <w:kern w:val="2"/>
          <w:sz w:val="32"/>
          <w:szCs w:val="32"/>
          <w:lang w:val="zh-CN" w:eastAsia="zh-CN" w:bidi="ar-SA"/>
        </w:rPr>
        <w:t>月</w:t>
      </w:r>
      <w:r>
        <w:rPr>
          <w:rFonts w:hint="eastAsia" w:ascii="Times New Roman" w:hAnsi="Times New Roman" w:eastAsia="方正仿宋_GBK" w:cs="Times New Roman"/>
          <w:kern w:val="2"/>
          <w:sz w:val="32"/>
          <w:szCs w:val="32"/>
          <w:lang w:val="en-US" w:eastAsia="zh-CN" w:bidi="ar-SA"/>
        </w:rPr>
        <w:t xml:space="preserve"> </w:t>
      </w:r>
      <w:r>
        <w:rPr>
          <w:rFonts w:hint="eastAsia" w:eastAsia="方正仿宋_GBK" w:cs="Times New Roman"/>
          <w:kern w:val="2"/>
          <w:sz w:val="32"/>
          <w:szCs w:val="32"/>
          <w:lang w:val="en-US" w:eastAsia="zh-CN" w:bidi="ar-SA"/>
        </w:rPr>
        <w:t>15</w:t>
      </w:r>
      <w:bookmarkStart w:id="102" w:name="_GoBack"/>
      <w:bookmarkEnd w:id="102"/>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zh-CN" w:eastAsia="zh-CN" w:bidi="ar-SA"/>
        </w:rPr>
        <w:t>日</w:t>
      </w:r>
    </w:p>
    <w:p>
      <w:pPr>
        <w:spacing w:before="0" w:beforeLines="0" w:after="0" w:afterLines="0" w:line="240" w:lineRule="auto"/>
        <w:ind w:left="0" w:leftChars="0" w:right="0" w:rightChars="0" w:firstLine="0" w:firstLineChars="0"/>
        <w:jc w:val="center"/>
        <w:rPr>
          <w:rFonts w:hint="default" w:ascii="Times New Roman" w:hAnsi="Times New Roman" w:cs="Times New Roman"/>
        </w:rPr>
      </w:pPr>
    </w:p>
    <w:p>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kern w:val="2"/>
          <w:sz w:val="32"/>
          <w:szCs w:val="32"/>
          <w:lang w:val="en-US" w:eastAsia="zh-CN"/>
        </w:rPr>
        <w:fldChar w:fldCharType="begin"/>
      </w:r>
      <w:r>
        <w:rPr>
          <w:rFonts w:hint="default" w:ascii="Times New Roman" w:hAnsi="Times New Roman" w:eastAsia="方正仿宋_GB2312" w:cs="Times New Roman"/>
          <w:b/>
          <w:bCs/>
          <w:kern w:val="2"/>
          <w:sz w:val="32"/>
          <w:szCs w:val="32"/>
          <w:lang w:val="en-US" w:eastAsia="zh-CN"/>
        </w:rPr>
        <w:instrText xml:space="preserve">TOC \o "1-2" \h \u </w:instrText>
      </w:r>
      <w:r>
        <w:rPr>
          <w:rFonts w:hint="default" w:ascii="Times New Roman" w:hAnsi="Times New Roman" w:eastAsia="方正仿宋_GB2312" w:cs="Times New Roman"/>
          <w:b/>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_Toc28409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第一部分</w:t>
      </w:r>
      <w:r>
        <w:rPr>
          <w:rFonts w:hint="default"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 xml:space="preserve"> 部门概况</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_Toc28409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4</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_Toc27778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一、部门职责</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_Toc27778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4</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_Toc15742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二、机构设置</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_Toc15742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5</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_Toc5873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bidi="ar-SA"/>
        </w:rPr>
        <w:t>第二部分</w:t>
      </w:r>
      <w:r>
        <w:rPr>
          <w:rFonts w:hint="default" w:ascii="Times New Roman" w:hAnsi="Times New Roman" w:eastAsia="方正仿宋_GB2312" w:cs="Times New Roman"/>
          <w:bCs/>
          <w:kern w:val="2"/>
          <w:sz w:val="32"/>
          <w:szCs w:val="32"/>
          <w:lang w:val="en-US" w:eastAsia="zh-CN" w:bidi="ar-SA"/>
        </w:rPr>
        <w:t xml:space="preserve"> </w:t>
      </w:r>
      <w:r>
        <w:rPr>
          <w:rFonts w:hint="default" w:ascii="Times New Roman" w:hAnsi="Times New Roman" w:eastAsia="方正仿宋_GB2312" w:cs="Times New Roman"/>
          <w:bCs/>
          <w:kern w:val="2"/>
          <w:sz w:val="32"/>
          <w:szCs w:val="32"/>
          <w:lang w:val="zh-CN" w:eastAsia="zh-CN" w:bidi="ar-SA"/>
        </w:rPr>
        <w:t xml:space="preserve"> </w:t>
      </w:r>
      <w:r>
        <w:rPr>
          <w:rFonts w:hint="default" w:ascii="Times New Roman" w:hAnsi="Times New Roman" w:eastAsia="方正仿宋_GB2312" w:cs="Times New Roman"/>
          <w:bCs/>
          <w:kern w:val="2"/>
          <w:sz w:val="32"/>
          <w:szCs w:val="32"/>
          <w:lang w:val="en-US" w:eastAsia="zh-CN" w:bidi="ar-SA"/>
        </w:rPr>
        <w:t>2024年度</w:t>
      </w:r>
      <w:r>
        <w:rPr>
          <w:rFonts w:hint="default" w:ascii="Times New Roman" w:hAnsi="Times New Roman" w:eastAsia="方正仿宋_GB2312" w:cs="Times New Roman"/>
          <w:bCs/>
          <w:kern w:val="2"/>
          <w:sz w:val="32"/>
          <w:szCs w:val="32"/>
          <w:lang w:val="zh-CN" w:eastAsia="zh-CN" w:bidi="ar-SA"/>
        </w:rPr>
        <w:t>部门决算情况说明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_Toc5873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_Toc27093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一、收入支出决算总体情况说明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_Toc27093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_Toc17954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二、收入决算情况说明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_Toc17954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_Toc6719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三、支出决算情况说明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_Toc6719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_Toc27402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四、财政拨款收入支出决算总体情况说明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_Toc27402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7</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_Toc14512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五、一般公共预算财政拨款支出决算情况说明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_Toc14512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7</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_Toc22876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六、一般公共预算财政拨款基本支出决算情况说明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_Toc22876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9</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_Toc15732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七、财政拨款“三公”经费支出决算情况说明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_Toc15732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10</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_Toc22023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八、政府性基金预算支出决算情况说明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_Toc22023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_Toc14379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九、国有资本经营预算支出决算情况说明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_Toc14379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_Toc24280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kern w:val="2"/>
          <w:sz w:val="32"/>
          <w:szCs w:val="32"/>
          <w:lang w:val="zh-CN" w:eastAsia="zh-CN" w:bidi="ar-SA"/>
        </w:rPr>
        <w:t>十、其他重要事项的情况说明</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_Toc24280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12</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_Toc20850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第三部分</w:t>
      </w:r>
      <w:r>
        <w:rPr>
          <w:rFonts w:hint="default"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名词解释</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_Toc20850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14</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_Toc7157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第四部分</w:t>
      </w:r>
      <w:r>
        <w:rPr>
          <w:rFonts w:hint="default"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 xml:space="preserve"> 附件</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_Toc7157 \h </w:instrText>
      </w:r>
      <w:r>
        <w:rPr>
          <w:rFonts w:hint="default" w:ascii="Times New Roman" w:hAnsi="Times New Roman" w:eastAsia="方正仿宋_GB2312" w:cs="Times New Roman"/>
          <w:sz w:val="32"/>
          <w:szCs w:val="32"/>
        </w:rPr>
        <w:fldChar w:fldCharType="separate"/>
      </w:r>
      <w:r>
        <w:rPr>
          <w:rFonts w:hint="default" w:ascii="Times New Roman" w:hAnsi="Times New Roman" w:eastAsia="方正仿宋_GB2312" w:cs="Times New Roman"/>
          <w:sz w:val="32"/>
          <w:szCs w:val="32"/>
        </w:rPr>
        <w:t>17</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Cs/>
          <w:kern w:val="2"/>
          <w:sz w:val="32"/>
          <w:szCs w:val="32"/>
          <w:lang w:val="en-US" w:eastAsia="zh-CN"/>
        </w:rPr>
        <w:fldChar w:fldCharType="begin"/>
      </w:r>
      <w:r>
        <w:rPr>
          <w:rFonts w:hint="default" w:ascii="Times New Roman" w:hAnsi="Times New Roman" w:eastAsia="方正仿宋_GB2312" w:cs="Times New Roman"/>
          <w:bCs/>
          <w:kern w:val="2"/>
          <w:sz w:val="32"/>
          <w:szCs w:val="32"/>
          <w:lang w:val="en-US" w:eastAsia="zh-CN"/>
        </w:rPr>
        <w:instrText xml:space="preserve"> HYPERLINK \l _Toc4841 </w:instrText>
      </w:r>
      <w:r>
        <w:rPr>
          <w:rFonts w:hint="default" w:ascii="Times New Roman" w:hAnsi="Times New Roman" w:eastAsia="方正仿宋_GB2312" w:cs="Times New Roman"/>
          <w:bCs/>
          <w:kern w:val="2"/>
          <w:sz w:val="32"/>
          <w:szCs w:val="32"/>
          <w:lang w:val="en-US" w:eastAsia="zh-CN"/>
        </w:rPr>
        <w:fldChar w:fldCharType="separate"/>
      </w:r>
      <w:r>
        <w:rPr>
          <w:rFonts w:hint="default" w:ascii="Times New Roman" w:hAnsi="Times New Roman" w:eastAsia="方正仿宋_GB2312" w:cs="Times New Roman"/>
          <w:bCs/>
          <w:kern w:val="2"/>
          <w:sz w:val="32"/>
          <w:szCs w:val="32"/>
          <w:lang w:val="zh-CN" w:eastAsia="zh-CN"/>
        </w:rPr>
        <w:t xml:space="preserve">第五部分 </w:t>
      </w:r>
      <w:r>
        <w:rPr>
          <w:rFonts w:hint="eastAsia" w:ascii="Times New Roman" w:hAnsi="Times New Roman" w:eastAsia="方正仿宋_GB2312" w:cs="Times New Roman"/>
          <w:bCs/>
          <w:kern w:val="2"/>
          <w:sz w:val="32"/>
          <w:szCs w:val="32"/>
          <w:lang w:val="en-US" w:eastAsia="zh-CN"/>
        </w:rPr>
        <w:t xml:space="preserve"> </w:t>
      </w:r>
      <w:r>
        <w:rPr>
          <w:rFonts w:hint="default" w:ascii="Times New Roman" w:hAnsi="Times New Roman" w:eastAsia="方正仿宋_GB2312" w:cs="Times New Roman"/>
          <w:bCs/>
          <w:kern w:val="2"/>
          <w:sz w:val="32"/>
          <w:szCs w:val="32"/>
          <w:lang w:val="zh-CN" w:eastAsia="zh-CN"/>
        </w:rPr>
        <w:t>附表</w:t>
      </w:r>
      <w:r>
        <w:rPr>
          <w:rFonts w:hint="default" w:ascii="Times New Roman" w:hAnsi="Times New Roman" w:eastAsia="方正仿宋_GB2312" w:cs="Times New Roman"/>
          <w:sz w:val="32"/>
          <w:szCs w:val="32"/>
        </w:rPr>
        <w:tab/>
      </w:r>
      <w:r>
        <w:rPr>
          <w:rFonts w:hint="default" w:ascii="Times New Roman" w:hAnsi="Times New Roman" w:eastAsia="方正仿宋_GB2312" w:cs="Times New Roman"/>
          <w:sz w:val="32"/>
          <w:szCs w:val="32"/>
        </w:rPr>
        <w:fldChar w:fldCharType="begin"/>
      </w:r>
      <w:r>
        <w:rPr>
          <w:rFonts w:hint="default" w:ascii="Times New Roman" w:hAnsi="Times New Roman" w:eastAsia="方正仿宋_GB2312" w:cs="Times New Roman"/>
          <w:sz w:val="32"/>
          <w:szCs w:val="32"/>
        </w:rPr>
        <w:instrText xml:space="preserve"> PAGEREF _Toc4841 \h </w:instrText>
      </w:r>
      <w:r>
        <w:rPr>
          <w:rFonts w:hint="default" w:ascii="Times New Roman" w:hAnsi="Times New Roman" w:eastAsia="方正仿宋_GB2312" w:cs="Times New Roman"/>
          <w:sz w:val="32"/>
          <w:szCs w:val="32"/>
        </w:rPr>
        <w:fldChar w:fldCharType="separate"/>
      </w:r>
      <w:r>
        <w:rPr>
          <w:rFonts w:hint="eastAsia"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rPr>
        <w:t>8</w:t>
      </w:r>
      <w:r>
        <w:rPr>
          <w:rFonts w:hint="default" w:ascii="Times New Roman" w:hAnsi="Times New Roman" w:eastAsia="方正仿宋_GB2312" w:cs="Times New Roman"/>
          <w:sz w:val="32"/>
          <w:szCs w:val="32"/>
        </w:rPr>
        <w:fldChar w:fldCharType="end"/>
      </w:r>
      <w:r>
        <w:rPr>
          <w:rFonts w:hint="default" w:ascii="Times New Roman" w:hAnsi="Times New Roman" w:eastAsia="方正仿宋_GB2312" w:cs="Times New Roman"/>
          <w:bCs/>
          <w:kern w:val="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Lines="-2147483648" w:after="0"/>
        <w:jc w:val="both"/>
        <w:textAlignment w:val="auto"/>
        <w:outlineLvl w:val="9"/>
        <w:rPr>
          <w:rFonts w:hint="default" w:ascii="Times New Roman" w:hAnsi="Times New Roman" w:eastAsia="方正仿宋_GB2312" w:cs="Times New Roman"/>
          <w:bCs/>
          <w:kern w:val="2"/>
          <w:sz w:val="32"/>
          <w:szCs w:val="32"/>
          <w:lang w:val="en-US" w:eastAsia="zh-CN"/>
        </w:rPr>
      </w:pPr>
      <w:r>
        <w:rPr>
          <w:rFonts w:hint="default" w:ascii="Times New Roman" w:hAnsi="Times New Roman" w:eastAsia="方正仿宋_GB2312" w:cs="Times New Roman"/>
          <w:bCs/>
          <w:kern w:val="2"/>
          <w:sz w:val="32"/>
          <w:szCs w:val="32"/>
          <w:lang w:val="en-US" w:eastAsia="zh-CN"/>
        </w:rPr>
        <w:br w:type="page"/>
      </w:r>
    </w:p>
    <w:p>
      <w:pPr>
        <w:pStyle w:val="9"/>
        <w:keepNext w:val="0"/>
        <w:keepLines w:val="0"/>
        <w:pageBreakBefore w:val="0"/>
        <w:widowControl w:val="0"/>
        <w:kinsoku/>
        <w:wordWrap/>
        <w:overflowPunct/>
        <w:topLinePunct w:val="0"/>
        <w:autoSpaceDE/>
        <w:autoSpaceDN/>
        <w:bidi w:val="0"/>
        <w:adjustRightInd/>
        <w:snapToGrid/>
        <w:spacing w:beforeLines="-2147483648" w:after="0" w:line="600" w:lineRule="atLeast"/>
        <w:jc w:val="center"/>
        <w:textAlignment w:val="auto"/>
        <w:outlineLvl w:val="9"/>
        <w:rPr>
          <w:rFonts w:hint="default" w:ascii="Times New Roman" w:hAnsi="Times New Roman" w:eastAsia="方正小标宋_GBK" w:cs="Times New Roman"/>
          <w:b/>
          <w:bCs/>
          <w:kern w:val="2"/>
          <w:sz w:val="44"/>
          <w:szCs w:val="44"/>
          <w:lang w:val="zh-CN" w:eastAsia="zh-CN"/>
        </w:rPr>
      </w:pPr>
      <w:r>
        <w:rPr>
          <w:rFonts w:hint="default" w:ascii="Times New Roman" w:hAnsi="Times New Roman" w:eastAsia="方正仿宋_GB2312" w:cs="Times New Roman"/>
          <w:bCs/>
          <w:kern w:val="2"/>
          <w:sz w:val="32"/>
          <w:szCs w:val="32"/>
          <w:lang w:val="en-US" w:eastAsia="zh-CN"/>
        </w:rPr>
        <w:fldChar w:fldCharType="end"/>
      </w:r>
      <w:bookmarkEnd w:id="8"/>
      <w:bookmarkEnd w:id="9"/>
      <w:bookmarkEnd w:id="10"/>
      <w:bookmarkEnd w:id="11"/>
      <w:bookmarkEnd w:id="12"/>
      <w:bookmarkEnd w:id="13"/>
      <w:bookmarkStart w:id="14" w:name="_Toc20074"/>
      <w:bookmarkStart w:id="15" w:name="_Toc28409"/>
      <w:r>
        <w:rPr>
          <w:rFonts w:hint="default" w:ascii="Times New Roman" w:hAnsi="Times New Roman" w:eastAsia="方正小标宋_GBK" w:cs="Times New Roman"/>
          <w:b/>
          <w:bCs/>
          <w:kern w:val="2"/>
          <w:sz w:val="44"/>
          <w:szCs w:val="44"/>
          <w:lang w:val="zh-CN" w:eastAsia="zh-CN"/>
        </w:rPr>
        <w:t>第一部分</w:t>
      </w:r>
      <w:r>
        <w:rPr>
          <w:rFonts w:hint="default"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 xml:space="preserve"> 部门概况</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bookmarkStart w:id="16" w:name="_Toc15377197"/>
      <w:bookmarkStart w:id="17" w:name="_Toc15396600"/>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18" w:name="_Toc27778"/>
      <w:bookmarkStart w:id="19" w:name="_Toc15025"/>
      <w:r>
        <w:rPr>
          <w:rFonts w:hint="default" w:ascii="Times New Roman" w:hAnsi="Times New Roman" w:eastAsia="方正黑体_GBK" w:cs="Times New Roman"/>
          <w:kern w:val="2"/>
          <w:sz w:val="32"/>
          <w:szCs w:val="32"/>
          <w:lang w:val="zh-CN" w:eastAsia="zh-CN" w:bidi="ar-SA"/>
        </w:rPr>
        <w:t>一、</w:t>
      </w:r>
      <w:bookmarkEnd w:id="16"/>
      <w:bookmarkEnd w:id="17"/>
      <w:r>
        <w:rPr>
          <w:rFonts w:hint="default" w:ascii="Times New Roman" w:hAnsi="Times New Roman" w:eastAsia="方正黑体_GBK" w:cs="Times New Roman"/>
          <w:kern w:val="2"/>
          <w:sz w:val="32"/>
          <w:szCs w:val="32"/>
          <w:lang w:val="zh-CN" w:eastAsia="zh-CN" w:bidi="ar-SA"/>
        </w:rPr>
        <w:t>部门职责</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中共攀枝花</w:t>
      </w:r>
      <w:r>
        <w:rPr>
          <w:rFonts w:hint="default" w:ascii="Times New Roman" w:hAnsi="Times New Roman" w:eastAsia="方正仿宋_GBK" w:cs="Times New Roman"/>
          <w:kern w:val="2"/>
          <w:sz w:val="32"/>
          <w:szCs w:val="32"/>
          <w:lang w:val="zh-CN" w:eastAsia="zh-CN" w:bidi="ar-SA"/>
        </w:rPr>
        <w:t>市委社会工作部负责贯彻落实党中央有关方针政策和省委、市委决策部署，把</w:t>
      </w:r>
      <w:r>
        <w:rPr>
          <w:rFonts w:hint="eastAsia" w:eastAsia="方正仿宋_GBK" w:cs="Times New Roman"/>
          <w:kern w:val="2"/>
          <w:sz w:val="32"/>
          <w:szCs w:val="32"/>
          <w:lang w:val="zh-CN" w:eastAsia="zh-CN" w:bidi="ar-SA"/>
        </w:rPr>
        <w:t>坚持和加强党中央集中统一领导</w:t>
      </w:r>
      <w:r>
        <w:rPr>
          <w:rFonts w:hint="default" w:ascii="Times New Roman" w:hAnsi="Times New Roman" w:eastAsia="方正仿宋_GBK" w:cs="Times New Roman"/>
          <w:kern w:val="2"/>
          <w:sz w:val="32"/>
          <w:szCs w:val="32"/>
          <w:lang w:val="zh-CN" w:eastAsia="zh-CN" w:bidi="ar-SA"/>
        </w:rPr>
        <w:t>落实到履行职责过程中。主要职责是：（1）研究相关理论、政策和规划，拟订相关地方性法规草案及规范性文件并组织实施。深入调查研究，及时向市委报告工作情况并提出建议。指导县（区）党委社会工作部门开展工作</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2）统筹指导全市群众利益协调、诉求表达、矛盾调处、权益保障等人民信访工作，协调解决人民群众急难愁盼的重大问题。指导人民建议征集工作，负责征集办理公民、法人和其他组织提出的意见建议，向市委、市政府及时反映公民、法人和其他组织对党和国家事业发展提出的重要意见建议</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3）统筹推进党建引领基层治理和基层政权建设，协调推进城乡社区治理体系、服务体系和治理能力建设，推动基层民主政治建设，指导监督基层群众自治制度的有效实施，健全基层群众自治机制</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（4）指导全市性社会组织党建工作，统一领导全市性行业协会商会党的工作，承办全市性行业协会商会负责人人选的审核。协调推动全市行业协会商会深化改革和转型发展，调查研究相关重大问题</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5）指导全市混合所有制企业、非公有制企业和新经济组织、新社会组织、新就业群体（以下简称“两企三新”）党建工作，指导协调相关企业单位、社会组织、就业群体中党员的教育、管理、监督和服务工作，研究完善相关领域群众利益协调机制</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（6）负责全市志愿服务工作的统筹规划、协调指导、督促检查，指导推动社会工作人才队伍建设、志愿服务人才队伍建设和阵地建设，协调推动社会工作服务体系和志愿服务体系建设。</w:t>
      </w:r>
      <w:r>
        <w:rPr>
          <w:rFonts w:hint="eastAsia" w:eastAsia="方正仿宋_GBK" w:cs="Times New Roman"/>
          <w:kern w:val="2"/>
          <w:sz w:val="32"/>
          <w:szCs w:val="32"/>
          <w:lang w:val="zh-CN" w:eastAsia="zh-CN" w:bidi="ar-SA"/>
        </w:rPr>
        <w:t>（</w:t>
      </w:r>
      <w:r>
        <w:rPr>
          <w:rFonts w:hint="eastAsia" w:eastAsia="方正仿宋_GBK" w:cs="Times New Roman"/>
          <w:kern w:val="2"/>
          <w:sz w:val="32"/>
          <w:szCs w:val="32"/>
          <w:lang w:val="en-US" w:eastAsia="zh-CN" w:bidi="ar-SA"/>
        </w:rPr>
        <w:t>7</w:t>
      </w:r>
      <w:r>
        <w:rPr>
          <w:rFonts w:hint="eastAsia" w:eastAsia="方正仿宋_GBK" w:cs="Times New Roman"/>
          <w:kern w:val="2"/>
          <w:sz w:val="32"/>
          <w:szCs w:val="32"/>
          <w:lang w:val="zh-CN" w:eastAsia="zh-CN" w:bidi="ar-SA"/>
        </w:rPr>
        <w:t>）</w:t>
      </w:r>
      <w:r>
        <w:rPr>
          <w:rFonts w:hint="eastAsia" w:eastAsia="方正仿宋_GBK" w:cs="Times New Roman"/>
          <w:kern w:val="2"/>
          <w:sz w:val="32"/>
          <w:szCs w:val="32"/>
          <w:lang w:val="en-US" w:eastAsia="zh-CN" w:bidi="ar-SA"/>
        </w:rPr>
        <w:t>完成市委和省委社会工作部交办的其他任务。</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20" w:name="_Toc15396601"/>
      <w:bookmarkStart w:id="21" w:name="_Toc15742"/>
      <w:bookmarkStart w:id="22" w:name="_Toc24218"/>
      <w:bookmarkStart w:id="23" w:name="_Toc15377200"/>
      <w:r>
        <w:rPr>
          <w:rFonts w:hint="default" w:ascii="Times New Roman" w:hAnsi="Times New Roman" w:eastAsia="方正黑体_GBK" w:cs="Times New Roman"/>
          <w:kern w:val="2"/>
          <w:sz w:val="32"/>
          <w:szCs w:val="32"/>
          <w:lang w:val="zh-CN" w:eastAsia="zh-CN" w:bidi="ar-SA"/>
        </w:rPr>
        <w:t>二、机构设置</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中共攀枝花市委社会工作部下设1个事业单位（攀枝花市社会工作服务促进中心）</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5个内设科室</w:t>
      </w:r>
      <w:r>
        <w:rPr>
          <w:rFonts w:hint="eastAsia"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下属二级预算单位。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02" w:firstLineChars="200"/>
        <w:textAlignment w:val="auto"/>
        <w:outlineLvl w:val="0"/>
        <w:rPr>
          <w:rFonts w:hint="default" w:ascii="Times New Roman" w:hAnsi="Times New Roman" w:eastAsia="方正小标宋_GBK" w:cs="Times New Roman"/>
          <w:b/>
          <w:bCs/>
          <w:kern w:val="2"/>
          <w:sz w:val="44"/>
          <w:szCs w:val="44"/>
          <w:lang w:val="zh-CN" w:eastAsia="zh-CN" w:bidi="ar-SA"/>
        </w:rPr>
      </w:pPr>
      <w:bookmarkStart w:id="24" w:name="_Toc15377204"/>
      <w:bookmarkStart w:id="25" w:name="_Toc5873"/>
      <w:bookmarkStart w:id="26" w:name="_Toc15396602"/>
      <w:r>
        <w:rPr>
          <w:rFonts w:hint="default" w:ascii="Times New Roman" w:hAnsi="Times New Roman" w:eastAsia="方正小标宋_GBK" w:cs="Times New Roman"/>
          <w:b/>
          <w:bCs/>
          <w:kern w:val="2"/>
          <w:sz w:val="44"/>
          <w:szCs w:val="44"/>
          <w:lang w:val="zh-CN" w:eastAsia="zh-CN" w:bidi="ar-SA"/>
        </w:rPr>
        <w:t>第二部分</w:t>
      </w:r>
      <w:r>
        <w:rPr>
          <w:rFonts w:hint="default" w:ascii="Times New Roman" w:hAnsi="Times New Roman" w:eastAsia="方正小标宋_GBK" w:cs="Times New Roman"/>
          <w:b/>
          <w:bCs/>
          <w:kern w:val="2"/>
          <w:sz w:val="44"/>
          <w:szCs w:val="44"/>
          <w:lang w:val="en-US" w:eastAsia="zh-CN" w:bidi="ar-SA"/>
        </w:rPr>
        <w:t xml:space="preserve"> </w:t>
      </w:r>
      <w:r>
        <w:rPr>
          <w:rFonts w:hint="default" w:ascii="Times New Roman" w:hAnsi="Times New Roman" w:eastAsia="方正小标宋_GBK" w:cs="Times New Roman"/>
          <w:b/>
          <w:bCs/>
          <w:kern w:val="2"/>
          <w:sz w:val="44"/>
          <w:szCs w:val="44"/>
          <w:lang w:val="zh-CN" w:eastAsia="zh-CN" w:bidi="ar-SA"/>
        </w:rPr>
        <w:t xml:space="preserve"> </w:t>
      </w:r>
      <w:r>
        <w:rPr>
          <w:rFonts w:hint="default" w:ascii="Times New Roman" w:hAnsi="Times New Roman" w:eastAsia="方正小标宋_GBK" w:cs="Times New Roman"/>
          <w:b/>
          <w:bCs/>
          <w:kern w:val="2"/>
          <w:sz w:val="44"/>
          <w:szCs w:val="44"/>
          <w:lang w:val="en-US" w:eastAsia="zh-CN" w:bidi="ar-SA"/>
        </w:rPr>
        <w:t>2024年度</w:t>
      </w:r>
      <w:r>
        <w:rPr>
          <w:rFonts w:hint="default" w:ascii="Times New Roman" w:hAnsi="Times New Roman" w:eastAsia="方正小标宋_GBK" w:cs="Times New Roman"/>
          <w:b/>
          <w:bCs/>
          <w:kern w:val="2"/>
          <w:sz w:val="44"/>
          <w:szCs w:val="44"/>
          <w:lang w:val="zh-CN" w:eastAsia="zh-CN" w:bidi="ar-SA"/>
        </w:rPr>
        <w:t>部门决算情况说明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27" w:name="_Toc15396603"/>
      <w:bookmarkStart w:id="28" w:name="_Toc27093"/>
      <w:bookmarkStart w:id="29" w:name="_Toc15377205"/>
      <w:bookmarkStart w:id="30" w:name="_Toc23827"/>
      <w:r>
        <w:rPr>
          <w:rFonts w:hint="default" w:ascii="Times New Roman" w:hAnsi="Times New Roman" w:eastAsia="方正黑体_GBK" w:cs="Times New Roman"/>
          <w:kern w:val="2"/>
          <w:sz w:val="32"/>
          <w:szCs w:val="32"/>
          <w:lang w:val="zh-CN" w:eastAsia="zh-CN" w:bidi="ar-SA"/>
        </w:rPr>
        <w:t>一、收入支出决算总体情况说明</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2024年度收入、支出总计均为109.73万元</w:t>
      </w:r>
      <w:r>
        <w:rPr>
          <w:rFonts w:hint="eastAsia" w:eastAsia="方正仿宋_GBK" w:cs="Times New Roman"/>
          <w:kern w:val="2"/>
          <w:sz w:val="32"/>
          <w:szCs w:val="32"/>
          <w:lang w:val="zh-CN" w:eastAsia="zh-CN" w:bidi="ar-SA"/>
        </w:rPr>
        <w:t>。</w:t>
      </w:r>
      <w:r>
        <w:rPr>
          <w:rFonts w:hint="eastAsia" w:eastAsia="方正仿宋_GBK" w:cs="Times New Roman"/>
          <w:kern w:val="2"/>
          <w:sz w:val="32"/>
          <w:szCs w:val="32"/>
          <w:lang w:val="en-US" w:eastAsia="zh-CN" w:bidi="ar-SA"/>
        </w:rPr>
        <w:t>部门</w:t>
      </w:r>
      <w:r>
        <w:rPr>
          <w:rFonts w:hint="eastAsia" w:eastAsia="方正仿宋_GBK" w:cs="Times New Roman"/>
          <w:kern w:val="2"/>
          <w:sz w:val="32"/>
          <w:szCs w:val="32"/>
          <w:lang w:val="zh-CN" w:eastAsia="zh-CN" w:bidi="ar-SA"/>
        </w:rPr>
        <w:t>为2024年机构改革新成立单位，无2023年度部门决算</w:t>
      </w:r>
      <w:r>
        <w:rPr>
          <w:rFonts w:hint="eastAsia" w:eastAsia="方正仿宋_GBK" w:cs="Times New Roman"/>
          <w:kern w:val="2"/>
          <w:sz w:val="32"/>
          <w:szCs w:val="32"/>
          <w:lang w:val="en-US" w:eastAsia="zh-CN" w:bidi="ar-SA"/>
        </w:rPr>
        <w:t>同比数据</w:t>
      </w:r>
      <w:r>
        <w:rPr>
          <w:rFonts w:hint="default" w:ascii="Times New Roman" w:hAnsi="Times New Roman" w:eastAsia="方正仿宋_GBK" w:cs="Times New Roman"/>
          <w:kern w:val="2"/>
          <w:sz w:val="32"/>
          <w:szCs w:val="32"/>
          <w:lang w:val="zh-CN" w:eastAsia="zh-CN" w:bidi="ar-SA"/>
        </w:rPr>
        <w:t>。</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31" w:name="_Toc15377206"/>
      <w:bookmarkStart w:id="32" w:name="_Toc15396604"/>
      <w:bookmarkStart w:id="33" w:name="_Toc30137"/>
      <w:bookmarkStart w:id="34" w:name="_Toc17954"/>
      <w:r>
        <w:rPr>
          <w:rFonts w:hint="default" w:ascii="Times New Roman" w:hAnsi="Times New Roman" w:eastAsia="方正黑体_GBK" w:cs="Times New Roman"/>
          <w:kern w:val="2"/>
          <w:sz w:val="32"/>
          <w:szCs w:val="32"/>
          <w:lang w:val="zh-CN" w:eastAsia="zh-CN" w:bidi="ar-SA"/>
        </w:rPr>
        <w:t>二、收入决算情况说明</w:t>
      </w:r>
      <w:bookmarkEnd w:id="31"/>
      <w:bookmarkEnd w:id="32"/>
      <w:bookmarkEnd w:id="33"/>
      <w:bookmarkEnd w:id="34"/>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2" w:firstLineChars="200"/>
        <w:jc w:val="left"/>
        <w:textAlignment w:val="auto"/>
        <w:outlineLvl w:val="1"/>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2024年度本年收入合计109.73万元，其中：一般公共预算财政拨款收入109.73万元，占100</w:t>
      </w:r>
      <w:r>
        <w:rPr>
          <w:rFonts w:hint="eastAsia" w:eastAsia="方正仿宋_GBK" w:cs="Times New Roman"/>
          <w:kern w:val="2"/>
          <w:sz w:val="32"/>
          <w:szCs w:val="32"/>
          <w:lang w:val="zh-CN" w:eastAsia="zh-CN" w:bidi="ar-SA"/>
        </w:rPr>
        <w:t>%。</w:t>
      </w:r>
    </w:p>
    <w:p>
      <w:pPr>
        <w:pStyle w:val="2"/>
        <w:rPr>
          <w:rFonts w:hint="default" w:ascii="Times New Roman" w:hAnsi="Times New Roman" w:cs="Times New Roman"/>
          <w:lang w:val="zh-CN" w:eastAsia="zh-CN"/>
        </w:rPr>
      </w:pPr>
    </w:p>
    <w:p>
      <w:pPr>
        <w:pStyle w:val="2"/>
        <w:jc w:val="center"/>
        <w:rPr>
          <w:rFonts w:hint="default" w:ascii="Times New Roman" w:hAnsi="Times New Roman" w:cs="Times New Roman"/>
          <w:lang w:val="zh-CN" w:eastAsia="zh-CN"/>
        </w:rPr>
      </w:pPr>
      <w:r>
        <w:rPr>
          <w:rFonts w:hint="default" w:ascii="Times New Roman" w:hAnsi="Times New Roman" w:cs="Times New Roman"/>
          <w:lang w:val="zh-CN" w:eastAsia="zh-CN"/>
        </w:rPr>
        <w:drawing>
          <wp:inline distT="0" distB="0" distL="114300" distR="114300">
            <wp:extent cx="5412105" cy="3108960"/>
            <wp:effectExtent l="0" t="0" r="17145" b="15240"/>
            <wp:docPr id="6" name="图片 6"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true"/>
                    </pic:cNvPicPr>
                  </pic:nvPicPr>
                  <pic:blipFill>
                    <a:blip r:embed="rId6"/>
                    <a:stretch>
                      <a:fillRect/>
                    </a:stretch>
                  </pic:blipFill>
                  <pic:spPr>
                    <a:xfrm>
                      <a:off x="0" y="0"/>
                      <a:ext cx="5412105" cy="3108960"/>
                    </a:xfrm>
                    <a:prstGeom prst="rect">
                      <a:avLst/>
                    </a:prstGeom>
                  </pic:spPr>
                </pic:pic>
              </a:graphicData>
            </a:graphic>
          </wp:inline>
        </w:drawing>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35" w:name="_Toc15396605"/>
      <w:bookmarkStart w:id="36" w:name="_Toc15377207"/>
      <w:bookmarkStart w:id="37" w:name="_Toc14211"/>
      <w:bookmarkStart w:id="38" w:name="_Toc6719"/>
      <w:r>
        <w:rPr>
          <w:rFonts w:hint="default" w:ascii="Times New Roman" w:hAnsi="Times New Roman" w:eastAsia="方正黑体_GBK" w:cs="Times New Roman"/>
          <w:kern w:val="2"/>
          <w:sz w:val="32"/>
          <w:szCs w:val="32"/>
          <w:lang w:val="zh-CN" w:eastAsia="zh-CN" w:bidi="ar-SA"/>
        </w:rPr>
        <w:t>三、支出决算情况说明</w:t>
      </w:r>
      <w:bookmarkEnd w:id="35"/>
      <w:bookmarkEnd w:id="36"/>
      <w:bookmarkEnd w:id="37"/>
      <w:bookmarkEnd w:id="38"/>
    </w:p>
    <w:p>
      <w:pPr>
        <w:spacing w:line="560" w:lineRule="exact"/>
        <w:ind w:firstLine="662"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2024年度本年支出合计109.73万元，其中：基本支出43.19万元，占39.3</w:t>
      </w: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zh-CN" w:eastAsia="zh-CN" w:bidi="ar-SA"/>
        </w:rPr>
        <w:t>%；项目支出66.53万元，占60.6</w:t>
      </w: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en-US" w:eastAsia="zh-CN" w:bidi="ar-SA"/>
        </w:rPr>
        <w:t>项目支出占比较大，</w:t>
      </w:r>
      <w:r>
        <w:rPr>
          <w:rFonts w:hint="eastAsia" w:eastAsia="方正仿宋_GBK" w:cs="Times New Roman"/>
          <w:kern w:val="2"/>
          <w:sz w:val="32"/>
          <w:szCs w:val="32"/>
          <w:lang w:val="en-US" w:eastAsia="zh-CN" w:bidi="ar-SA"/>
        </w:rPr>
        <w:t>因新成立</w:t>
      </w:r>
      <w:r>
        <w:rPr>
          <w:rFonts w:hint="default" w:ascii="Times New Roman" w:hAnsi="Times New Roman" w:eastAsia="方正仿宋_GBK" w:cs="Times New Roman"/>
          <w:kern w:val="2"/>
          <w:sz w:val="32"/>
          <w:szCs w:val="32"/>
          <w:lang w:val="en-US" w:eastAsia="zh-CN" w:bidi="ar-SA"/>
        </w:rPr>
        <w:t>部门，</w:t>
      </w:r>
      <w:r>
        <w:rPr>
          <w:rFonts w:hint="eastAsia" w:eastAsia="方正仿宋_GBK" w:cs="Times New Roman"/>
          <w:kern w:val="2"/>
          <w:sz w:val="32"/>
          <w:szCs w:val="32"/>
          <w:lang w:val="en-US" w:eastAsia="zh-CN" w:bidi="ar-SA"/>
        </w:rPr>
        <w:t>主要用于</w:t>
      </w:r>
      <w:r>
        <w:rPr>
          <w:rFonts w:hint="default" w:ascii="Times New Roman" w:hAnsi="Times New Roman" w:eastAsia="方正仿宋_GBK" w:cs="Times New Roman"/>
          <w:kern w:val="2"/>
          <w:sz w:val="32"/>
          <w:szCs w:val="32"/>
          <w:lang w:val="en-US" w:eastAsia="zh-CN" w:bidi="ar-SA"/>
        </w:rPr>
        <w:t>购买办公设备、</w:t>
      </w:r>
      <w:r>
        <w:rPr>
          <w:rFonts w:hint="eastAsia" w:eastAsia="方正仿宋_GBK" w:cs="Times New Roman"/>
          <w:kern w:val="2"/>
          <w:sz w:val="32"/>
          <w:szCs w:val="32"/>
          <w:lang w:val="en-US" w:eastAsia="zh-CN" w:bidi="ar-SA"/>
        </w:rPr>
        <w:t>车辆</w:t>
      </w:r>
      <w:r>
        <w:rPr>
          <w:rFonts w:hint="default" w:ascii="Times New Roman" w:hAnsi="Times New Roman" w:eastAsia="方正仿宋_GBK" w:cs="Times New Roman"/>
          <w:kern w:val="2"/>
          <w:sz w:val="32"/>
          <w:szCs w:val="32"/>
          <w:lang w:val="en-US" w:eastAsia="zh-CN" w:bidi="ar-SA"/>
        </w:rPr>
        <w:t>等保障运转支出。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drawing>
          <wp:inline distT="0" distB="0" distL="114300" distR="114300">
            <wp:extent cx="4848225" cy="2391410"/>
            <wp:effectExtent l="0" t="0" r="9525" b="8890"/>
            <wp:docPr id="5" name="图片 5"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true"/>
                    </pic:cNvPicPr>
                  </pic:nvPicPr>
                  <pic:blipFill>
                    <a:blip r:embed="rId7"/>
                    <a:stretch>
                      <a:fillRect/>
                    </a:stretch>
                  </pic:blipFill>
                  <pic:spPr>
                    <a:xfrm>
                      <a:off x="0" y="0"/>
                      <a:ext cx="4848225" cy="2391410"/>
                    </a:xfrm>
                    <a:prstGeom prst="rect">
                      <a:avLst/>
                    </a:prstGeom>
                  </pic:spPr>
                </pic:pic>
              </a:graphicData>
            </a:graphic>
          </wp:inline>
        </w:drawing>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39" w:name="_Toc27402"/>
      <w:bookmarkStart w:id="40" w:name="_Toc14114"/>
      <w:bookmarkStart w:id="41" w:name="_Toc15377208"/>
      <w:bookmarkStart w:id="42" w:name="_Toc15396606"/>
      <w:r>
        <w:rPr>
          <w:rFonts w:hint="default" w:ascii="Times New Roman" w:hAnsi="Times New Roman" w:eastAsia="方正黑体_GBK" w:cs="Times New Roman"/>
          <w:kern w:val="2"/>
          <w:sz w:val="32"/>
          <w:szCs w:val="32"/>
          <w:lang w:val="zh-CN" w:eastAsia="zh-CN" w:bidi="ar-SA"/>
        </w:rPr>
        <w:t>四、财政拨款收入支出决算总体情况说明</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2024年度财政拨款收入、支出总计均为</w:t>
      </w:r>
      <w:r>
        <w:rPr>
          <w:rFonts w:hint="default" w:ascii="Times New Roman" w:hAnsi="Times New Roman" w:eastAsia="方正仿宋_GBK" w:cs="Times New Roman"/>
          <w:kern w:val="2"/>
          <w:sz w:val="32"/>
          <w:szCs w:val="32"/>
          <w:lang w:val="zh-CN" w:eastAsia="zh-CN" w:bidi="ar-SA"/>
        </w:rPr>
        <w:t>109.73</w:t>
      </w:r>
      <w:r>
        <w:rPr>
          <w:rFonts w:hint="default" w:ascii="Times New Roman" w:hAnsi="Times New Roman"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收入、支出</w:t>
      </w:r>
      <w:r>
        <w:rPr>
          <w:rFonts w:hint="default" w:ascii="Times New Roman" w:hAnsi="Times New Roman" w:eastAsia="方正仿宋_GBK" w:cs="Times New Roman"/>
          <w:kern w:val="2"/>
          <w:sz w:val="32"/>
          <w:szCs w:val="32"/>
          <w:lang w:val="en-US" w:eastAsia="zh-CN" w:bidi="ar-SA"/>
        </w:rPr>
        <w:t>同比数据。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43" w:name="_Toc28868"/>
      <w:bookmarkStart w:id="44" w:name="_Toc14512"/>
      <w:bookmarkStart w:id="45" w:name="_Toc15377209"/>
      <w:bookmarkStart w:id="46" w:name="_Toc15396607"/>
      <w:r>
        <w:rPr>
          <w:rFonts w:hint="default" w:ascii="Times New Roman" w:hAnsi="Times New Roman" w:eastAsia="方正黑体_GBK" w:cs="Times New Roman"/>
          <w:kern w:val="2"/>
          <w:sz w:val="32"/>
          <w:szCs w:val="32"/>
          <w:lang w:val="zh-CN" w:eastAsia="zh-CN" w:bidi="ar-SA"/>
        </w:rPr>
        <w:t>五、一般公共预算财政拨款支出决算情况说明</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47" w:name="_Toc15377210"/>
      <w:r>
        <w:rPr>
          <w:rFonts w:hint="default" w:ascii="Times New Roman" w:hAnsi="Times New Roman" w:eastAsia="方正楷体_GBK" w:cs="Times New Roman"/>
          <w:b/>
          <w:color w:val="000000"/>
          <w:sz w:val="32"/>
          <w:szCs w:val="32"/>
          <w:lang w:val="zh-CN" w:eastAsia="zh-CN"/>
        </w:rPr>
        <w:t>（一）一般公共预算财政拨款支出决算总体情况</w:t>
      </w:r>
      <w:bookmarkEnd w:id="4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2024年度，一般公共预算财政拨款支出总额为109.73万元，占全年支出总额的100%。部门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支出</w:t>
      </w:r>
      <w:r>
        <w:rPr>
          <w:rFonts w:hint="default" w:ascii="Times New Roman" w:hAnsi="Times New Roman" w:eastAsia="方正仿宋_GBK" w:cs="Times New Roman"/>
          <w:kern w:val="2"/>
          <w:sz w:val="32"/>
          <w:szCs w:val="32"/>
          <w:lang w:val="en-US" w:eastAsia="zh-CN" w:bidi="ar-SA"/>
        </w:rPr>
        <w:t>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48" w:name="_Toc15377211"/>
      <w:r>
        <w:rPr>
          <w:rFonts w:hint="default" w:ascii="Times New Roman" w:hAnsi="Times New Roman" w:eastAsia="方正楷体_GBK" w:cs="Times New Roman"/>
          <w:b/>
          <w:color w:val="000000"/>
          <w:sz w:val="32"/>
          <w:szCs w:val="32"/>
          <w:lang w:val="zh-CN" w:eastAsia="zh-CN"/>
        </w:rPr>
        <w:t>（二）一般公共预算财政拨款支出决算结构情况</w:t>
      </w:r>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2024年度一般公共预算财政拨款支出</w:t>
      </w:r>
      <w:r>
        <w:rPr>
          <w:rFonts w:hint="default" w:ascii="Times New Roman" w:hAnsi="Times New Roman" w:eastAsia="方正仿宋_GBK" w:cs="Times New Roman"/>
          <w:kern w:val="2"/>
          <w:sz w:val="32"/>
          <w:szCs w:val="32"/>
          <w:lang w:val="zh-CN" w:eastAsia="zh-CN" w:bidi="ar-SA"/>
        </w:rPr>
        <w:t>109.73</w:t>
      </w:r>
      <w:r>
        <w:rPr>
          <w:rFonts w:hint="default" w:ascii="Times New Roman" w:hAnsi="Times New Roman" w:eastAsia="方正仿宋_GBK" w:cs="Times New Roman"/>
          <w:kern w:val="2"/>
          <w:sz w:val="32"/>
          <w:szCs w:val="32"/>
          <w:lang w:val="en-US" w:eastAsia="zh-CN" w:bidi="ar-SA"/>
        </w:rPr>
        <w:t>万元，主要用于以下方面：一般公共服务支出99.86万元，占91.01%；社会保障和就业支出4.19万元，占3.82%；卫生健康支出2.36万元，占2.15%；住房保障支出3.31万元，占3.02%。一般公共服务支出占比较大，</w:t>
      </w:r>
      <w:r>
        <w:rPr>
          <w:rFonts w:hint="eastAsia" w:eastAsia="方正仿宋_GBK" w:cs="Times New Roman"/>
          <w:kern w:val="2"/>
          <w:sz w:val="32"/>
          <w:szCs w:val="32"/>
          <w:lang w:val="en-US" w:eastAsia="zh-CN" w:bidi="ar-SA"/>
        </w:rPr>
        <w:t>因新成立</w:t>
      </w:r>
      <w:r>
        <w:rPr>
          <w:rFonts w:hint="default" w:ascii="Times New Roman" w:hAnsi="Times New Roman" w:eastAsia="方正仿宋_GBK" w:cs="Times New Roman"/>
          <w:kern w:val="2"/>
          <w:sz w:val="32"/>
          <w:szCs w:val="32"/>
          <w:lang w:val="en-US" w:eastAsia="zh-CN" w:bidi="ar-SA"/>
        </w:rPr>
        <w:t>部门，支出主要集中在人员经费保障和办公运转。</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drawing>
          <wp:inline distT="0" distB="0" distL="114300" distR="114300">
            <wp:extent cx="5363210" cy="2531745"/>
            <wp:effectExtent l="0" t="0" r="8890" b="0"/>
            <wp:docPr id="7" name="图片 7"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true"/>
                    </pic:cNvPicPr>
                  </pic:nvPicPr>
                  <pic:blipFill>
                    <a:blip r:embed="rId8"/>
                    <a:stretch>
                      <a:fillRect/>
                    </a:stretch>
                  </pic:blipFill>
                  <pic:spPr>
                    <a:xfrm>
                      <a:off x="0" y="0"/>
                      <a:ext cx="5363210" cy="25317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49" w:name="_Toc15377212"/>
      <w:r>
        <w:rPr>
          <w:rFonts w:hint="default" w:ascii="Times New Roman" w:hAnsi="Times New Roman" w:eastAsia="方正楷体_GBK" w:cs="Times New Roman"/>
          <w:b/>
          <w:color w:val="000000"/>
          <w:sz w:val="32"/>
          <w:szCs w:val="32"/>
          <w:lang w:val="zh-CN" w:eastAsia="zh-CN"/>
        </w:rPr>
        <w:t>（三）一般公共预算财政拨款支出决算具体情况</w:t>
      </w:r>
      <w:bookmarkEnd w:id="4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bookmarkStart w:id="50" w:name="_Toc15377444"/>
      <w:bookmarkStart w:id="51" w:name="_Toc15377213"/>
      <w:bookmarkStart w:id="52" w:name="_Toc15378460"/>
      <w:r>
        <w:rPr>
          <w:rFonts w:hint="default" w:ascii="Times New Roman" w:hAnsi="Times New Roman" w:eastAsia="方正仿宋_GBK" w:cs="Times New Roman"/>
          <w:kern w:val="2"/>
          <w:sz w:val="32"/>
          <w:szCs w:val="32"/>
          <w:lang w:val="en-US" w:eastAsia="zh-CN" w:bidi="ar-SA"/>
        </w:rPr>
        <w:t>2024年度</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一般公共预算财政拨款支出决算总额为109.73万元，预算完成率为100%。其中：</w:t>
      </w:r>
      <w:bookmarkEnd w:id="50"/>
      <w:bookmarkEnd w:id="51"/>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一般公共服务（类）党委办公厅（室）及相关机构事务（款）行政运行（项）：支出决算为23.30万元，完成预算100%，用于保障部门日常行政运转的人员经费和公用经费。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一般公共服务（类）党委办公厅（室）及相关机构事务（款）一般行政管理事务（项）：支出决算为66.53万元，完成预算100%，主要用于开展专项社会工作任务的项目支出。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一般公共服务（类）党委办公厅（室）及相关机构事务（款）事业运行（项）：支出决算为10.03万元，完成预算100%，用于下属事业单位的人员经费和公用经费。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社会保障和就业（类）行政事业单位养老支出（款）机关事业单位基本养老保险缴费支出（项）：支出决算为4.19万元，完成预算100%，用于缴纳机关事业单位基本养老保险费。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卫生健康（类）行政事业单位医疗（款）行政单位医疗（项）：支出决算为1.84万元，完成预算100%，用于行政单位医疗保障支出。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卫生健康（类）行政事业单位医疗（款）事业单位医疗（项）：支出决算为0.27万元，完成预算100%，用于事业单位医疗保障支出。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卫生健康（类）行政事业单位医疗（款）公务员医疗补助（项）：支出决算为0.25万元，完成预算100%，用于公务员医疗补助支出。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住房保障（类）住房改革支出（款）住房公积金（项）：支出决算为3.31万元，完成预算100%，用于缴纳职工住房公积金。</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53" w:name="_Toc17425"/>
      <w:bookmarkStart w:id="54" w:name="_Toc22876"/>
      <w:bookmarkStart w:id="55" w:name="_Toc15377214"/>
      <w:bookmarkStart w:id="56" w:name="_Toc15396608"/>
      <w:r>
        <w:rPr>
          <w:rFonts w:hint="default" w:ascii="Times New Roman" w:hAnsi="Times New Roman" w:eastAsia="方正黑体_GBK" w:cs="Times New Roman"/>
          <w:kern w:val="2"/>
          <w:sz w:val="32"/>
          <w:szCs w:val="32"/>
          <w:lang w:val="zh-CN" w:eastAsia="zh-CN" w:bidi="ar-SA"/>
        </w:rPr>
        <w:t>六、一般公共预算财政拨款基本支出决算情况说明</w:t>
      </w:r>
      <w:bookmarkEnd w:id="53"/>
      <w:bookmarkEnd w:id="54"/>
      <w:bookmarkEnd w:id="55"/>
      <w:bookmarkEnd w:id="56"/>
      <w:r>
        <w:rPr>
          <w:rFonts w:hint="default" w:ascii="Times New Roman" w:hAnsi="Times New Roman" w:eastAsia="方正黑体_GBK" w:cs="Times New Roman"/>
          <w:kern w:val="2"/>
          <w:sz w:val="32"/>
          <w:szCs w:val="32"/>
          <w:lang w:val="zh-CN" w:eastAsia="zh-CN" w:bidi="ar-SA"/>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2024年度一般公共预算财政拨款基本支出</w:t>
      </w:r>
      <w:r>
        <w:rPr>
          <w:rFonts w:hint="default" w:ascii="Times New Roman" w:hAnsi="Times New Roman" w:eastAsia="方正仿宋_GBK" w:cs="Times New Roman"/>
          <w:kern w:val="2"/>
          <w:sz w:val="32"/>
          <w:szCs w:val="32"/>
          <w:lang w:val="zh-CN" w:eastAsia="zh-CN" w:bidi="ar-SA"/>
        </w:rPr>
        <w:t>43.1</w:t>
      </w:r>
      <w:r>
        <w:rPr>
          <w:rFonts w:hint="default" w:ascii="Times New Roman" w:hAnsi="Times New Roman" w:eastAsia="方正仿宋_GBK" w:cs="Times New Roman"/>
          <w:kern w:val="2"/>
          <w:sz w:val="32"/>
          <w:szCs w:val="32"/>
          <w:lang w:val="en-US" w:eastAsia="zh-CN" w:bidi="ar-SA"/>
        </w:rPr>
        <w:t>9万元，其中：</w:t>
      </w:r>
    </w:p>
    <w:p>
      <w:pPr>
        <w:spacing w:line="560" w:lineRule="exact"/>
        <w:ind w:firstLine="662" w:firstLineChars="200"/>
        <w:rPr>
          <w:rFonts w:hint="default"/>
          <w:lang w:val="en-US" w:eastAsia="zh-CN"/>
        </w:rPr>
      </w:pPr>
      <w:r>
        <w:rPr>
          <w:rFonts w:hint="default" w:ascii="Times New Roman" w:hAnsi="Times New Roman" w:eastAsia="方正仿宋_GBK" w:cs="Times New Roman"/>
          <w:kern w:val="2"/>
          <w:sz w:val="32"/>
          <w:szCs w:val="32"/>
          <w:lang w:val="en-US" w:eastAsia="zh-CN" w:bidi="ar-SA"/>
        </w:rPr>
        <w:t>人员经费34.91万元，主要包括：基本工资8.96万元、津贴补贴5.77万元、奖金5.18万元、绩效工资5.02万元、机关事业单位基本养老保险缴费4.19万元、职工基本医疗保险缴费2.11万元、公务员医疗补助缴费0.25万元、其他社会保障缴费0.12万元、住房公积金3.31万元。</w:t>
      </w:r>
    </w:p>
    <w:p>
      <w:pPr>
        <w:pStyle w:val="2"/>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839970" cy="2621915"/>
            <wp:effectExtent l="0" t="0" r="17780" b="6985"/>
            <wp:docPr id="8" name="图片 8"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4"/>
                    <pic:cNvPicPr>
                      <a:picLocks noChangeAspect="true"/>
                    </pic:cNvPicPr>
                  </pic:nvPicPr>
                  <pic:blipFill>
                    <a:blip r:embed="rId9"/>
                    <a:stretch>
                      <a:fillRect/>
                    </a:stretch>
                  </pic:blipFill>
                  <pic:spPr>
                    <a:xfrm>
                      <a:off x="0" y="0"/>
                      <a:ext cx="4839970" cy="2621915"/>
                    </a:xfrm>
                    <a:prstGeom prst="rect">
                      <a:avLst/>
                    </a:prstGeom>
                  </pic:spPr>
                </pic:pic>
              </a:graphicData>
            </a:graphic>
          </wp:inline>
        </w:drawing>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公用经费8.28万元，主要包括：办公费3.23万元、电费0.50万元、差旅费2.10万元、工会经费0.41万元、福利费0.17万元、公务用车运行维护费0.42万元、其他交通费用1.32万元、其他商品和服务支出0.13万元。</w:t>
      </w:r>
    </w:p>
    <w:p>
      <w:pPr>
        <w:pStyle w:val="2"/>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839970" cy="2793365"/>
            <wp:effectExtent l="0" t="0" r="11430" b="635"/>
            <wp:docPr id="9" name="图片 9"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5"/>
                    <pic:cNvPicPr>
                      <a:picLocks noChangeAspect="true"/>
                    </pic:cNvPicPr>
                  </pic:nvPicPr>
                  <pic:blipFill>
                    <a:blip r:embed="rId10"/>
                    <a:stretch>
                      <a:fillRect/>
                    </a:stretch>
                  </pic:blipFill>
                  <pic:spPr>
                    <a:xfrm>
                      <a:off x="0" y="0"/>
                      <a:ext cx="4839970" cy="2793365"/>
                    </a:xfrm>
                    <a:prstGeom prst="rect">
                      <a:avLst/>
                    </a:prstGeom>
                  </pic:spPr>
                </pic:pic>
              </a:graphicData>
            </a:graphic>
          </wp:inline>
        </w:drawing>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57" w:name="_Toc15732"/>
      <w:bookmarkStart w:id="58" w:name="_Toc15377215"/>
      <w:bookmarkStart w:id="59" w:name="_Toc15396609"/>
      <w:bookmarkStart w:id="60" w:name="_Toc3197"/>
      <w:r>
        <w:rPr>
          <w:rFonts w:hint="default" w:ascii="Times New Roman" w:hAnsi="Times New Roman" w:eastAsia="方正黑体_GBK" w:cs="Times New Roman"/>
          <w:kern w:val="2"/>
          <w:sz w:val="32"/>
          <w:szCs w:val="32"/>
          <w:lang w:val="zh-CN" w:eastAsia="zh-CN" w:bidi="ar-SA"/>
        </w:rPr>
        <w:t>七、财政拨款“三公”经费支出决算情况说明</w:t>
      </w:r>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61" w:name="_Toc15377216"/>
      <w:r>
        <w:rPr>
          <w:rFonts w:hint="default" w:ascii="Times New Roman" w:hAnsi="Times New Roman" w:eastAsia="方正楷体_GBK" w:cs="Times New Roman"/>
          <w:b/>
          <w:color w:val="000000"/>
          <w:sz w:val="32"/>
          <w:szCs w:val="32"/>
          <w:lang w:val="zh-CN" w:eastAsia="zh-CN"/>
        </w:rPr>
        <w:t>（一）“三公”经费财政拨款支出决算总体情况说明</w:t>
      </w:r>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2024年度“三公”经费财政拨款支出决算为</w:t>
      </w:r>
      <w:r>
        <w:rPr>
          <w:rFonts w:hint="default" w:ascii="Times New Roman" w:hAnsi="Times New Roman" w:eastAsia="方正仿宋_GBK" w:cs="Times New Roman"/>
          <w:kern w:val="2"/>
          <w:sz w:val="32"/>
          <w:szCs w:val="32"/>
          <w:lang w:val="zh-CN" w:eastAsia="zh-CN" w:bidi="ar-SA"/>
        </w:rPr>
        <w:t>33.55</w:t>
      </w:r>
      <w:r>
        <w:rPr>
          <w:rFonts w:hint="default" w:ascii="Times New Roman" w:hAnsi="Times New Roman" w:eastAsia="方正仿宋_GBK" w:cs="Times New Roman"/>
          <w:kern w:val="2"/>
          <w:sz w:val="32"/>
          <w:szCs w:val="32"/>
          <w:lang w:val="en-US" w:eastAsia="zh-CN" w:bidi="ar-SA"/>
        </w:rPr>
        <w:t>万元，完成预算</w:t>
      </w:r>
      <w:r>
        <w:rPr>
          <w:rFonts w:hint="default" w:ascii="Times New Roman" w:hAnsi="Times New Roman" w:eastAsia="方正仿宋_GBK" w:cs="Times New Roman"/>
          <w:kern w:val="2"/>
          <w:sz w:val="32"/>
          <w:szCs w:val="32"/>
          <w:lang w:val="zh-CN" w:eastAsia="zh-CN" w:bidi="ar-SA"/>
        </w:rPr>
        <w:t>100</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w:t>
      </w:r>
      <w:r>
        <w:rPr>
          <w:rFonts w:hint="default" w:ascii="Times New Roman" w:hAnsi="Times New Roman" w:eastAsia="方正仿宋_GBK" w:cs="Times New Roman"/>
          <w:kern w:val="2"/>
          <w:sz w:val="32"/>
          <w:szCs w:val="32"/>
          <w:lang w:val="zh-CN" w:eastAsia="zh-CN" w:bidi="ar-SA"/>
        </w:rPr>
        <w:t>支出</w:t>
      </w:r>
      <w:r>
        <w:rPr>
          <w:rFonts w:hint="default" w:ascii="Times New Roman" w:hAnsi="Times New Roman" w:eastAsia="方正仿宋_GBK" w:cs="Times New Roman"/>
          <w:kern w:val="2"/>
          <w:sz w:val="32"/>
          <w:szCs w:val="32"/>
          <w:lang w:val="en-US" w:eastAsia="zh-CN" w:bidi="ar-SA"/>
        </w:rPr>
        <w:t>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62" w:name="_Toc15377217"/>
      <w:r>
        <w:rPr>
          <w:rFonts w:hint="default" w:ascii="Times New Roman" w:hAnsi="Times New Roman" w:eastAsia="方正楷体_GBK" w:cs="Times New Roman"/>
          <w:b/>
          <w:color w:val="000000"/>
          <w:sz w:val="32"/>
          <w:szCs w:val="32"/>
          <w:lang w:val="zh-CN" w:eastAsia="zh-CN"/>
        </w:rPr>
        <w:t>（二）“三公”经费财政拨款支出决算具体情况说明</w:t>
      </w:r>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2024年度“三公”经费财政拨款支出决算中，因公出国（境）费支出决算</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万元；公务用车购置及运行维护费支出决算</w:t>
      </w:r>
      <w:r>
        <w:rPr>
          <w:rFonts w:hint="default" w:ascii="Times New Roman" w:hAnsi="Times New Roman" w:eastAsia="方正仿宋_GBK" w:cs="Times New Roman"/>
          <w:kern w:val="2"/>
          <w:sz w:val="32"/>
          <w:szCs w:val="32"/>
          <w:lang w:val="zh-CN" w:eastAsia="zh-CN" w:bidi="ar-SA"/>
        </w:rPr>
        <w:t>33.55</w:t>
      </w:r>
      <w:r>
        <w:rPr>
          <w:rFonts w:hint="default" w:ascii="Times New Roman" w:hAnsi="Times New Roman" w:eastAsia="方正仿宋_GBK" w:cs="Times New Roman"/>
          <w:kern w:val="2"/>
          <w:sz w:val="32"/>
          <w:szCs w:val="32"/>
          <w:lang w:val="en-US" w:eastAsia="zh-CN" w:bidi="ar-SA"/>
        </w:rPr>
        <w:t>万元；公务接待费支出决算</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无“三公”经费同比数据。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1.因公出国（境）经费支出0万元，完成预算0%。全年安排因公出国（境）团组</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次，出国（境）</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2.公务用车购置及运行维护费支出33.55万元，完成预算100%。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其中：公务用车购置支出</w:t>
      </w:r>
      <w:r>
        <w:rPr>
          <w:rFonts w:hint="default" w:ascii="Times New Roman" w:hAnsi="Times New Roman" w:eastAsia="方正仿宋_GBK" w:cs="Times New Roman"/>
          <w:kern w:val="2"/>
          <w:sz w:val="32"/>
          <w:szCs w:val="32"/>
          <w:lang w:val="zh-CN" w:eastAsia="zh-CN" w:bidi="ar-SA"/>
        </w:rPr>
        <w:t>33.13</w:t>
      </w:r>
      <w:r>
        <w:rPr>
          <w:rFonts w:hint="default" w:ascii="Times New Roman" w:hAnsi="Times New Roman" w:eastAsia="方正仿宋_GBK" w:cs="Times New Roman"/>
          <w:kern w:val="2"/>
          <w:sz w:val="32"/>
          <w:szCs w:val="32"/>
          <w:lang w:val="en-US" w:eastAsia="zh-CN" w:bidi="ar-SA"/>
        </w:rPr>
        <w:t>万元。全年按规定购置公务用车1辆，其中：越野车1辆、金额33.13万元，主要用于</w:t>
      </w:r>
      <w:r>
        <w:rPr>
          <w:rFonts w:hint="eastAsia" w:eastAsia="方正仿宋_GBK" w:cs="Times New Roman"/>
          <w:kern w:val="2"/>
          <w:sz w:val="32"/>
          <w:szCs w:val="32"/>
          <w:lang w:val="en-US" w:eastAsia="zh-CN" w:bidi="ar-SA"/>
        </w:rPr>
        <w:t>开展工作</w:t>
      </w:r>
      <w:r>
        <w:rPr>
          <w:rFonts w:hint="default" w:ascii="Times New Roman" w:hAnsi="Times New Roman" w:eastAsia="方正仿宋_GBK" w:cs="Times New Roman"/>
          <w:kern w:val="2"/>
          <w:sz w:val="32"/>
          <w:szCs w:val="32"/>
          <w:lang w:val="en-US" w:eastAsia="zh-CN" w:bidi="ar-SA"/>
        </w:rPr>
        <w:t>保障用车。截至2024年12月31日，共有公务用车1辆，其中：越野车1辆。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公务用车运行维护费支出</w:t>
      </w:r>
      <w:r>
        <w:rPr>
          <w:rFonts w:hint="default" w:ascii="Times New Roman" w:hAnsi="Times New Roman" w:eastAsia="方正仿宋_GBK" w:cs="Times New Roman"/>
          <w:kern w:val="2"/>
          <w:sz w:val="32"/>
          <w:szCs w:val="32"/>
          <w:lang w:val="zh-CN" w:eastAsia="zh-CN" w:bidi="ar-SA"/>
        </w:rPr>
        <w:t>0.42</w:t>
      </w:r>
      <w:r>
        <w:rPr>
          <w:rFonts w:hint="default" w:ascii="Times New Roman" w:hAnsi="Times New Roman" w:eastAsia="方正仿宋_GBK" w:cs="Times New Roman"/>
          <w:kern w:val="2"/>
          <w:sz w:val="32"/>
          <w:szCs w:val="32"/>
          <w:lang w:val="en-US" w:eastAsia="zh-CN" w:bidi="ar-SA"/>
        </w:rPr>
        <w:t>万元。主要用于社会工作开展所需的公务用车燃料费、维修费、过路过桥费、保险费等支出。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3.公务接待费支出0万元，完成预算0%。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其中：国内公务接待支出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万元，国内公务接待</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批次，</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人次（不包括陪同人员），共计支出0万元。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外事接待支出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万元。外事接待</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批次，</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人次（不包括陪同人员），共计支出0万元。</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63" w:name="_Toc15377218"/>
      <w:bookmarkStart w:id="64" w:name="_Toc22023"/>
      <w:bookmarkStart w:id="65" w:name="_Toc25454"/>
      <w:bookmarkStart w:id="66" w:name="_Toc15396610"/>
      <w:r>
        <w:rPr>
          <w:rFonts w:hint="default" w:ascii="Times New Roman" w:hAnsi="Times New Roman" w:eastAsia="方正黑体_GBK" w:cs="Times New Roman"/>
          <w:kern w:val="2"/>
          <w:sz w:val="32"/>
          <w:szCs w:val="32"/>
          <w:lang w:val="zh-CN" w:eastAsia="zh-CN" w:bidi="ar-SA"/>
        </w:rPr>
        <w:t>八、政府性基金预算支出决算情况说明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2024年度政府性基金预算财政拨款支出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万元，占本年支出合计的</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无支出同比数据。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67" w:name="_Toc10350"/>
      <w:bookmarkStart w:id="68" w:name="_Toc15377219"/>
      <w:bookmarkStart w:id="69" w:name="_Toc15396611"/>
      <w:bookmarkStart w:id="70" w:name="_Toc14379"/>
      <w:r>
        <w:rPr>
          <w:rFonts w:hint="default" w:ascii="Times New Roman" w:hAnsi="Times New Roman" w:eastAsia="方正黑体_GBK" w:cs="Times New Roman"/>
          <w:kern w:val="2"/>
          <w:sz w:val="32"/>
          <w:szCs w:val="32"/>
          <w:lang w:val="zh-CN" w:eastAsia="zh-CN" w:bidi="ar-SA"/>
        </w:rPr>
        <w:t>九、国有资本经营预算支出决算情况说明</w:t>
      </w:r>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2024年度国有资本经营预算财政拨款支出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万元，占本年支出合计的</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无支出同比数据。</w:t>
      </w:r>
    </w:p>
    <w:p>
      <w:pPr>
        <w:keepNext w:val="0"/>
        <w:keepLines w:val="0"/>
        <w:pageBreakBefore w:val="0"/>
        <w:widowControl/>
        <w:kinsoku/>
        <w:wordWrap/>
        <w:topLinePunct w:val="0"/>
        <w:autoSpaceDE/>
        <w:bidi w:val="0"/>
        <w:adjustRightInd w:val="0"/>
        <w:snapToGrid w:val="0"/>
        <w:spacing w:line="560" w:lineRule="exact"/>
        <w:ind w:firstLine="662" w:firstLineChars="200"/>
        <w:contextualSpacing/>
        <w:jc w:val="left"/>
        <w:textAlignment w:val="auto"/>
        <w:outlineLvl w:val="1"/>
        <w:rPr>
          <w:rFonts w:hint="default" w:ascii="Times New Roman" w:hAnsi="Times New Roman" w:eastAsia="方正黑体_GBK" w:cs="Times New Roman"/>
          <w:kern w:val="2"/>
          <w:sz w:val="32"/>
          <w:szCs w:val="32"/>
          <w:lang w:val="zh-CN" w:eastAsia="zh-CN" w:bidi="ar-SA"/>
        </w:rPr>
      </w:pPr>
      <w:bookmarkStart w:id="71" w:name="_Toc15396612"/>
      <w:bookmarkStart w:id="72" w:name="_Toc24280"/>
      <w:bookmarkStart w:id="73" w:name="_Toc15377221"/>
      <w:bookmarkStart w:id="74" w:name="_Toc11427"/>
      <w:r>
        <w:rPr>
          <w:rFonts w:hint="default" w:ascii="Times New Roman" w:hAnsi="Times New Roman" w:eastAsia="方正黑体_GBK" w:cs="Times New Roman"/>
          <w:kern w:val="2"/>
          <w:sz w:val="32"/>
          <w:szCs w:val="32"/>
          <w:lang w:val="zh-CN" w:eastAsia="zh-CN" w:bidi="ar-SA"/>
        </w:rPr>
        <w:t>十、其他重要事项的情况说明</w:t>
      </w:r>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75" w:name="_Toc15377222"/>
      <w:r>
        <w:rPr>
          <w:rFonts w:hint="default" w:ascii="Times New Roman" w:hAnsi="Times New Roman" w:eastAsia="方正楷体_GBK" w:cs="Times New Roman"/>
          <w:b/>
          <w:color w:val="000000"/>
          <w:sz w:val="32"/>
          <w:szCs w:val="32"/>
          <w:lang w:val="zh-CN" w:eastAsia="zh-CN"/>
        </w:rPr>
        <w:t>（一）机关运行经费支出情况</w:t>
      </w:r>
      <w:bookmarkEnd w:id="7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机关运行经费支出</w:t>
      </w:r>
      <w:r>
        <w:rPr>
          <w:rFonts w:hint="default" w:ascii="Times New Roman" w:hAnsi="Times New Roman" w:eastAsia="方正仿宋_GBK" w:cs="Times New Roman"/>
          <w:kern w:val="2"/>
          <w:sz w:val="32"/>
          <w:szCs w:val="32"/>
          <w:lang w:val="zh-CN" w:eastAsia="zh-CN" w:bidi="ar-SA"/>
        </w:rPr>
        <w:t>8.27</w:t>
      </w:r>
      <w:r>
        <w:rPr>
          <w:rFonts w:hint="default" w:ascii="Times New Roman" w:hAnsi="Times New Roman" w:eastAsia="方正仿宋_GBK" w:cs="Times New Roman"/>
          <w:kern w:val="2"/>
          <w:sz w:val="32"/>
          <w:szCs w:val="32"/>
          <w:lang w:val="en-US" w:eastAsia="zh-CN" w:bidi="ar-SA"/>
        </w:rPr>
        <w:t>万元</w:t>
      </w:r>
      <w:r>
        <w:rPr>
          <w:rFonts w:hint="eastAsia" w:eastAsia="方正仿宋_GBK" w:cs="Times New Roman"/>
          <w:kern w:val="2"/>
          <w:sz w:val="32"/>
          <w:szCs w:val="32"/>
          <w:lang w:val="en-US" w:eastAsia="zh-CN" w:bidi="ar-SA"/>
        </w:rPr>
        <w:t>。因</w:t>
      </w:r>
      <w:r>
        <w:rPr>
          <w:rFonts w:hint="default"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zh-CN" w:eastAsia="zh-CN" w:bidi="ar-SA"/>
        </w:rPr>
        <w:t>于2024年3月成立，</w:t>
      </w:r>
      <w:r>
        <w:rPr>
          <w:rFonts w:hint="default" w:ascii="Times New Roman" w:hAnsi="Times New Roman" w:eastAsia="方正仿宋_GBK" w:cs="Times New Roman"/>
          <w:kern w:val="2"/>
          <w:sz w:val="32"/>
          <w:szCs w:val="32"/>
          <w:lang w:val="en-US" w:eastAsia="zh-CN" w:bidi="ar-SA"/>
        </w:rPr>
        <w:t>无支出同比数据。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76" w:name="_Toc15377223"/>
      <w:r>
        <w:rPr>
          <w:rFonts w:hint="default" w:ascii="Times New Roman" w:hAnsi="Times New Roman" w:eastAsia="方正楷体_GBK" w:cs="Times New Roman"/>
          <w:b/>
          <w:color w:val="000000"/>
          <w:sz w:val="32"/>
          <w:szCs w:val="32"/>
          <w:lang w:val="zh-CN" w:eastAsia="zh-CN"/>
        </w:rPr>
        <w:t>（二）政府采购支出情况</w:t>
      </w:r>
      <w:bookmarkEnd w:id="7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2024年度，</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政府采购支出总</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额</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34.38</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万元，其中：政府采购货物支出</w:t>
      </w:r>
      <w:r>
        <w:rPr>
          <w:rFonts w:hint="default" w:ascii="Times New Roman" w:hAnsi="Times New Roman" w:eastAsia="方正仿宋_GBK" w:cs="Times New Roman"/>
          <w:color w:val="000000" w:themeColor="text1"/>
          <w:kern w:val="2"/>
          <w:sz w:val="32"/>
          <w:szCs w:val="32"/>
          <w:lang w:val="zh-CN" w:eastAsia="zh-CN" w:bidi="ar-SA"/>
          <w14:textFill>
            <w14:solidFill>
              <w14:schemeClr w14:val="tx1"/>
            </w14:solidFill>
          </w14:textFill>
        </w:rPr>
        <w:t>34.38</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万元、</w:t>
      </w:r>
      <w:r>
        <w:rPr>
          <w:rFonts w:hint="default" w:ascii="Times New Roman" w:hAnsi="Times New Roman" w:eastAsia="方正仿宋_GBK" w:cs="Times New Roman"/>
          <w:kern w:val="2"/>
          <w:sz w:val="32"/>
          <w:szCs w:val="32"/>
          <w:lang w:val="en-US" w:eastAsia="zh-CN" w:bidi="ar-SA"/>
        </w:rPr>
        <w:t>政府采购工程支出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万元、政府采购服务支出</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万元。主要用于应急车辆购置、办公设备购置等。授予中小企业合同金额</w:t>
      </w:r>
      <w:r>
        <w:rPr>
          <w:rFonts w:hint="default" w:ascii="Times New Roman" w:hAnsi="Times New Roman" w:eastAsia="方正仿宋_GBK" w:cs="Times New Roman"/>
          <w:kern w:val="2"/>
          <w:sz w:val="32"/>
          <w:szCs w:val="32"/>
          <w:lang w:val="zh-CN" w:eastAsia="zh-CN" w:bidi="ar-SA"/>
        </w:rPr>
        <w:t>2.2</w:t>
      </w:r>
      <w:r>
        <w:rPr>
          <w:rFonts w:hint="default" w:ascii="Times New Roman" w:hAnsi="Times New Roman" w:eastAsia="方正仿宋_GBK" w:cs="Times New Roman"/>
          <w:kern w:val="2"/>
          <w:sz w:val="32"/>
          <w:szCs w:val="32"/>
          <w:lang w:val="en-US" w:eastAsia="zh-CN" w:bidi="ar-SA"/>
        </w:rPr>
        <w:t>万元，占政府采购支出总额的</w:t>
      </w:r>
      <w:r>
        <w:rPr>
          <w:rFonts w:hint="default" w:ascii="Times New Roman" w:hAnsi="Times New Roman" w:eastAsia="方正仿宋_GBK" w:cs="Times New Roman"/>
          <w:kern w:val="2"/>
          <w:sz w:val="32"/>
          <w:szCs w:val="32"/>
          <w:lang w:val="zh-CN" w:eastAsia="zh-CN" w:bidi="ar-SA"/>
        </w:rPr>
        <w:t>6.39</w:t>
      </w:r>
      <w:r>
        <w:rPr>
          <w:rFonts w:hint="default" w:ascii="Times New Roman" w:hAnsi="Times New Roman" w:eastAsia="方正仿宋_GBK" w:cs="Times New Roman"/>
          <w:kern w:val="2"/>
          <w:sz w:val="32"/>
          <w:szCs w:val="32"/>
          <w:lang w:val="en-US" w:eastAsia="zh-CN" w:bidi="ar-SA"/>
        </w:rPr>
        <w:t>%，其中：授予小微企业合同金额</w:t>
      </w:r>
      <w:r>
        <w:rPr>
          <w:rFonts w:hint="default" w:ascii="Times New Roman" w:hAnsi="Times New Roman" w:eastAsia="方正仿宋_GBK" w:cs="Times New Roman"/>
          <w:kern w:val="2"/>
          <w:sz w:val="32"/>
          <w:szCs w:val="32"/>
          <w:lang w:val="zh-CN" w:eastAsia="zh-CN" w:bidi="ar-SA"/>
        </w:rPr>
        <w:t>2.2</w:t>
      </w:r>
      <w:r>
        <w:rPr>
          <w:rFonts w:hint="default" w:ascii="Times New Roman" w:hAnsi="Times New Roman" w:eastAsia="方正仿宋_GBK" w:cs="Times New Roman"/>
          <w:kern w:val="2"/>
          <w:sz w:val="32"/>
          <w:szCs w:val="32"/>
          <w:lang w:val="en-US" w:eastAsia="zh-CN" w:bidi="ar-SA"/>
        </w:rPr>
        <w:t>万元，占政府采购支出总额的</w:t>
      </w:r>
      <w:r>
        <w:rPr>
          <w:rFonts w:hint="default" w:ascii="Times New Roman" w:hAnsi="Times New Roman" w:eastAsia="方正仿宋_GBK" w:cs="Times New Roman"/>
          <w:kern w:val="2"/>
          <w:sz w:val="32"/>
          <w:szCs w:val="32"/>
          <w:lang w:val="zh-CN" w:eastAsia="zh-CN" w:bidi="ar-SA"/>
        </w:rPr>
        <w:t>6.39</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bookmarkStart w:id="77" w:name="_Toc15377224"/>
      <w:r>
        <w:rPr>
          <w:rFonts w:hint="default" w:ascii="Times New Roman" w:hAnsi="Times New Roman" w:eastAsia="方正楷体_GBK" w:cs="Times New Roman"/>
          <w:b/>
          <w:color w:val="000000"/>
          <w:sz w:val="32"/>
          <w:szCs w:val="32"/>
          <w:lang w:val="zh-CN" w:eastAsia="zh-CN"/>
        </w:rPr>
        <w:t>（三）国有资产占有使用情况</w:t>
      </w:r>
      <w:bookmarkEnd w:id="7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截至2024年12月31日，</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共有车辆</w:t>
      </w:r>
      <w:r>
        <w:rPr>
          <w:rFonts w:hint="default" w:ascii="Times New Roman" w:hAnsi="Times New Roman" w:eastAsia="方正仿宋_GBK" w:cs="Times New Roman"/>
          <w:kern w:val="2"/>
          <w:sz w:val="32"/>
          <w:szCs w:val="32"/>
          <w:lang w:val="zh-CN" w:eastAsia="zh-CN" w:bidi="ar-SA"/>
        </w:rPr>
        <w:t>1</w:t>
      </w:r>
      <w:r>
        <w:rPr>
          <w:rFonts w:hint="default" w:ascii="Times New Roman" w:hAnsi="Times New Roman" w:eastAsia="方正仿宋_GBK" w:cs="Times New Roman"/>
          <w:kern w:val="2"/>
          <w:sz w:val="32"/>
          <w:szCs w:val="32"/>
          <w:lang w:val="en-US" w:eastAsia="zh-CN" w:bidi="ar-SA"/>
        </w:rPr>
        <w:t>辆，其中：主要负责人用车</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辆、机要通信用车</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辆、应急保障用车</w:t>
      </w:r>
      <w:r>
        <w:rPr>
          <w:rFonts w:hint="default" w:ascii="Times New Roman" w:hAnsi="Times New Roman" w:eastAsia="方正仿宋_GBK" w:cs="Times New Roman"/>
          <w:kern w:val="2"/>
          <w:sz w:val="32"/>
          <w:szCs w:val="32"/>
          <w:lang w:val="zh-CN" w:eastAsia="zh-CN" w:bidi="ar-SA"/>
        </w:rPr>
        <w:t>1</w:t>
      </w:r>
      <w:r>
        <w:rPr>
          <w:rFonts w:hint="default" w:ascii="Times New Roman" w:hAnsi="Times New Roman" w:eastAsia="方正仿宋_GBK" w:cs="Times New Roman"/>
          <w:kern w:val="2"/>
          <w:sz w:val="32"/>
          <w:szCs w:val="32"/>
          <w:lang w:val="en-US" w:eastAsia="zh-CN" w:bidi="ar-SA"/>
        </w:rPr>
        <w:t>辆、其他用车</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辆。单价100万元（含）以上设备（不含车辆）</w:t>
      </w:r>
      <w:r>
        <w:rPr>
          <w:rFonts w:hint="default" w:ascii="Times New Roman" w:hAnsi="Times New Roman" w:eastAsia="方正仿宋_GBK" w:cs="Times New Roman"/>
          <w:kern w:val="2"/>
          <w:sz w:val="32"/>
          <w:szCs w:val="32"/>
          <w:lang w:val="zh-CN" w:eastAsia="zh-CN" w:bidi="ar-SA"/>
        </w:rPr>
        <w:t>0</w:t>
      </w:r>
      <w:r>
        <w:rPr>
          <w:rFonts w:hint="default" w:ascii="Times New Roman" w:hAnsi="Times New Roman" w:eastAsia="方正仿宋_GBK" w:cs="Times New Roman"/>
          <w:kern w:val="2"/>
          <w:sz w:val="32"/>
          <w:szCs w:val="32"/>
          <w:lang w:val="en-US" w:eastAsia="zh-CN" w:bidi="ar-SA"/>
        </w:rPr>
        <w:t>台（套）。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outlineLvl w:val="2"/>
        <w:rPr>
          <w:rFonts w:hint="default" w:ascii="Times New Roman" w:hAnsi="Times New Roman" w:eastAsia="方正楷体_GBK" w:cs="Times New Roman"/>
          <w:b/>
          <w:color w:val="000000"/>
          <w:sz w:val="32"/>
          <w:szCs w:val="32"/>
          <w:lang w:val="zh-CN" w:eastAsia="zh-CN"/>
        </w:rPr>
      </w:pPr>
      <w:r>
        <w:rPr>
          <w:rFonts w:hint="default" w:ascii="Times New Roman" w:hAnsi="Times New Roman" w:eastAsia="方正楷体_GBK" w:cs="Times New Roman"/>
          <w:b/>
          <w:color w:val="000000"/>
          <w:sz w:val="32"/>
          <w:szCs w:val="32"/>
          <w:lang w:val="zh-CN" w:eastAsia="zh-CN"/>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根据预算绩效管理要求，</w:t>
      </w:r>
      <w:r>
        <w:rPr>
          <w:rFonts w:hint="default" w:ascii="Times New Roman" w:hAnsi="Times New Roman" w:eastAsia="方正仿宋_GBK" w:cs="Times New Roman"/>
          <w:kern w:val="2"/>
          <w:sz w:val="32"/>
          <w:szCs w:val="32"/>
          <w:lang w:val="zh-CN" w:eastAsia="zh-CN" w:bidi="ar-SA"/>
        </w:rPr>
        <w:t>中共攀枝花市委社会工作部</w:t>
      </w:r>
      <w:r>
        <w:rPr>
          <w:rFonts w:hint="default" w:ascii="Times New Roman" w:hAnsi="Times New Roman" w:eastAsia="方正仿宋_GBK" w:cs="Times New Roman"/>
          <w:kern w:val="2"/>
          <w:sz w:val="32"/>
          <w:szCs w:val="32"/>
          <w:lang w:val="en-US" w:eastAsia="zh-CN" w:bidi="ar-SA"/>
        </w:rPr>
        <w:t>组织对2024年度预算资金全面开展绩效自评，形成部门预算绩效自评报告，自评得分为93.2分。2</w:t>
      </w:r>
      <w:r>
        <w:rPr>
          <w:rFonts w:hint="default" w:ascii="Times New Roman" w:hAnsi="Times New Roman" w:eastAsia="方正仿宋_GBK" w:cs="Times New Roman"/>
          <w:kern w:val="2"/>
          <w:sz w:val="32"/>
          <w:szCs w:val="32"/>
          <w:lang w:val="zh-CN" w:eastAsia="zh-CN" w:bidi="ar-SA"/>
        </w:rPr>
        <w:t>024年</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月，部门组建成立，未编制</w:t>
      </w:r>
      <w:r>
        <w:rPr>
          <w:rFonts w:hint="default" w:ascii="Times New Roman" w:hAnsi="Times New Roman" w:eastAsia="方正仿宋_GBK" w:cs="Times New Roman"/>
          <w:kern w:val="2"/>
          <w:sz w:val="32"/>
          <w:szCs w:val="32"/>
          <w:lang w:val="en-US" w:eastAsia="zh-CN" w:bidi="ar-SA"/>
        </w:rPr>
        <w:t>部门年初预算</w:t>
      </w:r>
      <w:r>
        <w:rPr>
          <w:rFonts w:hint="default" w:ascii="Times New Roman" w:hAnsi="Times New Roman" w:eastAsia="方正仿宋_GBK" w:cs="Times New Roman"/>
          <w:kern w:val="2"/>
          <w:sz w:val="32"/>
          <w:szCs w:val="32"/>
          <w:lang w:val="zh-CN" w:eastAsia="zh-CN" w:bidi="ar-SA"/>
        </w:rPr>
        <w:t>，为保障部机关组建完成后各项工作的正常运转，切实有效履行</w:t>
      </w:r>
      <w:r>
        <w:rPr>
          <w:rFonts w:hint="default" w:ascii="Times New Roman" w:hAnsi="Times New Roman" w:eastAsia="方正仿宋_GBK" w:cs="Times New Roman"/>
          <w:kern w:val="2"/>
          <w:sz w:val="32"/>
          <w:szCs w:val="32"/>
          <w:lang w:val="en-US" w:eastAsia="zh-CN" w:bidi="ar-SA"/>
        </w:rPr>
        <w:t>市委、市政府</w:t>
      </w:r>
      <w:r>
        <w:rPr>
          <w:rFonts w:hint="default" w:ascii="Times New Roman" w:hAnsi="Times New Roman" w:eastAsia="方正仿宋_GBK" w:cs="Times New Roman"/>
          <w:kern w:val="2"/>
          <w:sz w:val="32"/>
          <w:szCs w:val="32"/>
          <w:lang w:val="zh-CN" w:eastAsia="zh-CN" w:bidi="ar-SA"/>
        </w:rPr>
        <w:t>赋予的职能职责，结合2024年年度重点工作任务，</w:t>
      </w:r>
      <w:r>
        <w:rPr>
          <w:rFonts w:hint="default" w:ascii="Times New Roman" w:hAnsi="Times New Roman" w:eastAsia="方正仿宋_GBK" w:cs="Times New Roman"/>
          <w:kern w:val="2"/>
          <w:sz w:val="32"/>
          <w:szCs w:val="32"/>
          <w:lang w:val="en-US" w:eastAsia="zh-CN" w:bidi="ar-SA"/>
        </w:rPr>
        <w:t>组织对开办经费、应急保障用车购置、购置办公设施设备等4个项目开展了预算事前绩效评估，编制4个项目绩效目标，预算执行过程中，选取4个项目开展绩效监控。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br w:type="page"/>
      </w: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bookmarkStart w:id="78" w:name="_Toc15396613"/>
      <w:bookmarkStart w:id="79" w:name="_Toc15377225"/>
      <w:bookmarkStart w:id="80" w:name="_Toc21596"/>
      <w:bookmarkStart w:id="81" w:name="_Toc20850"/>
      <w:r>
        <w:rPr>
          <w:rFonts w:hint="default" w:ascii="Times New Roman" w:hAnsi="Times New Roman" w:eastAsia="方正小标宋_GBK" w:cs="Times New Roman"/>
          <w:b/>
          <w:bCs/>
          <w:kern w:val="2"/>
          <w:sz w:val="44"/>
          <w:szCs w:val="44"/>
          <w:lang w:val="zh-CN" w:eastAsia="zh-CN"/>
        </w:rPr>
        <w:t>第三部分</w:t>
      </w:r>
      <w:r>
        <w:rPr>
          <w:rFonts w:hint="default"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名词解释</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zh-CN" w:eastAsia="zh-CN" w:bidi="ar-SA"/>
        </w:rPr>
        <w:t>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zh-CN" w:eastAsia="zh-CN" w:bidi="ar-SA"/>
        </w:rPr>
        <w:t>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zh-CN" w:eastAsia="zh-CN" w:bidi="ar-SA"/>
        </w:rPr>
        <w:t>一般公共服务（类）党委办公厅（室）及相关机构事务（款）行政运行（项）：指用于保障党委办公厅（室）及相关机构正常运转的基本支出。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zh-CN" w:eastAsia="zh-CN" w:bidi="ar-SA"/>
        </w:rPr>
        <w:t>一般公共服务（类）党委办公厅（室）及相关机构事务（款）一般行政管理事务（项）：指用于党委办公厅（室）及相关机构开展专项行政管理工作的项目支出。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zh-CN" w:eastAsia="zh-CN" w:bidi="ar-SA"/>
        </w:rPr>
        <w:t>一般公共服务（类）党委办公厅（室）及相关机构事务（款）</w:t>
      </w:r>
      <w:r>
        <w:rPr>
          <w:rFonts w:hint="default" w:ascii="Times New Roman" w:hAnsi="Times New Roman" w:eastAsia="方正仿宋_GBK" w:cs="Times New Roman"/>
          <w:kern w:val="2"/>
          <w:sz w:val="32"/>
          <w:szCs w:val="32"/>
          <w:lang w:val="en-US" w:eastAsia="zh-CN" w:bidi="ar-SA"/>
        </w:rPr>
        <w:t>事业运行</w:t>
      </w:r>
      <w:r>
        <w:rPr>
          <w:rFonts w:hint="default" w:ascii="Times New Roman" w:hAnsi="Times New Roman" w:eastAsia="方正仿宋_GBK" w:cs="Times New Roman"/>
          <w:kern w:val="2"/>
          <w:sz w:val="32"/>
          <w:szCs w:val="32"/>
          <w:lang w:val="zh-CN" w:eastAsia="zh-CN" w:bidi="ar-SA"/>
        </w:rPr>
        <w:t>（项）：指用于保障党委办公厅（室）及相关机构</w:t>
      </w:r>
      <w:r>
        <w:rPr>
          <w:rFonts w:hint="default" w:ascii="Times New Roman" w:hAnsi="Times New Roman" w:eastAsia="方正仿宋_GBK" w:cs="Times New Roman"/>
          <w:kern w:val="2"/>
          <w:sz w:val="32"/>
          <w:szCs w:val="32"/>
          <w:lang w:val="en-US" w:eastAsia="zh-CN" w:bidi="ar-SA"/>
        </w:rPr>
        <w:t>下属事业单位</w:t>
      </w:r>
      <w:r>
        <w:rPr>
          <w:rFonts w:hint="default" w:ascii="Times New Roman" w:hAnsi="Times New Roman" w:eastAsia="方正仿宋_GBK" w:cs="Times New Roman"/>
          <w:kern w:val="2"/>
          <w:sz w:val="32"/>
          <w:szCs w:val="32"/>
          <w:lang w:val="zh-CN" w:eastAsia="zh-CN" w:bidi="ar-SA"/>
        </w:rPr>
        <w:t>正常运转的基本支出。</w:t>
      </w:r>
    </w:p>
    <w:p>
      <w:pPr>
        <w:pStyle w:val="9"/>
        <w:spacing w:before="93"/>
        <w:ind w:firstLine="662" w:firstLineChars="200"/>
        <w:rPr>
          <w:rStyle w:val="39"/>
          <w:rFonts w:hint="default" w:ascii="Times New Roman" w:hAnsi="Times New Roman" w:cs="Times New Roman"/>
        </w:rPr>
      </w:pPr>
      <w:r>
        <w:rPr>
          <w:rFonts w:hint="default" w:ascii="Times New Roman" w:hAnsi="Times New Roman" w:eastAsia="方正仿宋_GBK" w:cs="Times New Roman"/>
          <w:kern w:val="2"/>
          <w:sz w:val="32"/>
          <w:szCs w:val="32"/>
          <w:lang w:val="en-US" w:eastAsia="zh-CN" w:bidi="ar-SA"/>
        </w:rPr>
        <w:t>7.社会保障和就业支出（类）行政事业单位养老支出（款）机关事业单位基本养老保险缴费支出（项）：指机关事业单位实施养老保险制度由单位缴纳的基本养老保险费支出。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8.卫生健康支出（类）行政事业单位医疗（款）行政单位医疗（项）：指</w:t>
      </w:r>
      <w:r>
        <w:rPr>
          <w:rFonts w:hint="default" w:ascii="Times New Roman" w:hAnsi="Times New Roman" w:eastAsia="方正仿宋_GBK" w:cs="Times New Roman"/>
          <w:kern w:val="2"/>
          <w:sz w:val="32"/>
          <w:szCs w:val="32"/>
          <w:lang w:val="zh-CN" w:eastAsia="zh-CN" w:bidi="ar-SA"/>
        </w:rPr>
        <w:t>用于行政单位医疗保障支出。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9.卫生健康支出（类）行政事业单位医疗（款）事业单位医疗（项）：指</w:t>
      </w:r>
      <w:r>
        <w:rPr>
          <w:rFonts w:hint="default" w:ascii="Times New Roman" w:hAnsi="Times New Roman" w:eastAsia="方正仿宋_GBK" w:cs="Times New Roman"/>
          <w:kern w:val="2"/>
          <w:sz w:val="32"/>
          <w:szCs w:val="32"/>
          <w:lang w:val="zh-CN" w:eastAsia="zh-CN" w:bidi="ar-SA"/>
        </w:rPr>
        <w:t>用于</w:t>
      </w:r>
      <w:r>
        <w:rPr>
          <w:rFonts w:hint="default" w:ascii="Times New Roman" w:hAnsi="Times New Roman" w:eastAsia="方正仿宋_GBK" w:cs="Times New Roman"/>
          <w:kern w:val="2"/>
          <w:sz w:val="32"/>
          <w:szCs w:val="32"/>
          <w:lang w:val="en-US" w:eastAsia="zh-CN" w:bidi="ar-SA"/>
        </w:rPr>
        <w:t>事业</w:t>
      </w:r>
      <w:r>
        <w:rPr>
          <w:rFonts w:hint="default" w:ascii="Times New Roman" w:hAnsi="Times New Roman" w:eastAsia="方正仿宋_GBK" w:cs="Times New Roman"/>
          <w:kern w:val="2"/>
          <w:sz w:val="32"/>
          <w:szCs w:val="32"/>
          <w:lang w:val="zh-CN" w:eastAsia="zh-CN" w:bidi="ar-SA"/>
        </w:rPr>
        <w:t>单位医疗保障支出。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10.卫生健康支出（类）行政事业单位医疗（款）公务员医疗补助（项）：指</w:t>
      </w:r>
      <w:r>
        <w:rPr>
          <w:rFonts w:hint="default" w:ascii="Times New Roman" w:hAnsi="Times New Roman" w:eastAsia="方正仿宋_GBK" w:cs="Times New Roman"/>
          <w:kern w:val="2"/>
          <w:sz w:val="32"/>
          <w:szCs w:val="32"/>
          <w:lang w:val="zh-CN" w:eastAsia="zh-CN" w:bidi="ar-SA"/>
        </w:rPr>
        <w:t>用于公务员医疗补助支出。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11.住房保障支出（类）住房改革支出（款）住房公积金（项）：指</w:t>
      </w:r>
      <w:r>
        <w:rPr>
          <w:rFonts w:hint="default" w:ascii="Times New Roman" w:hAnsi="Times New Roman" w:eastAsia="方正仿宋_GBK" w:cs="Times New Roman"/>
          <w:kern w:val="2"/>
          <w:sz w:val="32"/>
          <w:szCs w:val="32"/>
          <w:lang w:val="zh-CN" w:eastAsia="zh-CN" w:bidi="ar-SA"/>
        </w:rPr>
        <w:t>用于缴纳职工住房公积金</w:t>
      </w:r>
      <w:r>
        <w:rPr>
          <w:rFonts w:hint="default" w:ascii="Times New Roman" w:hAnsi="Times New Roman" w:eastAsia="方正仿宋_GBK" w:cs="Times New Roman"/>
          <w:kern w:val="2"/>
          <w:sz w:val="32"/>
          <w:szCs w:val="32"/>
          <w:lang w:val="en-US" w:eastAsia="zh-CN" w:bidi="ar-SA"/>
        </w:rPr>
        <w:t>支出</w:t>
      </w:r>
      <w:r>
        <w:rPr>
          <w:rFonts w:hint="default" w:ascii="Times New Roman" w:hAnsi="Times New Roman" w:eastAsia="方正仿宋_GBK" w:cs="Times New Roman"/>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12.基本支出：指为保障机构正常运转、完成日常工作任务而发生的人员支出和公用支出。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13.项目支出：指在基本支出之外为完成特定行政任务和事业发展目标所发生的支出。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14.经营支出：指事业单位在专业业务活动及其辅助活动之外开展非独立核算经营活动发生的支出。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rPr>
          <w:rFonts w:hint="default" w:ascii="Times New Roman" w:hAnsi="Times New Roman" w:eastAsia="方正仿宋_GBK" w:cs="Times New Roman"/>
          <w:kern w:val="2"/>
          <w:sz w:val="32"/>
          <w:szCs w:val="32"/>
          <w:lang w:val="en-US" w:eastAsia="zh-CN" w:bidi="ar-SA"/>
        </w:rPr>
      </w:pPr>
      <w:bookmarkStart w:id="82" w:name="_Toc15377226"/>
      <w:r>
        <w:rPr>
          <w:rFonts w:hint="default" w:ascii="Times New Roman" w:hAnsi="Times New Roman" w:eastAsia="方正仿宋_GBK" w:cs="Times New Roman"/>
          <w:kern w:val="2"/>
          <w:sz w:val="32"/>
          <w:szCs w:val="32"/>
          <w:lang w:val="en-US" w:eastAsia="zh-CN" w:bidi="ar-SA"/>
        </w:rPr>
        <w:br w:type="page"/>
      </w:r>
      <w:bookmarkStart w:id="83" w:name="_Toc15396614"/>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bookmarkStart w:id="84" w:name="_Toc7157"/>
      <w:bookmarkStart w:id="85" w:name="_Toc30296"/>
      <w:r>
        <w:rPr>
          <w:rFonts w:hint="default" w:ascii="Times New Roman" w:hAnsi="Times New Roman" w:eastAsia="方正小标宋_GBK" w:cs="Times New Roman"/>
          <w:b/>
          <w:bCs/>
          <w:kern w:val="2"/>
          <w:sz w:val="44"/>
          <w:szCs w:val="44"/>
          <w:lang w:val="zh-CN" w:eastAsia="zh-CN"/>
        </w:rPr>
        <w:t>第四部分</w:t>
      </w:r>
      <w:r>
        <w:rPr>
          <w:rFonts w:hint="default"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 xml:space="preserve"> 附件</w:t>
      </w:r>
      <w:bookmarkEnd w:id="83"/>
      <w:bookmarkEnd w:id="84"/>
      <w:bookmarkEnd w:id="85"/>
    </w:p>
    <w:p>
      <w:pPr>
        <w:spacing w:line="600" w:lineRule="exact"/>
        <w:ind w:firstLine="993" w:firstLineChars="300"/>
        <w:jc w:val="both"/>
        <w:outlineLvl w:val="9"/>
        <w:rPr>
          <w:rFonts w:hint="default" w:ascii="Times New Roman" w:hAnsi="Times New Roman" w:eastAsia="仿宋_GB2312" w:cs="Times New Roman"/>
          <w:color w:val="FF0000"/>
          <w:sz w:val="44"/>
          <w:szCs w:val="44"/>
        </w:rPr>
      </w:pPr>
      <w:r>
        <w:rPr>
          <w:rFonts w:hint="default" w:ascii="Times New Roman" w:hAnsi="Times New Roman" w:eastAsia="仿宋_GB2312" w:cs="Times New Roman"/>
          <w:sz w:val="32"/>
          <w:szCs w:val="32"/>
        </w:rPr>
        <w:t>部门预算项目支出绩效自评表（202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p>
    <w:p>
      <w:pPr>
        <w:pStyle w:val="8"/>
        <w:rPr>
          <w:rFonts w:hint="default"/>
          <w:lang w:val="zh-CN" w:eastAsia="zh-CN"/>
        </w:rPr>
      </w:pPr>
    </w:p>
    <w:p>
      <w:pPr>
        <w:pStyle w:val="9"/>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方正小标宋_GBK" w:cs="Times New Roman"/>
          <w:b/>
          <w:bCs/>
          <w:sz w:val="44"/>
          <w:szCs w:val="44"/>
          <w:lang w:val="en-US" w:eastAsia="zh-CN"/>
        </w:rPr>
      </w:pPr>
      <w:bookmarkStart w:id="86" w:name="_Toc15396618"/>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8"/>
        <w:rPr>
          <w:rFonts w:hint="default"/>
          <w:lang w:val="zh-CN" w:eastAsia="zh-CN"/>
        </w:rPr>
      </w:pPr>
    </w:p>
    <w:p>
      <w:pPr>
        <w:pStyle w:val="9"/>
        <w:keepNext w:val="0"/>
        <w:keepLines w:val="0"/>
        <w:pageBreakBefore w:val="0"/>
        <w:widowControl w:val="0"/>
        <w:kinsoku/>
        <w:wordWrap/>
        <w:overflowPunct/>
        <w:topLinePunct w:val="0"/>
        <w:autoSpaceDE/>
        <w:autoSpaceDN/>
        <w:bidi w:val="0"/>
        <w:adjustRightInd/>
        <w:snapToGrid/>
        <w:spacing w:beforeLines="-2147483648" w:after="0" w:line="0" w:lineRule="atLeast"/>
        <w:jc w:val="center"/>
        <w:textAlignment w:val="auto"/>
        <w:outlineLvl w:val="0"/>
        <w:rPr>
          <w:rFonts w:hint="default" w:ascii="Times New Roman" w:hAnsi="Times New Roman" w:eastAsia="方正小标宋_GBK" w:cs="Times New Roman"/>
          <w:b/>
          <w:bCs/>
          <w:kern w:val="2"/>
          <w:sz w:val="44"/>
          <w:szCs w:val="44"/>
          <w:lang w:val="zh-CN" w:eastAsia="zh-CN"/>
        </w:rPr>
      </w:pPr>
      <w:bookmarkStart w:id="87" w:name="_Toc4841"/>
      <w:bookmarkStart w:id="88" w:name="_Toc25179"/>
      <w:r>
        <w:rPr>
          <w:rFonts w:hint="default" w:ascii="Times New Roman" w:hAnsi="Times New Roman" w:eastAsia="方正小标宋_GBK" w:cs="Times New Roman"/>
          <w:b/>
          <w:bCs/>
          <w:kern w:val="2"/>
          <w:sz w:val="44"/>
          <w:szCs w:val="44"/>
          <w:lang w:val="zh-CN" w:eastAsia="zh-CN"/>
        </w:rPr>
        <w:t xml:space="preserve">第五部分 </w:t>
      </w:r>
      <w:r>
        <w:rPr>
          <w:rFonts w:hint="eastAsia" w:ascii="Times New Roman" w:hAnsi="Times New Roman" w:eastAsia="方正小标宋_GBK" w:cs="Times New Roman"/>
          <w:b/>
          <w:bCs/>
          <w:kern w:val="2"/>
          <w:sz w:val="44"/>
          <w:szCs w:val="44"/>
          <w:lang w:val="en-US" w:eastAsia="zh-CN"/>
        </w:rPr>
        <w:t xml:space="preserve"> </w:t>
      </w:r>
      <w:r>
        <w:rPr>
          <w:rFonts w:hint="default" w:ascii="Times New Roman" w:hAnsi="Times New Roman" w:eastAsia="方正小标宋_GBK" w:cs="Times New Roman"/>
          <w:b/>
          <w:bCs/>
          <w:kern w:val="2"/>
          <w:sz w:val="44"/>
          <w:szCs w:val="44"/>
          <w:lang w:val="zh-CN" w:eastAsia="zh-CN"/>
        </w:rPr>
        <w:t>附表</w:t>
      </w:r>
      <w:bookmarkEnd w:id="82"/>
      <w:bookmarkEnd w:id="86"/>
      <w:bookmarkEnd w:id="87"/>
      <w:bookmarkEnd w:id="88"/>
      <w:bookmarkStart w:id="89" w:name="_Toc15396619"/>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r>
        <w:rPr>
          <w:rFonts w:hint="default" w:ascii="Times New Roman" w:hAnsi="Times New Roman" w:eastAsia="方正仿宋_GB2312" w:cs="Times New Roman"/>
          <w:b w:val="0"/>
          <w:bCs/>
          <w:color w:val="000000"/>
          <w:sz w:val="32"/>
          <w:szCs w:val="32"/>
          <w:lang w:val="zh-CN" w:eastAsia="zh-CN"/>
        </w:rPr>
        <w:t>一、收入支出决算总表</w:t>
      </w:r>
      <w:bookmarkEnd w:id="89"/>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0" w:name="_Toc15396620"/>
      <w:r>
        <w:rPr>
          <w:rFonts w:hint="default" w:ascii="Times New Roman" w:hAnsi="Times New Roman" w:eastAsia="方正仿宋_GB2312" w:cs="Times New Roman"/>
          <w:b w:val="0"/>
          <w:bCs/>
          <w:color w:val="000000"/>
          <w:sz w:val="32"/>
          <w:szCs w:val="32"/>
          <w:lang w:val="zh-CN" w:eastAsia="zh-CN"/>
        </w:rPr>
        <w:t>二、收入决算表</w:t>
      </w:r>
      <w:bookmarkEnd w:id="9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1" w:name="_Toc15396621"/>
      <w:r>
        <w:rPr>
          <w:rFonts w:hint="default" w:ascii="Times New Roman" w:hAnsi="Times New Roman" w:eastAsia="方正仿宋_GB2312" w:cs="Times New Roman"/>
          <w:b w:val="0"/>
          <w:bCs/>
          <w:color w:val="000000"/>
          <w:sz w:val="32"/>
          <w:szCs w:val="32"/>
          <w:lang w:val="zh-CN" w:eastAsia="zh-CN"/>
        </w:rPr>
        <w:t>三、支出决算表</w:t>
      </w:r>
      <w:bookmarkEnd w:id="9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2" w:name="_Toc15396622"/>
      <w:r>
        <w:rPr>
          <w:rFonts w:hint="default" w:ascii="Times New Roman" w:hAnsi="Times New Roman" w:eastAsia="方正仿宋_GB2312" w:cs="Times New Roman"/>
          <w:b w:val="0"/>
          <w:bCs/>
          <w:color w:val="000000"/>
          <w:sz w:val="32"/>
          <w:szCs w:val="32"/>
          <w:lang w:val="zh-CN" w:eastAsia="zh-CN"/>
        </w:rPr>
        <w:t>四、财政拨款收入支出决算总表</w:t>
      </w:r>
      <w:bookmarkEnd w:id="92"/>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3" w:name="_Toc15396623"/>
      <w:r>
        <w:rPr>
          <w:rFonts w:hint="default" w:ascii="Times New Roman" w:hAnsi="Times New Roman" w:eastAsia="方正仿宋_GB2312" w:cs="Times New Roman"/>
          <w:b w:val="0"/>
          <w:bCs/>
          <w:color w:val="000000"/>
          <w:sz w:val="32"/>
          <w:szCs w:val="32"/>
          <w:lang w:val="zh-CN" w:eastAsia="zh-CN"/>
        </w:rPr>
        <w:t>五、财政拨款支出决算明细表</w:t>
      </w:r>
      <w:bookmarkEnd w:id="93"/>
      <w:bookmarkStart w:id="94" w:name="_Toc15396624"/>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r>
        <w:rPr>
          <w:rFonts w:hint="default" w:ascii="Times New Roman" w:hAnsi="Times New Roman" w:eastAsia="方正仿宋_GB2312" w:cs="Times New Roman"/>
          <w:b w:val="0"/>
          <w:bCs/>
          <w:color w:val="000000"/>
          <w:sz w:val="32"/>
          <w:szCs w:val="32"/>
          <w:lang w:val="zh-CN" w:eastAsia="zh-CN"/>
        </w:rPr>
        <w:t>六、一般公共预算财政拨款支出决算表</w:t>
      </w:r>
      <w:bookmarkEnd w:id="94"/>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5" w:name="_Toc15396625"/>
      <w:r>
        <w:rPr>
          <w:rFonts w:hint="default" w:ascii="Times New Roman" w:hAnsi="Times New Roman" w:eastAsia="方正仿宋_GB2312" w:cs="Times New Roman"/>
          <w:b w:val="0"/>
          <w:bCs/>
          <w:color w:val="000000"/>
          <w:sz w:val="32"/>
          <w:szCs w:val="32"/>
          <w:lang w:val="zh-CN" w:eastAsia="zh-CN"/>
        </w:rPr>
        <w:t>七、一般公共预算财政拨款支出决算明细表</w:t>
      </w:r>
      <w:bookmarkEnd w:id="95"/>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6" w:name="_Toc15396626"/>
      <w:r>
        <w:rPr>
          <w:rFonts w:hint="default" w:ascii="Times New Roman" w:hAnsi="Times New Roman" w:eastAsia="方正仿宋_GB2312" w:cs="Times New Roman"/>
          <w:b w:val="0"/>
          <w:bCs/>
          <w:color w:val="000000"/>
          <w:sz w:val="32"/>
          <w:szCs w:val="32"/>
          <w:lang w:val="zh-CN" w:eastAsia="zh-CN"/>
        </w:rPr>
        <w:t>八、一般公共预算财政拨款基本支出决算表</w:t>
      </w:r>
      <w:bookmarkEnd w:id="96"/>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7" w:name="_Toc15396627"/>
      <w:r>
        <w:rPr>
          <w:rFonts w:hint="default" w:ascii="Times New Roman" w:hAnsi="Times New Roman" w:eastAsia="方正仿宋_GB2312" w:cs="Times New Roman"/>
          <w:b w:val="0"/>
          <w:bCs/>
          <w:color w:val="000000"/>
          <w:sz w:val="32"/>
          <w:szCs w:val="32"/>
          <w:lang w:val="zh-CN" w:eastAsia="zh-CN"/>
        </w:rPr>
        <w:t>九、一般公共预算财政拨款项目支出决算表</w:t>
      </w:r>
      <w:bookmarkEnd w:id="97"/>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8" w:name="_Toc15396628"/>
      <w:r>
        <w:rPr>
          <w:rFonts w:hint="default" w:ascii="Times New Roman" w:hAnsi="Times New Roman" w:eastAsia="方正仿宋_GB2312" w:cs="Times New Roman"/>
          <w:b w:val="0"/>
          <w:bCs/>
          <w:color w:val="000000"/>
          <w:sz w:val="32"/>
          <w:szCs w:val="32"/>
          <w:lang w:val="zh-CN" w:eastAsia="zh-CN"/>
        </w:rPr>
        <w:t>十、</w:t>
      </w:r>
      <w:bookmarkEnd w:id="98"/>
      <w:r>
        <w:rPr>
          <w:rFonts w:hint="default" w:ascii="Times New Roman" w:hAnsi="Times New Roman" w:eastAsia="方正仿宋_GB2312" w:cs="Times New Roman"/>
          <w:b w:val="0"/>
          <w:bCs/>
          <w:color w:val="000000"/>
          <w:sz w:val="32"/>
          <w:szCs w:val="32"/>
          <w:lang w:val="zh-CN" w:eastAsia="zh-CN"/>
        </w:rPr>
        <w:t>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99" w:name="_Toc15396629"/>
      <w:r>
        <w:rPr>
          <w:rFonts w:hint="default" w:ascii="Times New Roman" w:hAnsi="Times New Roman" w:eastAsia="方正仿宋_GB2312" w:cs="Times New Roman"/>
          <w:b w:val="0"/>
          <w:bCs/>
          <w:color w:val="000000"/>
          <w:sz w:val="32"/>
          <w:szCs w:val="32"/>
          <w:lang w:val="zh-CN" w:eastAsia="zh-CN"/>
        </w:rPr>
        <w:t>十一、</w:t>
      </w:r>
      <w:bookmarkEnd w:id="99"/>
      <w:r>
        <w:rPr>
          <w:rFonts w:hint="default" w:ascii="Times New Roman" w:hAnsi="Times New Roman" w:eastAsia="方正仿宋_GB2312" w:cs="Times New Roman"/>
          <w:b w:val="0"/>
          <w:bCs/>
          <w:color w:val="000000"/>
          <w:sz w:val="32"/>
          <w:szCs w:val="32"/>
          <w:lang w:val="zh-CN" w:eastAsia="zh-CN"/>
        </w:rPr>
        <w:t>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100" w:name="_Toc15396630"/>
      <w:r>
        <w:rPr>
          <w:rFonts w:hint="default" w:ascii="Times New Roman" w:hAnsi="Times New Roman" w:eastAsia="方正仿宋_GB2312" w:cs="Times New Roman"/>
          <w:b w:val="0"/>
          <w:bCs/>
          <w:color w:val="000000"/>
          <w:sz w:val="32"/>
          <w:szCs w:val="32"/>
          <w:lang w:val="zh-CN" w:eastAsia="zh-CN"/>
        </w:rPr>
        <w:t>十二、</w:t>
      </w:r>
      <w:bookmarkEnd w:id="100"/>
      <w:r>
        <w:rPr>
          <w:rFonts w:hint="default" w:ascii="Times New Roman" w:hAnsi="Times New Roman" w:eastAsia="方正仿宋_GB2312" w:cs="Times New Roman"/>
          <w:b w:val="0"/>
          <w:bCs/>
          <w:color w:val="000000"/>
          <w:sz w:val="32"/>
          <w:szCs w:val="32"/>
          <w:lang w:val="zh-CN" w:eastAsia="zh-CN"/>
        </w:rPr>
        <w:t>国有资本经营预算财政拨款支出决算表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bookmarkStart w:id="101" w:name="_Toc15396631"/>
      <w:r>
        <w:rPr>
          <w:rFonts w:hint="default" w:ascii="Times New Roman" w:hAnsi="Times New Roman" w:eastAsia="方正仿宋_GB2312" w:cs="Times New Roman"/>
          <w:b w:val="0"/>
          <w:bCs/>
          <w:color w:val="000000"/>
          <w:sz w:val="32"/>
          <w:szCs w:val="32"/>
          <w:lang w:val="zh-CN" w:eastAsia="zh-CN"/>
        </w:rPr>
        <w:t>十三、</w:t>
      </w:r>
      <w:bookmarkEnd w:id="101"/>
      <w:r>
        <w:rPr>
          <w:rFonts w:hint="default" w:ascii="Times New Roman" w:hAnsi="Times New Roman" w:eastAsia="方正仿宋_GB2312" w:cs="Times New Roman"/>
          <w:b w:val="0"/>
          <w:bCs/>
          <w:color w:val="000000"/>
          <w:sz w:val="32"/>
          <w:szCs w:val="32"/>
          <w:lang w:val="zh-CN" w:eastAsia="zh-CN"/>
        </w:rPr>
        <w:t>财政拨款“三公”经费支出决算表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textAlignment w:val="auto"/>
        <w:rPr>
          <w:rFonts w:hint="default" w:ascii="Times New Roman" w:hAnsi="Times New Roman" w:eastAsia="方正仿宋_GB2312" w:cs="Times New Roman"/>
          <w:b w:val="0"/>
          <w:bCs/>
          <w:color w:val="000000"/>
          <w:sz w:val="32"/>
          <w:szCs w:val="32"/>
          <w:lang w:val="zh-CN" w:eastAsia="zh-CN"/>
        </w:rPr>
      </w:pPr>
    </w:p>
    <w:sectPr>
      <w:headerReference r:id="rId3" w:type="default"/>
      <w:footerReference r:id="rId4" w:type="default"/>
      <w:pgSz w:w="11906" w:h="16838"/>
      <w:pgMar w:top="2098" w:right="1474" w:bottom="1984" w:left="1587" w:header="907" w:footer="1644" w:gutter="0"/>
      <w:pgNumType w:fmt="decimal" w:start="1"/>
      <w:cols w:space="0" w:num="1"/>
      <w:rtlGutter w:val="0"/>
      <w:docGrid w:type="linesAndChars" w:linePitch="303"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11"/>
  <w:drawingGridVerticalSpacing w:val="15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85107"/>
    <w:rsid w:val="025E0D89"/>
    <w:rsid w:val="02FEBE30"/>
    <w:rsid w:val="030376E3"/>
    <w:rsid w:val="04916F1E"/>
    <w:rsid w:val="049525BD"/>
    <w:rsid w:val="061E35DE"/>
    <w:rsid w:val="063522D0"/>
    <w:rsid w:val="064A23B8"/>
    <w:rsid w:val="066E0107"/>
    <w:rsid w:val="07996F6E"/>
    <w:rsid w:val="07DFD8BA"/>
    <w:rsid w:val="08EA31F9"/>
    <w:rsid w:val="09867E8F"/>
    <w:rsid w:val="09F935EE"/>
    <w:rsid w:val="0A2032A3"/>
    <w:rsid w:val="0A411D6E"/>
    <w:rsid w:val="0AC90245"/>
    <w:rsid w:val="0CA8290A"/>
    <w:rsid w:val="0D35B1ED"/>
    <w:rsid w:val="0E16036C"/>
    <w:rsid w:val="0E254B6B"/>
    <w:rsid w:val="0F98263C"/>
    <w:rsid w:val="0FC26649"/>
    <w:rsid w:val="101860EC"/>
    <w:rsid w:val="101F47CC"/>
    <w:rsid w:val="108A0705"/>
    <w:rsid w:val="10C055FF"/>
    <w:rsid w:val="111D4066"/>
    <w:rsid w:val="11694EBD"/>
    <w:rsid w:val="11772AA4"/>
    <w:rsid w:val="118107EC"/>
    <w:rsid w:val="12811184"/>
    <w:rsid w:val="12C44055"/>
    <w:rsid w:val="12E24EE2"/>
    <w:rsid w:val="12EB28F2"/>
    <w:rsid w:val="13D50BC4"/>
    <w:rsid w:val="14B17F78"/>
    <w:rsid w:val="165E0673"/>
    <w:rsid w:val="169C77DB"/>
    <w:rsid w:val="16B831D5"/>
    <w:rsid w:val="16BB723D"/>
    <w:rsid w:val="16C92D7A"/>
    <w:rsid w:val="17E50567"/>
    <w:rsid w:val="17FF2717"/>
    <w:rsid w:val="186504BB"/>
    <w:rsid w:val="18697B91"/>
    <w:rsid w:val="18E37943"/>
    <w:rsid w:val="193D1A67"/>
    <w:rsid w:val="19A445FC"/>
    <w:rsid w:val="1A364410"/>
    <w:rsid w:val="1A501008"/>
    <w:rsid w:val="1BA07D6D"/>
    <w:rsid w:val="1BE8440E"/>
    <w:rsid w:val="1D155CEE"/>
    <w:rsid w:val="1D1638FE"/>
    <w:rsid w:val="1D952F20"/>
    <w:rsid w:val="1E312DEB"/>
    <w:rsid w:val="1E740ACF"/>
    <w:rsid w:val="1F826B41"/>
    <w:rsid w:val="1FF35744"/>
    <w:rsid w:val="1FF6BC77"/>
    <w:rsid w:val="207812B9"/>
    <w:rsid w:val="2186353C"/>
    <w:rsid w:val="22DC3905"/>
    <w:rsid w:val="23860B96"/>
    <w:rsid w:val="240371BF"/>
    <w:rsid w:val="242F7EE0"/>
    <w:rsid w:val="244F3473"/>
    <w:rsid w:val="24C97D99"/>
    <w:rsid w:val="25A718F0"/>
    <w:rsid w:val="25BB59F6"/>
    <w:rsid w:val="260F557C"/>
    <w:rsid w:val="26970054"/>
    <w:rsid w:val="26D73A91"/>
    <w:rsid w:val="271E783C"/>
    <w:rsid w:val="27FB5F98"/>
    <w:rsid w:val="281408E2"/>
    <w:rsid w:val="28B135BA"/>
    <w:rsid w:val="295D1170"/>
    <w:rsid w:val="29FD04D3"/>
    <w:rsid w:val="2B767688"/>
    <w:rsid w:val="2BFF7BC6"/>
    <w:rsid w:val="2C8A61B5"/>
    <w:rsid w:val="2DAA04E2"/>
    <w:rsid w:val="2DF04E50"/>
    <w:rsid w:val="2E586DFA"/>
    <w:rsid w:val="2E84005D"/>
    <w:rsid w:val="2E8B0409"/>
    <w:rsid w:val="2EB536D8"/>
    <w:rsid w:val="2F040D46"/>
    <w:rsid w:val="2F6B035B"/>
    <w:rsid w:val="2FAE5751"/>
    <w:rsid w:val="2FB1A395"/>
    <w:rsid w:val="2FBF1A5D"/>
    <w:rsid w:val="2FD9A7D8"/>
    <w:rsid w:val="2FDBF714"/>
    <w:rsid w:val="30AB6865"/>
    <w:rsid w:val="30C2287A"/>
    <w:rsid w:val="319F7F4E"/>
    <w:rsid w:val="32981347"/>
    <w:rsid w:val="32BD1EF1"/>
    <w:rsid w:val="3304709D"/>
    <w:rsid w:val="33A773CB"/>
    <w:rsid w:val="33EC54C5"/>
    <w:rsid w:val="349D6851"/>
    <w:rsid w:val="35125F9C"/>
    <w:rsid w:val="36AA5135"/>
    <w:rsid w:val="36BE0DA7"/>
    <w:rsid w:val="37515F68"/>
    <w:rsid w:val="376B6AA6"/>
    <w:rsid w:val="376D39B2"/>
    <w:rsid w:val="37E16F03"/>
    <w:rsid w:val="37F53A3B"/>
    <w:rsid w:val="381E1A51"/>
    <w:rsid w:val="389B6C89"/>
    <w:rsid w:val="38BE4F6A"/>
    <w:rsid w:val="38D469F0"/>
    <w:rsid w:val="391E5353"/>
    <w:rsid w:val="39627CCD"/>
    <w:rsid w:val="3971644D"/>
    <w:rsid w:val="397BAF1F"/>
    <w:rsid w:val="3AB79AF3"/>
    <w:rsid w:val="3ABE1CC4"/>
    <w:rsid w:val="3AE834C0"/>
    <w:rsid w:val="3B2077D1"/>
    <w:rsid w:val="3B7EF35A"/>
    <w:rsid w:val="3B924F66"/>
    <w:rsid w:val="3B9FDB6C"/>
    <w:rsid w:val="3BF5BC2F"/>
    <w:rsid w:val="3CAA23A2"/>
    <w:rsid w:val="3CD165D4"/>
    <w:rsid w:val="3CEBA265"/>
    <w:rsid w:val="3D98207C"/>
    <w:rsid w:val="3DEE7CF3"/>
    <w:rsid w:val="3E5A1396"/>
    <w:rsid w:val="3E740A63"/>
    <w:rsid w:val="3E78745D"/>
    <w:rsid w:val="3ED837BA"/>
    <w:rsid w:val="3EE17838"/>
    <w:rsid w:val="3F55381A"/>
    <w:rsid w:val="3F7F7599"/>
    <w:rsid w:val="3FA442F6"/>
    <w:rsid w:val="3FCB2D5B"/>
    <w:rsid w:val="3FF4CAE0"/>
    <w:rsid w:val="3FF7B227"/>
    <w:rsid w:val="41D45553"/>
    <w:rsid w:val="422C5607"/>
    <w:rsid w:val="42936CA9"/>
    <w:rsid w:val="42E111CF"/>
    <w:rsid w:val="42F75C15"/>
    <w:rsid w:val="43236033"/>
    <w:rsid w:val="44E268DA"/>
    <w:rsid w:val="450D13D7"/>
    <w:rsid w:val="45506656"/>
    <w:rsid w:val="46193053"/>
    <w:rsid w:val="46496788"/>
    <w:rsid w:val="486A6C7A"/>
    <w:rsid w:val="4A627F82"/>
    <w:rsid w:val="4B0E749A"/>
    <w:rsid w:val="4B2477C4"/>
    <w:rsid w:val="4B4F25DA"/>
    <w:rsid w:val="4B616322"/>
    <w:rsid w:val="4BDB73CE"/>
    <w:rsid w:val="4BE068DB"/>
    <w:rsid w:val="4C841BE8"/>
    <w:rsid w:val="4CA95D86"/>
    <w:rsid w:val="4D577224"/>
    <w:rsid w:val="4D834C75"/>
    <w:rsid w:val="4DBF1CEB"/>
    <w:rsid w:val="4DF0007C"/>
    <w:rsid w:val="4E2F6BAB"/>
    <w:rsid w:val="4EAB630A"/>
    <w:rsid w:val="4ECE2238"/>
    <w:rsid w:val="4F231B40"/>
    <w:rsid w:val="4F24642B"/>
    <w:rsid w:val="4F833267"/>
    <w:rsid w:val="4FE9BD67"/>
    <w:rsid w:val="4FFB052F"/>
    <w:rsid w:val="536B3C2A"/>
    <w:rsid w:val="537E6D0A"/>
    <w:rsid w:val="53F74C96"/>
    <w:rsid w:val="55170BA8"/>
    <w:rsid w:val="553218C9"/>
    <w:rsid w:val="55821CB6"/>
    <w:rsid w:val="567E1AA5"/>
    <w:rsid w:val="56E47B74"/>
    <w:rsid w:val="57175D52"/>
    <w:rsid w:val="57BD3DD4"/>
    <w:rsid w:val="58871392"/>
    <w:rsid w:val="58FB03D2"/>
    <w:rsid w:val="593037D7"/>
    <w:rsid w:val="5A040EEC"/>
    <w:rsid w:val="5AF92295"/>
    <w:rsid w:val="5B250254"/>
    <w:rsid w:val="5BDD79E6"/>
    <w:rsid w:val="5BF561CA"/>
    <w:rsid w:val="5BFF5DFC"/>
    <w:rsid w:val="5C2C0286"/>
    <w:rsid w:val="5CD71FC4"/>
    <w:rsid w:val="5D1F11B5"/>
    <w:rsid w:val="5D201AFA"/>
    <w:rsid w:val="5D3A3A0F"/>
    <w:rsid w:val="5D695134"/>
    <w:rsid w:val="5DAE1B18"/>
    <w:rsid w:val="5DB1138B"/>
    <w:rsid w:val="5DE7D9E5"/>
    <w:rsid w:val="5ECEC941"/>
    <w:rsid w:val="5EF35656"/>
    <w:rsid w:val="5FBF9FF3"/>
    <w:rsid w:val="5FCD4E2C"/>
    <w:rsid w:val="5FEF394A"/>
    <w:rsid w:val="5FF67715"/>
    <w:rsid w:val="623205C0"/>
    <w:rsid w:val="62967742"/>
    <w:rsid w:val="62BF3928"/>
    <w:rsid w:val="63B3701E"/>
    <w:rsid w:val="647F5392"/>
    <w:rsid w:val="649066EF"/>
    <w:rsid w:val="652F0DE7"/>
    <w:rsid w:val="65E66580"/>
    <w:rsid w:val="66383CCB"/>
    <w:rsid w:val="664B1D71"/>
    <w:rsid w:val="664B4E8E"/>
    <w:rsid w:val="670C4520"/>
    <w:rsid w:val="67277B67"/>
    <w:rsid w:val="674C11B0"/>
    <w:rsid w:val="679D64DC"/>
    <w:rsid w:val="67AA3209"/>
    <w:rsid w:val="67AC2BC3"/>
    <w:rsid w:val="67B26E58"/>
    <w:rsid w:val="684E5A28"/>
    <w:rsid w:val="68581C40"/>
    <w:rsid w:val="698D0931"/>
    <w:rsid w:val="6A7FE5F3"/>
    <w:rsid w:val="6B053271"/>
    <w:rsid w:val="6B3D425E"/>
    <w:rsid w:val="6BC56001"/>
    <w:rsid w:val="6BDD78B3"/>
    <w:rsid w:val="6C177B7B"/>
    <w:rsid w:val="6C4A05C8"/>
    <w:rsid w:val="6C8742B8"/>
    <w:rsid w:val="6CE36AAC"/>
    <w:rsid w:val="6D956814"/>
    <w:rsid w:val="6D9C70E5"/>
    <w:rsid w:val="6DBF5E93"/>
    <w:rsid w:val="6DFF077E"/>
    <w:rsid w:val="6E1E5FEC"/>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333A0D"/>
    <w:rsid w:val="715C0E4B"/>
    <w:rsid w:val="71992E7C"/>
    <w:rsid w:val="72233669"/>
    <w:rsid w:val="72255A4C"/>
    <w:rsid w:val="72734D90"/>
    <w:rsid w:val="72C214EC"/>
    <w:rsid w:val="73160E6D"/>
    <w:rsid w:val="7332FE48"/>
    <w:rsid w:val="733A1CC5"/>
    <w:rsid w:val="738A200A"/>
    <w:rsid w:val="73AB61DA"/>
    <w:rsid w:val="73AD73D5"/>
    <w:rsid w:val="73B6EB34"/>
    <w:rsid w:val="73FA497D"/>
    <w:rsid w:val="744731E5"/>
    <w:rsid w:val="744F4A89"/>
    <w:rsid w:val="74BBD01D"/>
    <w:rsid w:val="74ED5379"/>
    <w:rsid w:val="75DEEEC2"/>
    <w:rsid w:val="75E32345"/>
    <w:rsid w:val="76503EE4"/>
    <w:rsid w:val="76E3355F"/>
    <w:rsid w:val="76FF5125"/>
    <w:rsid w:val="776F6FFA"/>
    <w:rsid w:val="778769C8"/>
    <w:rsid w:val="77902BB7"/>
    <w:rsid w:val="779276DF"/>
    <w:rsid w:val="77A75DCA"/>
    <w:rsid w:val="77DC22F5"/>
    <w:rsid w:val="783E271A"/>
    <w:rsid w:val="78616DE9"/>
    <w:rsid w:val="78D5702C"/>
    <w:rsid w:val="78D75F7C"/>
    <w:rsid w:val="78E875D7"/>
    <w:rsid w:val="79086DAD"/>
    <w:rsid w:val="793D381D"/>
    <w:rsid w:val="79D7FD79"/>
    <w:rsid w:val="79EE5BA4"/>
    <w:rsid w:val="7A894339"/>
    <w:rsid w:val="7AD284E8"/>
    <w:rsid w:val="7AFF7572"/>
    <w:rsid w:val="7B13622C"/>
    <w:rsid w:val="7B6C7DFB"/>
    <w:rsid w:val="7BBFBED0"/>
    <w:rsid w:val="7BC3E394"/>
    <w:rsid w:val="7BF546E1"/>
    <w:rsid w:val="7C1F3737"/>
    <w:rsid w:val="7CAC20E2"/>
    <w:rsid w:val="7CBFC87B"/>
    <w:rsid w:val="7CFE0F48"/>
    <w:rsid w:val="7D272ABC"/>
    <w:rsid w:val="7D4A2718"/>
    <w:rsid w:val="7D770F5F"/>
    <w:rsid w:val="7D7EC23E"/>
    <w:rsid w:val="7E7F0E14"/>
    <w:rsid w:val="7E8ADEBF"/>
    <w:rsid w:val="7EEF11D3"/>
    <w:rsid w:val="7EFE4840"/>
    <w:rsid w:val="7F0971A6"/>
    <w:rsid w:val="7F1D62E7"/>
    <w:rsid w:val="7F3F679B"/>
    <w:rsid w:val="7F4FC4EF"/>
    <w:rsid w:val="7F5E4D54"/>
    <w:rsid w:val="7F6E0135"/>
    <w:rsid w:val="7F79F205"/>
    <w:rsid w:val="7FA04963"/>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9FA85"/>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qFormat/>
    <w:uiPriority w:val="0"/>
    <w:pPr>
      <w:suppressAutoHyphens/>
    </w:pPr>
    <w:rPr>
      <w:rFonts w:ascii="Calibri" w:hAnsi="Calibri"/>
    </w:rPr>
  </w:style>
  <w:style w:type="paragraph" w:styleId="9">
    <w:name w:val="Body Text"/>
    <w:basedOn w:val="1"/>
    <w:next w:val="8"/>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公1"/>
    <w:basedOn w:val="1"/>
    <w:next w:val="1"/>
    <w:qFormat/>
    <w:uiPriority w:val="0"/>
    <w:pPr>
      <w:ind w:firstLine="200" w:firstLineChars="200"/>
    </w:pPr>
    <w:rPr>
      <w:szCs w:val="20"/>
    </w:rPr>
  </w:style>
  <w:style w:type="character" w:customStyle="1" w:styleId="38">
    <w:name w:val="标题 2 字符1"/>
    <w:basedOn w:val="18"/>
    <w:link w:val="6"/>
    <w:qFormat/>
    <w:uiPriority w:val="9"/>
    <w:rPr>
      <w:rFonts w:ascii="Cambria" w:hAnsi="Cambria" w:eastAsia="宋体" w:cs="Times New Roman"/>
      <w:b/>
      <w:bCs/>
      <w:sz w:val="32"/>
      <w:szCs w:val="32"/>
    </w:rPr>
  </w:style>
  <w:style w:type="character" w:customStyle="1" w:styleId="39">
    <w:name w:val="fontstyle01"/>
    <w:basedOn w:val="1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4785</Words>
  <Characters>5196</Characters>
  <Lines>61</Lines>
  <Paragraphs>17</Paragraphs>
  <TotalTime>3</TotalTime>
  <ScaleCrop>false</ScaleCrop>
  <LinksUpToDate>false</LinksUpToDate>
  <CharactersWithSpaces>5239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2025-09-12T13:59:00Z</cp:lastPrinted>
  <dcterms:modified xsi:type="dcterms:W3CDTF">2025-09-15T17:27:08Z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B4D8F67D48E5486CB9A613272E8ED669_13</vt:lpwstr>
  </property>
  <property fmtid="{D5CDD505-2E9C-101B-9397-08002B2CF9AE}" pid="4" name="KSOTemplateDocerSaveRecord">
    <vt:lpwstr>eyJoZGlkIjoiY2IyNzMyNGY1YzQyM2ViNWQxNWY3M2RlNWJlNzQ2OWEiLCJ1c2VySWQiOiIzOTg1MTkyNDkifQ==</vt:lpwstr>
  </property>
</Properties>
</file>