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both"/>
        <w:rPr>
          <w:rFonts w:hint="eastAsia" w:ascii="Times New Roman" w:hAnsi="Times New Roman" w:eastAsia="方正小标宋简体" w:cs="Times New Roman"/>
          <w:color w:val="auto"/>
          <w:kern w:val="2"/>
          <w:sz w:val="44"/>
          <w:szCs w:val="44"/>
          <w:highlight w:val="none"/>
          <w:lang w:val="en-US" w:eastAsia="zh-CN" w:bidi="ar-SA"/>
        </w:rPr>
      </w:pPr>
      <w:bookmarkStart w:id="0" w:name="_Toc15396475"/>
      <w:bookmarkStart w:id="1" w:name="_Toc15378441"/>
      <w:bookmarkStart w:id="2" w:name="_Toc15396597"/>
      <w:bookmarkStart w:id="3" w:name="_Toc15377425"/>
      <w:bookmarkStart w:id="4" w:name="_Toc15377193"/>
      <w:bookmarkStart w:id="5" w:name="_Toc15306267"/>
    </w:p>
    <w:p>
      <w:pPr>
        <w:pStyle w:val="2"/>
        <w:jc w:val="both"/>
        <w:rPr>
          <w:rFonts w:hint="eastAsia" w:ascii="Times New Roman" w:hAnsi="Times New Roman" w:eastAsia="方正小标宋简体" w:cs="Times New Roman"/>
          <w:color w:val="auto"/>
          <w:kern w:val="2"/>
          <w:sz w:val="44"/>
          <w:szCs w:val="44"/>
          <w:highlight w:val="none"/>
          <w:lang w:val="en-US" w:eastAsia="zh-CN" w:bidi="ar-SA"/>
        </w:rPr>
      </w:pPr>
    </w:p>
    <w:p>
      <w:pPr>
        <w:pStyle w:val="2"/>
        <w:jc w:val="both"/>
        <w:rPr>
          <w:rFonts w:hint="eastAsia" w:ascii="Times New Roman" w:hAnsi="Times New Roman" w:eastAsia="方正小标宋简体" w:cs="Times New Roman"/>
          <w:color w:val="auto"/>
          <w:kern w:val="2"/>
          <w:sz w:val="44"/>
          <w:szCs w:val="44"/>
          <w:highlight w:val="none"/>
          <w:lang w:val="en-US" w:eastAsia="zh-CN" w:bidi="ar-SA"/>
        </w:rPr>
      </w:pPr>
    </w:p>
    <w:p>
      <w:pPr>
        <w:pStyle w:val="2"/>
        <w:jc w:val="both"/>
        <w:rPr>
          <w:rFonts w:hint="eastAsia" w:ascii="Times New Roman" w:hAnsi="Times New Roman" w:eastAsia="方正小标宋简体" w:cs="Times New Roman"/>
          <w:color w:val="auto"/>
          <w:kern w:val="2"/>
          <w:sz w:val="44"/>
          <w:szCs w:val="44"/>
          <w:highlight w:val="none"/>
          <w:lang w:val="en-US" w:eastAsia="zh-CN" w:bidi="ar-SA"/>
        </w:rPr>
      </w:pPr>
    </w:p>
    <w:p>
      <w:pPr>
        <w:pStyle w:val="2"/>
        <w:jc w:val="both"/>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p>
      <w:pPr>
        <w:pStyle w:val="2"/>
        <w:jc w:val="center"/>
        <w:rPr>
          <w:rFonts w:hint="eastAsia" w:ascii="Times New Roman" w:hAnsi="Times New Roman" w:eastAsia="方正小标宋简体" w:cs="Times New Roman"/>
          <w:color w:val="auto"/>
          <w:kern w:val="2"/>
          <w:sz w:val="44"/>
          <w:szCs w:val="44"/>
          <w:highlight w:val="none"/>
          <w:lang w:val="en-US" w:eastAsia="zh-CN" w:bidi="ar-SA"/>
        </w:rPr>
      </w:pPr>
      <w:bookmarkStart w:id="6" w:name="_Toc15378442"/>
      <w:bookmarkStart w:id="7" w:name="_Toc15396476"/>
      <w:bookmarkStart w:id="8" w:name="_Toc15377194"/>
      <w:bookmarkStart w:id="9" w:name="_Toc15377426"/>
      <w:bookmarkStart w:id="10" w:name="_Toc15396598"/>
      <w:r>
        <w:rPr>
          <w:rFonts w:hint="eastAsia" w:ascii="Times New Roman" w:hAnsi="Times New Roman" w:eastAsia="方正小标宋简体" w:cs="Times New Roman"/>
          <w:color w:val="auto"/>
          <w:kern w:val="2"/>
          <w:sz w:val="44"/>
          <w:szCs w:val="44"/>
          <w:highlight w:val="none"/>
          <w:lang w:val="en-US" w:eastAsia="zh-CN" w:bidi="ar-SA"/>
        </w:rPr>
        <w:t>2024年度四川省</w:t>
      </w:r>
      <w:bookmarkEnd w:id="5"/>
      <w:bookmarkStart w:id="11" w:name="_Toc15306268"/>
      <w:r>
        <w:rPr>
          <w:rFonts w:hint="eastAsia" w:ascii="Times New Roman" w:eastAsia="方正小标宋简体" w:cs="Times New Roman"/>
          <w:color w:val="auto"/>
          <w:kern w:val="2"/>
          <w:sz w:val="44"/>
          <w:szCs w:val="44"/>
          <w:highlight w:val="none"/>
          <w:lang w:val="en-US" w:eastAsia="zh-CN" w:bidi="ar-SA"/>
        </w:rPr>
        <w:t>攀枝花市残疾人康复教育中心单位</w:t>
      </w:r>
      <w:r>
        <w:rPr>
          <w:rFonts w:hint="eastAsia" w:ascii="Times New Roman" w:hAnsi="Times New Roman" w:eastAsia="方正小标宋简体" w:cs="Times New Roman"/>
          <w:color w:val="auto"/>
          <w:kern w:val="2"/>
          <w:sz w:val="44"/>
          <w:szCs w:val="44"/>
          <w:highlight w:val="none"/>
          <w:lang w:val="en-US" w:eastAsia="zh-CN" w:bidi="ar-SA"/>
        </w:rPr>
        <w:t>决算</w:t>
      </w:r>
      <w:bookmarkEnd w:id="6"/>
      <w:bookmarkEnd w:id="7"/>
      <w:bookmarkEnd w:id="8"/>
      <w:bookmarkEnd w:id="9"/>
      <w:bookmarkEnd w:id="10"/>
      <w:bookmarkEnd w:id="11"/>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val="en-US" w:eastAsia="zh-CN"/>
        </w:rPr>
      </w:pPr>
    </w:p>
    <w:p>
      <w:pPr>
        <w:widowControl/>
        <w:jc w:val="center"/>
        <w:rPr>
          <w:rFonts w:hint="eastAsia" w:ascii="黑体" w:hAnsi="黑体" w:eastAsia="黑体"/>
          <w:sz w:val="48"/>
          <w:szCs w:val="48"/>
        </w:rPr>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pPr>
        <w:widowControl/>
        <w:jc w:val="center"/>
        <w:rPr>
          <w:rFonts w:ascii="黑体" w:hAnsi="黑体" w:eastAsia="黑体"/>
          <w:sz w:val="48"/>
          <w:szCs w:val="48"/>
        </w:rPr>
      </w:pPr>
      <w:r>
        <w:rPr>
          <w:rFonts w:hint="eastAsia" w:ascii="黑体" w:hAnsi="黑体" w:eastAsia="黑体"/>
          <w:sz w:val="48"/>
          <w:szCs w:val="48"/>
        </w:rPr>
        <w:t>目录</w:t>
      </w:r>
    </w:p>
    <w:p>
      <w:pPr>
        <w:widowControl/>
        <w:jc w:val="center"/>
        <w:rPr>
          <w:rFonts w:ascii="黑体" w:hAnsi="黑体" w:eastAsia="黑体" w:cs="Times New Roman"/>
          <w:sz w:val="28"/>
          <w:szCs w:val="28"/>
        </w:rPr>
      </w:pPr>
      <w:bookmarkStart w:id="69" w:name="_GoBack"/>
      <w:bookmarkEnd w:id="69"/>
    </w:p>
    <w:p>
      <w:pPr>
        <w:pStyle w:val="12"/>
      </w:pPr>
      <w:r>
        <w:rPr>
          <w:rFonts w:hint="eastAsia"/>
        </w:rPr>
        <w:t>公开时间：202</w:t>
      </w:r>
      <w:r>
        <w:rPr>
          <w:rFonts w:hint="eastAsia"/>
          <w:lang w:val="en-US" w:eastAsia="zh-CN"/>
        </w:rPr>
        <w:t>4</w:t>
      </w:r>
      <w:r>
        <w:rPr>
          <w:rFonts w:hint="eastAsia"/>
        </w:rPr>
        <w:t>年9月</w:t>
      </w:r>
      <w:r>
        <w:rPr>
          <w:rFonts w:hint="eastAsia"/>
          <w:lang w:val="en-US" w:eastAsia="zh-CN"/>
        </w:rPr>
        <w:t>15</w:t>
      </w:r>
      <w:r>
        <w:rPr>
          <w:rFonts w:hint="eastAsia"/>
        </w:rPr>
        <w:t>日</w:t>
      </w:r>
    </w:p>
    <w:p>
      <w:pPr>
        <w:jc w:val="center"/>
        <w:rPr>
          <w:b/>
        </w:rPr>
      </w:pPr>
      <w:r>
        <w:fldChar w:fldCharType="begin"/>
      </w:r>
      <w:r>
        <w:instrText xml:space="preserve">TOC \o "1-2" \h \u </w:instrText>
      </w:r>
      <w:r>
        <w:fldChar w:fldCharType="separate"/>
      </w:r>
    </w:p>
    <w:p>
      <w:pPr>
        <w:pStyle w:val="35"/>
        <w:tabs>
          <w:tab w:val="right" w:leader="dot" w:pos="8306"/>
        </w:tabs>
        <w:rPr>
          <w:b/>
        </w:rPr>
      </w:pPr>
    </w:p>
    <w:p>
      <w:pPr>
        <w:pStyle w:val="35"/>
        <w:tabs>
          <w:tab w:val="right" w:leader="dot" w:pos="8306"/>
        </w:tabs>
        <w:rPr>
          <w:rFonts w:ascii="仿宋" w:hAnsi="仿宋" w:eastAsia="仿宋" w:cs="仿宋"/>
          <w:b/>
          <w:sz w:val="28"/>
          <w:szCs w:val="28"/>
        </w:rPr>
      </w:pPr>
      <w:r>
        <w:fldChar w:fldCharType="begin"/>
      </w:r>
      <w:r>
        <w:instrText xml:space="preserve"> HYPERLINK \l "_Toc1260" </w:instrText>
      </w:r>
      <w:r>
        <w:fldChar w:fldCharType="separate"/>
      </w:r>
      <w:r>
        <w:rPr>
          <w:rFonts w:hint="eastAsia" w:ascii="仿宋" w:hAnsi="仿宋" w:eastAsia="仿宋" w:cs="仿宋"/>
          <w:b/>
          <w:sz w:val="28"/>
          <w:szCs w:val="28"/>
        </w:rPr>
        <w:t>第一部分 单位概况</w:t>
      </w:r>
      <w:r>
        <w:rPr>
          <w:rFonts w:hint="eastAsia" w:ascii="仿宋" w:hAnsi="仿宋" w:eastAsia="仿宋" w:cs="仿宋"/>
          <w:b/>
          <w:sz w:val="28"/>
          <w:szCs w:val="28"/>
        </w:rPr>
        <w:tab/>
      </w:r>
      <w:r>
        <w:rPr>
          <w:rFonts w:hint="eastAsia" w:ascii="仿宋" w:hAnsi="仿宋" w:eastAsia="仿宋" w:cs="仿宋"/>
          <w:b/>
          <w:sz w:val="28"/>
          <w:szCs w:val="28"/>
          <w:lang w:val="en-US" w:eastAsia="zh-CN"/>
        </w:rPr>
        <w:t>3</w:t>
      </w:r>
      <w:r>
        <w:rPr>
          <w:rFonts w:hint="eastAsia" w:ascii="仿宋" w:hAnsi="仿宋" w:eastAsia="仿宋" w:cs="仿宋"/>
          <w:b/>
          <w:sz w:val="28"/>
          <w:szCs w:val="28"/>
        </w:rPr>
        <w:fldChar w:fldCharType="end"/>
      </w:r>
    </w:p>
    <w:p>
      <w:pPr>
        <w:pStyle w:val="36"/>
        <w:tabs>
          <w:tab w:val="right" w:leader="dot" w:pos="8306"/>
        </w:tabs>
        <w:ind w:left="420"/>
        <w:rPr>
          <w:rFonts w:ascii="仿宋" w:hAnsi="仿宋" w:eastAsia="仿宋" w:cs="仿宋"/>
          <w:sz w:val="28"/>
          <w:szCs w:val="28"/>
        </w:rPr>
      </w:pPr>
      <w:r>
        <w:fldChar w:fldCharType="begin"/>
      </w:r>
      <w:r>
        <w:instrText xml:space="preserve"> HYPERLINK \l "_Toc1175" </w:instrText>
      </w:r>
      <w:r>
        <w:fldChar w:fldCharType="separate"/>
      </w:r>
      <w:r>
        <w:rPr>
          <w:rFonts w:hint="eastAsia" w:ascii="仿宋" w:hAnsi="仿宋" w:eastAsia="仿宋" w:cs="仿宋"/>
          <w:sz w:val="28"/>
          <w:szCs w:val="28"/>
        </w:rPr>
        <w:t>一、</w:t>
      </w:r>
      <w:r>
        <w:rPr>
          <w:rFonts w:hint="eastAsia" w:ascii="仿宋" w:hAnsi="仿宋" w:eastAsia="仿宋" w:cs="仿宋"/>
          <w:sz w:val="28"/>
          <w:szCs w:val="28"/>
          <w:lang w:val="en-US" w:eastAsia="zh-CN"/>
        </w:rPr>
        <w:t>单位职责</w:t>
      </w:r>
      <w:r>
        <w:rPr>
          <w:rFonts w:hint="eastAsia" w:ascii="仿宋" w:hAnsi="仿宋" w:eastAsia="仿宋" w:cs="仿宋"/>
          <w:sz w:val="28"/>
          <w:szCs w:val="28"/>
        </w:rPr>
        <w:tab/>
      </w:r>
      <w:r>
        <w:rPr>
          <w:rFonts w:hint="eastAsia" w:ascii="仿宋" w:hAnsi="仿宋" w:eastAsia="仿宋" w:cs="仿宋"/>
          <w:sz w:val="28"/>
          <w:szCs w:val="28"/>
          <w:lang w:val="en-US" w:eastAsia="zh-CN"/>
        </w:rPr>
        <w:t>3</w:t>
      </w:r>
      <w:r>
        <w:rPr>
          <w:rFonts w:hint="eastAsia" w:ascii="仿宋" w:hAnsi="仿宋" w:eastAsia="仿宋" w:cs="仿宋"/>
          <w:sz w:val="28"/>
          <w:szCs w:val="28"/>
        </w:rPr>
        <w:fldChar w:fldCharType="end"/>
      </w:r>
    </w:p>
    <w:p>
      <w:pPr>
        <w:pStyle w:val="36"/>
        <w:tabs>
          <w:tab w:val="right" w:leader="dot" w:pos="8306"/>
        </w:tabs>
        <w:ind w:left="420"/>
        <w:rPr>
          <w:rFonts w:ascii="仿宋" w:hAnsi="仿宋" w:eastAsia="仿宋" w:cs="仿宋"/>
          <w:sz w:val="28"/>
          <w:szCs w:val="28"/>
        </w:rPr>
      </w:pPr>
      <w:r>
        <w:fldChar w:fldCharType="begin"/>
      </w:r>
      <w:r>
        <w:instrText xml:space="preserve"> HYPERLINK \l "_Toc10056" </w:instrText>
      </w:r>
      <w:r>
        <w:fldChar w:fldCharType="separate"/>
      </w:r>
      <w:r>
        <w:rPr>
          <w:rFonts w:hint="eastAsia" w:ascii="仿宋" w:hAnsi="仿宋" w:eastAsia="仿宋" w:cs="仿宋"/>
          <w:sz w:val="28"/>
          <w:szCs w:val="28"/>
        </w:rPr>
        <w:t>二、</w:t>
      </w:r>
      <w:r>
        <w:rPr>
          <w:rFonts w:hint="eastAsia" w:ascii="仿宋" w:hAnsi="仿宋" w:eastAsia="仿宋" w:cs="仿宋"/>
          <w:sz w:val="28"/>
          <w:szCs w:val="28"/>
          <w:lang w:val="en-US" w:eastAsia="zh-CN"/>
        </w:rPr>
        <w:t>机构设置</w:t>
      </w:r>
      <w:r>
        <w:rPr>
          <w:rFonts w:hint="eastAsia" w:ascii="仿宋" w:hAnsi="仿宋" w:eastAsia="仿宋" w:cs="仿宋"/>
          <w:sz w:val="28"/>
          <w:szCs w:val="28"/>
        </w:rPr>
        <w:tab/>
      </w:r>
      <w:r>
        <w:rPr>
          <w:rFonts w:hint="eastAsia" w:ascii="仿宋" w:hAnsi="仿宋" w:eastAsia="仿宋" w:cs="仿宋"/>
          <w:sz w:val="28"/>
          <w:szCs w:val="28"/>
          <w:lang w:val="en-US" w:eastAsia="zh-CN"/>
        </w:rPr>
        <w:t>3</w:t>
      </w:r>
      <w:r>
        <w:rPr>
          <w:rFonts w:hint="eastAsia" w:ascii="仿宋" w:hAnsi="仿宋" w:eastAsia="仿宋" w:cs="仿宋"/>
          <w:sz w:val="28"/>
          <w:szCs w:val="28"/>
        </w:rPr>
        <w:fldChar w:fldCharType="end"/>
      </w:r>
    </w:p>
    <w:p>
      <w:pPr>
        <w:pStyle w:val="35"/>
        <w:tabs>
          <w:tab w:val="right" w:leader="dot" w:pos="8306"/>
        </w:tabs>
        <w:rPr>
          <w:rFonts w:ascii="仿宋" w:hAnsi="仿宋" w:eastAsia="仿宋" w:cs="仿宋"/>
          <w:b/>
          <w:sz w:val="28"/>
          <w:szCs w:val="28"/>
        </w:rPr>
      </w:pPr>
      <w:r>
        <w:fldChar w:fldCharType="begin"/>
      </w:r>
      <w:r>
        <w:instrText xml:space="preserve"> HYPERLINK \l "_Toc17423" </w:instrText>
      </w:r>
      <w:r>
        <w:fldChar w:fldCharType="separate"/>
      </w:r>
      <w:r>
        <w:rPr>
          <w:rFonts w:hint="eastAsia" w:ascii="仿宋" w:hAnsi="仿宋" w:eastAsia="仿宋" w:cs="仿宋"/>
          <w:b/>
          <w:bCs/>
          <w:sz w:val="28"/>
          <w:szCs w:val="28"/>
        </w:rPr>
        <w:t>第二部分 202</w:t>
      </w:r>
      <w:r>
        <w:rPr>
          <w:rFonts w:hint="eastAsia" w:ascii="仿宋" w:hAnsi="仿宋" w:eastAsia="仿宋" w:cs="仿宋"/>
          <w:b/>
          <w:bCs/>
          <w:sz w:val="28"/>
          <w:szCs w:val="28"/>
          <w:lang w:val="en-US" w:eastAsia="zh-CN"/>
        </w:rPr>
        <w:t>4</w:t>
      </w:r>
      <w:r>
        <w:rPr>
          <w:rFonts w:hint="eastAsia" w:ascii="仿宋" w:hAnsi="仿宋" w:eastAsia="仿宋" w:cs="仿宋"/>
          <w:b/>
          <w:bCs/>
          <w:sz w:val="28"/>
          <w:szCs w:val="28"/>
        </w:rPr>
        <w:t>年度单位决算情况说明</w:t>
      </w:r>
      <w:r>
        <w:rPr>
          <w:rFonts w:hint="eastAsia" w:ascii="仿宋" w:hAnsi="仿宋" w:eastAsia="仿宋" w:cs="仿宋"/>
          <w:b/>
          <w:sz w:val="28"/>
          <w:szCs w:val="28"/>
        </w:rPr>
        <w:tab/>
      </w:r>
      <w:r>
        <w:rPr>
          <w:rFonts w:hint="eastAsia" w:ascii="仿宋" w:hAnsi="仿宋" w:eastAsia="仿宋" w:cs="仿宋"/>
          <w:b/>
          <w:sz w:val="28"/>
          <w:szCs w:val="28"/>
          <w:lang w:val="en-US" w:eastAsia="zh-CN"/>
        </w:rPr>
        <w:t>4</w:t>
      </w:r>
      <w:r>
        <w:rPr>
          <w:rFonts w:hint="eastAsia" w:ascii="仿宋" w:hAnsi="仿宋" w:eastAsia="仿宋" w:cs="仿宋"/>
          <w:b/>
          <w:sz w:val="28"/>
          <w:szCs w:val="28"/>
        </w:rPr>
        <w:fldChar w:fldCharType="end"/>
      </w:r>
    </w:p>
    <w:p>
      <w:pPr>
        <w:pStyle w:val="36"/>
        <w:tabs>
          <w:tab w:val="right" w:leader="dot" w:pos="8306"/>
        </w:tabs>
        <w:ind w:left="420"/>
        <w:rPr>
          <w:rFonts w:ascii="仿宋" w:hAnsi="仿宋" w:eastAsia="仿宋" w:cs="仿宋"/>
          <w:sz w:val="28"/>
          <w:szCs w:val="28"/>
        </w:rPr>
      </w:pPr>
      <w:r>
        <w:fldChar w:fldCharType="begin"/>
      </w:r>
      <w:r>
        <w:instrText xml:space="preserve"> HYPERLINK \l "_Toc24920" </w:instrText>
      </w:r>
      <w:r>
        <w:fldChar w:fldCharType="separate"/>
      </w:r>
      <w:r>
        <w:rPr>
          <w:rFonts w:hint="eastAsia" w:ascii="仿宋" w:hAnsi="仿宋" w:eastAsia="仿宋" w:cs="仿宋"/>
          <w:sz w:val="28"/>
          <w:szCs w:val="28"/>
        </w:rPr>
        <w:t>一、收入支出决算总体情况说明</w:t>
      </w:r>
      <w:r>
        <w:rPr>
          <w:rFonts w:hint="eastAsia" w:ascii="仿宋" w:hAnsi="仿宋" w:eastAsia="仿宋" w:cs="仿宋"/>
          <w:sz w:val="28"/>
          <w:szCs w:val="28"/>
        </w:rPr>
        <w:tab/>
      </w:r>
      <w:r>
        <w:rPr>
          <w:rFonts w:hint="eastAsia" w:ascii="仿宋" w:hAnsi="仿宋" w:eastAsia="仿宋" w:cs="仿宋"/>
          <w:sz w:val="28"/>
          <w:szCs w:val="28"/>
          <w:lang w:val="en-US" w:eastAsia="zh-CN"/>
        </w:rPr>
        <w:t>4</w:t>
      </w:r>
      <w:r>
        <w:rPr>
          <w:rFonts w:hint="eastAsia" w:ascii="仿宋" w:hAnsi="仿宋" w:eastAsia="仿宋" w:cs="仿宋"/>
          <w:sz w:val="28"/>
          <w:szCs w:val="28"/>
        </w:rPr>
        <w:fldChar w:fldCharType="end"/>
      </w:r>
    </w:p>
    <w:p>
      <w:pPr>
        <w:pStyle w:val="36"/>
        <w:tabs>
          <w:tab w:val="right" w:leader="dot" w:pos="8306"/>
        </w:tabs>
        <w:ind w:left="420"/>
        <w:rPr>
          <w:rFonts w:ascii="仿宋" w:hAnsi="仿宋" w:eastAsia="仿宋" w:cs="仿宋"/>
          <w:sz w:val="28"/>
          <w:szCs w:val="28"/>
        </w:rPr>
      </w:pPr>
      <w:r>
        <w:fldChar w:fldCharType="begin"/>
      </w:r>
      <w:r>
        <w:instrText xml:space="preserve"> HYPERLINK \l "_Toc26640" </w:instrText>
      </w:r>
      <w:r>
        <w:fldChar w:fldCharType="separate"/>
      </w:r>
      <w:r>
        <w:rPr>
          <w:rFonts w:hint="eastAsia" w:ascii="仿宋" w:hAnsi="仿宋" w:eastAsia="仿宋" w:cs="仿宋"/>
          <w:sz w:val="28"/>
          <w:szCs w:val="28"/>
        </w:rPr>
        <w:t>二、收入决算情况说明</w:t>
      </w:r>
      <w:r>
        <w:rPr>
          <w:rFonts w:hint="eastAsia" w:ascii="仿宋" w:hAnsi="仿宋" w:eastAsia="仿宋" w:cs="仿宋"/>
          <w:sz w:val="28"/>
          <w:szCs w:val="28"/>
        </w:rPr>
        <w:tab/>
      </w:r>
      <w:r>
        <w:rPr>
          <w:rFonts w:hint="eastAsia" w:ascii="仿宋" w:hAnsi="仿宋" w:eastAsia="仿宋" w:cs="仿宋"/>
          <w:sz w:val="28"/>
          <w:szCs w:val="28"/>
          <w:lang w:val="en-US" w:eastAsia="zh-CN"/>
        </w:rPr>
        <w:t>4</w:t>
      </w:r>
      <w:r>
        <w:rPr>
          <w:rFonts w:hint="eastAsia" w:ascii="仿宋" w:hAnsi="仿宋" w:eastAsia="仿宋" w:cs="仿宋"/>
          <w:sz w:val="28"/>
          <w:szCs w:val="28"/>
        </w:rPr>
        <w:fldChar w:fldCharType="end"/>
      </w:r>
    </w:p>
    <w:p>
      <w:pPr>
        <w:pStyle w:val="36"/>
        <w:tabs>
          <w:tab w:val="right" w:leader="dot" w:pos="8306"/>
        </w:tabs>
        <w:ind w:left="420"/>
        <w:rPr>
          <w:rFonts w:ascii="仿宋" w:hAnsi="仿宋" w:eastAsia="仿宋" w:cs="仿宋"/>
          <w:sz w:val="28"/>
          <w:szCs w:val="28"/>
        </w:rPr>
      </w:pPr>
      <w:r>
        <w:fldChar w:fldCharType="begin"/>
      </w:r>
      <w:r>
        <w:instrText xml:space="preserve"> HYPERLINK \l "_Toc15717" </w:instrText>
      </w:r>
      <w:r>
        <w:fldChar w:fldCharType="separate"/>
      </w:r>
      <w:r>
        <w:rPr>
          <w:rFonts w:hint="eastAsia" w:ascii="仿宋" w:hAnsi="仿宋" w:eastAsia="仿宋" w:cs="仿宋"/>
          <w:sz w:val="28"/>
          <w:szCs w:val="28"/>
        </w:rPr>
        <w:t>三、支出决算情况说明</w:t>
      </w:r>
      <w:r>
        <w:rPr>
          <w:rFonts w:hint="eastAsia" w:ascii="仿宋" w:hAnsi="仿宋" w:eastAsia="仿宋" w:cs="仿宋"/>
          <w:sz w:val="28"/>
          <w:szCs w:val="28"/>
        </w:rPr>
        <w:tab/>
      </w:r>
      <w:r>
        <w:rPr>
          <w:rFonts w:hint="eastAsia" w:ascii="仿宋" w:hAnsi="仿宋" w:eastAsia="仿宋" w:cs="仿宋"/>
          <w:sz w:val="28"/>
          <w:szCs w:val="28"/>
          <w:lang w:val="en-US" w:eastAsia="zh-CN"/>
        </w:rPr>
        <w:t>5</w:t>
      </w:r>
      <w:r>
        <w:rPr>
          <w:rFonts w:hint="eastAsia" w:ascii="仿宋" w:hAnsi="仿宋" w:eastAsia="仿宋" w:cs="仿宋"/>
          <w:sz w:val="28"/>
          <w:szCs w:val="28"/>
        </w:rPr>
        <w:fldChar w:fldCharType="end"/>
      </w:r>
    </w:p>
    <w:p>
      <w:pPr>
        <w:pStyle w:val="36"/>
        <w:tabs>
          <w:tab w:val="right" w:leader="dot" w:pos="8306"/>
        </w:tabs>
        <w:ind w:left="420"/>
        <w:rPr>
          <w:rFonts w:hint="eastAsia" w:ascii="仿宋" w:hAnsi="仿宋" w:eastAsia="仿宋" w:cs="仿宋"/>
          <w:sz w:val="28"/>
          <w:szCs w:val="28"/>
          <w:lang w:eastAsia="zh-CN"/>
        </w:rPr>
      </w:pPr>
      <w:r>
        <w:fldChar w:fldCharType="begin"/>
      </w:r>
      <w:r>
        <w:instrText xml:space="preserve"> HYPERLINK \l "_Toc20380" </w:instrText>
      </w:r>
      <w:r>
        <w:fldChar w:fldCharType="separate"/>
      </w:r>
      <w:r>
        <w:rPr>
          <w:rFonts w:hint="eastAsia" w:ascii="仿宋" w:hAnsi="仿宋" w:eastAsia="仿宋" w:cs="仿宋"/>
          <w:sz w:val="28"/>
          <w:szCs w:val="28"/>
        </w:rPr>
        <w:t>四、财政拨款收入支出决算总体情况说明</w:t>
      </w:r>
      <w:r>
        <w:rPr>
          <w:rFonts w:hint="eastAsia" w:ascii="仿宋" w:hAnsi="仿宋" w:eastAsia="仿宋" w:cs="仿宋"/>
          <w:sz w:val="28"/>
          <w:szCs w:val="28"/>
        </w:rPr>
        <w:tab/>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5</w:t>
      </w:r>
    </w:p>
    <w:p>
      <w:pPr>
        <w:pStyle w:val="36"/>
        <w:tabs>
          <w:tab w:val="right" w:leader="dot" w:pos="8306"/>
        </w:tabs>
        <w:ind w:left="420"/>
        <w:rPr>
          <w:rFonts w:ascii="仿宋" w:hAnsi="仿宋" w:eastAsia="仿宋" w:cs="仿宋"/>
          <w:sz w:val="28"/>
          <w:szCs w:val="28"/>
        </w:rPr>
      </w:pPr>
      <w:r>
        <w:fldChar w:fldCharType="begin"/>
      </w:r>
      <w:r>
        <w:instrText xml:space="preserve"> HYPERLINK \l "_Toc3021" </w:instrText>
      </w:r>
      <w:r>
        <w:fldChar w:fldCharType="separate"/>
      </w:r>
      <w:r>
        <w:rPr>
          <w:rFonts w:hint="eastAsia" w:ascii="仿宋" w:hAnsi="仿宋" w:eastAsia="仿宋" w:cs="仿宋"/>
          <w:sz w:val="28"/>
          <w:szCs w:val="28"/>
        </w:rPr>
        <w:t>五、一般公共预算财政拨款支出决算情况说明</w:t>
      </w:r>
      <w:r>
        <w:rPr>
          <w:rFonts w:hint="eastAsia" w:ascii="仿宋" w:hAnsi="仿宋" w:eastAsia="仿宋" w:cs="仿宋"/>
          <w:sz w:val="28"/>
          <w:szCs w:val="28"/>
        </w:rPr>
        <w:tab/>
      </w:r>
      <w:r>
        <w:rPr>
          <w:rFonts w:hint="eastAsia" w:ascii="仿宋" w:hAnsi="仿宋" w:eastAsia="仿宋" w:cs="仿宋"/>
          <w:sz w:val="28"/>
          <w:szCs w:val="28"/>
          <w:lang w:val="en-US" w:eastAsia="zh-CN"/>
        </w:rPr>
        <w:t>6</w:t>
      </w:r>
      <w:r>
        <w:rPr>
          <w:rFonts w:hint="eastAsia" w:ascii="仿宋" w:hAnsi="仿宋" w:eastAsia="仿宋" w:cs="仿宋"/>
          <w:sz w:val="28"/>
          <w:szCs w:val="28"/>
        </w:rPr>
        <w:fldChar w:fldCharType="end"/>
      </w:r>
    </w:p>
    <w:p>
      <w:pPr>
        <w:pStyle w:val="36"/>
        <w:tabs>
          <w:tab w:val="right" w:leader="dot" w:pos="8306"/>
        </w:tabs>
        <w:ind w:left="420"/>
        <w:rPr>
          <w:rFonts w:ascii="仿宋" w:hAnsi="仿宋" w:eastAsia="仿宋" w:cs="仿宋"/>
          <w:sz w:val="28"/>
          <w:szCs w:val="28"/>
        </w:rPr>
      </w:pPr>
      <w:r>
        <w:fldChar w:fldCharType="begin"/>
      </w:r>
      <w:r>
        <w:instrText xml:space="preserve"> HYPERLINK \l "_Toc16959" </w:instrText>
      </w:r>
      <w:r>
        <w:fldChar w:fldCharType="separate"/>
      </w:r>
      <w:r>
        <w:rPr>
          <w:rFonts w:hint="eastAsia" w:ascii="仿宋" w:hAnsi="仿宋" w:eastAsia="仿宋" w:cs="仿宋"/>
          <w:sz w:val="28"/>
          <w:szCs w:val="28"/>
        </w:rPr>
        <w:t>六、一般公共预算财政拨款基本支出决算情况说明</w:t>
      </w:r>
      <w:r>
        <w:rPr>
          <w:rFonts w:hint="eastAsia" w:ascii="仿宋" w:hAnsi="仿宋" w:eastAsia="仿宋" w:cs="仿宋"/>
          <w:sz w:val="28"/>
          <w:szCs w:val="28"/>
        </w:rPr>
        <w:tab/>
      </w:r>
      <w:r>
        <w:rPr>
          <w:rFonts w:hint="eastAsia" w:ascii="仿宋" w:hAnsi="仿宋" w:eastAsia="仿宋" w:cs="仿宋"/>
          <w:sz w:val="28"/>
          <w:szCs w:val="28"/>
          <w:lang w:val="en-US" w:eastAsia="zh-CN"/>
        </w:rPr>
        <w:t>8</w:t>
      </w:r>
      <w:r>
        <w:rPr>
          <w:rFonts w:hint="eastAsia" w:ascii="仿宋" w:hAnsi="仿宋" w:eastAsia="仿宋" w:cs="仿宋"/>
          <w:sz w:val="28"/>
          <w:szCs w:val="28"/>
        </w:rPr>
        <w:fldChar w:fldCharType="end"/>
      </w:r>
    </w:p>
    <w:p>
      <w:pPr>
        <w:pStyle w:val="36"/>
        <w:tabs>
          <w:tab w:val="right" w:leader="dot" w:pos="8306"/>
        </w:tabs>
        <w:ind w:left="420"/>
        <w:rPr>
          <w:rFonts w:ascii="仿宋" w:hAnsi="仿宋" w:eastAsia="仿宋" w:cs="仿宋"/>
          <w:sz w:val="28"/>
          <w:szCs w:val="28"/>
        </w:rPr>
      </w:pPr>
      <w:r>
        <w:fldChar w:fldCharType="begin"/>
      </w:r>
      <w:r>
        <w:instrText xml:space="preserve"> HYPERLINK \l "_Toc28167" </w:instrText>
      </w:r>
      <w:r>
        <w:fldChar w:fldCharType="separate"/>
      </w:r>
      <w:r>
        <w:rPr>
          <w:rFonts w:hint="eastAsia" w:ascii="仿宋" w:hAnsi="仿宋" w:eastAsia="仿宋" w:cs="仿宋"/>
          <w:sz w:val="28"/>
          <w:szCs w:val="28"/>
        </w:rPr>
        <w:t>七、</w:t>
      </w:r>
      <w:r>
        <w:rPr>
          <w:rFonts w:hint="eastAsia" w:ascii="仿宋" w:hAnsi="仿宋" w:eastAsia="仿宋" w:cs="仿宋"/>
          <w:sz w:val="28"/>
          <w:szCs w:val="28"/>
          <w:lang w:val="en-US" w:eastAsia="zh-CN"/>
        </w:rPr>
        <w:t>财政拨款</w:t>
      </w:r>
      <w:r>
        <w:rPr>
          <w:rFonts w:hint="eastAsia" w:ascii="仿宋" w:hAnsi="仿宋" w:eastAsia="仿宋" w:cs="仿宋"/>
          <w:sz w:val="28"/>
          <w:szCs w:val="28"/>
        </w:rPr>
        <w:t>“三公”经费支出决算情况说明</w:t>
      </w:r>
      <w:r>
        <w:rPr>
          <w:rFonts w:hint="eastAsia" w:ascii="仿宋" w:hAnsi="仿宋" w:eastAsia="仿宋" w:cs="仿宋"/>
          <w:sz w:val="28"/>
          <w:szCs w:val="28"/>
        </w:rPr>
        <w:tab/>
      </w:r>
      <w:r>
        <w:rPr>
          <w:rFonts w:hint="eastAsia" w:ascii="仿宋" w:hAnsi="仿宋" w:eastAsia="仿宋" w:cs="仿宋"/>
          <w:sz w:val="28"/>
          <w:szCs w:val="28"/>
          <w:lang w:val="en-US" w:eastAsia="zh-CN"/>
        </w:rPr>
        <w:t>9</w:t>
      </w:r>
      <w:r>
        <w:rPr>
          <w:rFonts w:hint="eastAsia" w:ascii="仿宋" w:hAnsi="仿宋" w:eastAsia="仿宋" w:cs="仿宋"/>
          <w:sz w:val="28"/>
          <w:szCs w:val="28"/>
        </w:rPr>
        <w:fldChar w:fldCharType="end"/>
      </w:r>
    </w:p>
    <w:p>
      <w:pPr>
        <w:pStyle w:val="36"/>
        <w:tabs>
          <w:tab w:val="right" w:leader="dot" w:pos="8306"/>
        </w:tabs>
        <w:ind w:left="420"/>
        <w:rPr>
          <w:rFonts w:ascii="仿宋" w:hAnsi="仿宋" w:eastAsia="仿宋" w:cs="仿宋"/>
          <w:sz w:val="28"/>
          <w:szCs w:val="28"/>
        </w:rPr>
      </w:pPr>
      <w:r>
        <w:fldChar w:fldCharType="begin"/>
      </w:r>
      <w:r>
        <w:instrText xml:space="preserve"> HYPERLINK \l "_Toc3271" </w:instrText>
      </w:r>
      <w:r>
        <w:fldChar w:fldCharType="separate"/>
      </w:r>
      <w:r>
        <w:rPr>
          <w:rFonts w:hint="eastAsia" w:ascii="仿宋" w:hAnsi="仿宋" w:eastAsia="仿宋" w:cs="仿宋"/>
          <w:sz w:val="28"/>
          <w:szCs w:val="28"/>
        </w:rPr>
        <w:t>八、政府性基金预算支出决算情况说明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_Toc3271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lang w:val="en-US" w:eastAsia="zh-CN"/>
        </w:rPr>
        <w:t>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36"/>
        <w:tabs>
          <w:tab w:val="right" w:leader="dot" w:pos="8306"/>
        </w:tabs>
        <w:ind w:left="420"/>
        <w:rPr>
          <w:rFonts w:ascii="仿宋" w:hAnsi="仿宋" w:eastAsia="仿宋" w:cs="仿宋"/>
          <w:sz w:val="28"/>
          <w:szCs w:val="28"/>
        </w:rPr>
      </w:pPr>
      <w:r>
        <w:fldChar w:fldCharType="begin"/>
      </w:r>
      <w:r>
        <w:instrText xml:space="preserve"> HYPERLINK \l "_Toc23535" </w:instrText>
      </w:r>
      <w:r>
        <w:fldChar w:fldCharType="separate"/>
      </w:r>
      <w:r>
        <w:rPr>
          <w:rFonts w:hint="eastAsia" w:ascii="仿宋" w:hAnsi="仿宋" w:eastAsia="仿宋" w:cs="仿宋"/>
          <w:sz w:val="28"/>
          <w:szCs w:val="28"/>
        </w:rPr>
        <w:t>九、国有资本经营预算支出决算情况说明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_Toc23535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36"/>
        <w:tabs>
          <w:tab w:val="right" w:leader="dot" w:pos="8306"/>
        </w:tabs>
        <w:ind w:left="420"/>
        <w:rPr>
          <w:rFonts w:ascii="仿宋" w:hAnsi="仿宋" w:eastAsia="仿宋" w:cs="仿宋"/>
          <w:sz w:val="28"/>
          <w:szCs w:val="28"/>
        </w:rPr>
      </w:pPr>
      <w:r>
        <w:fldChar w:fldCharType="begin"/>
      </w:r>
      <w:r>
        <w:instrText xml:space="preserve"> HYPERLINK \l "_Toc30516" </w:instrText>
      </w:r>
      <w:r>
        <w:fldChar w:fldCharType="separate"/>
      </w:r>
      <w:r>
        <w:rPr>
          <w:rFonts w:hint="eastAsia" w:ascii="仿宋" w:hAnsi="仿宋" w:eastAsia="仿宋" w:cs="仿宋"/>
          <w:sz w:val="28"/>
          <w:szCs w:val="28"/>
        </w:rPr>
        <w:t>十、其他重要事项的情况说明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_Toc30516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35"/>
        <w:tabs>
          <w:tab w:val="right" w:leader="dot" w:pos="8306"/>
        </w:tabs>
        <w:rPr>
          <w:rFonts w:hint="eastAsia" w:ascii="仿宋" w:hAnsi="仿宋" w:eastAsia="仿宋" w:cs="仿宋"/>
          <w:b/>
          <w:sz w:val="28"/>
          <w:szCs w:val="28"/>
          <w:lang w:val="en-US" w:eastAsia="zh-CN"/>
        </w:rPr>
      </w:pPr>
      <w:r>
        <w:fldChar w:fldCharType="begin"/>
      </w:r>
      <w:r>
        <w:instrText xml:space="preserve"> HYPERLINK \l "_Toc10841" </w:instrText>
      </w:r>
      <w:r>
        <w:fldChar w:fldCharType="separate"/>
      </w:r>
      <w:r>
        <w:rPr>
          <w:rFonts w:hint="eastAsia" w:ascii="仿宋" w:hAnsi="仿宋" w:eastAsia="仿宋" w:cs="仿宋"/>
          <w:b/>
          <w:sz w:val="28"/>
          <w:szCs w:val="28"/>
        </w:rPr>
        <w:t>第三部分 名词解释</w:t>
      </w:r>
      <w:r>
        <w:rPr>
          <w:rFonts w:hint="eastAsia" w:ascii="仿宋" w:hAnsi="仿宋" w:eastAsia="仿宋" w:cs="仿宋"/>
          <w:b/>
          <w:sz w:val="28"/>
          <w:szCs w:val="28"/>
        </w:rPr>
        <w:tab/>
      </w:r>
      <w:r>
        <w:rPr>
          <w:rFonts w:hint="eastAsia" w:ascii="仿宋" w:hAnsi="仿宋" w:eastAsia="仿宋" w:cs="仿宋"/>
          <w:b/>
          <w:sz w:val="28"/>
          <w:szCs w:val="28"/>
          <w:lang w:val="en-US" w:eastAsia="zh-CN"/>
        </w:rPr>
        <w:t>1</w:t>
      </w:r>
      <w:r>
        <w:rPr>
          <w:rFonts w:hint="eastAsia" w:ascii="仿宋" w:hAnsi="仿宋" w:eastAsia="仿宋" w:cs="仿宋"/>
          <w:b/>
          <w:sz w:val="28"/>
          <w:szCs w:val="28"/>
        </w:rPr>
        <w:fldChar w:fldCharType="end"/>
      </w:r>
      <w:r>
        <w:rPr>
          <w:rFonts w:hint="eastAsia" w:ascii="仿宋" w:hAnsi="仿宋" w:eastAsia="仿宋" w:cs="仿宋"/>
          <w:b/>
          <w:sz w:val="28"/>
          <w:szCs w:val="28"/>
          <w:lang w:val="en-US" w:eastAsia="zh-CN"/>
        </w:rPr>
        <w:t>3</w:t>
      </w:r>
    </w:p>
    <w:p>
      <w:pPr>
        <w:pStyle w:val="35"/>
        <w:tabs>
          <w:tab w:val="right" w:leader="dot" w:pos="8306"/>
        </w:tabs>
        <w:rPr>
          <w:rFonts w:hint="eastAsia" w:ascii="仿宋" w:hAnsi="仿宋" w:eastAsia="仿宋" w:cs="仿宋"/>
          <w:b/>
          <w:sz w:val="28"/>
          <w:szCs w:val="28"/>
          <w:lang w:val="en-US" w:eastAsia="zh-CN"/>
        </w:rPr>
      </w:pPr>
      <w:r>
        <w:fldChar w:fldCharType="begin"/>
      </w:r>
      <w:r>
        <w:instrText xml:space="preserve"> HYPERLINK \l "_Toc25721" </w:instrText>
      </w:r>
      <w:r>
        <w:fldChar w:fldCharType="separate"/>
      </w:r>
      <w:r>
        <w:rPr>
          <w:rFonts w:hint="eastAsia" w:ascii="仿宋" w:hAnsi="仿宋" w:eastAsia="仿宋" w:cs="仿宋"/>
          <w:b/>
          <w:sz w:val="28"/>
          <w:szCs w:val="28"/>
        </w:rPr>
        <w:t>第四部分 附件</w:t>
      </w:r>
      <w:r>
        <w:rPr>
          <w:rFonts w:hint="eastAsia" w:ascii="仿宋" w:hAnsi="仿宋" w:eastAsia="仿宋" w:cs="仿宋"/>
          <w:b/>
          <w:sz w:val="28"/>
          <w:szCs w:val="28"/>
        </w:rPr>
        <w:tab/>
      </w:r>
      <w:r>
        <w:rPr>
          <w:rFonts w:hint="eastAsia" w:ascii="仿宋" w:hAnsi="仿宋" w:eastAsia="仿宋" w:cs="仿宋"/>
          <w:b/>
          <w:sz w:val="28"/>
          <w:szCs w:val="28"/>
          <w:lang w:val="en-US" w:eastAsia="zh-CN"/>
        </w:rPr>
        <w:t>1</w:t>
      </w:r>
      <w:r>
        <w:rPr>
          <w:rFonts w:hint="eastAsia" w:ascii="仿宋" w:hAnsi="仿宋" w:eastAsia="仿宋" w:cs="仿宋"/>
          <w:b/>
          <w:sz w:val="28"/>
          <w:szCs w:val="28"/>
        </w:rPr>
        <w:fldChar w:fldCharType="end"/>
      </w:r>
      <w:r>
        <w:rPr>
          <w:rFonts w:hint="eastAsia" w:ascii="仿宋" w:hAnsi="仿宋" w:eastAsia="仿宋" w:cs="仿宋"/>
          <w:b/>
          <w:sz w:val="28"/>
          <w:szCs w:val="28"/>
          <w:lang w:val="en-US" w:eastAsia="zh-CN"/>
        </w:rPr>
        <w:t>6</w:t>
      </w:r>
    </w:p>
    <w:p>
      <w:pPr>
        <w:pStyle w:val="35"/>
        <w:tabs>
          <w:tab w:val="right" w:leader="dot" w:pos="8306"/>
        </w:tabs>
        <w:rPr>
          <w:rFonts w:hint="eastAsia" w:ascii="仿宋" w:hAnsi="仿宋" w:eastAsia="仿宋" w:cs="仿宋"/>
          <w:b/>
          <w:sz w:val="28"/>
          <w:szCs w:val="28"/>
          <w:lang w:eastAsia="zh-CN"/>
        </w:rPr>
      </w:pPr>
      <w:r>
        <w:fldChar w:fldCharType="begin"/>
      </w:r>
      <w:r>
        <w:instrText xml:space="preserve"> HYPERLINK \l "_Toc8465" </w:instrText>
      </w:r>
      <w:r>
        <w:fldChar w:fldCharType="separate"/>
      </w:r>
      <w:r>
        <w:rPr>
          <w:rFonts w:hint="eastAsia" w:ascii="仿宋" w:hAnsi="仿宋" w:eastAsia="仿宋" w:cs="仿宋"/>
          <w:b/>
          <w:sz w:val="28"/>
          <w:szCs w:val="28"/>
        </w:rPr>
        <w:t>第五部分 附表</w:t>
      </w:r>
      <w:r>
        <w:rPr>
          <w:rFonts w:hint="eastAsia" w:ascii="仿宋" w:hAnsi="仿宋" w:eastAsia="仿宋" w:cs="仿宋"/>
          <w:b/>
          <w:sz w:val="28"/>
          <w:szCs w:val="28"/>
        </w:rPr>
        <w:tab/>
      </w:r>
      <w:r>
        <w:rPr>
          <w:rFonts w:hint="eastAsia" w:ascii="仿宋" w:hAnsi="仿宋" w:eastAsia="仿宋" w:cs="仿宋"/>
          <w:b/>
          <w:sz w:val="28"/>
          <w:szCs w:val="28"/>
          <w:lang w:val="en-US" w:eastAsia="zh-CN"/>
        </w:rPr>
        <w:t>1</w:t>
      </w:r>
      <w:r>
        <w:rPr>
          <w:rFonts w:hint="eastAsia" w:ascii="仿宋" w:hAnsi="仿宋" w:eastAsia="仿宋" w:cs="仿宋"/>
          <w:b/>
          <w:sz w:val="28"/>
          <w:szCs w:val="28"/>
        </w:rPr>
        <w:fldChar w:fldCharType="end"/>
      </w:r>
      <w:r>
        <w:rPr>
          <w:rFonts w:hint="eastAsia" w:ascii="仿宋" w:hAnsi="仿宋" w:eastAsia="仿宋" w:cs="仿宋"/>
          <w:b/>
          <w:sz w:val="28"/>
          <w:szCs w:val="28"/>
          <w:lang w:val="en-US" w:eastAsia="zh-CN"/>
        </w:rPr>
        <w:t>7</w:t>
      </w:r>
    </w:p>
    <w:p>
      <w:pPr>
        <w:pStyle w:val="36"/>
        <w:tabs>
          <w:tab w:val="right" w:leader="dot" w:pos="8306"/>
        </w:tabs>
        <w:ind w:left="420"/>
        <w:rPr>
          <w:rFonts w:hint="eastAsia" w:ascii="仿宋" w:hAnsi="仿宋" w:eastAsia="仿宋" w:cs="仿宋"/>
          <w:sz w:val="28"/>
          <w:szCs w:val="28"/>
          <w:lang w:eastAsia="zh-CN"/>
        </w:rPr>
      </w:pPr>
      <w:r>
        <w:fldChar w:fldCharType="begin"/>
      </w:r>
      <w:r>
        <w:instrText xml:space="preserve"> HYPERLINK \l "_Toc17604" </w:instrText>
      </w:r>
      <w:r>
        <w:fldChar w:fldCharType="separate"/>
      </w:r>
      <w:r>
        <w:rPr>
          <w:rFonts w:hint="eastAsia" w:ascii="仿宋" w:hAnsi="仿宋" w:eastAsia="仿宋" w:cs="仿宋"/>
          <w:sz w:val="28"/>
          <w:szCs w:val="28"/>
        </w:rPr>
        <w:t>一、收入支出决算总表</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7</w:t>
      </w:r>
    </w:p>
    <w:p>
      <w:pPr>
        <w:pStyle w:val="36"/>
        <w:tabs>
          <w:tab w:val="right" w:leader="dot" w:pos="8306"/>
        </w:tabs>
        <w:ind w:left="420"/>
        <w:rPr>
          <w:rFonts w:hint="eastAsia" w:ascii="仿宋" w:hAnsi="仿宋" w:eastAsia="仿宋" w:cs="仿宋"/>
          <w:sz w:val="28"/>
          <w:szCs w:val="28"/>
          <w:lang w:eastAsia="zh-CN"/>
        </w:rPr>
      </w:pPr>
      <w:r>
        <w:fldChar w:fldCharType="begin"/>
      </w:r>
      <w:r>
        <w:instrText xml:space="preserve"> HYPERLINK \l "_Toc24443" </w:instrText>
      </w:r>
      <w:r>
        <w:fldChar w:fldCharType="separate"/>
      </w:r>
      <w:r>
        <w:rPr>
          <w:rFonts w:hint="eastAsia" w:ascii="仿宋" w:hAnsi="仿宋" w:eastAsia="仿宋" w:cs="仿宋"/>
          <w:sz w:val="28"/>
          <w:szCs w:val="28"/>
        </w:rPr>
        <w:t>二、收入决算表</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7</w:t>
      </w:r>
    </w:p>
    <w:p>
      <w:pPr>
        <w:pStyle w:val="36"/>
        <w:tabs>
          <w:tab w:val="right" w:leader="dot" w:pos="8306"/>
        </w:tabs>
        <w:ind w:left="420"/>
        <w:rPr>
          <w:rFonts w:hint="eastAsia" w:ascii="仿宋" w:hAnsi="仿宋" w:eastAsia="仿宋" w:cs="仿宋"/>
          <w:sz w:val="28"/>
          <w:szCs w:val="28"/>
          <w:lang w:eastAsia="zh-CN"/>
        </w:rPr>
      </w:pPr>
      <w:r>
        <w:fldChar w:fldCharType="begin"/>
      </w:r>
      <w:r>
        <w:instrText xml:space="preserve"> HYPERLINK \l "_Toc19861" </w:instrText>
      </w:r>
      <w:r>
        <w:fldChar w:fldCharType="separate"/>
      </w:r>
      <w:r>
        <w:rPr>
          <w:rFonts w:hint="eastAsia" w:ascii="仿宋" w:hAnsi="仿宋" w:eastAsia="仿宋" w:cs="仿宋"/>
          <w:sz w:val="28"/>
          <w:szCs w:val="28"/>
        </w:rPr>
        <w:t>三、支出决算表</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7</w:t>
      </w:r>
    </w:p>
    <w:p>
      <w:pPr>
        <w:pStyle w:val="36"/>
        <w:tabs>
          <w:tab w:val="right" w:leader="dot" w:pos="8306"/>
        </w:tabs>
        <w:ind w:left="420"/>
        <w:rPr>
          <w:rFonts w:hint="eastAsia" w:ascii="仿宋" w:hAnsi="仿宋" w:eastAsia="仿宋" w:cs="仿宋"/>
          <w:sz w:val="28"/>
          <w:szCs w:val="28"/>
          <w:lang w:eastAsia="zh-CN"/>
        </w:rPr>
      </w:pPr>
      <w:r>
        <w:fldChar w:fldCharType="begin"/>
      </w:r>
      <w:r>
        <w:instrText xml:space="preserve"> HYPERLINK \l "_Toc6521" </w:instrText>
      </w:r>
      <w:r>
        <w:fldChar w:fldCharType="separate"/>
      </w:r>
      <w:r>
        <w:rPr>
          <w:rFonts w:hint="eastAsia" w:ascii="仿宋" w:hAnsi="仿宋" w:eastAsia="仿宋" w:cs="仿宋"/>
          <w:sz w:val="28"/>
          <w:szCs w:val="28"/>
        </w:rPr>
        <w:t>四、财政拨款收入支出决算总表</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7</w:t>
      </w:r>
    </w:p>
    <w:p>
      <w:pPr>
        <w:pStyle w:val="36"/>
        <w:tabs>
          <w:tab w:val="right" w:leader="dot" w:pos="8306"/>
        </w:tabs>
        <w:ind w:left="420"/>
        <w:rPr>
          <w:rFonts w:hint="eastAsia" w:ascii="仿宋" w:hAnsi="仿宋" w:eastAsia="仿宋" w:cs="仿宋"/>
          <w:sz w:val="28"/>
          <w:szCs w:val="28"/>
          <w:lang w:eastAsia="zh-CN"/>
        </w:rPr>
      </w:pPr>
      <w:r>
        <w:fldChar w:fldCharType="begin"/>
      </w:r>
      <w:r>
        <w:instrText xml:space="preserve"> HYPERLINK \l "_Toc16488" </w:instrText>
      </w:r>
      <w:r>
        <w:fldChar w:fldCharType="separate"/>
      </w:r>
      <w:r>
        <w:rPr>
          <w:rFonts w:hint="eastAsia" w:ascii="仿宋" w:hAnsi="仿宋" w:eastAsia="仿宋" w:cs="仿宋"/>
          <w:sz w:val="28"/>
          <w:szCs w:val="28"/>
        </w:rPr>
        <w:t>五、财政拨款支出决算明细表</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7</w:t>
      </w:r>
    </w:p>
    <w:p>
      <w:pPr>
        <w:pStyle w:val="36"/>
        <w:tabs>
          <w:tab w:val="right" w:leader="dot" w:pos="8306"/>
        </w:tabs>
        <w:ind w:left="420"/>
        <w:rPr>
          <w:rFonts w:hint="eastAsia" w:ascii="仿宋" w:hAnsi="仿宋" w:eastAsia="仿宋" w:cs="仿宋"/>
          <w:sz w:val="28"/>
          <w:szCs w:val="28"/>
          <w:lang w:eastAsia="zh-CN"/>
        </w:rPr>
      </w:pPr>
      <w:r>
        <w:fldChar w:fldCharType="begin"/>
      </w:r>
      <w:r>
        <w:instrText xml:space="preserve"> HYPERLINK \l "_Toc1079" </w:instrText>
      </w:r>
      <w:r>
        <w:fldChar w:fldCharType="separate"/>
      </w:r>
      <w:r>
        <w:rPr>
          <w:rFonts w:hint="eastAsia" w:ascii="仿宋" w:hAnsi="仿宋" w:eastAsia="仿宋" w:cs="仿宋"/>
          <w:sz w:val="28"/>
          <w:szCs w:val="28"/>
        </w:rPr>
        <w:t>六、一般公共预算财政拨款支出决算表</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7</w:t>
      </w:r>
    </w:p>
    <w:p>
      <w:pPr>
        <w:pStyle w:val="36"/>
        <w:tabs>
          <w:tab w:val="right" w:leader="dot" w:pos="8306"/>
        </w:tabs>
        <w:ind w:left="420"/>
        <w:rPr>
          <w:rFonts w:hint="eastAsia" w:ascii="仿宋" w:hAnsi="仿宋" w:eastAsia="仿宋" w:cs="仿宋"/>
          <w:sz w:val="28"/>
          <w:szCs w:val="28"/>
          <w:lang w:eastAsia="zh-CN"/>
        </w:rPr>
      </w:pPr>
      <w:r>
        <w:fldChar w:fldCharType="begin"/>
      </w:r>
      <w:r>
        <w:instrText xml:space="preserve"> HYPERLINK \l "_Toc17826" </w:instrText>
      </w:r>
      <w:r>
        <w:fldChar w:fldCharType="separate"/>
      </w:r>
      <w:r>
        <w:rPr>
          <w:rFonts w:hint="eastAsia" w:ascii="仿宋" w:hAnsi="仿宋" w:eastAsia="仿宋" w:cs="仿宋"/>
          <w:sz w:val="28"/>
          <w:szCs w:val="28"/>
        </w:rPr>
        <w:t>七、一般公共预算财政拨款支出决算明细表</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7</w:t>
      </w:r>
    </w:p>
    <w:p>
      <w:pPr>
        <w:pStyle w:val="36"/>
        <w:tabs>
          <w:tab w:val="right" w:leader="dot" w:pos="8306"/>
        </w:tabs>
        <w:ind w:left="420"/>
        <w:rPr>
          <w:rFonts w:hint="eastAsia" w:ascii="仿宋" w:hAnsi="仿宋" w:eastAsia="仿宋" w:cs="仿宋"/>
          <w:sz w:val="28"/>
          <w:szCs w:val="28"/>
          <w:lang w:eastAsia="zh-CN"/>
        </w:rPr>
      </w:pPr>
      <w:r>
        <w:fldChar w:fldCharType="begin"/>
      </w:r>
      <w:r>
        <w:instrText xml:space="preserve"> HYPERLINK \l "_Toc30414" </w:instrText>
      </w:r>
      <w:r>
        <w:fldChar w:fldCharType="separate"/>
      </w:r>
      <w:r>
        <w:rPr>
          <w:rFonts w:hint="eastAsia" w:ascii="仿宋" w:hAnsi="仿宋" w:eastAsia="仿宋" w:cs="仿宋"/>
          <w:sz w:val="28"/>
          <w:szCs w:val="28"/>
        </w:rPr>
        <w:t>八、一般公共预算财政拨款基本支出决算</w:t>
      </w:r>
      <w:r>
        <w:rPr>
          <w:rFonts w:hint="eastAsia" w:ascii="仿宋" w:hAnsi="仿宋" w:eastAsia="仿宋" w:cs="仿宋"/>
          <w:sz w:val="28"/>
          <w:szCs w:val="28"/>
          <w:lang w:val="en-US" w:eastAsia="zh-CN"/>
        </w:rPr>
        <w:t>明细</w:t>
      </w:r>
      <w:r>
        <w:rPr>
          <w:rFonts w:hint="eastAsia" w:ascii="仿宋" w:hAnsi="仿宋" w:eastAsia="仿宋" w:cs="仿宋"/>
          <w:sz w:val="28"/>
          <w:szCs w:val="28"/>
        </w:rPr>
        <w:t>表</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7</w:t>
      </w:r>
    </w:p>
    <w:p>
      <w:pPr>
        <w:pStyle w:val="36"/>
        <w:tabs>
          <w:tab w:val="right" w:leader="dot" w:pos="8306"/>
        </w:tabs>
        <w:ind w:left="420"/>
        <w:rPr>
          <w:rFonts w:hint="eastAsia" w:ascii="仿宋" w:hAnsi="仿宋" w:eastAsia="仿宋" w:cs="仿宋"/>
          <w:sz w:val="28"/>
          <w:szCs w:val="28"/>
          <w:lang w:eastAsia="zh-CN"/>
        </w:rPr>
      </w:pPr>
      <w:r>
        <w:fldChar w:fldCharType="begin"/>
      </w:r>
      <w:r>
        <w:instrText xml:space="preserve"> HYPERLINK \l "_Toc28465" </w:instrText>
      </w:r>
      <w:r>
        <w:fldChar w:fldCharType="separate"/>
      </w:r>
      <w:r>
        <w:rPr>
          <w:rFonts w:hint="eastAsia" w:ascii="仿宋" w:hAnsi="仿宋" w:eastAsia="仿宋" w:cs="仿宋"/>
          <w:sz w:val="28"/>
          <w:szCs w:val="28"/>
        </w:rPr>
        <w:t>九、一般公共预算财政拨款项目支出决算表</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7</w:t>
      </w:r>
    </w:p>
    <w:p>
      <w:pPr>
        <w:pStyle w:val="36"/>
        <w:tabs>
          <w:tab w:val="right" w:leader="dot" w:pos="8306"/>
        </w:tabs>
        <w:ind w:left="420"/>
        <w:rPr>
          <w:rFonts w:hint="eastAsia" w:ascii="仿宋" w:hAnsi="仿宋" w:eastAsia="仿宋" w:cs="仿宋"/>
          <w:sz w:val="28"/>
          <w:szCs w:val="28"/>
          <w:lang w:eastAsia="zh-CN"/>
        </w:rPr>
      </w:pPr>
      <w:r>
        <w:fldChar w:fldCharType="begin"/>
      </w:r>
      <w:r>
        <w:instrText xml:space="preserve"> HYPERLINK \l "_Toc23999" </w:instrText>
      </w:r>
      <w:r>
        <w:fldChar w:fldCharType="separate"/>
      </w:r>
      <w:r>
        <w:rPr>
          <w:rFonts w:hint="eastAsia" w:ascii="仿宋" w:hAnsi="仿宋" w:eastAsia="仿宋" w:cs="仿宋"/>
          <w:sz w:val="28"/>
          <w:szCs w:val="28"/>
        </w:rPr>
        <w:t>十、</w:t>
      </w:r>
      <w:r>
        <w:rPr>
          <w:rFonts w:hint="eastAsia" w:ascii="仿宋" w:hAnsi="仿宋" w:eastAsia="仿宋" w:cs="仿宋"/>
          <w:sz w:val="28"/>
          <w:szCs w:val="28"/>
          <w:lang w:val="en-US" w:eastAsia="zh-CN"/>
        </w:rPr>
        <w:t>政府性基金预算财政拨款收入支出决算表</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7</w:t>
      </w:r>
    </w:p>
    <w:p>
      <w:pPr>
        <w:pStyle w:val="36"/>
        <w:tabs>
          <w:tab w:val="right" w:leader="dot" w:pos="8306"/>
        </w:tabs>
        <w:ind w:left="420"/>
        <w:rPr>
          <w:rFonts w:hint="eastAsia" w:ascii="仿宋" w:hAnsi="仿宋" w:eastAsia="仿宋" w:cs="仿宋"/>
          <w:sz w:val="28"/>
          <w:szCs w:val="28"/>
          <w:lang w:eastAsia="zh-CN"/>
        </w:rPr>
      </w:pPr>
      <w:r>
        <w:fldChar w:fldCharType="begin"/>
      </w:r>
      <w:r>
        <w:instrText xml:space="preserve"> HYPERLINK \l "_Toc22687" </w:instrText>
      </w:r>
      <w:r>
        <w:fldChar w:fldCharType="separate"/>
      </w:r>
      <w:r>
        <w:rPr>
          <w:rFonts w:hint="eastAsia" w:ascii="仿宋" w:hAnsi="仿宋" w:eastAsia="仿宋" w:cs="仿宋"/>
          <w:sz w:val="28"/>
          <w:szCs w:val="28"/>
        </w:rPr>
        <w:t>十一、</w:t>
      </w:r>
      <w:r>
        <w:rPr>
          <w:rFonts w:hint="eastAsia" w:ascii="仿宋" w:hAnsi="仿宋" w:eastAsia="仿宋" w:cs="仿宋"/>
          <w:sz w:val="28"/>
          <w:szCs w:val="28"/>
          <w:lang w:val="en-US" w:eastAsia="zh-CN"/>
        </w:rPr>
        <w:t>国有资本经营预算财政拨款收入支出决算表</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7</w:t>
      </w:r>
    </w:p>
    <w:p>
      <w:pPr>
        <w:pStyle w:val="36"/>
        <w:tabs>
          <w:tab w:val="right" w:leader="dot" w:pos="8306"/>
        </w:tabs>
        <w:ind w:left="420"/>
        <w:rPr>
          <w:rFonts w:hint="eastAsia" w:ascii="仿宋" w:hAnsi="仿宋" w:eastAsia="仿宋" w:cs="仿宋"/>
          <w:sz w:val="28"/>
          <w:szCs w:val="28"/>
          <w:lang w:eastAsia="zh-CN"/>
        </w:rPr>
      </w:pPr>
      <w:r>
        <w:fldChar w:fldCharType="begin"/>
      </w:r>
      <w:r>
        <w:instrText xml:space="preserve"> HYPERLINK \l "_Toc27477" </w:instrText>
      </w:r>
      <w:r>
        <w:fldChar w:fldCharType="separate"/>
      </w:r>
      <w:r>
        <w:rPr>
          <w:rFonts w:hint="eastAsia" w:ascii="仿宋" w:hAnsi="仿宋" w:eastAsia="仿宋" w:cs="仿宋"/>
          <w:sz w:val="28"/>
          <w:szCs w:val="28"/>
        </w:rPr>
        <w:t>十二、</w:t>
      </w:r>
      <w:r>
        <w:rPr>
          <w:rFonts w:hint="eastAsia" w:ascii="仿宋" w:hAnsi="仿宋" w:eastAsia="仿宋" w:cs="仿宋"/>
          <w:sz w:val="28"/>
          <w:szCs w:val="28"/>
          <w:lang w:val="en-US" w:eastAsia="zh-CN"/>
        </w:rPr>
        <w:t>国有资本经营预算财政拨款支出决算表</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7</w:t>
      </w:r>
    </w:p>
    <w:p>
      <w:pPr>
        <w:pStyle w:val="36"/>
        <w:tabs>
          <w:tab w:val="right" w:leader="dot" w:pos="8306"/>
        </w:tabs>
        <w:ind w:left="420"/>
        <w:rPr>
          <w:rFonts w:hint="eastAsia" w:ascii="仿宋" w:hAnsi="仿宋" w:eastAsia="仿宋" w:cs="仿宋"/>
          <w:sz w:val="28"/>
          <w:szCs w:val="28"/>
          <w:lang w:eastAsia="zh-CN"/>
        </w:rPr>
      </w:pPr>
      <w:r>
        <w:fldChar w:fldCharType="begin"/>
      </w:r>
      <w:r>
        <w:instrText xml:space="preserve"> HYPERLINK \l "_Toc25701" </w:instrText>
      </w:r>
      <w:r>
        <w:fldChar w:fldCharType="separate"/>
      </w:r>
      <w:r>
        <w:rPr>
          <w:rFonts w:hint="eastAsia" w:ascii="仿宋" w:hAnsi="仿宋" w:eastAsia="仿宋" w:cs="仿宋"/>
          <w:sz w:val="28"/>
          <w:szCs w:val="28"/>
        </w:rPr>
        <w:t>十三、</w:t>
      </w:r>
      <w:r>
        <w:rPr>
          <w:rFonts w:hint="eastAsia" w:ascii="仿宋" w:hAnsi="仿宋" w:eastAsia="仿宋" w:cs="仿宋"/>
          <w:sz w:val="28"/>
          <w:szCs w:val="28"/>
          <w:lang w:val="en-US" w:eastAsia="zh-CN"/>
        </w:rPr>
        <w:t>财政拨款“三公”经费支出决算表</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7</w:t>
      </w:r>
    </w:p>
    <w:p>
      <w:pPr>
        <w:pStyle w:val="36"/>
        <w:tabs>
          <w:tab w:val="right" w:leader="dot" w:pos="8306"/>
        </w:tabs>
        <w:rPr>
          <w:rFonts w:hint="eastAsia" w:eastAsia="仿宋"/>
          <w:lang w:eastAsia="zh-CN"/>
        </w:rPr>
      </w:pP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421" w:firstLineChars="200"/>
        <w:jc w:val="left"/>
        <w:textAlignment w:val="auto"/>
        <w:rPr>
          <w:rFonts w:hint="eastAsia" w:ascii="Times New Roman" w:hAnsi="Times New Roman" w:eastAsia="仿宋_GB2312" w:cs="仿宋_GB2312"/>
          <w:b/>
          <w:bCs/>
          <w:color w:val="auto"/>
          <w:sz w:val="32"/>
          <w:szCs w:val="32"/>
          <w:highlight w:val="none"/>
          <w:lang w:eastAsia="zh-CN"/>
        </w:rPr>
      </w:pPr>
      <w:r>
        <w:rPr>
          <w:b/>
        </w:rPr>
        <w:fldChar w:fldCharType="end"/>
      </w:r>
    </w:p>
    <w:p>
      <w:pPr>
        <w:keepNext w:val="0"/>
        <w:keepLines w:val="0"/>
        <w:pageBreakBefore w:val="0"/>
        <w:widowControl/>
        <w:kinsoku/>
        <w:wordWrap/>
        <w:overflowPunct/>
        <w:topLinePunct w:val="0"/>
        <w:autoSpaceDE/>
        <w:autoSpaceDN/>
        <w:bidi w:val="0"/>
        <w:adjustRightInd/>
        <w:snapToGrid/>
        <w:spacing w:line="560" w:lineRule="exact"/>
        <w:ind w:firstLine="642" w:firstLineChars="200"/>
        <w:jc w:val="left"/>
        <w:textAlignment w:val="auto"/>
        <w:rPr>
          <w:rFonts w:hint="eastAsia" w:ascii="Times New Roman" w:hAnsi="Times New Roman" w:eastAsia="仿宋_GB2312" w:cs="仿宋_GB2312"/>
          <w:bCs/>
          <w:color w:val="auto"/>
          <w:kern w:val="44"/>
          <w:sz w:val="32"/>
          <w:szCs w:val="32"/>
          <w:highlight w:val="none"/>
        </w:rPr>
      </w:pPr>
      <w:bookmarkStart w:id="12" w:name="_Toc15377196"/>
      <w:bookmarkStart w:id="13" w:name="_Toc15396599"/>
      <w:r>
        <w:rPr>
          <w:rFonts w:hint="eastAsia" w:ascii="Times New Roman" w:hAnsi="Times New Roman" w:eastAsia="仿宋_GB2312" w:cs="仿宋_GB2312"/>
          <w:b/>
          <w:color w:val="auto"/>
          <w:sz w:val="32"/>
          <w:szCs w:val="32"/>
          <w:highlight w:val="none"/>
        </w:rPr>
        <w:br w:type="page"/>
      </w:r>
    </w:p>
    <w:p>
      <w:pPr>
        <w:pStyle w:val="3"/>
        <w:pageBreakBefore w:val="0"/>
        <w:kinsoku/>
        <w:wordWrap/>
        <w:overflowPunct/>
        <w:topLinePunct w:val="0"/>
        <w:autoSpaceDE/>
        <w:autoSpaceDN/>
        <w:bidi w:val="0"/>
        <w:spacing w:line="560" w:lineRule="exact"/>
        <w:jc w:val="center"/>
        <w:textAlignment w:val="auto"/>
        <w:rPr>
          <w:rStyle w:val="28"/>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8"/>
          <w:rFonts w:hint="eastAsia" w:eastAsia="方正小标宋简体" w:cs="方正小标宋简体"/>
          <w:b w:val="0"/>
          <w:bCs w:val="0"/>
          <w:color w:val="auto"/>
          <w:highlight w:val="none"/>
          <w:lang w:val="en-US" w:eastAsia="zh-CN"/>
        </w:rPr>
        <w:t>单位</w:t>
      </w:r>
      <w:r>
        <w:rPr>
          <w:rStyle w:val="28"/>
          <w:rFonts w:hint="eastAsia" w:ascii="Times New Roman" w:hAnsi="Times New Roman" w:eastAsia="方正小标宋简体" w:cs="方正小标宋简体"/>
          <w:b w:val="0"/>
          <w:bCs w:val="0"/>
          <w:color w:val="auto"/>
          <w:highlight w:val="none"/>
        </w:rPr>
        <w:t>概况</w:t>
      </w:r>
      <w:bookmarkEnd w:id="12"/>
      <w:bookmarkEnd w:id="13"/>
    </w:p>
    <w:p>
      <w:pPr>
        <w:pageBreakBefore w:val="0"/>
        <w:widowControl/>
        <w:kinsoku/>
        <w:wordWrap/>
        <w:overflowPunct/>
        <w:topLinePunct w:val="0"/>
        <w:autoSpaceDE/>
        <w:autoSpaceDN/>
        <w:bidi w:val="0"/>
        <w:spacing w:line="560" w:lineRule="exact"/>
        <w:jc w:val="left"/>
        <w:textAlignment w:val="auto"/>
        <w:rPr>
          <w:rFonts w:ascii="Times New Roman" w:hAnsi="Times New Roman" w:eastAsia="黑体"/>
          <w:color w:val="auto"/>
          <w:sz w:val="32"/>
          <w:szCs w:val="32"/>
          <w:highlight w:val="none"/>
        </w:rPr>
      </w:pPr>
    </w:p>
    <w:p>
      <w:pPr>
        <w:pStyle w:val="4"/>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Times New Roman" w:hAnsi="Times New Roman" w:eastAsia="黑体"/>
          <w:b w:val="0"/>
          <w:color w:val="auto"/>
          <w:highlight w:val="none"/>
          <w:lang w:eastAsia="zh-CN"/>
        </w:rPr>
      </w:pPr>
      <w:bookmarkStart w:id="14" w:name="_Toc15396600"/>
      <w:bookmarkStart w:id="15" w:name="_Toc15377197"/>
      <w:r>
        <w:rPr>
          <w:rFonts w:hint="eastAsia" w:ascii="Times New Roman" w:hAnsi="Times New Roman" w:eastAsia="黑体"/>
          <w:b w:val="0"/>
          <w:color w:val="auto"/>
          <w:highlight w:val="none"/>
        </w:rPr>
        <w:t>一、</w:t>
      </w:r>
      <w:bookmarkEnd w:id="14"/>
      <w:bookmarkEnd w:id="15"/>
      <w:r>
        <w:rPr>
          <w:rFonts w:hint="eastAsia" w:ascii="Times New Roman" w:hAnsi="Times New Roman" w:eastAsia="黑体"/>
          <w:b w:val="0"/>
          <w:color w:val="auto"/>
          <w:highlight w:val="none"/>
          <w:lang w:val="en-US" w:eastAsia="zh-CN"/>
        </w:rPr>
        <w:t>单位</w:t>
      </w:r>
      <w:r>
        <w:rPr>
          <w:rFonts w:hint="eastAsia" w:ascii="Times New Roman" w:hAnsi="Times New Roman" w:eastAsia="黑体"/>
          <w:b w:val="0"/>
          <w:color w:val="auto"/>
          <w:highlight w:val="none"/>
          <w:lang w:eastAsia="zh-CN"/>
        </w:rPr>
        <w:t>职责</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eastAsia="zh-CN"/>
        </w:rPr>
      </w:pPr>
      <w:r>
        <w:rPr>
          <w:rFonts w:hint="eastAsia" w:ascii="仿宋_GB2312" w:hAnsi="仿宋_GB2312" w:eastAsia="仿宋_GB2312" w:cs="仿宋_GB2312"/>
          <w:sz w:val="32"/>
        </w:rPr>
        <w:t>攀枝花市残疾人康复教育中心的主要职能是</w:t>
      </w:r>
      <w:r>
        <w:rPr>
          <w:rFonts w:hint="eastAsia" w:ascii="仿宋_GB2312" w:hAnsi="仿宋_GB2312" w:eastAsia="仿宋_GB2312" w:cs="仿宋_GB2312"/>
          <w:sz w:val="32"/>
          <w:szCs w:val="32"/>
        </w:rPr>
        <w:t>为残疾人提供各类专业康复培训、评估及指导残疾人用品用具的使用等服务工作。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黑体"/>
          <w:color w:val="auto"/>
          <w:sz w:val="32"/>
          <w:szCs w:val="32"/>
          <w:highlight w:val="none"/>
        </w:rPr>
      </w:pPr>
      <w:bookmarkStart w:id="16" w:name="_Toc15396601"/>
      <w:bookmarkStart w:id="17" w:name="_Toc15377200"/>
      <w:r>
        <w:rPr>
          <w:rFonts w:hint="eastAsia" w:ascii="Times New Roman" w:hAnsi="Times New Roman" w:eastAsia="黑体"/>
          <w:color w:val="auto"/>
          <w:sz w:val="32"/>
          <w:szCs w:val="32"/>
          <w:highlight w:val="none"/>
        </w:rPr>
        <w:t>二、机构设置</w:t>
      </w:r>
      <w:bookmarkEnd w:id="16"/>
      <w:bookmarkEnd w:id="1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default" w:ascii="Times New Roman" w:hAnsi="Times New Roman" w:eastAsia="方正仿宋_GB2312" w:cs="Times New Roman"/>
          <w:sz w:val="32"/>
        </w:rPr>
        <w:t>攀枝花市残疾人康复教育中心根据攀枝花市机构编制委员会《关于成立攀枝花市残疾人康复职业培训中心的批复》（攀编发〔1997〕22号）批准为攀枝花市残疾人联合会下属科级事业单位，2008年9月3日更名为攀枝花市残疾人康复教育中心（攀编发〔2008〕85号），单位机构数1个，核定编制8人。</w:t>
      </w:r>
    </w:p>
    <w:p>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pPr>
        <w:pStyle w:val="3"/>
        <w:pageBreakBefore w:val="0"/>
        <w:widowControl w:val="0"/>
        <w:kinsoku/>
        <w:wordWrap/>
        <w:overflowPunct/>
        <w:topLinePunct w:val="0"/>
        <w:autoSpaceDE/>
        <w:autoSpaceDN/>
        <w:bidi w:val="0"/>
        <w:adjustRightInd/>
        <w:snapToGrid/>
        <w:spacing w:line="560" w:lineRule="atLeast"/>
        <w:jc w:val="center"/>
        <w:textAlignment w:val="auto"/>
        <w:rPr>
          <w:rFonts w:hint="eastAsia" w:ascii="Times New Roman" w:hAnsi="Times New Roman" w:eastAsia="方正小标宋简体" w:cs="方正小标宋简体"/>
          <w:b w:val="0"/>
          <w:color w:val="auto"/>
          <w:highlight w:val="none"/>
        </w:rPr>
      </w:pPr>
      <w:bookmarkStart w:id="18" w:name="_Toc15377204"/>
      <w:bookmarkStart w:id="19" w:name="_Toc15396602"/>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8"/>
      <w:bookmarkEnd w:id="19"/>
    </w:p>
    <w:p>
      <w:pPr>
        <w:pageBreakBefore w:val="0"/>
        <w:widowControl w:val="0"/>
        <w:kinsoku/>
        <w:wordWrap/>
        <w:overflowPunct/>
        <w:topLinePunct w:val="0"/>
        <w:autoSpaceDE/>
        <w:autoSpaceDN/>
        <w:bidi w:val="0"/>
        <w:adjustRightInd/>
        <w:snapToGrid/>
        <w:spacing w:line="560" w:lineRule="atLeast"/>
        <w:textAlignment w:val="auto"/>
        <w:rPr>
          <w:rFonts w:ascii="Times New Roman" w:hAnsi="Times New Roman"/>
          <w:color w:val="auto"/>
          <w:highlight w:val="none"/>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40" w:firstLineChars="200"/>
        <w:textAlignment w:val="auto"/>
        <w:outlineLvl w:val="1"/>
        <w:rPr>
          <w:rStyle w:val="29"/>
          <w:rFonts w:hint="eastAsia" w:ascii="Times New Roman" w:hAnsi="Times New Roman" w:eastAsia="黑体"/>
          <w:b w:val="0"/>
          <w:color w:val="auto"/>
          <w:highlight w:val="none"/>
        </w:rPr>
      </w:pPr>
      <w:bookmarkStart w:id="20" w:name="_Toc15377205"/>
      <w:bookmarkStart w:id="21"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29"/>
          <w:rFonts w:hint="eastAsia" w:ascii="Times New Roman" w:hAnsi="Times New Roman" w:eastAsia="黑体"/>
          <w:b w:val="0"/>
          <w:color w:val="auto"/>
          <w:highlight w:val="none"/>
        </w:rPr>
        <w:t>入支出决算总体情况说明</w:t>
      </w:r>
      <w:bookmarkEnd w:id="20"/>
      <w:bookmarkEnd w:id="21"/>
    </w:p>
    <w:p>
      <w:pPr>
        <w:pStyle w:val="27"/>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40" w:firstLineChars="200"/>
        <w:textAlignment w:val="auto"/>
        <w:outlineLvl w:val="1"/>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2024年度收入、支出总计均为244.03万元。与202</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eastAsia="zh-CN"/>
        </w:rPr>
        <w:t>年度相比，收入、支出总计各增加</w:t>
      </w:r>
      <w:r>
        <w:rPr>
          <w:rFonts w:hint="default" w:ascii="Times New Roman" w:hAnsi="Times New Roman" w:eastAsia="仿宋_GB2312" w:cs="Times New Roman"/>
          <w:color w:val="auto"/>
          <w:sz w:val="32"/>
          <w:szCs w:val="32"/>
          <w:highlight w:val="none"/>
          <w:lang w:val="en-US" w:eastAsia="zh-CN"/>
        </w:rPr>
        <w:t>46.24</w:t>
      </w:r>
      <w:r>
        <w:rPr>
          <w:rFonts w:hint="default" w:ascii="Times New Roman" w:hAnsi="Times New Roman" w:eastAsia="仿宋_GB2312" w:cs="Times New Roman"/>
          <w:color w:val="auto"/>
          <w:sz w:val="32"/>
          <w:szCs w:val="32"/>
          <w:highlight w:val="none"/>
          <w:lang w:eastAsia="zh-CN"/>
        </w:rPr>
        <w:t>万元，增长</w:t>
      </w:r>
      <w:r>
        <w:rPr>
          <w:rFonts w:hint="default" w:ascii="Times New Roman" w:hAnsi="Times New Roman" w:eastAsia="仿宋_GB2312" w:cs="Times New Roman"/>
          <w:color w:val="auto"/>
          <w:sz w:val="32"/>
          <w:szCs w:val="32"/>
          <w:highlight w:val="none"/>
          <w:lang w:val="en-US" w:eastAsia="zh-CN"/>
        </w:rPr>
        <w:t>23.38</w:t>
      </w:r>
      <w:r>
        <w:rPr>
          <w:rFonts w:hint="default" w:ascii="Times New Roman" w:hAnsi="Times New Roman" w:eastAsia="仿宋_GB2312" w:cs="Times New Roman"/>
          <w:color w:val="auto"/>
          <w:sz w:val="32"/>
          <w:szCs w:val="32"/>
          <w:highlight w:val="none"/>
          <w:lang w:eastAsia="zh-CN"/>
        </w:rPr>
        <w:t>%。主要变动原因</w:t>
      </w:r>
      <w:r>
        <w:rPr>
          <w:rFonts w:hint="eastAsia" w:ascii="Times New Roman" w:hAnsi="Times New Roman" w:eastAsia="仿宋_GB2312" w:cs="Times New Roman"/>
          <w:color w:val="auto"/>
          <w:sz w:val="32"/>
          <w:szCs w:val="32"/>
          <w:highlight w:val="none"/>
          <w:lang w:val="en-US" w:eastAsia="zh-CN"/>
        </w:rPr>
        <w:t>一是人员变动，收入相应增加；二是增加政府采购收入；三是增加拖欠企业欠款收入</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40" w:firstLineChars="200"/>
        <w:textAlignment w:val="auto"/>
        <w:outlineLvl w:val="1"/>
        <w:rPr>
          <w:rFonts w:hint="eastAsia" w:ascii="Times New Roman" w:hAnsi="Times New Roman" w:eastAsia="黑体"/>
          <w:color w:val="auto"/>
          <w:sz w:val="32"/>
          <w:szCs w:val="32"/>
          <w:highlight w:val="none"/>
          <w:lang w:eastAsia="zh-CN"/>
        </w:rPr>
      </w:pPr>
      <w:bookmarkStart w:id="22" w:name="_Toc15396604"/>
      <w:bookmarkStart w:id="23" w:name="_Toc15377206"/>
      <w:r>
        <w:rPr>
          <w:rFonts w:hint="eastAsia" w:ascii="仿宋_GB2312" w:eastAsia="仿宋_GB2312"/>
          <w:color w:val="auto"/>
          <w:sz w:val="32"/>
          <w:szCs w:val="32"/>
          <w:highlight w:val="none"/>
          <w:lang w:eastAsia="zh-CN"/>
        </w:rPr>
        <w:pict>
          <v:shape id="Object 2" o:spid="_x0000_s1026" o:spt="75" type="#_x0000_t75" style="position:absolute;left:0pt;margin-left:27.5pt;margin-top:4.75pt;height:187.4pt;width:366.75pt;mso-wrap-distance-bottom:0pt;mso-wrap-distance-top:0pt;z-index:251659264;mso-width-relative:page;mso-height-relative:page;" o:ole="t" filled="f" o:preferrelative="t" stroked="f" coordsize="21600,21600">
            <v:path/>
            <v:fill on="f" focussize="0,0"/>
            <v:stroke on="f"/>
            <v:imagedata r:id="rId10" o:title=""/>
            <o:lock v:ext="edit" aspectratio="t"/>
            <w10:wrap type="topAndBottom"/>
          </v:shape>
          <o:OLEObject Type="Embed" ProgID="Excel.Chart.8" ShapeID="Object 2" DrawAspect="Content" ObjectID="_1468075725" r:id="rId9">
            <o:LockedField>false</o:LockedField>
          </o:OLEObject>
        </w:pict>
      </w:r>
      <w:r>
        <w:rPr>
          <w:rFonts w:hint="eastAsia" w:ascii="Times New Roman" w:hAnsi="Times New Roman" w:eastAsia="黑体"/>
          <w:color w:val="auto"/>
          <w:sz w:val="32"/>
          <w:szCs w:val="32"/>
          <w:highlight w:val="none"/>
          <w:lang w:eastAsia="zh-CN"/>
        </w:rPr>
        <w:t>二、收入决算情况说明</w:t>
      </w:r>
      <w:bookmarkEnd w:id="22"/>
      <w:bookmarkEnd w:id="23"/>
    </w:p>
    <w:p>
      <w:pPr>
        <w:pStyle w:val="27"/>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40" w:firstLineChars="200"/>
        <w:textAlignment w:val="auto"/>
        <w:outlineLvl w:val="1"/>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2024年度本年收入合计244.03万元，其中：一般公共预算财政拨款收入181.49万元，占74.37%；政府性基金预算财政拨款收入62.54万元，占25.6</w:t>
      </w:r>
      <w:r>
        <w:rPr>
          <w:rFonts w:hint="eastAsia"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atLeast"/>
        <w:ind w:firstLine="800" w:firstLineChars="250"/>
        <w:textAlignment w:val="auto"/>
        <w:rPr>
          <w:rFonts w:hint="eastAsia" w:ascii="Times New Roman" w:hAnsi="Times New Roman" w:eastAsia="仿宋_GB2312" w:cs="仿宋_GB2312"/>
          <w:color w:val="auto"/>
          <w:sz w:val="32"/>
          <w:szCs w:val="32"/>
          <w:highlight w:val="none"/>
          <w:lang w:eastAsia="zh-CN"/>
        </w:rPr>
      </w:pPr>
      <w:r>
        <w:rPr>
          <w:rFonts w:hint="eastAsia" w:ascii="仿宋_GB2312" w:eastAsia="仿宋_GB2312"/>
          <w:color w:val="auto"/>
          <w:sz w:val="32"/>
          <w:szCs w:val="32"/>
          <w:highlight w:val="none"/>
          <w:lang w:eastAsia="zh-CN"/>
        </w:rPr>
        <w:pict>
          <v:shape id="Object 4" o:spid="_x0000_s1027" o:spt="75" type="#_x0000_t75" style="position:absolute;left:0pt;margin-left:29.75pt;margin-top:32.15pt;height:155.3pt;width:366.75pt;mso-wrap-distance-bottom:0pt;mso-wrap-distance-top:0pt;z-index:251660288;mso-width-relative:page;mso-height-relative:page;" o:ole="t" filled="f" o:preferrelative="t" stroked="f" coordsize="21600,21600">
            <v:path/>
            <v:fill on="f" focussize="0,0"/>
            <v:stroke on="f"/>
            <v:imagedata r:id="rId12" o:title=""/>
            <o:lock v:ext="edit" aspectratio="t"/>
            <w10:wrap type="topAndBottom"/>
          </v:shape>
          <o:OLEObject Type="Embed" ProgID="Excel.Chart.8" ShapeID="Object 4" DrawAspect="Content" ObjectID="_1468075726" r:id="rId11">
            <o:LockedField>false</o:LockedField>
          </o:OLEObject>
        </w:pict>
      </w:r>
      <w:r>
        <w:rPr>
          <w:rFonts w:hint="eastAsia" w:ascii="Times New Roman" w:hAnsi="Times New Roman" w:eastAsia="仿宋_GB2312" w:cs="仿宋_GB2312"/>
          <w:color w:val="auto"/>
          <w:sz w:val="32"/>
          <w:szCs w:val="32"/>
          <w:highlight w:val="none"/>
          <w:lang w:eastAsia="zh-CN"/>
        </w:rPr>
        <w:t>（图2：收入决算结构图）（饼状图）</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40" w:firstLineChars="200"/>
        <w:textAlignment w:val="auto"/>
        <w:outlineLvl w:val="1"/>
        <w:rPr>
          <w:rStyle w:val="29"/>
          <w:rFonts w:hint="eastAsia" w:ascii="Times New Roman" w:hAnsi="Times New Roman" w:eastAsia="黑体"/>
          <w:b w:val="0"/>
          <w:color w:val="auto"/>
          <w:highlight w:val="none"/>
        </w:rPr>
      </w:pPr>
      <w:bookmarkStart w:id="24" w:name="_Toc15377207"/>
      <w:bookmarkStart w:id="25" w:name="_Toc15396605"/>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29"/>
          <w:rFonts w:hint="eastAsia" w:ascii="Times New Roman" w:hAnsi="Times New Roman" w:eastAsia="黑体"/>
          <w:b w:val="0"/>
          <w:color w:val="auto"/>
          <w:highlight w:val="none"/>
        </w:rPr>
        <w:t>出决算情况说明</w:t>
      </w:r>
      <w:bookmarkEnd w:id="24"/>
      <w:bookmarkEnd w:id="25"/>
    </w:p>
    <w:p>
      <w:pPr>
        <w:pStyle w:val="27"/>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2024年度本年支出合计244.03万元，其中：基本支出155.53万元，占63.73%；项目支出88.5万元，占36.2</w:t>
      </w:r>
      <w:r>
        <w:rPr>
          <w:rFonts w:hint="eastAsia" w:eastAsia="仿宋_GB2312" w:cs="Times New Roman"/>
          <w:color w:val="auto"/>
          <w:sz w:val="32"/>
          <w:szCs w:val="32"/>
          <w:highlight w:val="none"/>
          <w:lang w:val="en-US" w:eastAsia="zh-CN"/>
        </w:rPr>
        <w:t>7</w:t>
      </w:r>
      <w:r>
        <w:rPr>
          <w:rFonts w:hint="eastAsia"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atLeast"/>
        <w:ind w:firstLine="800" w:firstLineChars="25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Style w:val="29"/>
          <w:rFonts w:ascii="Times New Roman" w:hAnsi="Times New Roman" w:eastAsia="黑体"/>
          <w:b w:val="0"/>
          <w:color w:val="auto"/>
          <w:highlight w:val="none"/>
        </w:rPr>
      </w:pPr>
      <w:bookmarkStart w:id="26" w:name="_Toc15396606"/>
      <w:bookmarkStart w:id="27" w:name="_Toc15377208"/>
      <w:r>
        <w:rPr>
          <w:rFonts w:hint="default" w:ascii="Times New Roman" w:hAnsi="Times New Roman" w:eastAsia="方正仿宋_GB2312" w:cs="Times New Roman"/>
          <w:color w:val="auto"/>
          <w:sz w:val="32"/>
          <w:szCs w:val="32"/>
          <w:highlight w:val="none"/>
          <w:lang w:eastAsia="zh-CN"/>
        </w:rPr>
        <w:pict>
          <v:shape id="Object 5" o:spid="_x0000_s1028" o:spt="75" type="#_x0000_t75" style="position:absolute;left:0pt;margin-left:30.5pt;margin-top:0.2pt;height:162.75pt;width:371.25pt;mso-wrap-distance-bottom:0pt;mso-wrap-distance-top:0pt;z-index:251661312;mso-width-relative:page;mso-height-relative:page;" o:ole="t" filled="f" o:preferrelative="t" stroked="f" coordsize="21600,21600">
            <v:path/>
            <v:fill on="f" focussize="0,0"/>
            <v:stroke on="f"/>
            <v:imagedata r:id="rId14" o:title=""/>
            <o:lock v:ext="edit" aspectratio="t"/>
            <w10:wrap type="topAndBottom"/>
          </v:shape>
          <o:OLEObject Type="Embed" ProgID="Excel.Chart.8" ShapeID="Object 5" DrawAspect="Content" ObjectID="_1468075727" r:id="rId13">
            <o:LockedField>false</o:LockedField>
          </o:OLEObject>
        </w:pict>
      </w:r>
      <w:r>
        <w:rPr>
          <w:rFonts w:hint="eastAsia" w:ascii="Times New Roman" w:hAnsi="Times New Roman" w:eastAsia="黑体"/>
          <w:color w:val="auto"/>
          <w:sz w:val="32"/>
          <w:szCs w:val="32"/>
          <w:highlight w:val="none"/>
        </w:rPr>
        <w:t>四、财</w:t>
      </w:r>
      <w:r>
        <w:rPr>
          <w:rStyle w:val="29"/>
          <w:rFonts w:hint="eastAsia" w:ascii="Times New Roman" w:hAnsi="Times New Roman" w:eastAsia="黑体"/>
          <w:b w:val="0"/>
          <w:color w:val="auto"/>
          <w:highlight w:val="none"/>
        </w:rPr>
        <w:t>政拨款收入支出决算总体情况说明</w:t>
      </w:r>
      <w:bookmarkEnd w:id="26"/>
      <w:bookmarkEnd w:id="27"/>
    </w:p>
    <w:p>
      <w:pPr>
        <w:pStyle w:val="2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2024年度财政拨款收入、支出总计均为244.03万元。与2023年度相比，财政拨款收入总计、支出总计各增加</w:t>
      </w:r>
      <w:r>
        <w:rPr>
          <w:rFonts w:hint="eastAsia" w:eastAsia="仿宋_GB2312" w:cs="Times New Roman"/>
          <w:color w:val="auto"/>
          <w:kern w:val="2"/>
          <w:sz w:val="32"/>
          <w:szCs w:val="32"/>
          <w:highlight w:val="none"/>
          <w:lang w:val="en-US" w:eastAsia="zh-CN" w:bidi="ar-SA"/>
        </w:rPr>
        <w:t>46.24</w:t>
      </w:r>
      <w:r>
        <w:rPr>
          <w:rFonts w:hint="eastAsia" w:ascii="Times New Roman" w:hAnsi="Times New Roman" w:eastAsia="仿宋_GB2312" w:cs="Times New Roman"/>
          <w:color w:val="auto"/>
          <w:kern w:val="2"/>
          <w:sz w:val="32"/>
          <w:szCs w:val="32"/>
          <w:highlight w:val="none"/>
          <w:lang w:val="en-US" w:eastAsia="zh-CN" w:bidi="ar-SA"/>
        </w:rPr>
        <w:t>万元，增长</w:t>
      </w:r>
      <w:r>
        <w:rPr>
          <w:rFonts w:hint="eastAsia" w:eastAsia="仿宋_GB2312" w:cs="Times New Roman"/>
          <w:color w:val="auto"/>
          <w:kern w:val="2"/>
          <w:sz w:val="32"/>
          <w:szCs w:val="32"/>
          <w:highlight w:val="none"/>
          <w:lang w:val="en-US" w:eastAsia="zh-CN" w:bidi="ar-SA"/>
        </w:rPr>
        <w:t>23.38</w:t>
      </w:r>
      <w:r>
        <w:rPr>
          <w:rFonts w:hint="eastAsia" w:ascii="Times New Roman" w:hAnsi="Times New Roman" w:eastAsia="仿宋_GB2312" w:cs="Times New Roman"/>
          <w:color w:val="auto"/>
          <w:kern w:val="2"/>
          <w:sz w:val="32"/>
          <w:szCs w:val="32"/>
          <w:highlight w:val="none"/>
          <w:lang w:val="en-US" w:eastAsia="zh-CN" w:bidi="ar-SA"/>
        </w:rPr>
        <w:t>%。主要变动原因</w:t>
      </w:r>
      <w:r>
        <w:rPr>
          <w:rFonts w:hint="default" w:ascii="Times New Roman" w:hAnsi="Times New Roman" w:eastAsia="仿宋_GB2312" w:cs="Times New Roman"/>
          <w:color w:val="auto"/>
          <w:sz w:val="32"/>
          <w:szCs w:val="32"/>
          <w:highlight w:val="none"/>
          <w:lang w:eastAsia="zh-CN"/>
        </w:rPr>
        <w:t>主要变动原因</w:t>
      </w:r>
      <w:r>
        <w:rPr>
          <w:rFonts w:hint="eastAsia" w:ascii="Times New Roman" w:hAnsi="Times New Roman" w:eastAsia="仿宋_GB2312" w:cs="Times New Roman"/>
          <w:color w:val="auto"/>
          <w:sz w:val="32"/>
          <w:szCs w:val="32"/>
          <w:highlight w:val="none"/>
          <w:lang w:val="en-US" w:eastAsia="zh-CN"/>
        </w:rPr>
        <w:t>一是人员变动，收入相应增加；二是增加政府采购收入;三是增加拖欠企业欠款收入</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Style w:val="29"/>
          <w:rFonts w:ascii="Times New Roman" w:hAnsi="Times New Roman" w:eastAsia="黑体"/>
          <w:b w:val="0"/>
          <w:color w:val="auto"/>
          <w:highlight w:val="none"/>
        </w:rPr>
      </w:pPr>
      <w:r>
        <w:rPr>
          <w:rFonts w:hint="eastAsia" w:ascii="Times New Roman" w:hAnsi="Times New Roman" w:eastAsia="方正仿宋_GB2312" w:cs="Times New Roman"/>
          <w:color w:val="auto"/>
          <w:sz w:val="32"/>
          <w:szCs w:val="32"/>
          <w:highlight w:val="none"/>
          <w:lang w:eastAsia="zh-CN"/>
        </w:rPr>
        <w:pict>
          <v:shape id="Object 6" o:spid="_x0000_s1029" o:spt="75" type="#_x0000_t75" style="position:absolute;left:0pt;margin-left:34.25pt;margin-top:12.85pt;height:156.7pt;width:366.75pt;mso-wrap-distance-bottom:0pt;mso-wrap-distance-top:0pt;z-index:251663360;mso-width-relative:page;mso-height-relative:page;" o:ole="t" filled="f" o:preferrelative="t" stroked="f" coordsize="21600,21600">
            <v:path/>
            <v:fill on="f" focussize="0,0"/>
            <v:stroke on="f"/>
            <v:imagedata r:id="rId16" o:title=""/>
            <o:lock v:ext="edit" aspectratio="t"/>
            <w10:wrap type="topAndBottom"/>
          </v:shape>
          <o:OLEObject Type="Embed" ProgID="Excel.Chart.8" ShapeID="Object 6" DrawAspect="Content" ObjectID="_1468075728" r:id="rId15">
            <o:LockedField>false</o:LockedField>
          </o:OLEObject>
        </w:pict>
      </w:r>
      <w:bookmarkStart w:id="28" w:name="_Toc15396607"/>
      <w:bookmarkStart w:id="29" w:name="_Toc15377209"/>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般公共预算财政拨款支出决算情况说明</w:t>
      </w:r>
      <w:bookmarkEnd w:id="28"/>
      <w:bookmarkEnd w:id="29"/>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2"/>
        <w:rPr>
          <w:rFonts w:hint="eastAsia" w:ascii="Times New Roman" w:hAnsi="Times New Roman" w:eastAsia="楷体_GB2312" w:cs="楷体_GB2312"/>
          <w:b/>
          <w:color w:val="auto"/>
          <w:sz w:val="32"/>
          <w:szCs w:val="32"/>
          <w:highlight w:val="none"/>
        </w:rPr>
      </w:pPr>
      <w:bookmarkStart w:id="30"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30"/>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2024年度一般公共预算财政拨款支出181.49万元，占本年支出合计的74.37%。与2023年度相比，一般公共预算财政拨款支出增加18.7万元，增长11.49%。主要变动原因一是人员变动，</w:t>
      </w:r>
      <w:r>
        <w:rPr>
          <w:rFonts w:hint="eastAsia" w:eastAsia="仿宋_GB2312" w:cs="Times New Roman"/>
          <w:color w:val="auto"/>
          <w:kern w:val="2"/>
          <w:sz w:val="32"/>
          <w:szCs w:val="32"/>
          <w:highlight w:val="none"/>
          <w:lang w:val="en-US" w:eastAsia="zh-CN" w:bidi="ar-SA"/>
        </w:rPr>
        <w:t>支出</w:t>
      </w:r>
      <w:r>
        <w:rPr>
          <w:rFonts w:hint="eastAsia" w:ascii="Times New Roman" w:hAnsi="Times New Roman" w:eastAsia="仿宋_GB2312" w:cs="Times New Roman"/>
          <w:color w:val="auto"/>
          <w:kern w:val="2"/>
          <w:sz w:val="32"/>
          <w:szCs w:val="32"/>
          <w:highlight w:val="none"/>
          <w:lang w:val="en-US" w:eastAsia="zh-CN" w:bidi="ar-SA"/>
        </w:rPr>
        <w:t>相应增加；二是增加</w:t>
      </w:r>
      <w:r>
        <w:rPr>
          <w:rFonts w:hint="eastAsia" w:ascii="Times New Roman" w:hAnsi="Times New Roman" w:eastAsia="仿宋_GB2312" w:cs="Times New Roman"/>
          <w:color w:val="auto"/>
          <w:sz w:val="32"/>
          <w:szCs w:val="32"/>
          <w:highlight w:val="none"/>
          <w:lang w:val="en-US" w:eastAsia="zh-CN"/>
        </w:rPr>
        <w:t>拖欠企业欠款</w:t>
      </w:r>
      <w:r>
        <w:rPr>
          <w:rFonts w:hint="eastAsia" w:eastAsia="仿宋_GB2312" w:cs="Times New Roman"/>
          <w:color w:val="auto"/>
          <w:sz w:val="32"/>
          <w:szCs w:val="32"/>
          <w:highlight w:val="none"/>
          <w:lang w:val="en-US" w:eastAsia="zh-CN"/>
        </w:rPr>
        <w:t>支出</w:t>
      </w:r>
      <w:r>
        <w:rPr>
          <w:rFonts w:hint="eastAsia" w:eastAsia="仿宋_GB2312" w:cs="Times New Roman"/>
          <w:color w:val="auto"/>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pPr>
        <w:keepNext w:val="0"/>
        <w:keepLines w:val="0"/>
        <w:pageBreakBefore w:val="0"/>
        <w:widowControl w:val="0"/>
        <w:kinsoku/>
        <w:wordWrap/>
        <w:overflowPunct/>
        <w:topLinePunct w:val="0"/>
        <w:autoSpaceDE/>
        <w:autoSpaceDN/>
        <w:bidi w:val="0"/>
        <w:adjustRightInd/>
        <w:snapToGrid/>
        <w:spacing w:line="560" w:lineRule="atLeast"/>
        <w:ind w:firstLine="642" w:firstLineChars="200"/>
        <w:textAlignment w:val="auto"/>
        <w:outlineLvl w:val="2"/>
        <w:rPr>
          <w:rFonts w:hint="eastAsia" w:ascii="Times New Roman" w:hAnsi="Times New Roman" w:eastAsia="楷体_GB2312" w:cs="楷体_GB2312"/>
          <w:b/>
          <w:color w:val="auto"/>
          <w:sz w:val="32"/>
          <w:szCs w:val="32"/>
          <w:highlight w:val="none"/>
        </w:rPr>
      </w:pPr>
      <w:bookmarkStart w:id="31" w:name="_Toc15377211"/>
      <w:r>
        <w:rPr>
          <w:rFonts w:hint="eastAsia" w:ascii="方正楷体_GB2312" w:hAnsi="方正楷体_GB2312" w:eastAsia="方正楷体_GB2312" w:cs="方正楷体_GB2312"/>
          <w:b/>
          <w:color w:val="auto"/>
          <w:sz w:val="32"/>
          <w:szCs w:val="32"/>
          <w:highlight w:val="none"/>
          <w:lang w:eastAsia="zh-CN"/>
        </w:rPr>
        <w:pict>
          <v:shape id="Object 7" o:spid="_x0000_s1030" o:spt="75" type="#_x0000_t75" style="position:absolute;left:0pt;margin-left:29.75pt;margin-top:7.5pt;height:153.8pt;width:371.25pt;mso-wrap-distance-bottom:0pt;mso-wrap-distance-top:0pt;z-index:251665408;mso-width-relative:page;mso-height-relative:page;" o:ole="t" filled="f" o:preferrelative="t" stroked="f" coordsize="21600,21600">
            <v:path/>
            <v:fill on="f" focussize="0,0"/>
            <v:stroke on="f"/>
            <v:imagedata r:id="rId18" o:title=""/>
            <o:lock v:ext="edit" aspectratio="t"/>
            <w10:wrap type="topAndBottom"/>
          </v:shape>
          <o:OLEObject Type="Embed" ProgID="Excel.Chart.8" ShapeID="Object 7" DrawAspect="Content" ObjectID="_1468075729" r:id="rId17">
            <o:LockedField>false</o:LockedField>
          </o:OLEObject>
        </w:pict>
      </w:r>
      <w:r>
        <w:rPr>
          <w:rFonts w:hint="eastAsia" w:ascii="Times New Roman" w:hAnsi="Times New Roman" w:eastAsia="楷体_GB2312" w:cs="楷体_GB2312"/>
          <w:b/>
          <w:color w:val="auto"/>
          <w:sz w:val="32"/>
          <w:szCs w:val="32"/>
          <w:highlight w:val="none"/>
        </w:rPr>
        <w:t>（二）一般公共预算财政拨款支出决算结构情况</w:t>
      </w:r>
      <w:bookmarkEnd w:id="31"/>
    </w:p>
    <w:p>
      <w:pPr>
        <w:keepNext w:val="0"/>
        <w:keepLines w:val="0"/>
        <w:pageBreakBefore w:val="0"/>
        <w:widowControl w:val="0"/>
        <w:kinsoku/>
        <w:wordWrap/>
        <w:overflowPunct/>
        <w:topLinePunct w:val="0"/>
        <w:autoSpaceDE/>
        <w:autoSpaceDN/>
        <w:bidi w:val="0"/>
        <w:adjustRightInd/>
        <w:snapToGrid/>
        <w:spacing w:line="560" w:lineRule="atLeast"/>
        <w:ind w:firstLine="640"/>
        <w:textAlignment w:val="auto"/>
        <w:rPr>
          <w:rFonts w:hint="eastAsia"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2024年度一般公共预算财政拨款支出181.49万元，主要用于以下方面：一般公共服务支出</w:t>
      </w:r>
      <w:r>
        <w:rPr>
          <w:rFonts w:hint="eastAsia" w:eastAsia="仿宋_GB2312" w:cs="Times New Roman"/>
          <w:color w:val="auto"/>
          <w:kern w:val="2"/>
          <w:sz w:val="32"/>
          <w:szCs w:val="32"/>
          <w:highlight w:val="none"/>
          <w:lang w:val="en-US" w:eastAsia="zh-CN" w:bidi="ar-SA"/>
        </w:rPr>
        <w:t>1.47</w:t>
      </w:r>
      <w:r>
        <w:rPr>
          <w:rFonts w:hint="eastAsia" w:ascii="Times New Roman" w:hAnsi="Times New Roman" w:eastAsia="仿宋_GB2312" w:cs="Times New Roman"/>
          <w:color w:val="auto"/>
          <w:kern w:val="2"/>
          <w:sz w:val="32"/>
          <w:szCs w:val="32"/>
          <w:highlight w:val="none"/>
          <w:lang w:val="en-US" w:eastAsia="zh-CN" w:bidi="ar-SA"/>
        </w:rPr>
        <w:t>万元，占</w:t>
      </w:r>
      <w:r>
        <w:rPr>
          <w:rFonts w:hint="eastAsia" w:eastAsia="仿宋_GB2312" w:cs="Times New Roman"/>
          <w:color w:val="auto"/>
          <w:kern w:val="2"/>
          <w:sz w:val="32"/>
          <w:szCs w:val="32"/>
          <w:highlight w:val="none"/>
          <w:lang w:val="en-US" w:eastAsia="zh-CN" w:bidi="ar-SA"/>
        </w:rPr>
        <w:t>0.81%</w:t>
      </w:r>
      <w:r>
        <w:rPr>
          <w:rFonts w:hint="eastAsia" w:ascii="Times New Roman" w:hAnsi="Times New Roman" w:eastAsia="仿宋_GB2312" w:cs="Times New Roman"/>
          <w:color w:val="auto"/>
          <w:kern w:val="2"/>
          <w:sz w:val="32"/>
          <w:szCs w:val="32"/>
          <w:highlight w:val="none"/>
          <w:lang w:val="en-US" w:eastAsia="zh-CN" w:bidi="ar-SA"/>
        </w:rPr>
        <w:t>；社会保障和就业支出</w:t>
      </w:r>
      <w:r>
        <w:rPr>
          <w:rFonts w:hint="eastAsia" w:eastAsia="仿宋_GB2312" w:cs="Times New Roman"/>
          <w:color w:val="auto"/>
          <w:kern w:val="2"/>
          <w:sz w:val="32"/>
          <w:szCs w:val="32"/>
          <w:highlight w:val="none"/>
          <w:lang w:val="en-US" w:eastAsia="zh-CN" w:bidi="ar-SA"/>
        </w:rPr>
        <w:t>160.02</w:t>
      </w:r>
      <w:r>
        <w:rPr>
          <w:rFonts w:hint="eastAsia" w:ascii="Times New Roman" w:hAnsi="Times New Roman" w:eastAsia="仿宋_GB2312" w:cs="Times New Roman"/>
          <w:color w:val="auto"/>
          <w:kern w:val="2"/>
          <w:sz w:val="32"/>
          <w:szCs w:val="32"/>
          <w:highlight w:val="none"/>
          <w:lang w:val="en-US" w:eastAsia="zh-CN" w:bidi="ar-SA"/>
        </w:rPr>
        <w:t>万元，占</w:t>
      </w:r>
      <w:r>
        <w:rPr>
          <w:rFonts w:hint="eastAsia" w:eastAsia="仿宋_GB2312" w:cs="Times New Roman"/>
          <w:color w:val="auto"/>
          <w:kern w:val="2"/>
          <w:sz w:val="32"/>
          <w:szCs w:val="32"/>
          <w:highlight w:val="none"/>
          <w:lang w:val="en-US" w:eastAsia="zh-CN" w:bidi="ar-SA"/>
        </w:rPr>
        <w:t>88.1</w:t>
      </w:r>
      <w:r>
        <w:rPr>
          <w:rFonts w:hint="default" w:eastAsia="仿宋_GB2312" w:cs="Times New Roman"/>
          <w:color w:val="auto"/>
          <w:kern w:val="2"/>
          <w:sz w:val="32"/>
          <w:szCs w:val="32"/>
          <w:highlight w:val="none"/>
          <w:lang w:val="en" w:eastAsia="zh-CN" w:bidi="ar-SA"/>
        </w:rPr>
        <w:t>6</w:t>
      </w:r>
      <w:r>
        <w:rPr>
          <w:rFonts w:hint="eastAsia" w:ascii="Times New Roman" w:hAnsi="Times New Roman" w:eastAsia="仿宋_GB2312" w:cs="Times New Roman"/>
          <w:color w:val="auto"/>
          <w:kern w:val="2"/>
          <w:sz w:val="32"/>
          <w:szCs w:val="32"/>
          <w:highlight w:val="none"/>
          <w:lang w:val="en-US" w:eastAsia="zh-CN" w:bidi="ar-SA"/>
        </w:rPr>
        <w:t>%；卫生健康支出8.</w:t>
      </w:r>
      <w:r>
        <w:rPr>
          <w:rFonts w:hint="eastAsia" w:eastAsia="仿宋_GB2312" w:cs="Times New Roman"/>
          <w:color w:val="auto"/>
          <w:kern w:val="2"/>
          <w:sz w:val="32"/>
          <w:szCs w:val="32"/>
          <w:highlight w:val="none"/>
          <w:lang w:val="en-US" w:eastAsia="zh-CN" w:bidi="ar-SA"/>
        </w:rPr>
        <w:t>98</w:t>
      </w:r>
      <w:r>
        <w:rPr>
          <w:rFonts w:hint="eastAsia" w:ascii="Times New Roman" w:hAnsi="Times New Roman" w:eastAsia="仿宋_GB2312" w:cs="Times New Roman"/>
          <w:color w:val="auto"/>
          <w:kern w:val="2"/>
          <w:sz w:val="32"/>
          <w:szCs w:val="32"/>
          <w:highlight w:val="none"/>
          <w:lang w:val="en-US" w:eastAsia="zh-CN" w:bidi="ar-SA"/>
        </w:rPr>
        <w:t>万元，占</w:t>
      </w:r>
      <w:r>
        <w:rPr>
          <w:rFonts w:hint="eastAsia" w:eastAsia="仿宋_GB2312" w:cs="Times New Roman"/>
          <w:color w:val="auto"/>
          <w:kern w:val="2"/>
          <w:sz w:val="32"/>
          <w:szCs w:val="32"/>
          <w:highlight w:val="none"/>
          <w:lang w:val="en-US" w:eastAsia="zh-CN" w:bidi="ar-SA"/>
        </w:rPr>
        <w:t>4.95</w:t>
      </w:r>
      <w:r>
        <w:rPr>
          <w:rFonts w:hint="eastAsia" w:ascii="Times New Roman" w:hAnsi="Times New Roman" w:eastAsia="仿宋_GB2312" w:cs="Times New Roman"/>
          <w:color w:val="auto"/>
          <w:kern w:val="2"/>
          <w:sz w:val="32"/>
          <w:szCs w:val="32"/>
          <w:highlight w:val="none"/>
          <w:lang w:val="en-US" w:eastAsia="zh-CN" w:bidi="ar-SA"/>
        </w:rPr>
        <w:t>%</w:t>
      </w:r>
      <w:r>
        <w:rPr>
          <w:rFonts w:hint="eastAsia" w:eastAsia="仿宋_GB2312" w:cs="Times New Roman"/>
          <w:color w:val="auto"/>
          <w:kern w:val="2"/>
          <w:sz w:val="32"/>
          <w:szCs w:val="32"/>
          <w:highlight w:val="none"/>
          <w:lang w:val="en-US" w:eastAsia="zh-CN" w:bidi="ar-SA"/>
        </w:rPr>
        <w:t>；</w:t>
      </w:r>
      <w:r>
        <w:rPr>
          <w:rFonts w:hint="eastAsia" w:ascii="Times New Roman" w:hAnsi="Times New Roman" w:eastAsia="仿宋_GB2312" w:cs="Times New Roman"/>
          <w:color w:val="auto"/>
          <w:kern w:val="2"/>
          <w:sz w:val="32"/>
          <w:szCs w:val="32"/>
          <w:highlight w:val="none"/>
          <w:lang w:val="en-US" w:eastAsia="zh-CN" w:bidi="ar-SA"/>
        </w:rPr>
        <w:t>住房保障支出11.0</w:t>
      </w:r>
      <w:r>
        <w:rPr>
          <w:rFonts w:hint="eastAsia" w:eastAsia="仿宋_GB2312" w:cs="Times New Roman"/>
          <w:color w:val="auto"/>
          <w:kern w:val="2"/>
          <w:sz w:val="32"/>
          <w:szCs w:val="32"/>
          <w:highlight w:val="none"/>
          <w:lang w:val="en-US" w:eastAsia="zh-CN" w:bidi="ar-SA"/>
        </w:rPr>
        <w:t>3</w:t>
      </w:r>
      <w:r>
        <w:rPr>
          <w:rFonts w:hint="eastAsia" w:ascii="Times New Roman" w:hAnsi="Times New Roman" w:eastAsia="仿宋_GB2312" w:cs="Times New Roman"/>
          <w:color w:val="auto"/>
          <w:kern w:val="2"/>
          <w:sz w:val="32"/>
          <w:szCs w:val="32"/>
          <w:highlight w:val="none"/>
          <w:lang w:val="en-US" w:eastAsia="zh-CN" w:bidi="ar-SA"/>
        </w:rPr>
        <w:t>万元，占</w:t>
      </w:r>
      <w:r>
        <w:rPr>
          <w:rFonts w:hint="eastAsia" w:eastAsia="仿宋_GB2312" w:cs="Times New Roman"/>
          <w:color w:val="auto"/>
          <w:kern w:val="2"/>
          <w:sz w:val="32"/>
          <w:szCs w:val="32"/>
          <w:highlight w:val="none"/>
          <w:lang w:val="en-US" w:eastAsia="zh-CN" w:bidi="ar-SA"/>
        </w:rPr>
        <w:t>6.08</w:t>
      </w:r>
      <w:r>
        <w:rPr>
          <w:rFonts w:hint="eastAsia" w:ascii="Times New Roman" w:hAnsi="Times New Roman" w:eastAsia="仿宋_GB2312" w:cs="Times New Roman"/>
          <w:color w:val="auto"/>
          <w:kern w:val="2"/>
          <w:sz w:val="32"/>
          <w:szCs w:val="32"/>
          <w:highlight w:val="none"/>
          <w:lang w:val="en-US" w:eastAsia="zh-CN" w:bidi="ar-SA"/>
        </w:rPr>
        <w:t>%</w:t>
      </w:r>
      <w:r>
        <w:rPr>
          <w:rFonts w:hint="eastAsia" w:eastAsia="仿宋_GB2312" w:cs="Times New Roman"/>
          <w:color w:val="auto"/>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atLeas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仿宋" w:hAnsi="仿宋" w:eastAsia="仿宋"/>
          <w:color w:val="auto"/>
          <w:sz w:val="32"/>
          <w:szCs w:val="32"/>
          <w:highlight w:val="none"/>
          <w:lang w:eastAsia="zh-CN"/>
        </w:rPr>
        <w:pict>
          <v:shape id="Object 8" o:spid="_x0000_s1031" o:spt="75" type="#_x0000_t75" style="position:absolute;left:0pt;margin-left:29.75pt;margin-top:36.95pt;height:162.75pt;width:368.95pt;mso-wrap-distance-bottom:0pt;mso-wrap-distance-top:0pt;z-index:251666432;mso-width-relative:page;mso-height-relative:page;" o:ole="t" filled="f" o:preferrelative="t" stroked="f" coordsize="21600,21600">
            <v:path/>
            <v:fill on="f" focussize="0,0"/>
            <v:stroke on="f"/>
            <v:imagedata r:id="rId20" o:title=""/>
            <o:lock v:ext="edit" aspectratio="t"/>
            <w10:wrap type="topAndBottom"/>
          </v:shape>
          <o:OLEObject Type="Embed" ProgID="Excel.Chart.8" ShapeID="Object 8" DrawAspect="Content" ObjectID="_1468075730" r:id="rId19">
            <o:LockedField>false</o:LockedField>
          </o:OLEObject>
        </w:pict>
      </w: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2"/>
        <w:rPr>
          <w:rFonts w:hint="eastAsia" w:ascii="Times New Roman" w:hAnsi="Times New Roman" w:eastAsia="楷体_GB2312" w:cs="楷体_GB2312"/>
          <w:b/>
          <w:color w:val="auto"/>
          <w:sz w:val="32"/>
          <w:szCs w:val="32"/>
          <w:highlight w:val="none"/>
        </w:rPr>
      </w:pPr>
      <w:bookmarkStart w:id="32"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32"/>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color w:val="auto"/>
          <w:kern w:val="2"/>
          <w:sz w:val="32"/>
          <w:szCs w:val="32"/>
          <w:highlight w:val="none"/>
          <w:lang w:val="en-US" w:eastAsia="zh-CN" w:bidi="ar-SA"/>
        </w:rPr>
      </w:pPr>
      <w:bookmarkStart w:id="33" w:name="_Toc15378460"/>
      <w:bookmarkStart w:id="34" w:name="_Toc15377444"/>
      <w:bookmarkStart w:id="35" w:name="_Toc15377213"/>
      <w:r>
        <w:rPr>
          <w:rFonts w:hint="eastAsia" w:ascii="Times New Roman" w:hAnsi="Times New Roman" w:eastAsia="仿宋_GB2312" w:cs="Times New Roman"/>
          <w:color w:val="auto"/>
          <w:kern w:val="2"/>
          <w:sz w:val="32"/>
          <w:szCs w:val="32"/>
          <w:highlight w:val="none"/>
          <w:lang w:val="en-US" w:eastAsia="zh-CN" w:bidi="ar-SA"/>
        </w:rPr>
        <w:t>2024年度一般公共预算财政拨款支出决算数为181.49</w:t>
      </w:r>
      <w:r>
        <w:rPr>
          <w:rFonts w:hint="eastAsia" w:eastAsia="仿宋_GB2312" w:cs="Times New Roman"/>
          <w:color w:val="auto"/>
          <w:kern w:val="2"/>
          <w:sz w:val="32"/>
          <w:szCs w:val="32"/>
          <w:highlight w:val="none"/>
          <w:lang w:val="en-US" w:eastAsia="zh-CN" w:bidi="ar-SA"/>
        </w:rPr>
        <w:t>万元</w:t>
      </w:r>
      <w:r>
        <w:rPr>
          <w:rFonts w:hint="eastAsia" w:ascii="Times New Roman" w:hAnsi="Times New Roman" w:eastAsia="仿宋_GB2312" w:cs="Times New Roman"/>
          <w:color w:val="auto"/>
          <w:kern w:val="2"/>
          <w:sz w:val="32"/>
          <w:szCs w:val="32"/>
          <w:highlight w:val="none"/>
          <w:lang w:val="en-US" w:eastAsia="zh-CN" w:bidi="ar-SA"/>
        </w:rPr>
        <w:t>，完成预算</w:t>
      </w:r>
      <w:r>
        <w:rPr>
          <w:rFonts w:hint="eastAsia" w:eastAsia="仿宋_GB2312" w:cs="Times New Roman"/>
          <w:color w:val="auto"/>
          <w:kern w:val="2"/>
          <w:sz w:val="32"/>
          <w:szCs w:val="32"/>
          <w:highlight w:val="none"/>
          <w:lang w:val="en-US" w:eastAsia="zh-CN" w:bidi="ar-SA"/>
        </w:rPr>
        <w:t>100</w:t>
      </w:r>
      <w:r>
        <w:rPr>
          <w:rFonts w:hint="eastAsia" w:ascii="Times New Roman" w:hAnsi="Times New Roman" w:eastAsia="仿宋_GB2312" w:cs="Times New Roman"/>
          <w:color w:val="auto"/>
          <w:kern w:val="2"/>
          <w:sz w:val="32"/>
          <w:szCs w:val="32"/>
          <w:highlight w:val="none"/>
          <w:lang w:val="en-US" w:eastAsia="zh-CN" w:bidi="ar-SA"/>
        </w:rPr>
        <w:t>%。其中：</w:t>
      </w:r>
      <w:bookmarkEnd w:id="33"/>
      <w:bookmarkEnd w:id="34"/>
      <w:bookmarkEnd w:id="35"/>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eastAsia="仿宋_GB2312" w:cs="Times New Roman"/>
          <w:color w:val="auto"/>
          <w:kern w:val="2"/>
          <w:sz w:val="32"/>
          <w:szCs w:val="32"/>
          <w:highlight w:val="none"/>
          <w:lang w:val="en-US" w:eastAsia="zh-CN" w:bidi="ar-SA"/>
        </w:rPr>
        <w:t>1.一般公共服务支出（类）组织事务（款）其他组织事务支出（项）：支出决算为1.47万元，完成预算100%。</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eastAsia="仿宋_GB2312" w:cs="Times New Roman"/>
          <w:color w:val="auto"/>
          <w:kern w:val="2"/>
          <w:sz w:val="32"/>
          <w:szCs w:val="32"/>
          <w:highlight w:val="none"/>
          <w:lang w:val="en-US" w:eastAsia="zh-CN" w:bidi="ar-SA"/>
        </w:rPr>
        <w:t>2</w:t>
      </w:r>
      <w:r>
        <w:rPr>
          <w:rFonts w:hint="default" w:ascii="Times New Roman" w:hAnsi="Times New Roman" w:eastAsia="仿宋_GB2312" w:cs="Times New Roman"/>
          <w:color w:val="auto"/>
          <w:kern w:val="2"/>
          <w:sz w:val="32"/>
          <w:szCs w:val="32"/>
          <w:highlight w:val="none"/>
          <w:lang w:val="en-US" w:eastAsia="zh-CN" w:bidi="ar-SA"/>
        </w:rPr>
        <w:t>.社会保障和就业支出（类）行政事业单位养老支出（款）事业单位离退休（项）: 支出决算为</w:t>
      </w:r>
      <w:r>
        <w:rPr>
          <w:rFonts w:hint="eastAsia" w:eastAsia="仿宋_GB2312" w:cs="Times New Roman"/>
          <w:color w:val="auto"/>
          <w:kern w:val="2"/>
          <w:sz w:val="32"/>
          <w:szCs w:val="32"/>
          <w:highlight w:val="none"/>
          <w:lang w:val="en-US" w:eastAsia="zh-CN" w:bidi="ar-SA"/>
        </w:rPr>
        <w:t>16.02</w:t>
      </w:r>
      <w:r>
        <w:rPr>
          <w:rFonts w:hint="default" w:ascii="Times New Roman" w:hAnsi="Times New Roman" w:eastAsia="仿宋_GB2312" w:cs="Times New Roman"/>
          <w:color w:val="auto"/>
          <w:kern w:val="2"/>
          <w:sz w:val="32"/>
          <w:szCs w:val="32"/>
          <w:highlight w:val="none"/>
          <w:lang w:val="en-US" w:eastAsia="zh-CN" w:bidi="ar-SA"/>
        </w:rPr>
        <w:t>万元，完成预算100%。</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eastAsia="仿宋_GB2312" w:cs="Times New Roman"/>
          <w:color w:val="auto"/>
          <w:kern w:val="2"/>
          <w:sz w:val="32"/>
          <w:szCs w:val="32"/>
          <w:highlight w:val="none"/>
          <w:lang w:val="en-US" w:eastAsia="zh-CN" w:bidi="ar-SA"/>
        </w:rPr>
        <w:t>3</w:t>
      </w:r>
      <w:r>
        <w:rPr>
          <w:rFonts w:hint="default" w:ascii="Times New Roman" w:hAnsi="Times New Roman" w:eastAsia="仿宋_GB2312" w:cs="Times New Roman"/>
          <w:color w:val="auto"/>
          <w:kern w:val="2"/>
          <w:sz w:val="32"/>
          <w:szCs w:val="32"/>
          <w:highlight w:val="none"/>
          <w:lang w:val="en-US" w:eastAsia="zh-CN" w:bidi="ar-SA"/>
        </w:rPr>
        <w:t>.社会保障和就业支出（类）行政事业单位养老支出（款）机关事业单位基本养老保险缴费支出（项）: 支出决算为14.</w:t>
      </w:r>
      <w:r>
        <w:rPr>
          <w:rFonts w:hint="eastAsia" w:eastAsia="仿宋_GB2312" w:cs="Times New Roman"/>
          <w:color w:val="auto"/>
          <w:kern w:val="2"/>
          <w:sz w:val="32"/>
          <w:szCs w:val="32"/>
          <w:highlight w:val="none"/>
          <w:lang w:val="en-US" w:eastAsia="zh-CN" w:bidi="ar-SA"/>
        </w:rPr>
        <w:t>66</w:t>
      </w:r>
      <w:r>
        <w:rPr>
          <w:rFonts w:hint="default" w:ascii="Times New Roman" w:hAnsi="Times New Roman" w:eastAsia="仿宋_GB2312" w:cs="Times New Roman"/>
          <w:color w:val="auto"/>
          <w:kern w:val="2"/>
          <w:sz w:val="32"/>
          <w:szCs w:val="32"/>
          <w:highlight w:val="none"/>
          <w:lang w:val="en-US" w:eastAsia="zh-CN" w:bidi="ar-SA"/>
        </w:rPr>
        <w:t>万元，完成预算100%。</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eastAsia="仿宋_GB2312" w:cs="Times New Roman"/>
          <w:color w:val="auto"/>
          <w:kern w:val="2"/>
          <w:sz w:val="32"/>
          <w:szCs w:val="32"/>
          <w:highlight w:val="none"/>
          <w:lang w:val="en-US" w:eastAsia="zh-CN" w:bidi="ar-SA"/>
        </w:rPr>
        <w:t>4</w:t>
      </w:r>
      <w:r>
        <w:rPr>
          <w:rFonts w:hint="default" w:ascii="Times New Roman" w:hAnsi="Times New Roman" w:eastAsia="仿宋_GB2312" w:cs="Times New Roman"/>
          <w:color w:val="auto"/>
          <w:kern w:val="2"/>
          <w:sz w:val="32"/>
          <w:szCs w:val="32"/>
          <w:highlight w:val="none"/>
          <w:lang w:val="en-US" w:eastAsia="zh-CN" w:bidi="ar-SA"/>
        </w:rPr>
        <w:t>.社会保障和就业支出（类）残疾人事业（款）机关服务（项）: 支出决算为</w:t>
      </w:r>
      <w:r>
        <w:rPr>
          <w:rFonts w:hint="eastAsia" w:eastAsia="仿宋_GB2312" w:cs="Times New Roman"/>
          <w:color w:val="auto"/>
          <w:kern w:val="2"/>
          <w:sz w:val="32"/>
          <w:szCs w:val="32"/>
          <w:highlight w:val="none"/>
          <w:lang w:val="en-US" w:eastAsia="zh-CN" w:bidi="ar-SA"/>
        </w:rPr>
        <w:t>104.84</w:t>
      </w:r>
      <w:r>
        <w:rPr>
          <w:rFonts w:hint="default" w:ascii="Times New Roman" w:hAnsi="Times New Roman" w:eastAsia="仿宋_GB2312" w:cs="Times New Roman"/>
          <w:color w:val="auto"/>
          <w:kern w:val="2"/>
          <w:sz w:val="32"/>
          <w:szCs w:val="32"/>
          <w:highlight w:val="none"/>
          <w:lang w:val="en-US" w:eastAsia="zh-CN" w:bidi="ar-SA"/>
        </w:rPr>
        <w:t>万元，完成预算100%。</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eastAsia="仿宋_GB2312" w:cs="Times New Roman"/>
          <w:color w:val="auto"/>
          <w:kern w:val="2"/>
          <w:sz w:val="32"/>
          <w:szCs w:val="32"/>
          <w:highlight w:val="none"/>
          <w:lang w:val="en-US" w:eastAsia="zh-CN" w:bidi="ar-SA"/>
        </w:rPr>
        <w:t>5</w:t>
      </w:r>
      <w:r>
        <w:rPr>
          <w:rFonts w:hint="default" w:ascii="Times New Roman" w:hAnsi="Times New Roman" w:eastAsia="仿宋_GB2312" w:cs="Times New Roman"/>
          <w:color w:val="auto"/>
          <w:kern w:val="2"/>
          <w:sz w:val="32"/>
          <w:szCs w:val="32"/>
          <w:highlight w:val="none"/>
          <w:lang w:val="en-US" w:eastAsia="zh-CN" w:bidi="ar-SA"/>
        </w:rPr>
        <w:t>.社会保障和就业支出（类）残疾人事业（款）残疾人就业（项）: 支出决算为1.</w:t>
      </w:r>
      <w:r>
        <w:rPr>
          <w:rFonts w:hint="eastAsia" w:eastAsia="仿宋_GB2312" w:cs="Times New Roman"/>
          <w:color w:val="auto"/>
          <w:kern w:val="2"/>
          <w:sz w:val="32"/>
          <w:szCs w:val="32"/>
          <w:highlight w:val="none"/>
          <w:lang w:val="en-US" w:eastAsia="zh-CN" w:bidi="ar-SA"/>
        </w:rPr>
        <w:t>8</w:t>
      </w:r>
      <w:r>
        <w:rPr>
          <w:rFonts w:hint="default" w:ascii="Times New Roman" w:hAnsi="Times New Roman" w:eastAsia="仿宋_GB2312" w:cs="Times New Roman"/>
          <w:color w:val="auto"/>
          <w:kern w:val="2"/>
          <w:sz w:val="32"/>
          <w:szCs w:val="32"/>
          <w:highlight w:val="none"/>
          <w:lang w:val="en-US" w:eastAsia="zh-CN" w:bidi="ar-SA"/>
        </w:rPr>
        <w:t>万元，完成预算100%。</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eastAsia="仿宋_GB2312" w:cs="Times New Roman"/>
          <w:color w:val="auto"/>
          <w:kern w:val="2"/>
          <w:sz w:val="32"/>
          <w:szCs w:val="32"/>
          <w:highlight w:val="none"/>
          <w:lang w:val="en-US" w:eastAsia="zh-CN" w:bidi="ar-SA"/>
        </w:rPr>
        <w:t>6</w:t>
      </w:r>
      <w:r>
        <w:rPr>
          <w:rFonts w:hint="default" w:ascii="Times New Roman" w:hAnsi="Times New Roman" w:eastAsia="仿宋_GB2312" w:cs="Times New Roman"/>
          <w:color w:val="auto"/>
          <w:kern w:val="2"/>
          <w:sz w:val="32"/>
          <w:szCs w:val="32"/>
          <w:highlight w:val="none"/>
          <w:lang w:val="en-US" w:eastAsia="zh-CN" w:bidi="ar-SA"/>
        </w:rPr>
        <w:t>.社会保障和就业支出（类）残疾人事业（款）其他残疾人事业支出（项）: 支出决算为</w:t>
      </w:r>
      <w:r>
        <w:rPr>
          <w:rFonts w:hint="eastAsia" w:eastAsia="仿宋_GB2312" w:cs="Times New Roman"/>
          <w:color w:val="auto"/>
          <w:kern w:val="2"/>
          <w:sz w:val="32"/>
          <w:szCs w:val="32"/>
          <w:highlight w:val="none"/>
          <w:lang w:val="en-US" w:eastAsia="zh-CN" w:bidi="ar-SA"/>
        </w:rPr>
        <w:t>22.69</w:t>
      </w:r>
      <w:r>
        <w:rPr>
          <w:rFonts w:hint="default" w:ascii="Times New Roman" w:hAnsi="Times New Roman" w:eastAsia="仿宋_GB2312" w:cs="Times New Roman"/>
          <w:color w:val="auto"/>
          <w:kern w:val="2"/>
          <w:sz w:val="32"/>
          <w:szCs w:val="32"/>
          <w:highlight w:val="none"/>
          <w:lang w:val="en-US" w:eastAsia="zh-CN" w:bidi="ar-SA"/>
        </w:rPr>
        <w:t>万元，完成预算100%。</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eastAsia="仿宋_GB2312" w:cs="Times New Roman"/>
          <w:color w:val="auto"/>
          <w:kern w:val="2"/>
          <w:sz w:val="32"/>
          <w:szCs w:val="32"/>
          <w:highlight w:val="none"/>
          <w:lang w:val="en-US" w:eastAsia="zh-CN" w:bidi="ar-SA"/>
        </w:rPr>
        <w:t>7</w:t>
      </w:r>
      <w:r>
        <w:rPr>
          <w:rFonts w:hint="default" w:ascii="Times New Roman" w:hAnsi="Times New Roman" w:eastAsia="仿宋_GB2312" w:cs="Times New Roman"/>
          <w:color w:val="auto"/>
          <w:kern w:val="2"/>
          <w:sz w:val="32"/>
          <w:szCs w:val="32"/>
          <w:highlight w:val="none"/>
          <w:lang w:val="en-US" w:eastAsia="zh-CN" w:bidi="ar-SA"/>
        </w:rPr>
        <w:t>.卫生健康支出（类）行政事业单位医疗（款）事业单位医疗（项）:支出决算为</w:t>
      </w:r>
      <w:r>
        <w:rPr>
          <w:rFonts w:hint="eastAsia" w:eastAsia="仿宋_GB2312" w:cs="Times New Roman"/>
          <w:color w:val="auto"/>
          <w:kern w:val="2"/>
          <w:sz w:val="32"/>
          <w:szCs w:val="32"/>
          <w:highlight w:val="none"/>
          <w:lang w:val="en-US" w:eastAsia="zh-CN" w:bidi="ar-SA"/>
        </w:rPr>
        <w:t>7.1</w:t>
      </w:r>
      <w:r>
        <w:rPr>
          <w:rFonts w:hint="default" w:ascii="Times New Roman" w:hAnsi="Times New Roman" w:eastAsia="仿宋_GB2312" w:cs="Times New Roman"/>
          <w:color w:val="auto"/>
          <w:kern w:val="2"/>
          <w:sz w:val="32"/>
          <w:szCs w:val="32"/>
          <w:highlight w:val="none"/>
          <w:lang w:val="en-US" w:eastAsia="zh-CN" w:bidi="ar-SA"/>
        </w:rPr>
        <w:t>万元，完成预算100%。</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eastAsia="仿宋_GB2312" w:cs="Times New Roman"/>
          <w:color w:val="auto"/>
          <w:kern w:val="2"/>
          <w:sz w:val="32"/>
          <w:szCs w:val="32"/>
          <w:highlight w:val="none"/>
          <w:lang w:val="en-US" w:eastAsia="zh-CN" w:bidi="ar-SA"/>
        </w:rPr>
        <w:t>8</w:t>
      </w:r>
      <w:r>
        <w:rPr>
          <w:rFonts w:hint="default" w:ascii="Times New Roman" w:hAnsi="Times New Roman" w:eastAsia="仿宋_GB2312" w:cs="Times New Roman"/>
          <w:color w:val="auto"/>
          <w:kern w:val="2"/>
          <w:sz w:val="32"/>
          <w:szCs w:val="32"/>
          <w:highlight w:val="none"/>
          <w:lang w:val="en-US" w:eastAsia="zh-CN" w:bidi="ar-SA"/>
        </w:rPr>
        <w:t>.卫生健康支出（类）行政事业单位医疗（款）公务员医疗补助（项）:支出决算为0.9</w:t>
      </w:r>
      <w:r>
        <w:rPr>
          <w:rFonts w:hint="eastAsia" w:eastAsia="仿宋_GB2312" w:cs="Times New Roman"/>
          <w:color w:val="auto"/>
          <w:kern w:val="2"/>
          <w:sz w:val="32"/>
          <w:szCs w:val="32"/>
          <w:highlight w:val="none"/>
          <w:lang w:val="en-US" w:eastAsia="zh-CN" w:bidi="ar-SA"/>
        </w:rPr>
        <w:t>6</w:t>
      </w:r>
      <w:r>
        <w:rPr>
          <w:rFonts w:hint="default" w:ascii="Times New Roman" w:hAnsi="Times New Roman" w:eastAsia="仿宋_GB2312" w:cs="Times New Roman"/>
          <w:color w:val="auto"/>
          <w:kern w:val="2"/>
          <w:sz w:val="32"/>
          <w:szCs w:val="32"/>
          <w:highlight w:val="none"/>
          <w:lang w:val="en-US" w:eastAsia="zh-CN" w:bidi="ar-SA"/>
        </w:rPr>
        <w:t>万元，完成预算100%。</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eastAsia="仿宋_GB2312" w:cs="Times New Roman"/>
          <w:color w:val="auto"/>
          <w:kern w:val="2"/>
          <w:sz w:val="32"/>
          <w:szCs w:val="32"/>
          <w:highlight w:val="none"/>
          <w:lang w:val="en-US" w:eastAsia="zh-CN" w:bidi="ar-SA"/>
        </w:rPr>
        <w:t>9</w:t>
      </w:r>
      <w:r>
        <w:rPr>
          <w:rFonts w:hint="default" w:ascii="Times New Roman" w:hAnsi="Times New Roman" w:eastAsia="仿宋_GB2312" w:cs="Times New Roman"/>
          <w:color w:val="auto"/>
          <w:kern w:val="2"/>
          <w:sz w:val="32"/>
          <w:szCs w:val="32"/>
          <w:highlight w:val="none"/>
          <w:lang w:val="en-US" w:eastAsia="zh-CN" w:bidi="ar-SA"/>
        </w:rPr>
        <w:t>.卫生健康支出（类）行政事业单位医疗（款）其他行政事业单位医疗支出（项）:支出决算为0.</w:t>
      </w:r>
      <w:r>
        <w:rPr>
          <w:rFonts w:hint="eastAsia" w:eastAsia="仿宋_GB2312" w:cs="Times New Roman"/>
          <w:color w:val="auto"/>
          <w:kern w:val="2"/>
          <w:sz w:val="32"/>
          <w:szCs w:val="32"/>
          <w:highlight w:val="none"/>
          <w:lang w:val="en-US" w:eastAsia="zh-CN" w:bidi="ar-SA"/>
        </w:rPr>
        <w:t>92</w:t>
      </w:r>
      <w:r>
        <w:rPr>
          <w:rFonts w:hint="default" w:ascii="Times New Roman" w:hAnsi="Times New Roman" w:eastAsia="仿宋_GB2312" w:cs="Times New Roman"/>
          <w:color w:val="auto"/>
          <w:kern w:val="2"/>
          <w:sz w:val="32"/>
          <w:szCs w:val="32"/>
          <w:highlight w:val="none"/>
          <w:lang w:val="en-US" w:eastAsia="zh-CN" w:bidi="ar-SA"/>
        </w:rPr>
        <w:t>万元，完成预算100%。</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_GB2312" w:cs="Times New Roman"/>
          <w:sz w:val="32"/>
        </w:rPr>
      </w:pPr>
      <w:r>
        <w:rPr>
          <w:rFonts w:hint="eastAsia" w:eastAsia="仿宋_GB2312" w:cs="Times New Roman"/>
          <w:color w:val="auto"/>
          <w:kern w:val="2"/>
          <w:sz w:val="32"/>
          <w:szCs w:val="32"/>
          <w:highlight w:val="none"/>
          <w:lang w:val="en-US" w:eastAsia="zh-CN" w:bidi="ar-SA"/>
        </w:rPr>
        <w:t>10</w:t>
      </w:r>
      <w:r>
        <w:rPr>
          <w:rFonts w:hint="default" w:ascii="Times New Roman" w:hAnsi="Times New Roman" w:eastAsia="仿宋_GB2312" w:cs="Times New Roman"/>
          <w:color w:val="auto"/>
          <w:kern w:val="2"/>
          <w:sz w:val="32"/>
          <w:szCs w:val="32"/>
          <w:highlight w:val="none"/>
          <w:lang w:val="en-US" w:eastAsia="zh-CN" w:bidi="ar-SA"/>
        </w:rPr>
        <w:t>.住房保障支出（类）住房改革支出（款）住房公积金（项）:支出决算为</w:t>
      </w:r>
      <w:r>
        <w:rPr>
          <w:rFonts w:hint="eastAsia" w:eastAsia="仿宋_GB2312" w:cs="Times New Roman"/>
          <w:color w:val="auto"/>
          <w:kern w:val="2"/>
          <w:sz w:val="32"/>
          <w:szCs w:val="32"/>
          <w:highlight w:val="none"/>
          <w:lang w:val="en-US" w:eastAsia="zh-CN" w:bidi="ar-SA"/>
        </w:rPr>
        <w:t>11.03</w:t>
      </w:r>
      <w:r>
        <w:rPr>
          <w:rFonts w:hint="default" w:ascii="Times New Roman" w:hAnsi="Times New Roman" w:eastAsia="仿宋_GB2312" w:cs="Times New Roman"/>
          <w:color w:val="auto"/>
          <w:kern w:val="2"/>
          <w:sz w:val="32"/>
          <w:szCs w:val="32"/>
          <w:highlight w:val="none"/>
          <w:lang w:val="en-US" w:eastAsia="zh-CN" w:bidi="ar-SA"/>
        </w:rPr>
        <w:t>万元，完成预算100%。</w:t>
      </w:r>
    </w:p>
    <w:p>
      <w:pPr>
        <w:keepNext w:val="0"/>
        <w:keepLines w:val="0"/>
        <w:pageBreakBefore w:val="0"/>
        <w:widowControl w:val="0"/>
        <w:tabs>
          <w:tab w:val="right" w:pos="8306"/>
        </w:tabs>
        <w:kinsoku/>
        <w:wordWrap/>
        <w:overflowPunct/>
        <w:topLinePunct w:val="0"/>
        <w:autoSpaceDE/>
        <w:autoSpaceDN/>
        <w:bidi w:val="0"/>
        <w:adjustRightInd/>
        <w:snapToGrid/>
        <w:spacing w:line="560" w:lineRule="exact"/>
        <w:ind w:firstLine="640"/>
        <w:textAlignment w:val="auto"/>
        <w:outlineLvl w:val="1"/>
        <w:rPr>
          <w:rStyle w:val="29"/>
          <w:rFonts w:ascii="Times New Roman" w:hAnsi="Times New Roman"/>
          <w:color w:val="auto"/>
          <w:highlight w:val="none"/>
        </w:rPr>
      </w:pPr>
      <w:bookmarkStart w:id="36" w:name="_Toc15377214"/>
      <w:bookmarkStart w:id="37" w:name="_Toc15396608"/>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般公共预算财政拨款基本支出决算情况说明</w:t>
      </w:r>
      <w:bookmarkEnd w:id="36"/>
      <w:bookmarkEnd w:id="37"/>
      <w:r>
        <w:rPr>
          <w:rStyle w:val="29"/>
          <w:rFonts w:ascii="Times New Roman" w:hAnsi="Times New Roman" w:eastAsia="黑体"/>
          <w:b w:val="0"/>
          <w:color w:val="auto"/>
          <w:highlight w:val="none"/>
        </w:rPr>
        <w:tab/>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2024年度一般公共预算财政拨款基本支出155.53万元，其中：</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人员经费143.72万元，主要包括：基本工资</w:t>
      </w:r>
      <w:r>
        <w:rPr>
          <w:rFonts w:hint="eastAsia" w:eastAsia="仿宋_GB2312" w:cs="Times New Roman"/>
          <w:color w:val="auto"/>
          <w:kern w:val="2"/>
          <w:sz w:val="32"/>
          <w:szCs w:val="32"/>
          <w:highlight w:val="none"/>
          <w:lang w:val="en-US" w:eastAsia="zh-CN" w:bidi="ar-SA"/>
        </w:rPr>
        <w:t>33.32万元</w:t>
      </w:r>
      <w:r>
        <w:rPr>
          <w:rFonts w:hint="eastAsia" w:ascii="Times New Roman" w:hAnsi="Times New Roman" w:eastAsia="仿宋_GB2312" w:cs="Times New Roman"/>
          <w:color w:val="auto"/>
          <w:kern w:val="2"/>
          <w:sz w:val="32"/>
          <w:szCs w:val="32"/>
          <w:highlight w:val="none"/>
          <w:lang w:val="en-US" w:eastAsia="zh-CN" w:bidi="ar-SA"/>
        </w:rPr>
        <w:t>、津贴补贴</w:t>
      </w:r>
      <w:r>
        <w:rPr>
          <w:rFonts w:hint="eastAsia" w:eastAsia="仿宋_GB2312" w:cs="Times New Roman"/>
          <w:color w:val="auto"/>
          <w:kern w:val="2"/>
          <w:sz w:val="32"/>
          <w:szCs w:val="32"/>
          <w:highlight w:val="none"/>
          <w:lang w:val="en-US" w:eastAsia="zh-CN" w:bidi="ar-SA"/>
        </w:rPr>
        <w:t>4.35万元、</w:t>
      </w:r>
      <w:r>
        <w:rPr>
          <w:rFonts w:hint="eastAsia" w:ascii="Times New Roman" w:hAnsi="Times New Roman" w:eastAsia="仿宋_GB2312" w:cs="Times New Roman"/>
          <w:color w:val="auto"/>
          <w:kern w:val="2"/>
          <w:sz w:val="32"/>
          <w:szCs w:val="32"/>
          <w:highlight w:val="none"/>
          <w:lang w:val="en-US" w:eastAsia="zh-CN" w:bidi="ar-SA"/>
        </w:rPr>
        <w:t>绩效工资</w:t>
      </w:r>
      <w:r>
        <w:rPr>
          <w:rFonts w:hint="eastAsia" w:eastAsia="仿宋_GB2312" w:cs="Times New Roman"/>
          <w:color w:val="auto"/>
          <w:kern w:val="2"/>
          <w:sz w:val="32"/>
          <w:szCs w:val="32"/>
          <w:highlight w:val="none"/>
          <w:lang w:val="en-US" w:eastAsia="zh-CN" w:bidi="ar-SA"/>
        </w:rPr>
        <w:t>55.01万元</w:t>
      </w:r>
      <w:r>
        <w:rPr>
          <w:rFonts w:hint="eastAsia" w:ascii="Times New Roman" w:hAnsi="Times New Roman" w:eastAsia="仿宋_GB2312" w:cs="Times New Roman"/>
          <w:color w:val="auto"/>
          <w:kern w:val="2"/>
          <w:sz w:val="32"/>
          <w:szCs w:val="32"/>
          <w:highlight w:val="none"/>
          <w:lang w:val="en-US" w:eastAsia="zh-CN" w:bidi="ar-SA"/>
        </w:rPr>
        <w:t>、机关事业单位基本养老保险缴费</w:t>
      </w:r>
      <w:r>
        <w:rPr>
          <w:rFonts w:hint="eastAsia" w:eastAsia="仿宋_GB2312" w:cs="Times New Roman"/>
          <w:color w:val="auto"/>
          <w:kern w:val="2"/>
          <w:sz w:val="32"/>
          <w:szCs w:val="32"/>
          <w:highlight w:val="none"/>
          <w:lang w:val="en-US" w:eastAsia="zh-CN" w:bidi="ar-SA"/>
        </w:rPr>
        <w:t>14.66万元</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方正仿宋_GB2312" w:cs="Times New Roman"/>
          <w:color w:val="auto"/>
          <w:sz w:val="32"/>
          <w:szCs w:val="32"/>
          <w:highlight w:val="none"/>
          <w:lang w:val="en-US" w:eastAsia="zh-CN"/>
        </w:rPr>
        <w:t>职工基本医疗保险缴费</w:t>
      </w:r>
      <w:r>
        <w:rPr>
          <w:rFonts w:hint="eastAsia" w:eastAsia="方正仿宋_GB2312" w:cs="Times New Roman"/>
          <w:color w:val="auto"/>
          <w:sz w:val="32"/>
          <w:szCs w:val="32"/>
          <w:highlight w:val="none"/>
          <w:lang w:val="en-US" w:eastAsia="zh-CN"/>
        </w:rPr>
        <w:t>7.1万元</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方正仿宋_GB2312" w:cs="Times New Roman"/>
          <w:color w:val="auto"/>
          <w:sz w:val="32"/>
          <w:szCs w:val="32"/>
          <w:highlight w:val="none"/>
          <w:lang w:val="en-US" w:eastAsia="zh-CN"/>
        </w:rPr>
        <w:t>公务员医疗补助缴费</w:t>
      </w:r>
      <w:r>
        <w:rPr>
          <w:rFonts w:hint="eastAsia" w:eastAsia="方正仿宋_GB2312" w:cs="Times New Roman"/>
          <w:color w:val="auto"/>
          <w:sz w:val="32"/>
          <w:szCs w:val="32"/>
          <w:highlight w:val="none"/>
          <w:lang w:val="en-US" w:eastAsia="zh-CN"/>
        </w:rPr>
        <w:t>1.88万元、</w:t>
      </w:r>
      <w:r>
        <w:rPr>
          <w:rFonts w:hint="eastAsia" w:ascii="Times New Roman" w:hAnsi="Times New Roman" w:eastAsia="仿宋_GB2312" w:cs="Times New Roman"/>
          <w:color w:val="auto"/>
          <w:kern w:val="2"/>
          <w:sz w:val="32"/>
          <w:szCs w:val="32"/>
          <w:highlight w:val="none"/>
          <w:lang w:val="en-US" w:eastAsia="zh-CN" w:bidi="ar-SA"/>
        </w:rPr>
        <w:t>其他社会保障缴费</w:t>
      </w:r>
      <w:r>
        <w:rPr>
          <w:rFonts w:hint="eastAsia" w:eastAsia="仿宋_GB2312" w:cs="Times New Roman"/>
          <w:color w:val="auto"/>
          <w:kern w:val="2"/>
          <w:sz w:val="32"/>
          <w:szCs w:val="32"/>
          <w:highlight w:val="none"/>
          <w:lang w:val="en-US" w:eastAsia="zh-CN" w:bidi="ar-SA"/>
        </w:rPr>
        <w:t>0.7万元</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方正仿宋_GB2312" w:cs="Times New Roman"/>
          <w:color w:val="auto"/>
          <w:sz w:val="32"/>
          <w:szCs w:val="32"/>
          <w:highlight w:val="none"/>
        </w:rPr>
        <w:t>住房公积金</w:t>
      </w:r>
      <w:r>
        <w:rPr>
          <w:rFonts w:hint="eastAsia" w:eastAsia="方正仿宋_GB2312" w:cs="Times New Roman"/>
          <w:color w:val="auto"/>
          <w:sz w:val="32"/>
          <w:szCs w:val="32"/>
          <w:highlight w:val="none"/>
          <w:lang w:val="en-US" w:eastAsia="zh-CN"/>
        </w:rPr>
        <w:t>11.03</w:t>
      </w:r>
      <w:r>
        <w:rPr>
          <w:rFonts w:hint="default" w:ascii="Times New Roman" w:hAnsi="Times New Roman" w:eastAsia="方正仿宋_GB2312" w:cs="Times New Roman"/>
          <w:color w:val="auto"/>
          <w:sz w:val="32"/>
          <w:szCs w:val="32"/>
          <w:highlight w:val="none"/>
          <w:lang w:val="en-US" w:eastAsia="zh-CN"/>
        </w:rPr>
        <w:t>万元</w:t>
      </w:r>
      <w:r>
        <w:rPr>
          <w:rFonts w:hint="default" w:ascii="Times New Roman" w:hAnsi="Times New Roman" w:eastAsia="方正仿宋_GB2312" w:cs="Times New Roman"/>
          <w:color w:val="auto"/>
          <w:sz w:val="32"/>
          <w:szCs w:val="32"/>
          <w:highlight w:val="none"/>
        </w:rPr>
        <w:t>、</w:t>
      </w:r>
      <w:r>
        <w:rPr>
          <w:rFonts w:hint="eastAsia" w:ascii="Times New Roman" w:hAnsi="Times New Roman" w:eastAsia="仿宋_GB2312" w:cs="Times New Roman"/>
          <w:color w:val="auto"/>
          <w:kern w:val="2"/>
          <w:sz w:val="32"/>
          <w:szCs w:val="32"/>
          <w:highlight w:val="none"/>
          <w:lang w:val="en-US" w:eastAsia="zh-CN" w:bidi="ar-SA"/>
        </w:rPr>
        <w:t>生活补助</w:t>
      </w:r>
      <w:r>
        <w:rPr>
          <w:rFonts w:hint="eastAsia" w:eastAsia="仿宋_GB2312" w:cs="Times New Roman"/>
          <w:color w:val="auto"/>
          <w:kern w:val="2"/>
          <w:sz w:val="32"/>
          <w:szCs w:val="32"/>
          <w:highlight w:val="none"/>
          <w:lang w:val="en-US" w:eastAsia="zh-CN" w:bidi="ar-SA"/>
        </w:rPr>
        <w:t>14.43万元</w:t>
      </w:r>
      <w:r>
        <w:rPr>
          <w:rFonts w:hint="eastAsia" w:ascii="Times New Roman" w:hAnsi="Times New Roman" w:eastAsia="仿宋_GB2312" w:cs="Times New Roman"/>
          <w:color w:val="auto"/>
          <w:kern w:val="2"/>
          <w:sz w:val="32"/>
          <w:szCs w:val="32"/>
          <w:highlight w:val="none"/>
          <w:lang w:val="en-US" w:eastAsia="zh-CN" w:bidi="ar-SA"/>
        </w:rPr>
        <w:t>、医疗费补助</w:t>
      </w:r>
      <w:r>
        <w:rPr>
          <w:rFonts w:hint="eastAsia" w:eastAsia="仿宋_GB2312" w:cs="Times New Roman"/>
          <w:color w:val="auto"/>
          <w:kern w:val="2"/>
          <w:sz w:val="32"/>
          <w:szCs w:val="32"/>
          <w:highlight w:val="none"/>
          <w:lang w:val="en-US" w:eastAsia="zh-CN" w:bidi="ar-SA"/>
        </w:rPr>
        <w:t>1.23万元</w:t>
      </w:r>
      <w:r>
        <w:rPr>
          <w:rFonts w:hint="eastAsia" w:ascii="Times New Roman" w:hAnsi="Times New Roman" w:eastAsia="仿宋_GB2312" w:cs="Times New Roman"/>
          <w:color w:val="auto"/>
          <w:kern w:val="2"/>
          <w:sz w:val="32"/>
          <w:szCs w:val="32"/>
          <w:highlight w:val="none"/>
          <w:lang w:val="en-US" w:eastAsia="zh-CN" w:bidi="ar-SA"/>
        </w:rPr>
        <w:t>、奖励金</w:t>
      </w:r>
      <w:r>
        <w:rPr>
          <w:rFonts w:hint="eastAsia" w:eastAsia="仿宋_GB2312" w:cs="Times New Roman"/>
          <w:color w:val="auto"/>
          <w:kern w:val="2"/>
          <w:sz w:val="32"/>
          <w:szCs w:val="32"/>
          <w:highlight w:val="none"/>
          <w:lang w:val="en-US" w:eastAsia="zh-CN" w:bidi="ar-SA"/>
        </w:rPr>
        <w:t>0.01万元</w:t>
      </w:r>
      <w:r>
        <w:rPr>
          <w:rFonts w:hint="eastAsia" w:ascii="Times New Roman" w:hAnsi="Times New Roman" w:eastAsia="仿宋_GB2312" w:cs="Times New Roman"/>
          <w:color w:val="auto"/>
          <w:kern w:val="2"/>
          <w:sz w:val="32"/>
          <w:szCs w:val="32"/>
          <w:highlight w:val="none"/>
          <w:lang w:val="en-US" w:eastAsia="zh-CN" w:bidi="ar-SA"/>
        </w:rPr>
        <w:t>。</w:t>
      </w:r>
      <w:r>
        <w:rPr>
          <w:rFonts w:hint="eastAsia" w:ascii="Times New Roman" w:hAnsi="Times New Roman" w:eastAsia="仿宋_GB2312" w:cs="Times New Roman"/>
          <w:color w:val="auto"/>
          <w:kern w:val="2"/>
          <w:sz w:val="32"/>
          <w:szCs w:val="32"/>
          <w:highlight w:val="none"/>
          <w:lang w:val="en-US" w:eastAsia="zh-CN" w:bidi="ar-SA"/>
        </w:rPr>
        <w:br w:type="textWrapping"/>
      </w:r>
      <w:r>
        <w:rPr>
          <w:rFonts w:hint="eastAsia" w:ascii="Times New Roman" w:hAnsi="Times New Roman" w:eastAsia="仿宋_GB2312" w:cs="Times New Roman"/>
          <w:color w:val="auto"/>
          <w:kern w:val="2"/>
          <w:sz w:val="32"/>
          <w:szCs w:val="32"/>
          <w:highlight w:val="none"/>
          <w:lang w:val="en-US" w:eastAsia="zh-CN" w:bidi="ar-SA"/>
        </w:rPr>
        <w:t>　　公用经费11.81万元，主要包括：</w:t>
      </w:r>
      <w:r>
        <w:rPr>
          <w:rFonts w:hint="default" w:ascii="Times New Roman" w:hAnsi="Times New Roman" w:eastAsia="仿宋_GB2312" w:cs="Times New Roman"/>
          <w:color w:val="auto"/>
          <w:kern w:val="2"/>
          <w:sz w:val="32"/>
          <w:szCs w:val="32"/>
          <w:highlight w:val="none"/>
          <w:lang w:val="en-US" w:eastAsia="zh-CN" w:bidi="ar-SA"/>
        </w:rPr>
        <w:t>办公费2.</w:t>
      </w:r>
      <w:r>
        <w:rPr>
          <w:rFonts w:hint="eastAsia" w:ascii="Times New Roman" w:hAnsi="Times New Roman" w:eastAsia="仿宋_GB2312"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32"/>
          <w:highlight w:val="none"/>
          <w:lang w:val="en-US" w:eastAsia="zh-CN" w:bidi="ar-SA"/>
        </w:rPr>
        <w:t>8万元、</w:t>
      </w:r>
      <w:r>
        <w:rPr>
          <w:rFonts w:hint="eastAsia" w:ascii="Times New Roman" w:hAnsi="Times New Roman" w:eastAsia="仿宋_GB2312" w:cs="Times New Roman"/>
          <w:color w:val="auto"/>
          <w:kern w:val="2"/>
          <w:sz w:val="32"/>
          <w:szCs w:val="32"/>
          <w:highlight w:val="none"/>
          <w:lang w:val="en-US" w:eastAsia="zh-CN" w:bidi="ar-SA"/>
        </w:rPr>
        <w:t>水费0.07万元、电费0.63万元、</w:t>
      </w:r>
      <w:r>
        <w:rPr>
          <w:rFonts w:hint="default" w:ascii="Times New Roman" w:hAnsi="Times New Roman" w:eastAsia="仿宋_GB2312" w:cs="Times New Roman"/>
          <w:color w:val="auto"/>
          <w:kern w:val="2"/>
          <w:sz w:val="32"/>
          <w:szCs w:val="32"/>
          <w:highlight w:val="none"/>
          <w:lang w:val="en-US" w:eastAsia="zh-CN" w:bidi="ar-SA"/>
        </w:rPr>
        <w:t>邮电费0.</w:t>
      </w:r>
      <w:r>
        <w:rPr>
          <w:rFonts w:hint="eastAsia" w:ascii="Times New Roman" w:hAnsi="Times New Roman" w:eastAsia="仿宋_GB2312" w:cs="Times New Roman"/>
          <w:color w:val="auto"/>
          <w:kern w:val="2"/>
          <w:sz w:val="32"/>
          <w:szCs w:val="32"/>
          <w:highlight w:val="none"/>
          <w:lang w:val="en-US" w:eastAsia="zh-CN" w:bidi="ar-SA"/>
        </w:rPr>
        <w:t>32</w:t>
      </w:r>
      <w:r>
        <w:rPr>
          <w:rFonts w:hint="default" w:ascii="Times New Roman" w:hAnsi="Times New Roman" w:eastAsia="仿宋_GB2312" w:cs="Times New Roman"/>
          <w:color w:val="auto"/>
          <w:kern w:val="2"/>
          <w:sz w:val="32"/>
          <w:szCs w:val="32"/>
          <w:highlight w:val="none"/>
          <w:lang w:val="en-US" w:eastAsia="zh-CN" w:bidi="ar-SA"/>
        </w:rPr>
        <w:t>万元、差旅费</w:t>
      </w:r>
      <w:r>
        <w:rPr>
          <w:rFonts w:hint="eastAsia" w:ascii="Times New Roman" w:hAnsi="Times New Roman" w:eastAsia="仿宋_GB2312" w:cs="Times New Roman"/>
          <w:color w:val="auto"/>
          <w:kern w:val="2"/>
          <w:sz w:val="32"/>
          <w:szCs w:val="32"/>
          <w:highlight w:val="none"/>
          <w:lang w:val="en-US" w:eastAsia="zh-CN" w:bidi="ar-SA"/>
        </w:rPr>
        <w:t>1.17</w:t>
      </w:r>
      <w:r>
        <w:rPr>
          <w:rFonts w:hint="default" w:ascii="Times New Roman" w:hAnsi="Times New Roman" w:eastAsia="仿宋_GB2312" w:cs="Times New Roman"/>
          <w:color w:val="auto"/>
          <w:kern w:val="2"/>
          <w:sz w:val="32"/>
          <w:szCs w:val="32"/>
          <w:highlight w:val="none"/>
          <w:lang w:val="en-US" w:eastAsia="zh-CN" w:bidi="ar-SA"/>
        </w:rPr>
        <w:t>万元、</w:t>
      </w:r>
      <w:r>
        <w:rPr>
          <w:rFonts w:hint="eastAsia" w:ascii="Times New Roman" w:hAnsi="Times New Roman" w:eastAsia="仿宋_GB2312" w:cs="Times New Roman"/>
          <w:color w:val="auto"/>
          <w:kern w:val="2"/>
          <w:sz w:val="32"/>
          <w:szCs w:val="32"/>
          <w:highlight w:val="none"/>
          <w:lang w:val="en-US" w:eastAsia="zh-CN" w:bidi="ar-SA"/>
        </w:rPr>
        <w:t>维修（护）费0.14万元、</w:t>
      </w:r>
      <w:r>
        <w:rPr>
          <w:rFonts w:hint="default" w:ascii="Times New Roman" w:hAnsi="Times New Roman" w:eastAsia="仿宋_GB2312" w:cs="Times New Roman"/>
          <w:color w:val="auto"/>
          <w:kern w:val="2"/>
          <w:sz w:val="32"/>
          <w:szCs w:val="32"/>
          <w:highlight w:val="none"/>
          <w:lang w:val="en-US" w:eastAsia="zh-CN" w:bidi="ar-SA"/>
        </w:rPr>
        <w:t>公务接待费0.1</w:t>
      </w:r>
      <w:r>
        <w:rPr>
          <w:rFonts w:hint="eastAsia" w:ascii="Times New Roman" w:hAnsi="Times New Roman" w:eastAsia="仿宋_GB2312" w:cs="Times New Roman"/>
          <w:color w:val="auto"/>
          <w:kern w:val="2"/>
          <w:sz w:val="32"/>
          <w:szCs w:val="32"/>
          <w:highlight w:val="none"/>
          <w:lang w:val="en-US" w:eastAsia="zh-CN" w:bidi="ar-SA"/>
        </w:rPr>
        <w:t>1</w:t>
      </w:r>
      <w:r>
        <w:rPr>
          <w:rFonts w:hint="default" w:ascii="Times New Roman" w:hAnsi="Times New Roman" w:eastAsia="仿宋_GB2312" w:cs="Times New Roman"/>
          <w:color w:val="auto"/>
          <w:kern w:val="2"/>
          <w:sz w:val="32"/>
          <w:szCs w:val="32"/>
          <w:highlight w:val="none"/>
          <w:lang w:val="en-US" w:eastAsia="zh-CN" w:bidi="ar-SA"/>
        </w:rPr>
        <w:t>万元、</w:t>
      </w:r>
      <w:r>
        <w:rPr>
          <w:rFonts w:hint="eastAsia" w:ascii="Times New Roman" w:hAnsi="Times New Roman" w:eastAsia="仿宋_GB2312" w:cs="Times New Roman"/>
          <w:color w:val="auto"/>
          <w:kern w:val="2"/>
          <w:sz w:val="32"/>
          <w:szCs w:val="32"/>
          <w:highlight w:val="none"/>
          <w:lang w:val="en-US" w:eastAsia="zh-CN" w:bidi="ar-SA"/>
        </w:rPr>
        <w:t>劳务费0.08万元、</w:t>
      </w:r>
      <w:r>
        <w:rPr>
          <w:rFonts w:hint="default" w:ascii="Times New Roman" w:hAnsi="Times New Roman" w:eastAsia="仿宋_GB2312" w:cs="Times New Roman"/>
          <w:color w:val="auto"/>
          <w:kern w:val="2"/>
          <w:sz w:val="32"/>
          <w:szCs w:val="32"/>
          <w:highlight w:val="none"/>
          <w:lang w:val="en-US" w:eastAsia="zh-CN" w:bidi="ar-SA"/>
        </w:rPr>
        <w:t>工会经费1.</w:t>
      </w:r>
      <w:r>
        <w:rPr>
          <w:rFonts w:hint="eastAsia" w:ascii="Times New Roman" w:hAnsi="Times New Roman" w:eastAsia="仿宋_GB2312" w:cs="Times New Roman"/>
          <w:color w:val="auto"/>
          <w:kern w:val="2"/>
          <w:sz w:val="32"/>
          <w:szCs w:val="32"/>
          <w:highlight w:val="none"/>
          <w:lang w:val="en-US" w:eastAsia="zh-CN" w:bidi="ar-SA"/>
        </w:rPr>
        <w:t>8</w:t>
      </w:r>
      <w:r>
        <w:rPr>
          <w:rFonts w:hint="eastAsia" w:eastAsia="仿宋_GB2312" w:cs="Times New Roman"/>
          <w:color w:val="auto"/>
          <w:kern w:val="2"/>
          <w:sz w:val="32"/>
          <w:szCs w:val="32"/>
          <w:highlight w:val="none"/>
          <w:lang w:val="en-US" w:eastAsia="zh-CN" w:bidi="ar-SA"/>
        </w:rPr>
        <w:t>5</w:t>
      </w:r>
      <w:r>
        <w:rPr>
          <w:rFonts w:hint="default" w:ascii="Times New Roman" w:hAnsi="Times New Roman" w:eastAsia="仿宋_GB2312" w:cs="Times New Roman"/>
          <w:color w:val="auto"/>
          <w:kern w:val="2"/>
          <w:sz w:val="32"/>
          <w:szCs w:val="32"/>
          <w:highlight w:val="none"/>
          <w:lang w:val="en-US" w:eastAsia="zh-CN" w:bidi="ar-SA"/>
        </w:rPr>
        <w:t>万元、福利费0.</w:t>
      </w:r>
      <w:r>
        <w:rPr>
          <w:rFonts w:hint="eastAsia" w:ascii="Times New Roman" w:hAnsi="Times New Roman" w:eastAsia="仿宋_GB2312" w:cs="Times New Roman"/>
          <w:color w:val="auto"/>
          <w:kern w:val="2"/>
          <w:sz w:val="32"/>
          <w:szCs w:val="32"/>
          <w:highlight w:val="none"/>
          <w:lang w:val="en-US" w:eastAsia="zh-CN" w:bidi="ar-SA"/>
        </w:rPr>
        <w:t>98</w:t>
      </w:r>
      <w:r>
        <w:rPr>
          <w:rFonts w:hint="default" w:ascii="Times New Roman" w:hAnsi="Times New Roman" w:eastAsia="仿宋_GB2312" w:cs="Times New Roman"/>
          <w:color w:val="auto"/>
          <w:kern w:val="2"/>
          <w:sz w:val="32"/>
          <w:szCs w:val="32"/>
          <w:highlight w:val="none"/>
          <w:lang w:val="en-US" w:eastAsia="zh-CN" w:bidi="ar-SA"/>
        </w:rPr>
        <w:t>万元、公务用车运行维护费1.1</w:t>
      </w:r>
      <w:r>
        <w:rPr>
          <w:rFonts w:hint="eastAsia" w:ascii="Times New Roman" w:hAnsi="Times New Roman" w:eastAsia="仿宋_GB2312" w:cs="Times New Roman"/>
          <w:color w:val="auto"/>
          <w:kern w:val="2"/>
          <w:sz w:val="32"/>
          <w:szCs w:val="32"/>
          <w:highlight w:val="none"/>
          <w:lang w:val="en-US" w:eastAsia="zh-CN" w:bidi="ar-SA"/>
        </w:rPr>
        <w:t>3</w:t>
      </w:r>
      <w:r>
        <w:rPr>
          <w:rFonts w:hint="default" w:ascii="Times New Roman" w:hAnsi="Times New Roman" w:eastAsia="仿宋_GB2312" w:cs="Times New Roman"/>
          <w:color w:val="auto"/>
          <w:kern w:val="2"/>
          <w:sz w:val="32"/>
          <w:szCs w:val="32"/>
          <w:highlight w:val="none"/>
          <w:lang w:val="en-US" w:eastAsia="zh-CN" w:bidi="ar-SA"/>
        </w:rPr>
        <w:t>万元、</w:t>
      </w:r>
      <w:r>
        <w:rPr>
          <w:rFonts w:hint="eastAsia" w:ascii="Times New Roman" w:hAnsi="Times New Roman" w:eastAsia="仿宋_GB2312" w:cs="Times New Roman"/>
          <w:color w:val="auto"/>
          <w:kern w:val="2"/>
          <w:sz w:val="32"/>
          <w:szCs w:val="32"/>
          <w:highlight w:val="none"/>
          <w:lang w:val="en-US" w:eastAsia="zh-CN" w:bidi="ar-SA"/>
        </w:rPr>
        <w:t>其他交通费用1.13万元、</w:t>
      </w:r>
      <w:r>
        <w:rPr>
          <w:rFonts w:hint="default" w:ascii="Times New Roman" w:hAnsi="Times New Roman" w:eastAsia="仿宋_GB2312" w:cs="Times New Roman"/>
          <w:color w:val="auto"/>
          <w:kern w:val="2"/>
          <w:sz w:val="32"/>
          <w:szCs w:val="32"/>
          <w:highlight w:val="none"/>
          <w:lang w:val="en-US" w:eastAsia="zh-CN" w:bidi="ar-SA"/>
        </w:rPr>
        <w:t>其他商品和服务支出0.</w:t>
      </w:r>
      <w:r>
        <w:rPr>
          <w:rFonts w:hint="eastAsia" w:ascii="Times New Roman" w:hAnsi="Times New Roman" w:eastAsia="仿宋_GB2312" w:cs="Times New Roman"/>
          <w:color w:val="auto"/>
          <w:kern w:val="2"/>
          <w:sz w:val="32"/>
          <w:szCs w:val="32"/>
          <w:highlight w:val="none"/>
          <w:lang w:val="en-US" w:eastAsia="zh-CN" w:bidi="ar-SA"/>
        </w:rPr>
        <w:t>78</w:t>
      </w:r>
      <w:r>
        <w:rPr>
          <w:rFonts w:hint="default" w:ascii="Times New Roman" w:hAnsi="Times New Roman" w:eastAsia="仿宋_GB2312" w:cs="Times New Roman"/>
          <w:color w:val="auto"/>
          <w:kern w:val="2"/>
          <w:sz w:val="32"/>
          <w:szCs w:val="32"/>
          <w:highlight w:val="none"/>
          <w:lang w:val="en-US" w:eastAsia="zh-CN" w:bidi="ar-SA"/>
        </w:rPr>
        <w:t>万元</w:t>
      </w:r>
      <w:r>
        <w:rPr>
          <w:rFonts w:hint="eastAsia" w:ascii="Times New Roman" w:hAnsi="Times New Roman" w:eastAsia="仿宋_GB2312" w:cs="Times New Roman"/>
          <w:color w:val="auto"/>
          <w:kern w:val="2"/>
          <w:sz w:val="32"/>
          <w:szCs w:val="32"/>
          <w:highlight w:val="none"/>
          <w:lang w:val="en-US" w:eastAsia="zh-CN" w:bidi="ar-SA"/>
        </w:rPr>
        <w:t>、办公设备购置1.35万元。</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1"/>
        <w:rPr>
          <w:rStyle w:val="29"/>
          <w:rFonts w:ascii="Times New Roman" w:hAnsi="Times New Roman" w:eastAsia="黑体"/>
          <w:b w:val="0"/>
          <w:color w:val="auto"/>
          <w:highlight w:val="none"/>
        </w:rPr>
      </w:pPr>
      <w:bookmarkStart w:id="38" w:name="_Toc15377215"/>
      <w:bookmarkStart w:id="39" w:name="_Toc15396609"/>
      <w:r>
        <w:rPr>
          <w:rFonts w:hint="eastAsia" w:ascii="Times New Roman" w:hAnsi="Times New Roman" w:eastAsia="黑体"/>
          <w:color w:val="auto"/>
          <w:sz w:val="32"/>
          <w:szCs w:val="32"/>
          <w:highlight w:val="none"/>
        </w:rPr>
        <w:t>七、</w:t>
      </w:r>
      <w:r>
        <w:rPr>
          <w:rStyle w:val="29"/>
          <w:rFonts w:hint="eastAsia" w:ascii="Times New Roman" w:hAnsi="Times New Roman" w:eastAsia="黑体"/>
          <w:b w:val="0"/>
          <w:color w:val="auto"/>
          <w:highlight w:val="none"/>
        </w:rPr>
        <w:t>财政拨款</w:t>
      </w:r>
      <w:r>
        <w:rPr>
          <w:rStyle w:val="29"/>
          <w:rFonts w:hint="eastAsia" w:ascii="Times New Roman" w:hAnsi="Times New Roman" w:eastAsia="黑体"/>
          <w:b w:val="0"/>
          <w:bCs w:val="0"/>
          <w:color w:val="auto"/>
          <w:highlight w:val="none"/>
        </w:rPr>
        <w:t>“</w:t>
      </w:r>
      <w:r>
        <w:rPr>
          <w:rStyle w:val="29"/>
          <w:rFonts w:hint="eastAsia" w:ascii="Times New Roman" w:hAnsi="Times New Roman" w:eastAsia="黑体"/>
          <w:b w:val="0"/>
          <w:color w:val="auto"/>
          <w:highlight w:val="none"/>
        </w:rPr>
        <w:t>三公”经费支出决算情况说明</w:t>
      </w:r>
      <w:bookmarkEnd w:id="38"/>
      <w:bookmarkEnd w:id="39"/>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2"/>
        <w:rPr>
          <w:rFonts w:hint="eastAsia" w:ascii="Times New Roman" w:hAnsi="Times New Roman" w:eastAsia="楷体_GB2312" w:cs="楷体_GB2312"/>
          <w:b/>
          <w:color w:val="auto"/>
          <w:sz w:val="32"/>
          <w:szCs w:val="32"/>
          <w:highlight w:val="none"/>
        </w:rPr>
      </w:pPr>
      <w:bookmarkStart w:id="40"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40"/>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2024年度“三公”经费财政拨款支出决算为1.24万元，完成预算100%，较上年度减少0.05万元，下降3.88%。</w:t>
      </w:r>
      <w:r>
        <w:rPr>
          <w:rFonts w:hint="default" w:ascii="Times New Roman" w:hAnsi="Times New Roman" w:eastAsia="仿宋_GB2312" w:cs="Times New Roman"/>
          <w:color w:val="auto"/>
          <w:kern w:val="2"/>
          <w:sz w:val="32"/>
          <w:szCs w:val="32"/>
          <w:highlight w:val="none"/>
          <w:lang w:val="en-US" w:eastAsia="zh-CN" w:bidi="ar-SA"/>
        </w:rPr>
        <w:t>决算数与预算数持平的主要原因是严格按照预算控制支出</w:t>
      </w:r>
      <w:r>
        <w:rPr>
          <w:rFonts w:hint="eastAsia" w:ascii="Times New Roman" w:hAnsi="Times New Roman" w:eastAsia="仿宋_GB2312" w:cs="Times New Roman"/>
          <w:color w:val="auto"/>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2"/>
        <w:rPr>
          <w:rFonts w:hint="eastAsia" w:ascii="Times New Roman" w:hAnsi="Times New Roman" w:eastAsia="楷体_GB2312" w:cs="楷体_GB2312"/>
          <w:b/>
          <w:color w:val="auto"/>
          <w:sz w:val="32"/>
          <w:szCs w:val="32"/>
          <w:highlight w:val="none"/>
        </w:rPr>
      </w:pPr>
      <w:bookmarkStart w:id="41"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41"/>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2024年度“三公”经费财政拨款支出决算中，因公出国（境）费支出决算0万元，占</w:t>
      </w:r>
      <w:r>
        <w:rPr>
          <w:rFonts w:hint="eastAsia" w:eastAsia="仿宋_GB2312" w:cs="Times New Roman"/>
          <w:color w:val="auto"/>
          <w:kern w:val="2"/>
          <w:sz w:val="32"/>
          <w:szCs w:val="32"/>
          <w:highlight w:val="none"/>
          <w:lang w:val="en-US" w:eastAsia="zh-CN" w:bidi="ar-SA"/>
        </w:rPr>
        <w:t>0</w:t>
      </w:r>
      <w:r>
        <w:rPr>
          <w:rFonts w:hint="eastAsia" w:ascii="Times New Roman" w:hAnsi="Times New Roman" w:eastAsia="仿宋_GB2312" w:cs="Times New Roman"/>
          <w:color w:val="auto"/>
          <w:kern w:val="2"/>
          <w:sz w:val="32"/>
          <w:szCs w:val="32"/>
          <w:highlight w:val="none"/>
          <w:lang w:val="en-US" w:eastAsia="zh-CN" w:bidi="ar-SA"/>
        </w:rPr>
        <w:t>%；公务用车购置及运行维护费支出决算1.13万元，占</w:t>
      </w:r>
      <w:r>
        <w:rPr>
          <w:rFonts w:hint="eastAsia" w:eastAsia="仿宋_GB2312" w:cs="Times New Roman"/>
          <w:color w:val="auto"/>
          <w:kern w:val="2"/>
          <w:sz w:val="32"/>
          <w:szCs w:val="32"/>
          <w:highlight w:val="none"/>
          <w:lang w:val="en-US" w:eastAsia="zh-CN" w:bidi="ar-SA"/>
        </w:rPr>
        <w:t>91.13</w:t>
      </w:r>
      <w:r>
        <w:rPr>
          <w:rFonts w:hint="eastAsia" w:ascii="Times New Roman" w:hAnsi="Times New Roman" w:eastAsia="仿宋_GB2312" w:cs="Times New Roman"/>
          <w:color w:val="auto"/>
          <w:kern w:val="2"/>
          <w:sz w:val="32"/>
          <w:szCs w:val="32"/>
          <w:highlight w:val="none"/>
          <w:lang w:val="en-US" w:eastAsia="zh-CN" w:bidi="ar-SA"/>
        </w:rPr>
        <w:t>%；公务接待费支出决算0.11万元，占</w:t>
      </w:r>
      <w:r>
        <w:rPr>
          <w:rFonts w:hint="eastAsia" w:eastAsia="仿宋_GB2312" w:cs="Times New Roman"/>
          <w:color w:val="auto"/>
          <w:kern w:val="2"/>
          <w:sz w:val="32"/>
          <w:szCs w:val="32"/>
          <w:highlight w:val="none"/>
          <w:lang w:val="en-US" w:eastAsia="zh-CN" w:bidi="ar-SA"/>
        </w:rPr>
        <w:t>8.87</w:t>
      </w:r>
      <w:r>
        <w:rPr>
          <w:rFonts w:hint="eastAsia" w:ascii="Times New Roman" w:hAnsi="Times New Roman" w:eastAsia="仿宋_GB2312" w:cs="Times New Roman"/>
          <w:color w:val="auto"/>
          <w:kern w:val="2"/>
          <w:sz w:val="32"/>
          <w:szCs w:val="32"/>
          <w:highlight w:val="none"/>
          <w:lang w:val="en-US" w:eastAsia="zh-CN" w:bidi="ar-SA"/>
        </w:rPr>
        <w:t>%。具体情况如下：</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（图7：“三公”经费财政拨款支出结构）（饼状图）</w:t>
      </w:r>
    </w:p>
    <w:p>
      <w:pPr>
        <w:keepNext w:val="0"/>
        <w:keepLines w:val="0"/>
        <w:pageBreakBefore w:val="0"/>
        <w:widowControl w:val="0"/>
        <w:kinsoku/>
        <w:wordWrap/>
        <w:overflowPunct/>
        <w:topLinePunct w:val="0"/>
        <w:autoSpaceDE/>
        <w:autoSpaceDN/>
        <w:bidi w:val="0"/>
        <w:adjustRightInd/>
        <w:snapToGrid/>
        <w:spacing w:line="560" w:lineRule="atLeast"/>
        <w:ind w:firstLine="64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eastAsia="仿宋"/>
          <w:lang w:eastAsia="zh-CN"/>
        </w:rPr>
        <w:pict>
          <v:shape id="_x0000_s1032" o:spid="_x0000_s1032" o:spt="75" type="#_x0000_t75" style="position:absolute;left:0pt;margin-left:30.5pt;margin-top:4.4pt;height:159.75pt;width:366.75pt;mso-wrap-distance-bottom:0pt;mso-wrap-distance-top:0pt;z-index:251667456;mso-width-relative:page;mso-height-relative:page;" o:ole="t" filled="f" o:preferrelative="t" stroked="f" coordsize="21600,21600">
            <v:path/>
            <v:fill on="f" focussize="0,0"/>
            <v:stroke on="f"/>
            <v:imagedata r:id="rId22" o:title=""/>
            <o:lock v:ext="edit" aspectratio="t"/>
            <w10:wrap type="topAndBottom"/>
          </v:shape>
          <o:OLEObject Type="Embed" ProgID="Excel.Chart.8" ShapeID="_x0000_s1032" DrawAspect="Content" ObjectID="_1468075731" r:id="rId21">
            <o:LockedField>false</o:LockedField>
          </o:OLEObject>
        </w:pict>
      </w:r>
      <w:r>
        <w:rPr>
          <w:rFonts w:hint="eastAsia" w:ascii="Times New Roman" w:hAnsi="Times New Roman" w:eastAsia="仿宋_GB2312" w:cs="仿宋_GB2312"/>
          <w:b/>
          <w:bCs/>
          <w:color w:val="auto"/>
          <w:kern w:val="2"/>
          <w:sz w:val="32"/>
          <w:szCs w:val="32"/>
          <w:highlight w:val="none"/>
          <w:lang w:val="en-US" w:eastAsia="zh-CN" w:bidi="ar-SA"/>
        </w:rPr>
        <w:t>1.</w:t>
      </w:r>
      <w:r>
        <w:rPr>
          <w:rFonts w:hint="default" w:ascii="Times New Roman" w:hAnsi="Times New Roman" w:eastAsia="仿宋_GB2312" w:cs="Times New Roman"/>
          <w:b/>
          <w:bCs/>
          <w:color w:val="auto"/>
          <w:kern w:val="2"/>
          <w:sz w:val="32"/>
          <w:szCs w:val="32"/>
          <w:highlight w:val="none"/>
          <w:lang w:val="en-US" w:eastAsia="zh-CN" w:bidi="ar-SA"/>
        </w:rPr>
        <w:t>因公出国（境）经费支出0万元，完成预算100%。</w:t>
      </w:r>
      <w:r>
        <w:rPr>
          <w:rFonts w:hint="eastAsia" w:ascii="Times New Roman" w:hAnsi="Times New Roman" w:eastAsia="仿宋_GB2312" w:cs="Times New Roman"/>
          <w:color w:val="auto"/>
          <w:kern w:val="2"/>
          <w:sz w:val="32"/>
          <w:szCs w:val="32"/>
          <w:highlight w:val="none"/>
          <w:lang w:val="en-US" w:eastAsia="zh-CN" w:bidi="ar-SA"/>
        </w:rPr>
        <w:t>全年安排因公出国（境）团组0次，出国（境）0人。</w:t>
      </w:r>
      <w:r>
        <w:rPr>
          <w:rFonts w:hint="default" w:ascii="Times New Roman" w:hAnsi="Times New Roman" w:eastAsia="仿宋_GB2312" w:cs="Times New Roman"/>
          <w:color w:val="auto"/>
          <w:kern w:val="2"/>
          <w:sz w:val="32"/>
          <w:szCs w:val="32"/>
          <w:highlight w:val="none"/>
          <w:lang w:val="en-US" w:eastAsia="zh-CN" w:bidi="ar-SA"/>
        </w:rPr>
        <w:t>因公出国（境）支出决算</w:t>
      </w:r>
      <w:r>
        <w:rPr>
          <w:rFonts w:hint="eastAsia" w:ascii="Times New Roman" w:hAnsi="Times New Roman" w:eastAsia="仿宋_GB2312" w:cs="Times New Roman"/>
          <w:color w:val="auto"/>
          <w:kern w:val="2"/>
          <w:sz w:val="32"/>
          <w:szCs w:val="32"/>
          <w:highlight w:val="none"/>
          <w:lang w:val="en-US" w:eastAsia="zh-CN" w:bidi="ar-SA"/>
        </w:rPr>
        <w:t>与</w:t>
      </w:r>
      <w:r>
        <w:rPr>
          <w:rFonts w:hint="default" w:ascii="Times New Roman" w:hAnsi="Times New Roman" w:eastAsia="仿宋_GB2312" w:cs="Times New Roman"/>
          <w:color w:val="auto"/>
          <w:kern w:val="2"/>
          <w:sz w:val="32"/>
          <w:szCs w:val="32"/>
          <w:highlight w:val="none"/>
          <w:lang w:val="en-US" w:eastAsia="zh-CN" w:bidi="ar-SA"/>
        </w:rPr>
        <w:t>202</w:t>
      </w:r>
      <w:r>
        <w:rPr>
          <w:rFonts w:hint="eastAsia" w:eastAsia="仿宋_GB2312" w:cs="Times New Roman"/>
          <w:color w:val="auto"/>
          <w:kern w:val="2"/>
          <w:sz w:val="32"/>
          <w:szCs w:val="32"/>
          <w:highlight w:val="none"/>
          <w:lang w:val="en-US" w:eastAsia="zh-CN" w:bidi="ar-SA"/>
        </w:rPr>
        <w:t>3</w:t>
      </w:r>
      <w:r>
        <w:rPr>
          <w:rFonts w:hint="default" w:ascii="Times New Roman" w:hAnsi="Times New Roman" w:eastAsia="仿宋_GB2312" w:cs="Times New Roman"/>
          <w:color w:val="auto"/>
          <w:kern w:val="2"/>
          <w:sz w:val="32"/>
          <w:szCs w:val="32"/>
          <w:highlight w:val="none"/>
          <w:lang w:val="en-US" w:eastAsia="zh-CN" w:bidi="ar-SA"/>
        </w:rPr>
        <w:t>年持平。主要原因是未安排该项预算。</w:t>
      </w:r>
    </w:p>
    <w:p>
      <w:pPr>
        <w:keepNext w:val="0"/>
        <w:keepLines w:val="0"/>
        <w:pageBreakBefore w:val="0"/>
        <w:widowControl w:val="0"/>
        <w:kinsoku/>
        <w:wordWrap/>
        <w:overflowPunct/>
        <w:topLinePunct w:val="0"/>
        <w:autoSpaceDE/>
        <w:autoSpaceDN/>
        <w:bidi w:val="0"/>
        <w:adjustRightInd/>
        <w:snapToGrid/>
        <w:spacing w:line="560" w:lineRule="atLeas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w:t>
      </w:r>
      <w:r>
        <w:rPr>
          <w:rFonts w:hint="default" w:ascii="Times New Roman" w:hAnsi="Times New Roman" w:eastAsia="仿宋_GB2312" w:cs="Times New Roman"/>
          <w:b/>
          <w:bCs/>
          <w:color w:val="auto"/>
          <w:kern w:val="2"/>
          <w:sz w:val="32"/>
          <w:szCs w:val="32"/>
          <w:highlight w:val="none"/>
          <w:lang w:val="en-US" w:eastAsia="zh-CN" w:bidi="ar-SA"/>
        </w:rPr>
        <w:t>公务用车购置及运行维护费支出1.13万元，完成预算100%。</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公务用车购置及运行维护费支出决算比2023年度减少</w:t>
      </w:r>
      <w:r>
        <w:rPr>
          <w:rFonts w:hint="eastAsia" w:eastAsia="仿宋_GB2312" w:cs="仿宋_GB2312"/>
          <w:color w:val="auto"/>
          <w:kern w:val="2"/>
          <w:sz w:val="32"/>
          <w:szCs w:val="32"/>
          <w:highlight w:val="none"/>
          <w:lang w:val="en-US" w:eastAsia="zh-CN" w:bidi="ar-SA"/>
        </w:rPr>
        <w:t>0.03</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2.59</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default" w:ascii="Times New Roman" w:hAnsi="Times New Roman" w:eastAsia="仿宋_GB2312" w:cs="仿宋_GB2312"/>
          <w:color w:val="auto"/>
          <w:kern w:val="2"/>
          <w:sz w:val="32"/>
          <w:szCs w:val="32"/>
          <w:highlight w:val="none"/>
          <w:lang w:val="en-US" w:eastAsia="zh-CN" w:bidi="ar-SA"/>
        </w:rPr>
        <w:t>对公务用车严格管理，节约了开支</w:t>
      </w:r>
      <w:r>
        <w:rPr>
          <w:rFonts w:hint="eastAsia" w:ascii="Times New Roman" w:hAnsi="Times New Roman" w:eastAsia="仿宋_GB2312" w:cs="仿宋_GB2312"/>
          <w:color w:val="auto"/>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atLeas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出0万元。全年按规定更新购置公务用车0辆，其中：轿车0辆、金额0万元，越野车0辆、金额0万元，载客汽车0辆、金额0万元。截至2024年12月31日，单位共有公务用车1辆，其中：轿车0辆、越野车1辆、载客汽车0辆。</w:t>
      </w:r>
    </w:p>
    <w:p>
      <w:pPr>
        <w:keepNext w:val="0"/>
        <w:keepLines w:val="0"/>
        <w:pageBreakBefore w:val="0"/>
        <w:widowControl w:val="0"/>
        <w:kinsoku/>
        <w:wordWrap/>
        <w:overflowPunct/>
        <w:topLinePunct w:val="0"/>
        <w:autoSpaceDE/>
        <w:autoSpaceDN/>
        <w:bidi w:val="0"/>
        <w:adjustRightInd/>
        <w:snapToGrid/>
        <w:spacing w:line="560" w:lineRule="atLeast"/>
        <w:ind w:firstLine="640"/>
        <w:textAlignment w:val="auto"/>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公务用车运行维护费支出1.13万元。</w:t>
      </w:r>
      <w:r>
        <w:rPr>
          <w:rFonts w:hint="default" w:ascii="Times New Roman" w:hAnsi="Times New Roman" w:eastAsia="仿宋_GB2312" w:cs="仿宋_GB2312"/>
          <w:color w:val="auto"/>
          <w:kern w:val="2"/>
          <w:sz w:val="32"/>
          <w:szCs w:val="32"/>
          <w:highlight w:val="none"/>
          <w:lang w:val="en-US" w:eastAsia="zh-CN" w:bidi="ar-SA"/>
        </w:rPr>
        <w:t>主要用于开展残疾人康复日常工作等所需的公务用车燃料费、维修费、过路过桥费、保险费等支出。</w:t>
      </w:r>
    </w:p>
    <w:p>
      <w:pPr>
        <w:keepNext w:val="0"/>
        <w:keepLines w:val="0"/>
        <w:pageBreakBefore w:val="0"/>
        <w:widowControl w:val="0"/>
        <w:kinsoku/>
        <w:wordWrap/>
        <w:overflowPunct/>
        <w:topLinePunct w:val="0"/>
        <w:autoSpaceDE/>
        <w:autoSpaceDN/>
        <w:bidi w:val="0"/>
        <w:adjustRightInd/>
        <w:snapToGrid/>
        <w:spacing w:line="560" w:lineRule="atLeas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3.公务接待费支出0.11万元，完成预算100%。</w:t>
      </w:r>
      <w:r>
        <w:rPr>
          <w:rFonts w:hint="eastAsia" w:ascii="Times New Roman" w:hAnsi="Times New Roman" w:eastAsia="仿宋_GB2312" w:cs="仿宋_GB2312"/>
          <w:color w:val="auto"/>
          <w:kern w:val="2"/>
          <w:sz w:val="32"/>
          <w:szCs w:val="32"/>
          <w:highlight w:val="none"/>
          <w:lang w:val="en-US" w:eastAsia="zh-CN" w:bidi="ar-SA"/>
        </w:rPr>
        <w:t>公务接待费支出决算比2023年度减少</w:t>
      </w:r>
      <w:r>
        <w:rPr>
          <w:rFonts w:hint="eastAsia" w:eastAsia="仿宋_GB2312" w:cs="仿宋_GB2312"/>
          <w:color w:val="auto"/>
          <w:kern w:val="2"/>
          <w:sz w:val="32"/>
          <w:szCs w:val="32"/>
          <w:highlight w:val="none"/>
          <w:lang w:val="en-US" w:eastAsia="zh-CN" w:bidi="ar-SA"/>
        </w:rPr>
        <w:t>0.02</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18.18</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default" w:ascii="Times New Roman" w:hAnsi="Times New Roman" w:eastAsia="仿宋_GB2312" w:cs="仿宋_GB2312"/>
          <w:color w:val="auto"/>
          <w:kern w:val="2"/>
          <w:sz w:val="32"/>
          <w:szCs w:val="32"/>
          <w:highlight w:val="none"/>
          <w:lang w:val="en-US" w:eastAsia="zh-CN" w:bidi="ar-SA"/>
        </w:rPr>
        <w:t>对公务</w:t>
      </w:r>
      <w:r>
        <w:rPr>
          <w:rFonts w:hint="eastAsia" w:eastAsia="仿宋_GB2312" w:cs="仿宋_GB2312"/>
          <w:color w:val="auto"/>
          <w:kern w:val="2"/>
          <w:sz w:val="32"/>
          <w:szCs w:val="32"/>
          <w:highlight w:val="none"/>
          <w:lang w:val="en-US" w:eastAsia="zh-CN" w:bidi="ar-SA"/>
        </w:rPr>
        <w:t>接待</w:t>
      </w:r>
      <w:r>
        <w:rPr>
          <w:rFonts w:hint="default" w:ascii="Times New Roman" w:hAnsi="Times New Roman" w:eastAsia="仿宋_GB2312" w:cs="仿宋_GB2312"/>
          <w:color w:val="auto"/>
          <w:kern w:val="2"/>
          <w:sz w:val="32"/>
          <w:szCs w:val="32"/>
          <w:highlight w:val="none"/>
          <w:lang w:val="en-US" w:eastAsia="zh-CN" w:bidi="ar-SA"/>
        </w:rPr>
        <w:t>严格管理，节约了开支</w:t>
      </w:r>
      <w:r>
        <w:rPr>
          <w:rFonts w:hint="eastAsia" w:ascii="Times New Roman" w:hAnsi="Times New Roman" w:eastAsia="仿宋_GB2312" w:cs="仿宋_GB2312"/>
          <w:color w:val="auto"/>
          <w:kern w:val="2"/>
          <w:sz w:val="32"/>
          <w:szCs w:val="32"/>
          <w:highlight w:val="none"/>
          <w:lang w:val="en-US" w:eastAsia="zh-CN" w:bidi="ar-SA"/>
        </w:rPr>
        <w:t>。其中：</w:t>
      </w:r>
    </w:p>
    <w:p>
      <w:pPr>
        <w:keepNext w:val="0"/>
        <w:keepLines w:val="0"/>
        <w:pageBreakBefore w:val="0"/>
        <w:widowControl w:val="0"/>
        <w:kinsoku/>
        <w:wordWrap/>
        <w:overflowPunct/>
        <w:topLinePunct w:val="0"/>
        <w:autoSpaceDE/>
        <w:autoSpaceDN/>
        <w:bidi w:val="0"/>
        <w:adjustRightInd/>
        <w:snapToGrid/>
        <w:spacing w:line="560" w:lineRule="atLeas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国内公务接待支出0.11万元，主要用于开展业务活动开支的用餐费。国内公务接待1批次，</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人次（不包括陪同人员</w:t>
      </w:r>
      <w:r>
        <w:rPr>
          <w:rFonts w:hint="eastAsia" w:eastAsia="仿宋_GB2312" w:cs="仿宋_GB2312"/>
          <w:color w:val="auto"/>
          <w:kern w:val="2"/>
          <w:sz w:val="32"/>
          <w:szCs w:val="32"/>
          <w:highlight w:val="none"/>
          <w:lang w:val="en-US" w:eastAsia="zh-CN" w:bidi="ar-SA"/>
        </w:rPr>
        <w:t>3人</w:t>
      </w:r>
      <w:r>
        <w:rPr>
          <w:rFonts w:hint="eastAsia" w:ascii="Times New Roman" w:hAnsi="Times New Roman" w:eastAsia="仿宋_GB2312" w:cs="仿宋_GB2312"/>
          <w:color w:val="auto"/>
          <w:kern w:val="2"/>
          <w:sz w:val="32"/>
          <w:szCs w:val="32"/>
          <w:highlight w:val="none"/>
          <w:lang w:val="en-US" w:eastAsia="zh-CN" w:bidi="ar-SA"/>
        </w:rPr>
        <w:t>），共计支出</w:t>
      </w:r>
      <w:r>
        <w:rPr>
          <w:rFonts w:hint="eastAsia" w:eastAsia="仿宋_GB2312" w:cs="仿宋_GB2312"/>
          <w:color w:val="auto"/>
          <w:kern w:val="2"/>
          <w:sz w:val="32"/>
          <w:szCs w:val="32"/>
          <w:highlight w:val="none"/>
          <w:lang w:val="en-US" w:eastAsia="zh-CN" w:bidi="ar-SA"/>
        </w:rPr>
        <w:t>0.11</w:t>
      </w:r>
      <w:r>
        <w:rPr>
          <w:rFonts w:hint="eastAsia" w:ascii="Times New Roman" w:hAnsi="Times New Roman" w:eastAsia="仿宋_GB2312" w:cs="仿宋_GB2312"/>
          <w:color w:val="auto"/>
          <w:kern w:val="2"/>
          <w:sz w:val="32"/>
          <w:szCs w:val="32"/>
          <w:highlight w:val="none"/>
          <w:lang w:val="en-US" w:eastAsia="zh-CN" w:bidi="ar-SA"/>
        </w:rPr>
        <w:t>万元，具体内容包括：</w:t>
      </w:r>
      <w:r>
        <w:rPr>
          <w:rFonts w:hint="default" w:ascii="Times New Roman" w:hAnsi="Times New Roman" w:eastAsia="仿宋_GB2312" w:cs="仿宋_GB2312"/>
          <w:color w:val="auto"/>
          <w:kern w:val="2"/>
          <w:sz w:val="32"/>
          <w:szCs w:val="32"/>
          <w:highlight w:val="none"/>
          <w:lang w:val="en-US" w:eastAsia="zh-CN" w:bidi="ar-SA"/>
        </w:rPr>
        <w:t>接待省</w:t>
      </w:r>
      <w:r>
        <w:rPr>
          <w:rFonts w:hint="eastAsia" w:ascii="Times New Roman" w:hAnsi="Times New Roman" w:eastAsia="仿宋_GB2312" w:cs="仿宋_GB2312"/>
          <w:color w:val="auto"/>
          <w:kern w:val="2"/>
          <w:sz w:val="32"/>
          <w:szCs w:val="32"/>
          <w:highlight w:val="none"/>
          <w:lang w:val="en-US" w:eastAsia="zh-CN" w:bidi="ar-SA"/>
        </w:rPr>
        <w:t>纪委监委驻民政厅纪检监察组一行调研残疾人基本康复、残疾儿童康复救助等</w:t>
      </w:r>
      <w:r>
        <w:rPr>
          <w:rFonts w:hint="default" w:ascii="Times New Roman" w:hAnsi="Times New Roman" w:eastAsia="仿宋_GB2312" w:cs="仿宋_GB2312"/>
          <w:color w:val="auto"/>
          <w:kern w:val="2"/>
          <w:sz w:val="32"/>
          <w:szCs w:val="32"/>
          <w:highlight w:val="none"/>
          <w:lang w:val="en-US" w:eastAsia="zh-CN" w:bidi="ar-SA"/>
        </w:rPr>
        <w:t>工作0.1</w:t>
      </w:r>
      <w:r>
        <w:rPr>
          <w:rFonts w:hint="eastAsia" w:ascii="Times New Roman" w:hAnsi="Times New Roman" w:eastAsia="仿宋_GB2312" w:cs="仿宋_GB2312"/>
          <w:color w:val="auto"/>
          <w:kern w:val="2"/>
          <w:sz w:val="32"/>
          <w:szCs w:val="32"/>
          <w:highlight w:val="none"/>
          <w:lang w:val="en-US" w:eastAsia="zh-CN" w:bidi="ar-SA"/>
        </w:rPr>
        <w:t>1</w:t>
      </w:r>
      <w:r>
        <w:rPr>
          <w:rFonts w:hint="default" w:ascii="Times New Roman" w:hAnsi="Times New Roman"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atLeas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外事接待支出0万元，外事接待0批次，0人次（不包括陪同人员），共计支出0万元。</w:t>
      </w:r>
      <w:bookmarkStart w:id="42" w:name="_Toc15377218"/>
      <w:bookmarkStart w:id="43" w:name="_Toc15396610"/>
    </w:p>
    <w:p>
      <w:pPr>
        <w:keepNext w:val="0"/>
        <w:keepLines w:val="0"/>
        <w:pageBreakBefore w:val="0"/>
        <w:widowControl w:val="0"/>
        <w:kinsoku/>
        <w:wordWrap/>
        <w:overflowPunct/>
        <w:topLinePunct w:val="0"/>
        <w:autoSpaceDE/>
        <w:autoSpaceDN/>
        <w:bidi w:val="0"/>
        <w:adjustRightInd/>
        <w:snapToGrid/>
        <w:spacing w:line="560" w:lineRule="atLeast"/>
        <w:ind w:firstLine="640"/>
        <w:textAlignment w:val="auto"/>
        <w:outlineLvl w:val="1"/>
        <w:rPr>
          <w:rStyle w:val="29"/>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29"/>
          <w:rFonts w:hint="eastAsia" w:ascii="Times New Roman" w:hAnsi="Times New Roman" w:eastAsia="黑体"/>
          <w:b w:val="0"/>
          <w:color w:val="auto"/>
          <w:highlight w:val="none"/>
        </w:rPr>
        <w:t>政府性基金预算支出决算情况说明</w:t>
      </w:r>
      <w:bookmarkEnd w:id="42"/>
      <w:bookmarkEnd w:id="43"/>
    </w:p>
    <w:p>
      <w:pPr>
        <w:keepNext w:val="0"/>
        <w:keepLines w:val="0"/>
        <w:pageBreakBefore w:val="0"/>
        <w:widowControl w:val="0"/>
        <w:kinsoku/>
        <w:wordWrap/>
        <w:overflowPunct/>
        <w:topLinePunct w:val="0"/>
        <w:autoSpaceDE/>
        <w:autoSpaceDN/>
        <w:bidi w:val="0"/>
        <w:adjustRightInd/>
        <w:snapToGrid/>
        <w:spacing w:line="560" w:lineRule="atLeast"/>
        <w:ind w:firstLine="640"/>
        <w:textAlignment w:val="auto"/>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2024年度政府性基金预算财政拨款支出62.54万元，占本年支出合计的25.6</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%。与2023年度相比，政府性基金预算财政拨款支出增加</w:t>
      </w:r>
      <w:r>
        <w:rPr>
          <w:rFonts w:hint="eastAsia" w:eastAsia="仿宋_GB2312" w:cs="仿宋_GB2312"/>
          <w:color w:val="auto"/>
          <w:kern w:val="2"/>
          <w:sz w:val="32"/>
          <w:szCs w:val="32"/>
          <w:highlight w:val="none"/>
          <w:lang w:val="en-US" w:eastAsia="zh-CN" w:bidi="ar-SA"/>
        </w:rPr>
        <w:t>27.54</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78.69</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付2023年政府采购精神康复设备尾款。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left="630" w:leftChars="0"/>
        <w:textAlignment w:val="auto"/>
        <w:outlineLvl w:val="1"/>
        <w:rPr>
          <w:rStyle w:val="29"/>
          <w:rFonts w:ascii="Times New Roman" w:hAnsi="Times New Roman" w:eastAsia="黑体"/>
          <w:b w:val="0"/>
          <w:color w:val="auto"/>
          <w:highlight w:val="none"/>
        </w:rPr>
      </w:pPr>
      <w:bookmarkStart w:id="44" w:name="_Toc15396611"/>
      <w:bookmarkStart w:id="45" w:name="_Toc15377219"/>
      <w:r>
        <w:rPr>
          <w:rStyle w:val="29"/>
          <w:rFonts w:hint="eastAsia" w:ascii="Times New Roman" w:hAnsi="Times New Roman" w:eastAsia="黑体"/>
          <w:b w:val="0"/>
          <w:color w:val="auto"/>
          <w:highlight w:val="none"/>
          <w:lang w:eastAsia="zh-CN"/>
        </w:rPr>
        <w:t>九、</w:t>
      </w:r>
      <w:r>
        <w:rPr>
          <w:rStyle w:val="29"/>
          <w:rFonts w:hint="eastAsia" w:ascii="Times New Roman" w:hAnsi="Times New Roman" w:eastAsia="黑体"/>
          <w:b w:val="0"/>
          <w:color w:val="auto"/>
          <w:highlight w:val="none"/>
        </w:rPr>
        <w:t>国有资本经营预算支出决算情况说明</w:t>
      </w:r>
      <w:bookmarkEnd w:id="44"/>
      <w:bookmarkEnd w:id="45"/>
    </w:p>
    <w:p>
      <w:pPr>
        <w:keepNext w:val="0"/>
        <w:keepLines w:val="0"/>
        <w:pageBreakBefore w:val="0"/>
        <w:widowControl w:val="0"/>
        <w:kinsoku/>
        <w:wordWrap/>
        <w:overflowPunct/>
        <w:topLinePunct w:val="0"/>
        <w:autoSpaceDE/>
        <w:autoSpaceDN/>
        <w:bidi w:val="0"/>
        <w:adjustRightInd/>
        <w:snapToGrid/>
        <w:spacing w:line="560" w:lineRule="atLeas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2024年度国有资本经营预算财政拨款支出0万元，占本年支出合计的0%。与2023年度相比，国有资本经营预算财政拨款支出持平。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left="630" w:leftChars="0"/>
        <w:textAlignment w:val="auto"/>
        <w:outlineLvl w:val="1"/>
        <w:rPr>
          <w:rStyle w:val="29"/>
          <w:rFonts w:hint="eastAsia" w:ascii="Times New Roman" w:hAnsi="Times New Roman" w:eastAsia="黑体"/>
          <w:b w:val="0"/>
          <w:color w:val="auto"/>
          <w:highlight w:val="none"/>
        </w:rPr>
      </w:pPr>
      <w:bookmarkStart w:id="46" w:name="_Toc15396612"/>
      <w:bookmarkStart w:id="47" w:name="_Toc15377221"/>
      <w:r>
        <w:rPr>
          <w:rStyle w:val="29"/>
          <w:rFonts w:hint="eastAsia" w:ascii="Times New Roman" w:hAnsi="Times New Roman" w:eastAsia="黑体"/>
          <w:b w:val="0"/>
          <w:color w:val="auto"/>
          <w:highlight w:val="none"/>
          <w:lang w:eastAsia="zh-CN"/>
        </w:rPr>
        <w:t>十、</w:t>
      </w:r>
      <w:r>
        <w:rPr>
          <w:rStyle w:val="29"/>
          <w:rFonts w:hint="eastAsia" w:ascii="Times New Roman" w:hAnsi="Times New Roman" w:eastAsia="黑体"/>
          <w:b w:val="0"/>
          <w:color w:val="auto"/>
          <w:highlight w:val="none"/>
        </w:rPr>
        <w:t>其他重要事项的情况说明</w:t>
      </w:r>
      <w:bookmarkEnd w:id="46"/>
      <w:bookmarkEnd w:id="47"/>
    </w:p>
    <w:p>
      <w:pPr>
        <w:keepNext w:val="0"/>
        <w:keepLines w:val="0"/>
        <w:pageBreakBefore w:val="0"/>
        <w:widowControl w:val="0"/>
        <w:kinsoku/>
        <w:wordWrap/>
        <w:overflowPunct/>
        <w:topLinePunct w:val="0"/>
        <w:autoSpaceDE/>
        <w:autoSpaceDN/>
        <w:bidi w:val="0"/>
        <w:adjustRightInd/>
        <w:snapToGrid/>
        <w:spacing w:line="560" w:lineRule="atLeast"/>
        <w:ind w:firstLine="642" w:firstLineChars="200"/>
        <w:textAlignment w:val="auto"/>
        <w:outlineLvl w:val="2"/>
        <w:rPr>
          <w:rFonts w:hint="eastAsia" w:ascii="Times New Roman" w:hAnsi="Times New Roman" w:eastAsia="楷体_GB2312" w:cs="楷体_GB2312"/>
          <w:b/>
          <w:color w:val="auto"/>
          <w:sz w:val="32"/>
          <w:szCs w:val="32"/>
          <w:highlight w:val="none"/>
        </w:rPr>
      </w:pPr>
      <w:bookmarkStart w:id="48" w:name="_Toc15377222"/>
      <w:r>
        <w:rPr>
          <w:rFonts w:hint="eastAsia" w:ascii="Times New Roman" w:hAnsi="Times New Roman" w:eastAsia="楷体_GB2312" w:cs="楷体_GB2312"/>
          <w:b/>
          <w:color w:val="auto"/>
          <w:sz w:val="32"/>
          <w:szCs w:val="32"/>
          <w:highlight w:val="none"/>
        </w:rPr>
        <w:t>（一）机关运行经费支出情况</w:t>
      </w:r>
      <w:bookmarkEnd w:id="48"/>
    </w:p>
    <w:p>
      <w:pPr>
        <w:keepNext w:val="0"/>
        <w:keepLines w:val="0"/>
        <w:pageBreakBefore w:val="0"/>
        <w:widowControl w:val="0"/>
        <w:kinsoku/>
        <w:wordWrap/>
        <w:overflowPunct/>
        <w:topLinePunct w:val="0"/>
        <w:autoSpaceDE/>
        <w:autoSpaceDN/>
        <w:bidi w:val="0"/>
        <w:adjustRightInd/>
        <w:snapToGrid/>
        <w:spacing w:line="560" w:lineRule="atLeas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2024年度，四川省攀枝花市残疾人康复教育中心机关运行经费支出0万元，与2023年度决算数持平。主要原因是</w:t>
      </w:r>
      <w:r>
        <w:rPr>
          <w:rFonts w:hint="default" w:ascii="Times New Roman" w:hAnsi="Times New Roman" w:eastAsia="仿宋_GB2312" w:cs="仿宋_GB2312"/>
          <w:color w:val="auto"/>
          <w:kern w:val="2"/>
          <w:sz w:val="32"/>
          <w:szCs w:val="32"/>
          <w:highlight w:val="none"/>
          <w:lang w:val="en-US" w:eastAsia="zh-CN" w:bidi="ar-SA"/>
        </w:rPr>
        <w:t>市残疾人康复教育中心为公益一类事业单位，未产生机关运行经费。</w:t>
      </w:r>
    </w:p>
    <w:p>
      <w:pPr>
        <w:keepNext w:val="0"/>
        <w:keepLines w:val="0"/>
        <w:pageBreakBefore w:val="0"/>
        <w:widowControl w:val="0"/>
        <w:kinsoku/>
        <w:wordWrap/>
        <w:overflowPunct/>
        <w:topLinePunct w:val="0"/>
        <w:autoSpaceDE/>
        <w:autoSpaceDN/>
        <w:bidi w:val="0"/>
        <w:adjustRightInd/>
        <w:snapToGrid/>
        <w:spacing w:line="560" w:lineRule="atLeast"/>
        <w:ind w:firstLine="642" w:firstLineChars="200"/>
        <w:textAlignment w:val="auto"/>
        <w:outlineLvl w:val="2"/>
        <w:rPr>
          <w:rFonts w:hint="eastAsia" w:ascii="Times New Roman" w:hAnsi="Times New Roman" w:eastAsia="楷体_GB2312" w:cs="楷体_GB2312"/>
          <w:b/>
          <w:color w:val="auto"/>
          <w:sz w:val="32"/>
          <w:szCs w:val="32"/>
          <w:highlight w:val="none"/>
        </w:rPr>
      </w:pPr>
      <w:bookmarkStart w:id="49" w:name="_Toc15377223"/>
      <w:r>
        <w:rPr>
          <w:rFonts w:hint="eastAsia" w:ascii="Times New Roman" w:hAnsi="Times New Roman" w:eastAsia="楷体_GB2312" w:cs="楷体_GB2312"/>
          <w:b/>
          <w:color w:val="auto"/>
          <w:sz w:val="32"/>
          <w:szCs w:val="32"/>
          <w:highlight w:val="none"/>
        </w:rPr>
        <w:t>（二）政府采购支出情况</w:t>
      </w:r>
      <w:bookmarkEnd w:id="49"/>
    </w:p>
    <w:p>
      <w:pPr>
        <w:keepNext w:val="0"/>
        <w:keepLines w:val="0"/>
        <w:pageBreakBefore w:val="0"/>
        <w:widowControl w:val="0"/>
        <w:kinsoku/>
        <w:wordWrap/>
        <w:overflowPunct/>
        <w:topLinePunct w:val="0"/>
        <w:autoSpaceDE/>
        <w:autoSpaceDN/>
        <w:bidi w:val="0"/>
        <w:adjustRightInd/>
        <w:snapToGrid/>
        <w:spacing w:line="560" w:lineRule="atLeas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2024年度，四川省攀枝花市残疾人康复教育中心政府采购支出总额1.42万元，其中：政府采购货物支出1.35万元、政府采购工程支出0万元、政府采购服务支出0.07万元。主要用于</w:t>
      </w:r>
      <w:r>
        <w:rPr>
          <w:rFonts w:hint="eastAsia" w:eastAsia="仿宋_GB2312" w:cs="仿宋_GB2312"/>
          <w:color w:val="auto"/>
          <w:kern w:val="2"/>
          <w:sz w:val="32"/>
          <w:szCs w:val="32"/>
          <w:highlight w:val="none"/>
          <w:lang w:val="en-US" w:eastAsia="zh-CN" w:bidi="ar-SA"/>
        </w:rPr>
        <w:t>采购一台办公用复合复印机、公务用车加油服务</w:t>
      </w:r>
      <w:r>
        <w:rPr>
          <w:rFonts w:hint="eastAsia" w:ascii="Times New Roman" w:hAnsi="Times New Roman" w:eastAsia="仿宋_GB2312" w:cs="仿宋_GB2312"/>
          <w:color w:val="auto"/>
          <w:kern w:val="2"/>
          <w:sz w:val="32"/>
          <w:szCs w:val="32"/>
          <w:highlight w:val="none"/>
          <w:lang w:val="en-US" w:eastAsia="zh-CN" w:bidi="ar-SA"/>
        </w:rPr>
        <w:t>。授予中小企业合同金额1.42万元，占政府采购支出总额的100%，其中：授予小微企业合同金额1.35万元，占政府采购支出总额的95.06%。</w:t>
      </w:r>
    </w:p>
    <w:p>
      <w:pPr>
        <w:keepNext w:val="0"/>
        <w:keepLines w:val="0"/>
        <w:pageBreakBefore w:val="0"/>
        <w:widowControl w:val="0"/>
        <w:kinsoku/>
        <w:wordWrap/>
        <w:overflowPunct/>
        <w:topLinePunct w:val="0"/>
        <w:autoSpaceDE/>
        <w:autoSpaceDN/>
        <w:bidi w:val="0"/>
        <w:adjustRightInd/>
        <w:snapToGrid/>
        <w:spacing w:line="560" w:lineRule="atLeast"/>
        <w:ind w:firstLine="642" w:firstLineChars="200"/>
        <w:textAlignment w:val="auto"/>
        <w:outlineLvl w:val="2"/>
        <w:rPr>
          <w:rFonts w:hint="eastAsia" w:ascii="Times New Roman" w:hAnsi="Times New Roman" w:eastAsia="楷体_GB2312" w:cs="楷体_GB2312"/>
          <w:b/>
          <w:color w:val="auto"/>
          <w:sz w:val="32"/>
          <w:szCs w:val="32"/>
          <w:highlight w:val="none"/>
        </w:rPr>
      </w:pPr>
      <w:bookmarkStart w:id="50" w:name="_Toc15377224"/>
      <w:r>
        <w:rPr>
          <w:rFonts w:hint="eastAsia" w:ascii="Times New Roman" w:hAnsi="Times New Roman" w:eastAsia="楷体_GB2312" w:cs="楷体_GB2312"/>
          <w:b/>
          <w:color w:val="auto"/>
          <w:sz w:val="32"/>
          <w:szCs w:val="32"/>
          <w:highlight w:val="none"/>
        </w:rPr>
        <w:t>（三）国有资产占有使用情况</w:t>
      </w:r>
      <w:bookmarkEnd w:id="50"/>
    </w:p>
    <w:p>
      <w:pPr>
        <w:keepNext w:val="0"/>
        <w:keepLines w:val="0"/>
        <w:pageBreakBefore w:val="0"/>
        <w:widowControl w:val="0"/>
        <w:kinsoku/>
        <w:wordWrap/>
        <w:overflowPunct/>
        <w:topLinePunct w:val="0"/>
        <w:autoSpaceDE/>
        <w:autoSpaceDN/>
        <w:bidi w:val="0"/>
        <w:adjustRightInd/>
        <w:snapToGrid/>
        <w:spacing w:line="560" w:lineRule="atLeas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截至2024年12月31日，四川省攀枝花市残疾人康复教育中心共有车辆1辆，其中：主要负责人用车0辆、机要通信用车0辆、应急保障用车0辆、</w:t>
      </w:r>
      <w:r>
        <w:rPr>
          <w:rFonts w:hint="default" w:ascii="Times New Roman" w:hAnsi="Times New Roman" w:eastAsia="方正仿宋_GB2312" w:cs="Times New Roman"/>
          <w:sz w:val="32"/>
          <w:szCs w:val="32"/>
          <w:lang w:val="en-US" w:eastAsia="zh-CN"/>
        </w:rPr>
        <w:t>特种专业技术用车1辆</w:t>
      </w:r>
      <w:r>
        <w:rPr>
          <w:rFonts w:hint="eastAsia" w:eastAsia="方正仿宋_GB2312" w:cs="Times New Roman"/>
          <w:sz w:val="32"/>
          <w:szCs w:val="32"/>
          <w:lang w:val="en-US" w:eastAsia="zh-CN"/>
        </w:rPr>
        <w:t>、</w:t>
      </w:r>
      <w:r>
        <w:rPr>
          <w:rFonts w:hint="eastAsia" w:ascii="Times New Roman" w:hAnsi="Times New Roman" w:eastAsia="仿宋_GB2312" w:cs="仿宋_GB2312"/>
          <w:color w:val="auto"/>
          <w:kern w:val="2"/>
          <w:sz w:val="32"/>
          <w:szCs w:val="32"/>
          <w:highlight w:val="none"/>
          <w:lang w:val="en-US" w:eastAsia="zh-CN" w:bidi="ar-SA"/>
        </w:rPr>
        <w:t>其他用车0辆</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单价100万元（含）以上设备（不含车辆）0台（套）。</w:t>
      </w:r>
    </w:p>
    <w:p>
      <w:pPr>
        <w:keepNext w:val="0"/>
        <w:keepLines w:val="0"/>
        <w:pageBreakBefore w:val="0"/>
        <w:widowControl w:val="0"/>
        <w:kinsoku/>
        <w:wordWrap/>
        <w:overflowPunct/>
        <w:topLinePunct w:val="0"/>
        <w:autoSpaceDE/>
        <w:autoSpaceDN/>
        <w:bidi w:val="0"/>
        <w:adjustRightInd/>
        <w:snapToGrid/>
        <w:spacing w:line="560" w:lineRule="atLeast"/>
        <w:ind w:firstLine="642" w:firstLineChars="200"/>
        <w:textAlignment w:val="auto"/>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pPr>
        <w:keepNext w:val="0"/>
        <w:keepLines w:val="0"/>
        <w:pageBreakBefore w:val="0"/>
        <w:widowControl w:val="0"/>
        <w:kinsoku/>
        <w:wordWrap/>
        <w:overflowPunct/>
        <w:topLinePunct w:val="0"/>
        <w:autoSpaceDE/>
        <w:autoSpaceDN/>
        <w:bidi w:val="0"/>
        <w:adjustRightInd/>
        <w:snapToGrid/>
        <w:spacing w:line="560" w:lineRule="atLeas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本单位</w:t>
      </w:r>
      <w:r>
        <w:rPr>
          <w:rFonts w:hint="eastAsia" w:ascii="Times New Roman" w:hAnsi="Times New Roman" w:eastAsia="仿宋_GB2312" w:cs="仿宋_GB2312"/>
          <w:color w:val="auto"/>
          <w:kern w:val="2"/>
          <w:sz w:val="32"/>
          <w:szCs w:val="32"/>
          <w:highlight w:val="none"/>
          <w:lang w:val="en-US" w:eastAsia="zh-CN" w:bidi="ar-SA"/>
        </w:rPr>
        <w:t>在2024年度预算编制阶段，组织对</w:t>
      </w:r>
      <w:r>
        <w:rPr>
          <w:rFonts w:hint="default" w:ascii="Times New Roman" w:hAnsi="Times New Roman" w:eastAsia="仿宋_GB2312" w:cs="Times New Roman"/>
          <w:color w:val="000000"/>
          <w:sz w:val="32"/>
          <w:szCs w:val="32"/>
          <w:lang w:val="en-US" w:eastAsia="zh-CN"/>
        </w:rPr>
        <w:t>市级挂职干部补助</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青年就业见习基地人员经费</w:t>
      </w:r>
      <w:r>
        <w:rPr>
          <w:rFonts w:hint="eastAsia" w:ascii="Times New Roman" w:hAnsi="Times New Roman" w:eastAsia="仿宋_GB2312" w:cs="Times New Roman"/>
          <w:color w:val="000000"/>
          <w:sz w:val="32"/>
          <w:szCs w:val="32"/>
          <w:lang w:val="en-US" w:eastAsia="zh-CN"/>
        </w:rPr>
        <w:t>、区域性精神残疾康复中心、</w:t>
      </w:r>
      <w:r>
        <w:rPr>
          <w:rFonts w:hint="default" w:ascii="Times New Roman" w:hAnsi="Times New Roman" w:eastAsia="仿宋_GB2312" w:cs="Times New Roman"/>
          <w:color w:val="000000"/>
          <w:sz w:val="32"/>
          <w:szCs w:val="32"/>
          <w:lang w:val="en-US" w:eastAsia="zh-CN"/>
        </w:rPr>
        <w:t>盲人定向行走训练基地</w:t>
      </w:r>
      <w:r>
        <w:rPr>
          <w:rFonts w:hint="eastAsia" w:ascii="Times New Roman" w:hAnsi="Times New Roman" w:eastAsia="仿宋_GB2312" w:cs="Times New Roman"/>
          <w:color w:val="000000"/>
          <w:sz w:val="32"/>
          <w:szCs w:val="32"/>
          <w:lang w:val="en-US" w:eastAsia="zh-CN"/>
        </w:rPr>
        <w:t>、残疾人康复托养设备补助</w:t>
      </w:r>
      <w:r>
        <w:rPr>
          <w:rFonts w:hint="eastAsia" w:ascii="Times New Roman" w:hAnsi="Times New Roman" w:eastAsia="仿宋_GB2312" w:cs="仿宋_GB2312"/>
          <w:color w:val="auto"/>
          <w:kern w:val="2"/>
          <w:sz w:val="32"/>
          <w:szCs w:val="32"/>
          <w:highlight w:val="none"/>
          <w:lang w:val="en-US" w:eastAsia="zh-CN" w:bidi="ar-SA"/>
        </w:rPr>
        <w:t>等</w:t>
      </w: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w:t>
      </w:r>
      <w:r>
        <w:rPr>
          <w:rFonts w:hint="eastAsia" w:eastAsia="仿宋_GB2312" w:cs="仿宋_GB2312"/>
          <w:color w:val="auto"/>
          <w:kern w:val="2"/>
          <w:sz w:val="32"/>
          <w:szCs w:val="32"/>
          <w:highlight w:val="none"/>
          <w:lang w:val="en-US" w:eastAsia="zh-CN" w:bidi="ar-SA"/>
        </w:rPr>
        <w:t>对5</w:t>
      </w:r>
      <w:r>
        <w:rPr>
          <w:rFonts w:hint="eastAsia" w:ascii="Times New Roman" w:hAnsi="Times New Roman" w:eastAsia="仿宋_GB2312" w:cs="仿宋_GB2312"/>
          <w:color w:val="auto"/>
          <w:kern w:val="2"/>
          <w:sz w:val="32"/>
          <w:szCs w:val="32"/>
          <w:highlight w:val="none"/>
          <w:lang w:val="en-US" w:eastAsia="zh-CN" w:bidi="ar-SA"/>
        </w:rPr>
        <w:t>个项目开展绩效监控。</w:t>
      </w:r>
    </w:p>
    <w:p>
      <w:pPr>
        <w:numPr>
          <w:ilvl w:val="0"/>
          <w:numId w:val="0"/>
        </w:numPr>
        <w:spacing w:line="600" w:lineRule="exact"/>
        <w:jc w:val="center"/>
        <w:outlineLvl w:val="0"/>
        <w:rPr>
          <w:rFonts w:hint="eastAsia" w:ascii="Times New Roman" w:hAnsi="Times New Roman" w:eastAsia="方正小标宋简体" w:cs="方正小标宋简体"/>
          <w:b w:val="0"/>
          <w:bCs/>
          <w:color w:val="auto"/>
          <w:kern w:val="44"/>
          <w:sz w:val="44"/>
          <w:szCs w:val="44"/>
          <w:highlight w:val="none"/>
          <w:lang w:val="en-US" w:eastAsia="zh-CN" w:bidi="ar-SA"/>
        </w:rPr>
      </w:pPr>
      <w:bookmarkStart w:id="51" w:name="_Toc15377225"/>
      <w:bookmarkStart w:id="52" w:name="_Toc15396613"/>
    </w:p>
    <w:p>
      <w:pPr>
        <w:numPr>
          <w:ilvl w:val="0"/>
          <w:numId w:val="0"/>
        </w:numPr>
        <w:spacing w:line="600" w:lineRule="exact"/>
        <w:jc w:val="center"/>
        <w:outlineLvl w:val="0"/>
        <w:rPr>
          <w:rFonts w:hint="eastAsia" w:ascii="Times New Roman" w:hAnsi="Times New Roman" w:eastAsia="方正小标宋简体" w:cs="方正小标宋简体"/>
          <w:b w:val="0"/>
          <w:bCs/>
          <w:color w:val="auto"/>
          <w:kern w:val="44"/>
          <w:sz w:val="44"/>
          <w:szCs w:val="44"/>
          <w:highlight w:val="none"/>
          <w:lang w:val="en-US" w:eastAsia="zh-CN" w:bidi="ar-SA"/>
        </w:rPr>
      </w:pPr>
    </w:p>
    <w:p>
      <w:pPr>
        <w:numPr>
          <w:ilvl w:val="0"/>
          <w:numId w:val="0"/>
        </w:numPr>
        <w:spacing w:line="600" w:lineRule="exact"/>
        <w:jc w:val="center"/>
        <w:outlineLvl w:val="0"/>
        <w:rPr>
          <w:rFonts w:hint="eastAsia" w:ascii="Times New Roman" w:hAnsi="Times New Roman" w:eastAsia="方正小标宋简体" w:cs="方正小标宋简体"/>
          <w:b w:val="0"/>
          <w:bCs/>
          <w:color w:val="auto"/>
          <w:kern w:val="44"/>
          <w:sz w:val="44"/>
          <w:szCs w:val="44"/>
          <w:highlight w:val="none"/>
          <w:lang w:val="en-US" w:eastAsia="zh-CN" w:bidi="ar-SA"/>
        </w:rPr>
      </w:pPr>
    </w:p>
    <w:p>
      <w:pPr>
        <w:numPr>
          <w:ilvl w:val="0"/>
          <w:numId w:val="0"/>
        </w:numPr>
        <w:spacing w:line="600" w:lineRule="exact"/>
        <w:jc w:val="center"/>
        <w:outlineLvl w:val="0"/>
        <w:rPr>
          <w:rFonts w:hint="eastAsia" w:ascii="Times New Roman" w:hAnsi="Times New Roman" w:eastAsia="方正小标宋简体" w:cs="方正小标宋简体"/>
          <w:b w:val="0"/>
          <w:bCs/>
          <w:color w:val="auto"/>
          <w:kern w:val="44"/>
          <w:sz w:val="44"/>
          <w:szCs w:val="44"/>
          <w:highlight w:val="none"/>
          <w:lang w:val="en-US" w:eastAsia="zh-CN" w:bidi="ar-SA"/>
        </w:rPr>
      </w:pPr>
    </w:p>
    <w:p>
      <w:pPr>
        <w:numPr>
          <w:ilvl w:val="0"/>
          <w:numId w:val="0"/>
        </w:numPr>
        <w:spacing w:line="600" w:lineRule="exact"/>
        <w:jc w:val="center"/>
        <w:outlineLvl w:val="0"/>
        <w:rPr>
          <w:rFonts w:hint="eastAsia" w:ascii="Times New Roman" w:hAnsi="Times New Roman" w:eastAsia="方正小标宋简体" w:cs="方正小标宋简体"/>
          <w:b w:val="0"/>
          <w:bCs/>
          <w:color w:val="auto"/>
          <w:kern w:val="44"/>
          <w:sz w:val="44"/>
          <w:szCs w:val="44"/>
          <w:highlight w:val="none"/>
          <w:lang w:val="en-US" w:eastAsia="zh-CN" w:bidi="ar-SA"/>
        </w:rPr>
      </w:pPr>
    </w:p>
    <w:p>
      <w:pPr>
        <w:numPr>
          <w:ilvl w:val="0"/>
          <w:numId w:val="0"/>
        </w:numPr>
        <w:spacing w:line="600" w:lineRule="exact"/>
        <w:jc w:val="center"/>
        <w:outlineLvl w:val="0"/>
        <w:rPr>
          <w:rFonts w:hint="eastAsia" w:ascii="Times New Roman" w:hAnsi="Times New Roman" w:eastAsia="方正小标宋简体" w:cs="方正小标宋简体"/>
          <w:b w:val="0"/>
          <w:bCs/>
          <w:color w:val="auto"/>
          <w:kern w:val="44"/>
          <w:sz w:val="44"/>
          <w:szCs w:val="44"/>
          <w:highlight w:val="none"/>
          <w:lang w:val="en-US" w:eastAsia="zh-CN" w:bidi="ar-SA"/>
        </w:rPr>
      </w:pPr>
    </w:p>
    <w:p>
      <w:pPr>
        <w:numPr>
          <w:ilvl w:val="0"/>
          <w:numId w:val="0"/>
        </w:numPr>
        <w:spacing w:line="600" w:lineRule="exact"/>
        <w:jc w:val="center"/>
        <w:outlineLvl w:val="0"/>
        <w:rPr>
          <w:rFonts w:hint="eastAsia" w:ascii="Times New Roman" w:hAnsi="Times New Roman" w:eastAsia="方正小标宋简体" w:cs="方正小标宋简体"/>
          <w:b w:val="0"/>
          <w:bCs/>
          <w:color w:val="auto"/>
          <w:kern w:val="44"/>
          <w:sz w:val="44"/>
          <w:szCs w:val="44"/>
          <w:highlight w:val="none"/>
          <w:lang w:val="en-US" w:eastAsia="zh-CN" w:bidi="ar-SA"/>
        </w:rPr>
      </w:pPr>
    </w:p>
    <w:p>
      <w:pPr>
        <w:numPr>
          <w:ilvl w:val="0"/>
          <w:numId w:val="0"/>
        </w:numPr>
        <w:spacing w:line="600" w:lineRule="exact"/>
        <w:jc w:val="center"/>
        <w:outlineLvl w:val="0"/>
        <w:rPr>
          <w:rFonts w:hint="eastAsia" w:ascii="Times New Roman" w:hAnsi="Times New Roman" w:eastAsia="方正小标宋简体" w:cs="方正小标宋简体"/>
          <w:b w:val="0"/>
          <w:bCs/>
          <w:color w:val="auto"/>
          <w:kern w:val="44"/>
          <w:sz w:val="44"/>
          <w:szCs w:val="44"/>
          <w:highlight w:val="none"/>
          <w:lang w:val="en-US" w:eastAsia="zh-CN" w:bidi="ar-SA"/>
        </w:rPr>
      </w:pPr>
    </w:p>
    <w:p>
      <w:pPr>
        <w:numPr>
          <w:ilvl w:val="0"/>
          <w:numId w:val="0"/>
        </w:numPr>
        <w:spacing w:line="600" w:lineRule="exact"/>
        <w:jc w:val="center"/>
        <w:outlineLvl w:val="0"/>
        <w:rPr>
          <w:rFonts w:hint="eastAsia" w:ascii="Times New Roman" w:hAnsi="Times New Roman" w:eastAsia="方正小标宋简体" w:cs="方正小标宋简体"/>
          <w:b w:val="0"/>
          <w:bCs/>
          <w:color w:val="auto"/>
          <w:kern w:val="44"/>
          <w:sz w:val="44"/>
          <w:szCs w:val="44"/>
          <w:highlight w:val="none"/>
          <w:lang w:val="en-US" w:eastAsia="zh-CN" w:bidi="ar-SA"/>
        </w:rPr>
      </w:pPr>
    </w:p>
    <w:p>
      <w:pPr>
        <w:numPr>
          <w:ilvl w:val="0"/>
          <w:numId w:val="0"/>
        </w:numPr>
        <w:spacing w:line="600" w:lineRule="exact"/>
        <w:jc w:val="center"/>
        <w:outlineLvl w:val="0"/>
        <w:rPr>
          <w:rFonts w:hint="eastAsia" w:ascii="Times New Roman" w:hAnsi="Times New Roman" w:eastAsia="方正小标宋简体" w:cs="方正小标宋简体"/>
          <w:b w:val="0"/>
          <w:bCs/>
          <w:color w:val="auto"/>
          <w:kern w:val="44"/>
          <w:sz w:val="44"/>
          <w:szCs w:val="44"/>
          <w:highlight w:val="none"/>
          <w:lang w:val="en-US" w:eastAsia="zh-CN" w:bidi="ar-SA"/>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r>
        <w:rPr>
          <w:rFonts w:hint="eastAsia" w:ascii="Times New Roman" w:hAnsi="Times New Roman" w:eastAsia="方正小标宋简体" w:cs="方正小标宋简体"/>
          <w:b w:val="0"/>
          <w:bCs/>
          <w:color w:val="auto"/>
          <w:kern w:val="44"/>
          <w:sz w:val="44"/>
          <w:szCs w:val="44"/>
          <w:highlight w:val="none"/>
          <w:lang w:val="en-US" w:eastAsia="zh-CN" w:bidi="ar-SA"/>
        </w:rPr>
        <w:t>第三部分  名词解释</w:t>
      </w:r>
      <w:bookmarkEnd w:id="51"/>
      <w:bookmarkEnd w:id="52"/>
    </w:p>
    <w:p>
      <w:pPr>
        <w:spacing w:line="600" w:lineRule="exact"/>
        <w:jc w:val="left"/>
        <w:rPr>
          <w:rFonts w:ascii="Times New Roman" w:hAnsi="Times New Roman"/>
          <w:b/>
          <w:color w:val="auto"/>
          <w:sz w:val="44"/>
          <w:szCs w:val="44"/>
          <w:highlight w:val="none"/>
        </w:rPr>
      </w:pPr>
    </w:p>
    <w:p>
      <w:pPr>
        <w:spacing w:line="600" w:lineRule="exact"/>
        <w:ind w:firstLine="64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1.财政拨款收入：指单位从同级财政部门取得的财政预算资金。</w:t>
      </w:r>
    </w:p>
    <w:p>
      <w:pPr>
        <w:spacing w:line="600" w:lineRule="exact"/>
        <w:ind w:firstLine="64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 xml:space="preserve">2.年初结转和结余：指以前年度尚未完成、结转到本年按有关规定继续使用的资金。 </w:t>
      </w:r>
    </w:p>
    <w:p>
      <w:pPr>
        <w:spacing w:line="600" w:lineRule="exact"/>
        <w:ind w:firstLine="64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3.年末结转和结余：指单位按有关规定结转到下年或以后年度继续使用的资金。</w:t>
      </w:r>
    </w:p>
    <w:p>
      <w:pPr>
        <w:spacing w:line="600" w:lineRule="exact"/>
        <w:ind w:firstLine="64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4. 社会保障和就业支出（类）行政事业单位离退休（款）事业单位离退休（项）：反映事业单位开支的离退休经费。</w:t>
      </w:r>
    </w:p>
    <w:p>
      <w:pPr>
        <w:spacing w:line="600" w:lineRule="exact"/>
        <w:ind w:firstLine="64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5. 社会保障和就业支出（类）行政事业单位离退休（款）机关事业单位基本养老保险缴费支出（项）：反映机关事业单位实施养老保险制度由单位缴纳的基本养老保险费支出。</w:t>
      </w:r>
    </w:p>
    <w:p>
      <w:pPr>
        <w:spacing w:line="600" w:lineRule="exact"/>
        <w:ind w:firstLine="64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6. 社会保障和就业支出（类）残疾人事业（款）机关服务（项）：反映为行政单位（包括实行公务员管理的事业单位）提供后勤服务的各类后勤服务中心、医务室等附属事业单位的支出。其他事业单位的支出，凡单独设置了项级科目的，在单独设置的项级科目中反映。未单设项级科目的，在“其他”项级科目中反映。</w:t>
      </w:r>
    </w:p>
    <w:p>
      <w:pPr>
        <w:spacing w:line="600" w:lineRule="exact"/>
        <w:ind w:firstLine="64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7.社会保障和就业支出（类）残疾人事业（款）残疾人</w:t>
      </w:r>
      <w:r>
        <w:rPr>
          <w:rFonts w:hint="eastAsia" w:ascii="Times New Roman" w:hAnsi="Times New Roman" w:eastAsia="仿宋_GB2312" w:cs="Times New Roman"/>
          <w:color w:val="000000"/>
          <w:sz w:val="32"/>
          <w:szCs w:val="32"/>
          <w:lang w:val="en-US" w:eastAsia="zh-CN"/>
        </w:rPr>
        <w:t>就业</w:t>
      </w:r>
      <w:r>
        <w:rPr>
          <w:rFonts w:hint="default" w:ascii="Times New Roman" w:hAnsi="Times New Roman" w:eastAsia="仿宋_GB2312" w:cs="Times New Roman"/>
          <w:color w:val="000000"/>
          <w:sz w:val="32"/>
          <w:szCs w:val="32"/>
          <w:lang w:val="en-US" w:eastAsia="zh-CN"/>
        </w:rPr>
        <w:t>（项）:反映残疾人联合会用于残疾人</w:t>
      </w:r>
      <w:r>
        <w:rPr>
          <w:rFonts w:hint="eastAsia" w:ascii="Times New Roman" w:hAnsi="Times New Roman" w:eastAsia="仿宋_GB2312" w:cs="Times New Roman"/>
          <w:color w:val="000000"/>
          <w:sz w:val="32"/>
          <w:szCs w:val="32"/>
          <w:lang w:val="en-US" w:eastAsia="zh-CN"/>
        </w:rPr>
        <w:t>就业</w:t>
      </w:r>
      <w:r>
        <w:rPr>
          <w:rFonts w:hint="default" w:ascii="Times New Roman" w:hAnsi="Times New Roman" w:eastAsia="仿宋_GB2312" w:cs="Times New Roman"/>
          <w:color w:val="000000"/>
          <w:sz w:val="32"/>
          <w:szCs w:val="32"/>
          <w:lang w:val="en-US" w:eastAsia="zh-CN"/>
        </w:rPr>
        <w:t>方面的支出。</w:t>
      </w:r>
    </w:p>
    <w:p>
      <w:pPr>
        <w:spacing w:line="600" w:lineRule="exact"/>
        <w:ind w:firstLine="64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8.社会保障和就业支出（类）残疾人事业（款）其他残疾人事业支出（项）: 反映除上述项目以外其他用于残疾人事业方面的支出。</w:t>
      </w:r>
    </w:p>
    <w:p>
      <w:pPr>
        <w:spacing w:line="600" w:lineRule="exact"/>
        <w:ind w:firstLine="640"/>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9</w:t>
      </w:r>
      <w:r>
        <w:rPr>
          <w:rFonts w:hint="default" w:ascii="Times New Roman" w:hAnsi="Times New Roman" w:eastAsia="仿宋_GB2312" w:cs="Times New Roman"/>
          <w:color w:val="000000"/>
          <w:sz w:val="32"/>
          <w:szCs w:val="32"/>
          <w:lang w:val="en-US" w:eastAsia="zh-CN"/>
        </w:rPr>
        <w:t>.</w:t>
      </w:r>
      <w:r>
        <w:rPr>
          <w:rFonts w:hint="eastAsia" w:ascii="Times New Roman" w:hAnsi="Times New Roman" w:eastAsia="仿宋_GB2312" w:cs="Times New Roman"/>
          <w:color w:val="000000"/>
          <w:sz w:val="32"/>
          <w:szCs w:val="32"/>
          <w:lang w:val="en-US" w:eastAsia="zh-CN"/>
        </w:rPr>
        <w:t>卫生健康支出</w:t>
      </w:r>
      <w:r>
        <w:rPr>
          <w:rFonts w:hint="default" w:ascii="Times New Roman" w:hAnsi="Times New Roman" w:eastAsia="仿宋_GB2312" w:cs="Times New Roman"/>
          <w:color w:val="000000"/>
          <w:sz w:val="32"/>
          <w:szCs w:val="32"/>
          <w:lang w:val="en-US" w:eastAsia="zh-CN"/>
        </w:rPr>
        <w:t>（类）</w:t>
      </w:r>
      <w:r>
        <w:rPr>
          <w:rFonts w:hint="eastAsia" w:ascii="Times New Roman" w:hAnsi="Times New Roman" w:eastAsia="仿宋_GB2312" w:cs="Times New Roman"/>
          <w:color w:val="000000"/>
          <w:sz w:val="32"/>
          <w:szCs w:val="32"/>
          <w:lang w:val="en-US" w:eastAsia="zh-CN"/>
        </w:rPr>
        <w:t>行政事业单位医疗</w:t>
      </w:r>
      <w:r>
        <w:rPr>
          <w:rFonts w:hint="default" w:ascii="Times New Roman" w:hAnsi="Times New Roman" w:eastAsia="仿宋_GB2312" w:cs="Times New Roman"/>
          <w:color w:val="000000"/>
          <w:sz w:val="32"/>
          <w:szCs w:val="32"/>
          <w:lang w:val="en-US" w:eastAsia="zh-CN"/>
        </w:rPr>
        <w:t>（款）</w:t>
      </w:r>
      <w:r>
        <w:rPr>
          <w:rFonts w:hint="eastAsia" w:ascii="Times New Roman" w:hAnsi="Times New Roman" w:eastAsia="仿宋_GB2312" w:cs="Times New Roman"/>
          <w:color w:val="000000"/>
          <w:sz w:val="32"/>
          <w:szCs w:val="32"/>
          <w:lang w:val="en-US" w:eastAsia="zh-CN"/>
        </w:rPr>
        <w:t>事业单位医疗</w:t>
      </w:r>
      <w:r>
        <w:rPr>
          <w:rFonts w:hint="default" w:ascii="Times New Roman" w:hAnsi="Times New Roman" w:eastAsia="仿宋_GB2312" w:cs="Times New Roman"/>
          <w:color w:val="000000"/>
          <w:sz w:val="32"/>
          <w:szCs w:val="32"/>
          <w:lang w:val="en-US" w:eastAsia="zh-CN"/>
        </w:rPr>
        <w:t xml:space="preserve">（项）: </w:t>
      </w:r>
      <w:r>
        <w:rPr>
          <w:rFonts w:hint="eastAsia" w:ascii="Times New Roman" w:hAnsi="Times New Roman" w:eastAsia="仿宋_GB2312" w:cs="Times New Roman"/>
          <w:color w:val="000000"/>
          <w:sz w:val="32"/>
          <w:szCs w:val="32"/>
          <w:lang w:val="en-US" w:eastAsia="zh-CN"/>
        </w:rPr>
        <w:t>反映财政部门安排的事业单位基本医疗保险缴费经费，未参加医疗保险的事业单位的公费医疗经费，按国家规定享受离休人员待遇的医疗经费</w:t>
      </w:r>
      <w:r>
        <w:rPr>
          <w:rFonts w:hint="default" w:ascii="Times New Roman" w:hAnsi="Times New Roman" w:eastAsia="仿宋_GB2312" w:cs="Times New Roman"/>
          <w:color w:val="000000"/>
          <w:sz w:val="32"/>
          <w:szCs w:val="32"/>
          <w:lang w:val="en-US" w:eastAsia="zh-CN"/>
        </w:rPr>
        <w:t>。</w:t>
      </w:r>
    </w:p>
    <w:p>
      <w:pPr>
        <w:spacing w:line="600" w:lineRule="exact"/>
        <w:ind w:firstLine="640"/>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10</w:t>
      </w:r>
      <w:r>
        <w:rPr>
          <w:rFonts w:hint="default" w:ascii="Times New Roman" w:hAnsi="Times New Roman" w:eastAsia="仿宋_GB2312" w:cs="Times New Roman"/>
          <w:color w:val="000000"/>
          <w:sz w:val="32"/>
          <w:szCs w:val="32"/>
          <w:lang w:val="en-US" w:eastAsia="zh-CN"/>
        </w:rPr>
        <w:t>.</w:t>
      </w:r>
      <w:r>
        <w:rPr>
          <w:rFonts w:hint="eastAsia" w:ascii="Times New Roman" w:hAnsi="Times New Roman" w:eastAsia="仿宋_GB2312" w:cs="Times New Roman"/>
          <w:color w:val="000000"/>
          <w:sz w:val="32"/>
          <w:szCs w:val="32"/>
          <w:lang w:val="en-US" w:eastAsia="zh-CN"/>
        </w:rPr>
        <w:t>卫生健康支出</w:t>
      </w:r>
      <w:r>
        <w:rPr>
          <w:rFonts w:hint="default" w:ascii="Times New Roman" w:hAnsi="Times New Roman" w:eastAsia="仿宋_GB2312" w:cs="Times New Roman"/>
          <w:color w:val="000000"/>
          <w:sz w:val="32"/>
          <w:szCs w:val="32"/>
          <w:lang w:val="en-US" w:eastAsia="zh-CN"/>
        </w:rPr>
        <w:t>（类）</w:t>
      </w:r>
      <w:r>
        <w:rPr>
          <w:rFonts w:hint="eastAsia" w:ascii="Times New Roman" w:hAnsi="Times New Roman" w:eastAsia="仿宋_GB2312" w:cs="Times New Roman"/>
          <w:color w:val="000000"/>
          <w:sz w:val="32"/>
          <w:szCs w:val="32"/>
          <w:lang w:val="en-US" w:eastAsia="zh-CN"/>
        </w:rPr>
        <w:t>行政事业单位医疗</w:t>
      </w:r>
      <w:r>
        <w:rPr>
          <w:rFonts w:hint="default" w:ascii="Times New Roman" w:hAnsi="Times New Roman" w:eastAsia="仿宋_GB2312" w:cs="Times New Roman"/>
          <w:color w:val="000000"/>
          <w:sz w:val="32"/>
          <w:szCs w:val="32"/>
          <w:lang w:val="en-US" w:eastAsia="zh-CN"/>
        </w:rPr>
        <w:t>（款）</w:t>
      </w:r>
      <w:r>
        <w:rPr>
          <w:rFonts w:hint="eastAsia" w:ascii="Times New Roman" w:hAnsi="Times New Roman" w:eastAsia="仿宋_GB2312" w:cs="Times New Roman"/>
          <w:color w:val="000000"/>
          <w:sz w:val="32"/>
          <w:szCs w:val="32"/>
          <w:lang w:val="en-US" w:eastAsia="zh-CN"/>
        </w:rPr>
        <w:t>公务员医疗补助</w:t>
      </w:r>
      <w:r>
        <w:rPr>
          <w:rFonts w:hint="default" w:ascii="Times New Roman" w:hAnsi="Times New Roman" w:eastAsia="仿宋_GB2312" w:cs="Times New Roman"/>
          <w:color w:val="000000"/>
          <w:sz w:val="32"/>
          <w:szCs w:val="32"/>
          <w:lang w:val="en-US" w:eastAsia="zh-CN"/>
        </w:rPr>
        <w:t>（项）:</w:t>
      </w:r>
      <w:r>
        <w:rPr>
          <w:rFonts w:hint="eastAsia" w:ascii="Times New Roman" w:hAnsi="Times New Roman" w:eastAsia="仿宋_GB2312" w:cs="Times New Roman"/>
          <w:color w:val="000000"/>
          <w:sz w:val="32"/>
          <w:szCs w:val="32"/>
          <w:lang w:val="en-US" w:eastAsia="zh-CN"/>
        </w:rPr>
        <w:t>反映财政部门安排的公务员医疗补助经费。</w:t>
      </w:r>
    </w:p>
    <w:p>
      <w:pPr>
        <w:spacing w:line="600" w:lineRule="exact"/>
        <w:ind w:firstLine="640"/>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11.卫生健康支出</w:t>
      </w:r>
      <w:r>
        <w:rPr>
          <w:rFonts w:hint="default" w:ascii="Times New Roman" w:hAnsi="Times New Roman" w:eastAsia="仿宋_GB2312" w:cs="Times New Roman"/>
          <w:color w:val="000000"/>
          <w:sz w:val="32"/>
          <w:szCs w:val="32"/>
          <w:lang w:val="en-US" w:eastAsia="zh-CN"/>
        </w:rPr>
        <w:t>（类）</w:t>
      </w:r>
      <w:r>
        <w:rPr>
          <w:rFonts w:hint="eastAsia" w:ascii="Times New Roman" w:hAnsi="Times New Roman" w:eastAsia="仿宋_GB2312" w:cs="Times New Roman"/>
          <w:color w:val="000000"/>
          <w:sz w:val="32"/>
          <w:szCs w:val="32"/>
          <w:lang w:val="en-US" w:eastAsia="zh-CN"/>
        </w:rPr>
        <w:t>行政事业单位医疗</w:t>
      </w:r>
      <w:r>
        <w:rPr>
          <w:rFonts w:hint="default" w:ascii="Times New Roman" w:hAnsi="Times New Roman" w:eastAsia="仿宋_GB2312" w:cs="Times New Roman"/>
          <w:color w:val="000000"/>
          <w:sz w:val="32"/>
          <w:szCs w:val="32"/>
          <w:lang w:val="en-US" w:eastAsia="zh-CN"/>
        </w:rPr>
        <w:t>（款）</w:t>
      </w:r>
      <w:r>
        <w:rPr>
          <w:rFonts w:hint="eastAsia" w:ascii="Times New Roman" w:hAnsi="Times New Roman" w:eastAsia="仿宋_GB2312" w:cs="Times New Roman"/>
          <w:color w:val="000000"/>
          <w:sz w:val="32"/>
          <w:szCs w:val="32"/>
          <w:lang w:val="en-US" w:eastAsia="zh-CN"/>
        </w:rPr>
        <w:t>其他行政事业单位医疗支出</w:t>
      </w:r>
      <w:r>
        <w:rPr>
          <w:rFonts w:hint="default" w:ascii="Times New Roman" w:hAnsi="Times New Roman" w:eastAsia="仿宋_GB2312" w:cs="Times New Roman"/>
          <w:color w:val="000000"/>
          <w:sz w:val="32"/>
          <w:szCs w:val="32"/>
          <w:lang w:val="en-US" w:eastAsia="zh-CN"/>
        </w:rPr>
        <w:t>（项）:</w:t>
      </w:r>
      <w:r>
        <w:rPr>
          <w:rFonts w:hint="eastAsia" w:ascii="Times New Roman" w:hAnsi="Times New Roman" w:eastAsia="仿宋_GB2312" w:cs="Times New Roman"/>
          <w:color w:val="000000"/>
          <w:sz w:val="32"/>
          <w:szCs w:val="32"/>
          <w:lang w:val="en-US" w:eastAsia="zh-CN"/>
        </w:rPr>
        <w:t>反映除上述项目以外的其他用于行政事业单位医疗方面的支出。</w:t>
      </w:r>
    </w:p>
    <w:p>
      <w:pPr>
        <w:spacing w:line="600" w:lineRule="exact"/>
        <w:ind w:firstLine="640"/>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12</w:t>
      </w:r>
      <w:r>
        <w:rPr>
          <w:rFonts w:hint="default" w:ascii="Times New Roman" w:hAnsi="Times New Roman" w:eastAsia="仿宋_GB2312" w:cs="Times New Roman"/>
          <w:color w:val="000000"/>
          <w:sz w:val="32"/>
          <w:szCs w:val="32"/>
          <w:lang w:val="en-US" w:eastAsia="zh-CN"/>
        </w:rPr>
        <w:t>.住房保障支出（类）住房改革支出（款）住房公积金（项）：反映行政事业单位按人力资源和社会保障部、财政部规定的基本工资和津贴补贴以及规定比例为职工缴纳的住房公积金。</w:t>
      </w:r>
    </w:p>
    <w:p>
      <w:pPr>
        <w:spacing w:line="600" w:lineRule="exact"/>
        <w:ind w:firstLine="640"/>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13</w:t>
      </w:r>
      <w:r>
        <w:rPr>
          <w:rFonts w:hint="default" w:ascii="Times New Roman" w:hAnsi="Times New Roman" w:eastAsia="仿宋_GB2312" w:cs="Times New Roman"/>
          <w:color w:val="000000"/>
          <w:sz w:val="32"/>
          <w:szCs w:val="32"/>
          <w:lang w:val="en-US" w:eastAsia="zh-CN"/>
        </w:rPr>
        <w:t>.</w:t>
      </w:r>
      <w:r>
        <w:rPr>
          <w:rFonts w:hint="eastAsia" w:eastAsia="仿宋_GB2312" w:cs="Times New Roman"/>
          <w:color w:val="auto"/>
          <w:kern w:val="2"/>
          <w:sz w:val="32"/>
          <w:szCs w:val="32"/>
          <w:highlight w:val="none"/>
          <w:lang w:val="en-US" w:eastAsia="zh-CN" w:bidi="ar-SA"/>
        </w:rPr>
        <w:t>一般公共服务支出（类）组织事务（款）其他组织事务支出（项）：反映除上述项目以外其他用于中国共产党组织部门的事务支出</w:t>
      </w:r>
      <w:r>
        <w:rPr>
          <w:rFonts w:hint="eastAsia" w:ascii="Times New Roman" w:hAnsi="Times New Roman" w:eastAsia="仿宋_GB2312" w:cs="Times New Roman"/>
          <w:color w:val="000000"/>
          <w:sz w:val="32"/>
          <w:szCs w:val="32"/>
          <w:lang w:val="en-US" w:eastAsia="zh-CN"/>
        </w:rPr>
        <w:t>。</w:t>
      </w:r>
    </w:p>
    <w:p>
      <w:pPr>
        <w:spacing w:line="600" w:lineRule="exact"/>
        <w:ind w:firstLine="64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1</w:t>
      </w:r>
      <w:r>
        <w:rPr>
          <w:rFonts w:hint="eastAsia"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lang w:val="en-US" w:eastAsia="zh-CN"/>
        </w:rPr>
        <w:t>.基本支出：指为保障机构正常运转、完成日常工作任务而发生的人员支出和公用支出。</w:t>
      </w:r>
    </w:p>
    <w:p>
      <w:pPr>
        <w:spacing w:line="600" w:lineRule="exact"/>
        <w:ind w:firstLine="64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1</w:t>
      </w:r>
      <w:r>
        <w:rPr>
          <w:rFonts w:hint="eastAsia"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lang w:val="en-US" w:eastAsia="zh-CN"/>
        </w:rPr>
        <w:t xml:space="preserve">.项目支出：指在基本支出之外为完成特定行政任务和事业发展目标所发生的支出。 </w:t>
      </w:r>
    </w:p>
    <w:p>
      <w:pPr>
        <w:spacing w:line="600" w:lineRule="exact"/>
        <w:ind w:firstLine="64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1</w:t>
      </w:r>
      <w:r>
        <w:rPr>
          <w:rFonts w:hint="eastAsia" w:ascii="Times New Roman" w:hAnsi="Times New Roman"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lang w:val="en-US" w:eastAsia="zh-CN"/>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rPr>
          <w:rFonts w:hint="eastAsia"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1</w:t>
      </w:r>
      <w:r>
        <w:rPr>
          <w:rFonts w:hint="eastAsia" w:ascii="Times New Roman" w:hAnsi="Times New Roman" w:eastAsia="仿宋_GB2312" w:cs="Times New Roman"/>
          <w:color w:val="000000"/>
          <w:sz w:val="32"/>
          <w:szCs w:val="32"/>
          <w:lang w:val="en-US" w:eastAsia="zh-CN"/>
        </w:rPr>
        <w:t>7</w:t>
      </w:r>
      <w:r>
        <w:rPr>
          <w:rFonts w:hint="default" w:ascii="Times New Roman" w:hAnsi="Times New Roman" w:eastAsia="仿宋_GB2312" w:cs="Times New Roman"/>
          <w:color w:val="000000"/>
          <w:sz w:val="32"/>
          <w:szCs w:val="32"/>
          <w:lang w:val="en-US" w:eastAsia="zh-CN"/>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rPr>
          <w:rFonts w:hint="eastAsia" w:ascii="Times New Roman" w:hAnsi="Times New Roman" w:eastAsia="黑体"/>
          <w:color w:val="auto"/>
          <w:sz w:val="44"/>
          <w:szCs w:val="44"/>
          <w:highlight w:val="none"/>
        </w:rPr>
      </w:pPr>
      <w:bookmarkStart w:id="53" w:name="_Toc15396614"/>
      <w:bookmarkStart w:id="54" w:name="_Toc15377226"/>
    </w:p>
    <w:p>
      <w:pPr>
        <w:spacing w:line="600" w:lineRule="exact"/>
        <w:jc w:val="center"/>
        <w:rPr>
          <w:rFonts w:hint="eastAsia" w:ascii="Times New Roman" w:hAnsi="Times New Roman" w:eastAsia="黑体"/>
          <w:color w:val="auto"/>
          <w:sz w:val="44"/>
          <w:szCs w:val="44"/>
          <w:highlight w:val="none"/>
        </w:rPr>
      </w:pPr>
    </w:p>
    <w:p>
      <w:pPr>
        <w:spacing w:line="600" w:lineRule="exact"/>
        <w:jc w:val="center"/>
        <w:rPr>
          <w:rFonts w:hint="eastAsia" w:ascii="Times New Roman" w:hAnsi="Times New Roman" w:eastAsia="黑体"/>
          <w:color w:val="auto"/>
          <w:sz w:val="44"/>
          <w:szCs w:val="44"/>
          <w:highlight w:val="none"/>
        </w:rPr>
      </w:pPr>
    </w:p>
    <w:p>
      <w:pPr>
        <w:spacing w:line="600" w:lineRule="exact"/>
        <w:jc w:val="center"/>
        <w:rPr>
          <w:rFonts w:hint="eastAsia" w:ascii="Times New Roman" w:hAnsi="Times New Roman" w:eastAsia="黑体"/>
          <w:color w:val="auto"/>
          <w:sz w:val="44"/>
          <w:szCs w:val="44"/>
          <w:highlight w:val="none"/>
        </w:rPr>
      </w:pPr>
    </w:p>
    <w:p>
      <w:pPr>
        <w:spacing w:line="600" w:lineRule="exact"/>
        <w:jc w:val="center"/>
        <w:rPr>
          <w:rFonts w:hint="eastAsia" w:ascii="Times New Roman" w:hAnsi="Times New Roman" w:eastAsia="黑体"/>
          <w:color w:val="auto"/>
          <w:sz w:val="44"/>
          <w:szCs w:val="44"/>
          <w:highlight w:val="none"/>
        </w:rPr>
      </w:pPr>
    </w:p>
    <w:p>
      <w:pPr>
        <w:spacing w:line="600" w:lineRule="exact"/>
        <w:jc w:val="center"/>
        <w:rPr>
          <w:rFonts w:hint="eastAsia" w:ascii="Times New Roman" w:hAnsi="Times New Roman" w:eastAsia="黑体"/>
          <w:color w:val="auto"/>
          <w:sz w:val="44"/>
          <w:szCs w:val="44"/>
          <w:highlight w:val="none"/>
        </w:rPr>
      </w:pPr>
    </w:p>
    <w:p>
      <w:pPr>
        <w:spacing w:line="600" w:lineRule="exact"/>
        <w:jc w:val="center"/>
        <w:rPr>
          <w:rFonts w:hint="eastAsia" w:ascii="Times New Roman" w:hAnsi="Times New Roman" w:eastAsia="黑体"/>
          <w:color w:val="auto"/>
          <w:sz w:val="44"/>
          <w:szCs w:val="44"/>
          <w:highlight w:val="none"/>
        </w:rPr>
      </w:pPr>
    </w:p>
    <w:p>
      <w:pPr>
        <w:spacing w:line="600" w:lineRule="exact"/>
        <w:jc w:val="center"/>
        <w:rPr>
          <w:rFonts w:hint="eastAsia" w:ascii="Times New Roman" w:hAnsi="Times New Roman" w:eastAsia="黑体"/>
          <w:color w:val="auto"/>
          <w:sz w:val="44"/>
          <w:szCs w:val="44"/>
          <w:highlight w:val="none"/>
        </w:rPr>
      </w:pPr>
    </w:p>
    <w:p>
      <w:pPr>
        <w:spacing w:line="600" w:lineRule="exact"/>
        <w:jc w:val="center"/>
        <w:rPr>
          <w:rFonts w:hint="eastAsia" w:ascii="Times New Roman" w:hAnsi="Times New Roman" w:eastAsia="黑体"/>
          <w:color w:val="auto"/>
          <w:sz w:val="44"/>
          <w:szCs w:val="44"/>
          <w:highlight w:val="none"/>
        </w:rPr>
      </w:pPr>
    </w:p>
    <w:p>
      <w:pPr>
        <w:spacing w:line="600" w:lineRule="exact"/>
        <w:jc w:val="center"/>
        <w:rPr>
          <w:rFonts w:hint="eastAsia" w:ascii="Times New Roman" w:hAnsi="Times New Roman" w:eastAsia="黑体"/>
          <w:color w:val="auto"/>
          <w:sz w:val="44"/>
          <w:szCs w:val="44"/>
          <w:highlight w:val="none"/>
        </w:rPr>
      </w:pPr>
    </w:p>
    <w:p>
      <w:pPr>
        <w:spacing w:line="600" w:lineRule="exact"/>
        <w:jc w:val="center"/>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方正小标宋简体" w:cs="方正小标宋简体"/>
          <w:b w:val="0"/>
          <w:bCs/>
          <w:color w:val="auto"/>
          <w:kern w:val="44"/>
          <w:sz w:val="44"/>
          <w:szCs w:val="44"/>
          <w:highlight w:val="none"/>
          <w:lang w:val="en-US" w:eastAsia="zh-CN" w:bidi="ar-SA"/>
        </w:rPr>
      </w:pPr>
      <w:r>
        <w:rPr>
          <w:rFonts w:hint="eastAsia" w:ascii="Times New Roman" w:hAnsi="Times New Roman" w:eastAsia="方正小标宋简体" w:cs="方正小标宋简体"/>
          <w:b w:val="0"/>
          <w:bCs/>
          <w:color w:val="auto"/>
          <w:kern w:val="44"/>
          <w:sz w:val="44"/>
          <w:szCs w:val="44"/>
          <w:highlight w:val="none"/>
          <w:lang w:val="en-US" w:eastAsia="zh-CN" w:bidi="ar-SA"/>
        </w:rPr>
        <w:t>第四部分  附件</w:t>
      </w:r>
      <w:bookmarkEnd w:id="53"/>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hAnsi="Times New Roman" w:cs="Times New Roman"/>
          <w:sz w:val="32"/>
          <w:szCs w:val="32"/>
          <w:highlight w:val="none"/>
          <w:lang w:val="en-US" w:eastAsia="zh-CN"/>
        </w:rPr>
      </w:pPr>
      <w:r>
        <w:rPr>
          <w:rFonts w:hint="default" w:ascii="Times New Roman" w:hAnsi="Times New Roman" w:eastAsia="方正仿宋_GB2312" w:cs="Times New Roman"/>
          <w:color w:val="auto"/>
          <w:kern w:val="0"/>
          <w:sz w:val="32"/>
          <w:szCs w:val="32"/>
          <w:lang w:val="en-US" w:eastAsia="zh-CN" w:bidi="ar-SA"/>
        </w:rPr>
        <w:t>部门预算项目支出绩效自评表（202</w:t>
      </w:r>
      <w:r>
        <w:rPr>
          <w:rFonts w:hint="eastAsia" w:ascii="Times New Roman" w:eastAsia="方正仿宋_GB2312" w:cs="Times New Roman"/>
          <w:color w:val="auto"/>
          <w:kern w:val="0"/>
          <w:sz w:val="32"/>
          <w:szCs w:val="32"/>
          <w:lang w:val="en-US" w:eastAsia="zh-CN" w:bidi="ar-SA"/>
        </w:rPr>
        <w:t>4</w:t>
      </w:r>
      <w:r>
        <w:rPr>
          <w:rFonts w:hint="default" w:ascii="Times New Roman" w:hAnsi="Times New Roman" w:eastAsia="方正仿宋_GB2312" w:cs="Times New Roman"/>
          <w:color w:val="auto"/>
          <w:kern w:val="0"/>
          <w:sz w:val="32"/>
          <w:szCs w:val="32"/>
          <w:lang w:val="en-US" w:eastAsia="zh-CN" w:bidi="ar-SA"/>
        </w:rPr>
        <w:t>年度）见附件3</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55" w:name="_Toc15396618"/>
      <w:r>
        <w:rPr>
          <w:rFonts w:hint="eastAsia" w:ascii="Times New Roman" w:hAnsi="Times New Roman" w:eastAsia="仿宋_GB2312" w:cs="仿宋_GB2312"/>
          <w:b w:val="0"/>
          <w:bCs w:val="0"/>
          <w:kern w:val="0"/>
          <w:position w:val="0"/>
          <w:sz w:val="32"/>
          <w:szCs w:val="32"/>
          <w:highlight w:val="none"/>
          <w:lang w:val="en-US" w:eastAsia="zh-CN" w:bidi="ar-SA"/>
        </w:rPr>
        <w:br w:type="page"/>
      </w:r>
    </w:p>
    <w:p>
      <w:pPr>
        <w:numPr>
          <w:ilvl w:val="0"/>
          <w:numId w:val="0"/>
        </w:numPr>
        <w:spacing w:line="600" w:lineRule="exact"/>
        <w:jc w:val="center"/>
        <w:outlineLvl w:val="0"/>
        <w:rPr>
          <w:rFonts w:hint="eastAsia" w:ascii="Times New Roman" w:hAnsi="Times New Roman" w:eastAsia="方正小标宋简体" w:cs="方正小标宋简体"/>
          <w:b w:val="0"/>
          <w:bCs/>
          <w:color w:val="auto"/>
          <w:kern w:val="44"/>
          <w:sz w:val="44"/>
          <w:szCs w:val="44"/>
          <w:highlight w:val="none"/>
          <w:lang w:val="en-US" w:eastAsia="zh-CN" w:bidi="ar-SA"/>
        </w:rPr>
      </w:pPr>
      <w:r>
        <w:rPr>
          <w:rFonts w:hint="eastAsia" w:ascii="Times New Roman" w:hAnsi="Times New Roman" w:eastAsia="方正小标宋简体" w:cs="方正小标宋简体"/>
          <w:b w:val="0"/>
          <w:bCs/>
          <w:color w:val="auto"/>
          <w:kern w:val="44"/>
          <w:sz w:val="44"/>
          <w:szCs w:val="44"/>
          <w:highlight w:val="none"/>
          <w:lang w:val="en-US" w:eastAsia="zh-CN" w:bidi="ar-SA"/>
        </w:rPr>
        <w:t>第五部分 附表</w:t>
      </w:r>
      <w:bookmarkEnd w:id="54"/>
      <w:bookmarkEnd w:id="55"/>
      <w:bookmarkStart w:id="56" w:name="_Toc15396619"/>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pPr>
        <w:pStyle w:val="14"/>
        <w:keepNext w:val="0"/>
        <w:keepLines w:val="0"/>
        <w:pageBreakBefore w:val="0"/>
        <w:widowControl w:val="0"/>
        <w:kinsoku/>
        <w:wordWrap/>
        <w:overflowPunct/>
        <w:topLinePunct w:val="0"/>
        <w:autoSpaceDE/>
        <w:autoSpaceDN/>
        <w:bidi w:val="0"/>
        <w:adjustRightInd w:val="0"/>
        <w:snapToGrid w:val="0"/>
        <w:spacing w:line="560" w:lineRule="atLeas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6"/>
    </w:p>
    <w:p>
      <w:pPr>
        <w:pStyle w:val="14"/>
        <w:keepNext w:val="0"/>
        <w:keepLines w:val="0"/>
        <w:pageBreakBefore w:val="0"/>
        <w:widowControl w:val="0"/>
        <w:kinsoku/>
        <w:wordWrap/>
        <w:overflowPunct/>
        <w:topLinePunct w:val="0"/>
        <w:autoSpaceDE/>
        <w:autoSpaceDN/>
        <w:bidi w:val="0"/>
        <w:adjustRightInd w:val="0"/>
        <w:snapToGrid w:val="0"/>
        <w:spacing w:line="560" w:lineRule="atLeast"/>
        <w:jc w:val="left"/>
        <w:textAlignment w:val="auto"/>
        <w:rPr>
          <w:rFonts w:hint="eastAsia" w:ascii="Times New Roman" w:hAnsi="Times New Roman" w:eastAsia="仿宋_GB2312" w:cs="仿宋_GB2312"/>
          <w:color w:val="auto"/>
          <w:sz w:val="32"/>
          <w:szCs w:val="32"/>
          <w:highlight w:val="none"/>
        </w:rPr>
      </w:pPr>
      <w:bookmarkStart w:id="57" w:name="_Toc15396620"/>
      <w:r>
        <w:rPr>
          <w:rFonts w:hint="eastAsia" w:ascii="Times New Roman" w:hAnsi="Times New Roman" w:eastAsia="仿宋_GB2312" w:cs="仿宋_GB2312"/>
          <w:color w:val="auto"/>
          <w:sz w:val="32"/>
          <w:szCs w:val="32"/>
          <w:highlight w:val="none"/>
        </w:rPr>
        <w:t>二、收入决算表</w:t>
      </w:r>
      <w:bookmarkEnd w:id="57"/>
    </w:p>
    <w:p>
      <w:pPr>
        <w:pStyle w:val="14"/>
        <w:keepNext w:val="0"/>
        <w:keepLines w:val="0"/>
        <w:pageBreakBefore w:val="0"/>
        <w:widowControl w:val="0"/>
        <w:kinsoku/>
        <w:wordWrap/>
        <w:overflowPunct/>
        <w:topLinePunct w:val="0"/>
        <w:autoSpaceDE/>
        <w:autoSpaceDN/>
        <w:bidi w:val="0"/>
        <w:adjustRightInd w:val="0"/>
        <w:snapToGrid w:val="0"/>
        <w:spacing w:line="560" w:lineRule="atLeast"/>
        <w:jc w:val="left"/>
        <w:textAlignment w:val="auto"/>
        <w:rPr>
          <w:rFonts w:hint="eastAsia" w:ascii="Times New Roman" w:hAnsi="Times New Roman" w:eastAsia="仿宋_GB2312" w:cs="仿宋_GB2312"/>
          <w:color w:val="auto"/>
          <w:sz w:val="32"/>
          <w:szCs w:val="32"/>
          <w:highlight w:val="none"/>
        </w:rPr>
      </w:pPr>
      <w:bookmarkStart w:id="58" w:name="_Toc15396621"/>
      <w:r>
        <w:rPr>
          <w:rFonts w:hint="eastAsia" w:ascii="Times New Roman" w:hAnsi="Times New Roman" w:eastAsia="仿宋_GB2312" w:cs="仿宋_GB2312"/>
          <w:color w:val="auto"/>
          <w:sz w:val="32"/>
          <w:szCs w:val="32"/>
          <w:highlight w:val="none"/>
        </w:rPr>
        <w:t>三、支出决算表</w:t>
      </w:r>
      <w:bookmarkEnd w:id="58"/>
    </w:p>
    <w:p>
      <w:pPr>
        <w:pStyle w:val="14"/>
        <w:keepNext w:val="0"/>
        <w:keepLines w:val="0"/>
        <w:pageBreakBefore w:val="0"/>
        <w:widowControl w:val="0"/>
        <w:kinsoku/>
        <w:wordWrap/>
        <w:overflowPunct/>
        <w:topLinePunct w:val="0"/>
        <w:autoSpaceDE/>
        <w:autoSpaceDN/>
        <w:bidi w:val="0"/>
        <w:adjustRightInd w:val="0"/>
        <w:snapToGrid w:val="0"/>
        <w:spacing w:line="560" w:lineRule="atLeast"/>
        <w:jc w:val="left"/>
        <w:textAlignment w:val="auto"/>
        <w:rPr>
          <w:rFonts w:hint="eastAsia" w:ascii="Times New Roman" w:hAnsi="Times New Roman" w:eastAsia="仿宋_GB2312" w:cs="仿宋_GB2312"/>
          <w:color w:val="auto"/>
          <w:sz w:val="32"/>
          <w:szCs w:val="32"/>
          <w:highlight w:val="none"/>
        </w:rPr>
      </w:pPr>
      <w:bookmarkStart w:id="59" w:name="_Toc15396622"/>
      <w:r>
        <w:rPr>
          <w:rFonts w:hint="eastAsia" w:ascii="Times New Roman" w:hAnsi="Times New Roman" w:eastAsia="仿宋_GB2312" w:cs="仿宋_GB2312"/>
          <w:color w:val="auto"/>
          <w:sz w:val="32"/>
          <w:szCs w:val="32"/>
          <w:highlight w:val="none"/>
        </w:rPr>
        <w:t>四、财政拨款收入支出决算总表</w:t>
      </w:r>
      <w:bookmarkEnd w:id="59"/>
    </w:p>
    <w:p>
      <w:pPr>
        <w:pStyle w:val="14"/>
        <w:keepNext w:val="0"/>
        <w:keepLines w:val="0"/>
        <w:pageBreakBefore w:val="0"/>
        <w:widowControl w:val="0"/>
        <w:kinsoku/>
        <w:wordWrap/>
        <w:overflowPunct/>
        <w:topLinePunct w:val="0"/>
        <w:autoSpaceDE/>
        <w:autoSpaceDN/>
        <w:bidi w:val="0"/>
        <w:adjustRightInd w:val="0"/>
        <w:snapToGrid w:val="0"/>
        <w:spacing w:line="560" w:lineRule="atLeast"/>
        <w:jc w:val="left"/>
        <w:textAlignment w:val="auto"/>
        <w:rPr>
          <w:rFonts w:hint="eastAsia" w:ascii="Times New Roman" w:hAnsi="Times New Roman" w:eastAsia="仿宋_GB2312" w:cs="仿宋_GB2312"/>
          <w:color w:val="auto"/>
          <w:sz w:val="32"/>
          <w:szCs w:val="32"/>
          <w:highlight w:val="none"/>
        </w:rPr>
      </w:pPr>
      <w:bookmarkStart w:id="60" w:name="_Toc15396623"/>
      <w:r>
        <w:rPr>
          <w:rFonts w:hint="eastAsia" w:ascii="Times New Roman" w:hAnsi="Times New Roman" w:eastAsia="仿宋_GB2312" w:cs="仿宋_GB2312"/>
          <w:color w:val="auto"/>
          <w:sz w:val="32"/>
          <w:szCs w:val="32"/>
          <w:highlight w:val="none"/>
        </w:rPr>
        <w:t>五、财政拨款支出决算明细表</w:t>
      </w:r>
      <w:bookmarkEnd w:id="60"/>
      <w:bookmarkStart w:id="61" w:name="_Toc15396624"/>
    </w:p>
    <w:p>
      <w:pPr>
        <w:pStyle w:val="14"/>
        <w:keepNext w:val="0"/>
        <w:keepLines w:val="0"/>
        <w:pageBreakBefore w:val="0"/>
        <w:widowControl w:val="0"/>
        <w:kinsoku/>
        <w:wordWrap/>
        <w:overflowPunct/>
        <w:topLinePunct w:val="0"/>
        <w:autoSpaceDE/>
        <w:autoSpaceDN/>
        <w:bidi w:val="0"/>
        <w:adjustRightInd w:val="0"/>
        <w:snapToGrid w:val="0"/>
        <w:spacing w:line="560" w:lineRule="atLeas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61"/>
    </w:p>
    <w:p>
      <w:pPr>
        <w:pStyle w:val="14"/>
        <w:keepNext w:val="0"/>
        <w:keepLines w:val="0"/>
        <w:pageBreakBefore w:val="0"/>
        <w:widowControl w:val="0"/>
        <w:kinsoku/>
        <w:wordWrap/>
        <w:overflowPunct/>
        <w:topLinePunct w:val="0"/>
        <w:autoSpaceDE/>
        <w:autoSpaceDN/>
        <w:bidi w:val="0"/>
        <w:adjustRightInd w:val="0"/>
        <w:snapToGrid w:val="0"/>
        <w:spacing w:line="560" w:lineRule="atLeast"/>
        <w:jc w:val="left"/>
        <w:textAlignment w:val="auto"/>
        <w:rPr>
          <w:rFonts w:hint="eastAsia" w:ascii="Times New Roman" w:hAnsi="Times New Roman" w:eastAsia="仿宋_GB2312" w:cs="仿宋_GB2312"/>
          <w:color w:val="auto"/>
          <w:sz w:val="32"/>
          <w:szCs w:val="32"/>
          <w:highlight w:val="none"/>
        </w:rPr>
      </w:pPr>
      <w:bookmarkStart w:id="62" w:name="_Toc15396625"/>
      <w:r>
        <w:rPr>
          <w:rFonts w:hint="eastAsia" w:ascii="Times New Roman" w:hAnsi="Times New Roman" w:eastAsia="仿宋_GB2312" w:cs="仿宋_GB2312"/>
          <w:color w:val="auto"/>
          <w:sz w:val="32"/>
          <w:szCs w:val="32"/>
          <w:highlight w:val="none"/>
        </w:rPr>
        <w:t>七、一般公共预算财政拨款支出决算明细表</w:t>
      </w:r>
      <w:bookmarkEnd w:id="62"/>
    </w:p>
    <w:p>
      <w:pPr>
        <w:pStyle w:val="14"/>
        <w:keepNext w:val="0"/>
        <w:keepLines w:val="0"/>
        <w:pageBreakBefore w:val="0"/>
        <w:widowControl w:val="0"/>
        <w:kinsoku/>
        <w:wordWrap/>
        <w:overflowPunct/>
        <w:topLinePunct w:val="0"/>
        <w:autoSpaceDE/>
        <w:autoSpaceDN/>
        <w:bidi w:val="0"/>
        <w:adjustRightInd w:val="0"/>
        <w:snapToGrid w:val="0"/>
        <w:spacing w:line="560" w:lineRule="atLeast"/>
        <w:jc w:val="left"/>
        <w:textAlignment w:val="auto"/>
        <w:rPr>
          <w:rFonts w:hint="eastAsia" w:ascii="Times New Roman" w:hAnsi="Times New Roman" w:eastAsia="仿宋_GB2312" w:cs="仿宋_GB2312"/>
          <w:color w:val="auto"/>
          <w:sz w:val="32"/>
          <w:szCs w:val="32"/>
          <w:highlight w:val="none"/>
        </w:rPr>
      </w:pPr>
      <w:bookmarkStart w:id="63" w:name="_Toc15396626"/>
      <w:r>
        <w:rPr>
          <w:rFonts w:hint="eastAsia" w:ascii="Times New Roman" w:hAnsi="Times New Roman" w:eastAsia="仿宋_GB2312" w:cs="仿宋_GB2312"/>
          <w:color w:val="auto"/>
          <w:sz w:val="32"/>
          <w:szCs w:val="32"/>
          <w:highlight w:val="none"/>
        </w:rPr>
        <w:t>八、一般公共预算财政拨款基本支出决算表</w:t>
      </w:r>
      <w:bookmarkEnd w:id="63"/>
    </w:p>
    <w:p>
      <w:pPr>
        <w:pStyle w:val="14"/>
        <w:keepNext w:val="0"/>
        <w:keepLines w:val="0"/>
        <w:pageBreakBefore w:val="0"/>
        <w:widowControl w:val="0"/>
        <w:kinsoku/>
        <w:wordWrap/>
        <w:overflowPunct/>
        <w:topLinePunct w:val="0"/>
        <w:autoSpaceDE/>
        <w:autoSpaceDN/>
        <w:bidi w:val="0"/>
        <w:adjustRightInd w:val="0"/>
        <w:snapToGrid w:val="0"/>
        <w:spacing w:line="560" w:lineRule="atLeast"/>
        <w:jc w:val="left"/>
        <w:textAlignment w:val="auto"/>
        <w:rPr>
          <w:rFonts w:hint="eastAsia" w:ascii="Times New Roman" w:hAnsi="Times New Roman" w:eastAsia="仿宋_GB2312" w:cs="仿宋_GB2312"/>
          <w:color w:val="auto"/>
          <w:sz w:val="32"/>
          <w:szCs w:val="32"/>
          <w:highlight w:val="none"/>
        </w:rPr>
      </w:pPr>
      <w:bookmarkStart w:id="64" w:name="_Toc15396627"/>
      <w:r>
        <w:rPr>
          <w:rFonts w:hint="eastAsia" w:ascii="Times New Roman" w:hAnsi="Times New Roman" w:eastAsia="仿宋_GB2312" w:cs="仿宋_GB2312"/>
          <w:color w:val="auto"/>
          <w:sz w:val="32"/>
          <w:szCs w:val="32"/>
          <w:highlight w:val="none"/>
        </w:rPr>
        <w:t>九、一般公共预算财政拨款项目支出决算表</w:t>
      </w:r>
      <w:bookmarkEnd w:id="64"/>
    </w:p>
    <w:p>
      <w:pPr>
        <w:pStyle w:val="14"/>
        <w:keepNext w:val="0"/>
        <w:keepLines w:val="0"/>
        <w:pageBreakBefore w:val="0"/>
        <w:widowControl w:val="0"/>
        <w:kinsoku/>
        <w:wordWrap/>
        <w:overflowPunct/>
        <w:topLinePunct w:val="0"/>
        <w:autoSpaceDE/>
        <w:autoSpaceDN/>
        <w:bidi w:val="0"/>
        <w:adjustRightInd w:val="0"/>
        <w:snapToGrid w:val="0"/>
        <w:spacing w:line="560" w:lineRule="atLeast"/>
        <w:jc w:val="left"/>
        <w:textAlignment w:val="auto"/>
        <w:rPr>
          <w:rFonts w:hint="eastAsia" w:ascii="Times New Roman" w:hAnsi="Times New Roman" w:eastAsia="仿宋_GB2312" w:cs="仿宋_GB2312"/>
          <w:color w:val="auto"/>
          <w:sz w:val="32"/>
          <w:szCs w:val="32"/>
          <w:highlight w:val="none"/>
        </w:rPr>
      </w:pPr>
      <w:bookmarkStart w:id="65" w:name="_Toc15396628"/>
      <w:r>
        <w:rPr>
          <w:rFonts w:hint="eastAsia" w:ascii="Times New Roman" w:hAnsi="Times New Roman" w:eastAsia="仿宋_GB2312" w:cs="仿宋_GB2312"/>
          <w:color w:val="auto"/>
          <w:sz w:val="32"/>
          <w:szCs w:val="32"/>
          <w:highlight w:val="none"/>
        </w:rPr>
        <w:t>十、</w:t>
      </w:r>
      <w:bookmarkEnd w:id="65"/>
      <w:r>
        <w:rPr>
          <w:rFonts w:hint="eastAsia" w:ascii="Times New Roman" w:hAnsi="Times New Roman" w:eastAsia="仿宋_GB2312" w:cs="仿宋_GB2312"/>
          <w:color w:val="auto"/>
          <w:sz w:val="32"/>
          <w:szCs w:val="32"/>
          <w:highlight w:val="none"/>
        </w:rPr>
        <w:t>政府性基金预算财政拨款收入支出决算表</w:t>
      </w:r>
    </w:p>
    <w:p>
      <w:pPr>
        <w:pStyle w:val="14"/>
        <w:keepNext w:val="0"/>
        <w:keepLines w:val="0"/>
        <w:pageBreakBefore w:val="0"/>
        <w:widowControl w:val="0"/>
        <w:kinsoku/>
        <w:wordWrap/>
        <w:overflowPunct/>
        <w:topLinePunct w:val="0"/>
        <w:autoSpaceDE/>
        <w:autoSpaceDN/>
        <w:bidi w:val="0"/>
        <w:adjustRightInd w:val="0"/>
        <w:snapToGrid w:val="0"/>
        <w:spacing w:line="560" w:lineRule="atLeast"/>
        <w:jc w:val="left"/>
        <w:textAlignment w:val="auto"/>
        <w:rPr>
          <w:rFonts w:hint="eastAsia" w:ascii="Times New Roman" w:hAnsi="Times New Roman" w:eastAsia="仿宋_GB2312" w:cs="仿宋_GB2312"/>
          <w:color w:val="auto"/>
          <w:sz w:val="32"/>
          <w:szCs w:val="32"/>
          <w:highlight w:val="none"/>
        </w:rPr>
      </w:pPr>
      <w:bookmarkStart w:id="66" w:name="_Toc15396629"/>
      <w:r>
        <w:rPr>
          <w:rFonts w:hint="eastAsia" w:ascii="Times New Roman" w:hAnsi="Times New Roman" w:eastAsia="仿宋_GB2312" w:cs="仿宋_GB2312"/>
          <w:color w:val="auto"/>
          <w:sz w:val="32"/>
          <w:szCs w:val="32"/>
          <w:highlight w:val="none"/>
        </w:rPr>
        <w:t>十一、</w:t>
      </w:r>
      <w:bookmarkEnd w:id="66"/>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pPr>
        <w:pStyle w:val="14"/>
        <w:keepNext w:val="0"/>
        <w:keepLines w:val="0"/>
        <w:pageBreakBefore w:val="0"/>
        <w:widowControl w:val="0"/>
        <w:kinsoku/>
        <w:wordWrap/>
        <w:overflowPunct/>
        <w:topLinePunct w:val="0"/>
        <w:autoSpaceDE/>
        <w:autoSpaceDN/>
        <w:bidi w:val="0"/>
        <w:adjustRightInd w:val="0"/>
        <w:snapToGrid w:val="0"/>
        <w:spacing w:line="560" w:lineRule="atLeast"/>
        <w:jc w:val="left"/>
        <w:textAlignment w:val="auto"/>
        <w:rPr>
          <w:rFonts w:hint="eastAsia" w:ascii="Times New Roman" w:hAnsi="Times New Roman" w:eastAsia="仿宋_GB2312" w:cs="仿宋_GB2312"/>
          <w:color w:val="auto"/>
          <w:sz w:val="32"/>
          <w:szCs w:val="32"/>
          <w:highlight w:val="none"/>
        </w:rPr>
      </w:pPr>
      <w:bookmarkStart w:id="67" w:name="_Toc15396630"/>
      <w:r>
        <w:rPr>
          <w:rFonts w:hint="eastAsia" w:ascii="Times New Roman" w:hAnsi="Times New Roman" w:eastAsia="仿宋_GB2312" w:cs="仿宋_GB2312"/>
          <w:color w:val="auto"/>
          <w:sz w:val="32"/>
          <w:szCs w:val="32"/>
          <w:highlight w:val="none"/>
        </w:rPr>
        <w:t>十二、</w:t>
      </w:r>
      <w:bookmarkEnd w:id="67"/>
      <w:r>
        <w:rPr>
          <w:rFonts w:hint="eastAsia" w:ascii="Times New Roman" w:hAnsi="Times New Roman" w:eastAsia="仿宋_GB2312" w:cs="仿宋_GB2312"/>
          <w:color w:val="auto"/>
          <w:sz w:val="32"/>
          <w:szCs w:val="32"/>
          <w:highlight w:val="none"/>
          <w:lang w:eastAsia="zh-CN"/>
        </w:rPr>
        <w:t>国有资本经营预算财政拨款支出决算表</w:t>
      </w:r>
    </w:p>
    <w:p>
      <w:pPr>
        <w:pStyle w:val="14"/>
        <w:keepNext w:val="0"/>
        <w:keepLines w:val="0"/>
        <w:pageBreakBefore w:val="0"/>
        <w:widowControl w:val="0"/>
        <w:kinsoku/>
        <w:wordWrap/>
        <w:overflowPunct/>
        <w:topLinePunct w:val="0"/>
        <w:autoSpaceDE/>
        <w:autoSpaceDN/>
        <w:bidi w:val="0"/>
        <w:adjustRightInd w:val="0"/>
        <w:snapToGrid w:val="0"/>
        <w:spacing w:line="560" w:lineRule="atLeast"/>
        <w:jc w:val="left"/>
        <w:textAlignment w:val="auto"/>
        <w:rPr>
          <w:rFonts w:hint="eastAsia" w:ascii="Times New Roman" w:hAnsi="Times New Roman" w:eastAsia="仿宋_GB2312" w:cs="仿宋_GB2312"/>
          <w:color w:val="auto"/>
          <w:sz w:val="32"/>
          <w:szCs w:val="32"/>
          <w:highlight w:val="none"/>
          <w:lang w:eastAsia="zh-CN"/>
        </w:rPr>
      </w:pPr>
      <w:bookmarkStart w:id="68" w:name="_Toc15396631"/>
      <w:r>
        <w:rPr>
          <w:rFonts w:hint="eastAsia" w:ascii="Times New Roman" w:hAnsi="Times New Roman" w:eastAsia="仿宋_GB2312" w:cs="仿宋_GB2312"/>
          <w:color w:val="auto"/>
          <w:sz w:val="32"/>
          <w:szCs w:val="32"/>
          <w:highlight w:val="none"/>
        </w:rPr>
        <w:t>十三、</w:t>
      </w:r>
      <w:bookmarkEnd w:id="68"/>
      <w:r>
        <w:rPr>
          <w:rFonts w:hint="eastAsia" w:ascii="Times New Roman" w:hAnsi="Times New Roman" w:eastAsia="仿宋_GB2312" w:cs="仿宋_GB2312"/>
          <w:color w:val="auto"/>
          <w:sz w:val="32"/>
          <w:szCs w:val="32"/>
          <w:highlight w:val="none"/>
          <w:lang w:eastAsia="zh-CN"/>
        </w:rPr>
        <w:t>财政拨款“三公”经费支出决算表</w:t>
      </w:r>
    </w:p>
    <w:p>
      <w:pPr>
        <w:keepNext w:val="0"/>
        <w:keepLines w:val="0"/>
        <w:pageBreakBefore w:val="0"/>
        <w:widowControl w:val="0"/>
        <w:kinsoku/>
        <w:wordWrap/>
        <w:overflowPunct/>
        <w:topLinePunct w:val="0"/>
        <w:autoSpaceDE/>
        <w:autoSpaceDN/>
        <w:bidi w:val="0"/>
        <w:spacing w:line="560" w:lineRule="atLeast"/>
        <w:textAlignment w:val="auto"/>
        <w:rPr>
          <w:rFonts w:hint="eastAsia" w:ascii="Times New Roman" w:hAnsi="Times New Roman"/>
          <w:lang w:eastAsia="zh-CN"/>
        </w:rPr>
      </w:pPr>
    </w:p>
    <w:sectPr>
      <w:footerReference r:id="rId7" w:type="first"/>
      <w:footerReference r:id="rId6"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仿宋"/>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方正仿宋_GB2312">
    <w:altName w:val="仿宋"/>
    <w:panose1 w:val="02000000000000000000"/>
    <w:charset w:val="86"/>
    <w:family w:val="auto"/>
    <w:pitch w:val="default"/>
    <w:sig w:usb0="00000000" w:usb1="00000000" w:usb2="00000000" w:usb3="00000000" w:csb0="00000000" w:csb1="00000000"/>
  </w:font>
  <w:font w:name="楷体_GB2312">
    <w:altName w:val="楷体"/>
    <w:panose1 w:val="02010609030101010101"/>
    <w:charset w:val="86"/>
    <w:family w:val="auto"/>
    <w:pitch w:val="default"/>
    <w:sig w:usb0="00000000" w:usb1="00000000" w:usb2="00000000" w:usb3="00000000" w:csb0="00040000" w:csb1="00000000"/>
  </w:font>
  <w:font w:name="方正楷体_GB2312">
    <w:altName w:val="楷体"/>
    <w:panose1 w:val="02000000000000000000"/>
    <w:charset w:val="86"/>
    <w:family w:val="auto"/>
    <w:pitch w:val="default"/>
    <w:sig w:usb0="00000000" w:usb1="00000000"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MGCRB0dAgAAKwQAAA4AAAAAAAAAAQAgAAAANQ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- 2 -</w:t>
                    </w:r>
                    <w:r>
                      <w:fldChar w:fldCharType="end"/>
                    </w:r>
                  </w:p>
                </w:txbxContent>
              </v:textbox>
            </v:shape>
          </w:pict>
        </mc:Fallback>
      </mc:AlternateContent>
    </w:r>
  </w:p>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dwRadHQIAACsEAAAOAAAAZHJz&#10;L2Uyb0RvYy54bWytU82O0zAQviPxDpbvNGmBVVU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B3BFp0dAgAAKwQAAA4AAAAAAAAAAQAgAAAANQ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4B64A7E"/>
    <w:rsid w:val="061E35DE"/>
    <w:rsid w:val="066E0107"/>
    <w:rsid w:val="06F45157"/>
    <w:rsid w:val="076A0AFD"/>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2857DF"/>
    <w:rsid w:val="13D50BC4"/>
    <w:rsid w:val="145C2E4C"/>
    <w:rsid w:val="14B17F78"/>
    <w:rsid w:val="165E0673"/>
    <w:rsid w:val="16B831D5"/>
    <w:rsid w:val="16BB723D"/>
    <w:rsid w:val="17E50567"/>
    <w:rsid w:val="186504BB"/>
    <w:rsid w:val="18DE00ED"/>
    <w:rsid w:val="19A445FC"/>
    <w:rsid w:val="1BE8440E"/>
    <w:rsid w:val="1D155CEE"/>
    <w:rsid w:val="1D1638FE"/>
    <w:rsid w:val="1E312DEB"/>
    <w:rsid w:val="1E740ACF"/>
    <w:rsid w:val="1E9A3B3C"/>
    <w:rsid w:val="1FF35744"/>
    <w:rsid w:val="1FF6BC77"/>
    <w:rsid w:val="2186353C"/>
    <w:rsid w:val="221A2094"/>
    <w:rsid w:val="2226575E"/>
    <w:rsid w:val="23063C05"/>
    <w:rsid w:val="230B6B8D"/>
    <w:rsid w:val="23860B96"/>
    <w:rsid w:val="240371BF"/>
    <w:rsid w:val="244F3473"/>
    <w:rsid w:val="24C97D99"/>
    <w:rsid w:val="25A718F0"/>
    <w:rsid w:val="25BB59F6"/>
    <w:rsid w:val="260F557C"/>
    <w:rsid w:val="265B1FE6"/>
    <w:rsid w:val="26970054"/>
    <w:rsid w:val="26AB509A"/>
    <w:rsid w:val="27A86C4B"/>
    <w:rsid w:val="281408E2"/>
    <w:rsid w:val="28520659"/>
    <w:rsid w:val="29B57762"/>
    <w:rsid w:val="29FD04D3"/>
    <w:rsid w:val="2BFF7BC6"/>
    <w:rsid w:val="2C8A61B5"/>
    <w:rsid w:val="2D923A59"/>
    <w:rsid w:val="2DF04E50"/>
    <w:rsid w:val="2E586DFA"/>
    <w:rsid w:val="2F040D46"/>
    <w:rsid w:val="2F201CE7"/>
    <w:rsid w:val="2F6B035B"/>
    <w:rsid w:val="2FAE5751"/>
    <w:rsid w:val="2FB1A395"/>
    <w:rsid w:val="2FD9A7D8"/>
    <w:rsid w:val="2FDBF714"/>
    <w:rsid w:val="30AB6865"/>
    <w:rsid w:val="319F7F4E"/>
    <w:rsid w:val="32BD1EF1"/>
    <w:rsid w:val="3304709D"/>
    <w:rsid w:val="336C3198"/>
    <w:rsid w:val="33A773CB"/>
    <w:rsid w:val="349D6851"/>
    <w:rsid w:val="360A5FA1"/>
    <w:rsid w:val="36AA5135"/>
    <w:rsid w:val="36BE0DA7"/>
    <w:rsid w:val="36FF7CFA"/>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C7543B"/>
    <w:rsid w:val="3DEE7CF3"/>
    <w:rsid w:val="3E740A63"/>
    <w:rsid w:val="3E78745D"/>
    <w:rsid w:val="3EDA2307"/>
    <w:rsid w:val="3EE17838"/>
    <w:rsid w:val="3F55381A"/>
    <w:rsid w:val="3F7F7599"/>
    <w:rsid w:val="3FF4CAE0"/>
    <w:rsid w:val="3FF7B227"/>
    <w:rsid w:val="41A27831"/>
    <w:rsid w:val="431F6E39"/>
    <w:rsid w:val="44E268DA"/>
    <w:rsid w:val="450D13D7"/>
    <w:rsid w:val="45506656"/>
    <w:rsid w:val="45701FA7"/>
    <w:rsid w:val="48546BA2"/>
    <w:rsid w:val="486A6C7A"/>
    <w:rsid w:val="4903605D"/>
    <w:rsid w:val="4A627F82"/>
    <w:rsid w:val="4B0D04A7"/>
    <w:rsid w:val="4B0E749A"/>
    <w:rsid w:val="4B2477C4"/>
    <w:rsid w:val="4B4F25DA"/>
    <w:rsid w:val="4BE068DB"/>
    <w:rsid w:val="4D577224"/>
    <w:rsid w:val="4DBF1CEB"/>
    <w:rsid w:val="4DF0007C"/>
    <w:rsid w:val="4EA341A4"/>
    <w:rsid w:val="4EAB630A"/>
    <w:rsid w:val="4ECE2238"/>
    <w:rsid w:val="4F38395C"/>
    <w:rsid w:val="4F833267"/>
    <w:rsid w:val="4FE9BD67"/>
    <w:rsid w:val="4FFB052F"/>
    <w:rsid w:val="537E6D0A"/>
    <w:rsid w:val="53F74C96"/>
    <w:rsid w:val="54D44BD5"/>
    <w:rsid w:val="54EF7EF2"/>
    <w:rsid w:val="55170BA8"/>
    <w:rsid w:val="553218C9"/>
    <w:rsid w:val="567E1AA5"/>
    <w:rsid w:val="56E47B74"/>
    <w:rsid w:val="57175D52"/>
    <w:rsid w:val="572E405A"/>
    <w:rsid w:val="57BD3DD4"/>
    <w:rsid w:val="58315E25"/>
    <w:rsid w:val="5AF92295"/>
    <w:rsid w:val="5B250254"/>
    <w:rsid w:val="5BDD79E6"/>
    <w:rsid w:val="5BF561CA"/>
    <w:rsid w:val="5BFF5DFC"/>
    <w:rsid w:val="5C9C606B"/>
    <w:rsid w:val="5CD71FC4"/>
    <w:rsid w:val="5D1F11B5"/>
    <w:rsid w:val="5D695134"/>
    <w:rsid w:val="5DAE1B18"/>
    <w:rsid w:val="5DE7D9E5"/>
    <w:rsid w:val="5ECEC941"/>
    <w:rsid w:val="5FBF9FF3"/>
    <w:rsid w:val="5FC60AFD"/>
    <w:rsid w:val="5FCD4E2C"/>
    <w:rsid w:val="5FEF394A"/>
    <w:rsid w:val="5FF67715"/>
    <w:rsid w:val="60CB4104"/>
    <w:rsid w:val="60DD2497"/>
    <w:rsid w:val="60E71F20"/>
    <w:rsid w:val="60F05331"/>
    <w:rsid w:val="61F06C59"/>
    <w:rsid w:val="62BF3928"/>
    <w:rsid w:val="63B3701E"/>
    <w:rsid w:val="647F5392"/>
    <w:rsid w:val="65E66580"/>
    <w:rsid w:val="664B1D71"/>
    <w:rsid w:val="664B4E8E"/>
    <w:rsid w:val="67277B67"/>
    <w:rsid w:val="67AA3209"/>
    <w:rsid w:val="67EE24BF"/>
    <w:rsid w:val="68544B91"/>
    <w:rsid w:val="698D0931"/>
    <w:rsid w:val="69F87FEE"/>
    <w:rsid w:val="6A7FE5F3"/>
    <w:rsid w:val="6B053271"/>
    <w:rsid w:val="6BBD77A4"/>
    <w:rsid w:val="6BDD78B3"/>
    <w:rsid w:val="6BF56FBD"/>
    <w:rsid w:val="6C4A05C8"/>
    <w:rsid w:val="6C8742B8"/>
    <w:rsid w:val="6DB35D92"/>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594351"/>
    <w:rsid w:val="72734D90"/>
    <w:rsid w:val="73160E6D"/>
    <w:rsid w:val="732C5183"/>
    <w:rsid w:val="7332FE48"/>
    <w:rsid w:val="73AB61DA"/>
    <w:rsid w:val="73AD73D5"/>
    <w:rsid w:val="73B6EB34"/>
    <w:rsid w:val="73FA497D"/>
    <w:rsid w:val="744731E5"/>
    <w:rsid w:val="74BBD01D"/>
    <w:rsid w:val="74E61367"/>
    <w:rsid w:val="74ED5379"/>
    <w:rsid w:val="75537C99"/>
    <w:rsid w:val="75DEEEC2"/>
    <w:rsid w:val="75E32345"/>
    <w:rsid w:val="75EB1C30"/>
    <w:rsid w:val="76E3355F"/>
    <w:rsid w:val="76FF5125"/>
    <w:rsid w:val="776F506B"/>
    <w:rsid w:val="776F6FFA"/>
    <w:rsid w:val="778769C8"/>
    <w:rsid w:val="77A75DCA"/>
    <w:rsid w:val="77C26687"/>
    <w:rsid w:val="77DC22F5"/>
    <w:rsid w:val="783E271A"/>
    <w:rsid w:val="78616DE9"/>
    <w:rsid w:val="78E875D7"/>
    <w:rsid w:val="79086DAD"/>
    <w:rsid w:val="79D7FD79"/>
    <w:rsid w:val="79EE5BA4"/>
    <w:rsid w:val="7A894339"/>
    <w:rsid w:val="7AD284E8"/>
    <w:rsid w:val="7AFF7572"/>
    <w:rsid w:val="7B6C7DFB"/>
    <w:rsid w:val="7BBFBED0"/>
    <w:rsid w:val="7BC3E394"/>
    <w:rsid w:val="7C1F3737"/>
    <w:rsid w:val="7C615763"/>
    <w:rsid w:val="7CBFC87B"/>
    <w:rsid w:val="7CFE0F48"/>
    <w:rsid w:val="7D272ABC"/>
    <w:rsid w:val="7D7EC23E"/>
    <w:rsid w:val="7DD86068"/>
    <w:rsid w:val="7E8ADEBF"/>
    <w:rsid w:val="7ED1409A"/>
    <w:rsid w:val="7EEF11D3"/>
    <w:rsid w:val="7EFE4840"/>
    <w:rsid w:val="7F0261F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DBE290"/>
    <w:rsid w:val="BCFFB442"/>
    <w:rsid w:val="BD079C78"/>
    <w:rsid w:val="BD733540"/>
    <w:rsid w:val="BDED443D"/>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BE096"/>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5"/>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3"/>
    <w:qFormat/>
    <w:uiPriority w:val="9"/>
    <w:rPr>
      <w:rFonts w:ascii="Times New Roman" w:hAnsi="Times New Roman"/>
      <w:b/>
      <w:bCs/>
      <w:kern w:val="44"/>
      <w:sz w:val="44"/>
      <w:szCs w:val="44"/>
    </w:rPr>
  </w:style>
  <w:style w:type="character" w:customStyle="1" w:styleId="29">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9"/>
    <w:semiHidden/>
    <w:qFormat/>
    <w:uiPriority w:val="99"/>
    <w:rPr>
      <w:rFonts w:ascii="Times New Roman" w:hAnsi="Times New Roman"/>
      <w:kern w:val="2"/>
      <w:sz w:val="18"/>
      <w:szCs w:val="18"/>
    </w:rPr>
  </w:style>
  <w:style w:type="character" w:customStyle="1" w:styleId="32">
    <w:name w:val="标题 3 Char"/>
    <w:basedOn w:val="16"/>
    <w:link w:val="5"/>
    <w:qFormat/>
    <w:uiPriority w:val="9"/>
    <w:rPr>
      <w:rFonts w:ascii="Times New Roman" w:hAnsi="Times New Roman"/>
      <w:b/>
      <w:bCs/>
      <w:kern w:val="2"/>
      <w:sz w:val="32"/>
      <w:szCs w:val="32"/>
    </w:rPr>
  </w:style>
  <w:style w:type="paragraph" w:customStyle="1" w:styleId="33">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5">
    <w:name w:val="WPSOffice手动目录 1"/>
    <w:qFormat/>
    <w:uiPriority w:val="0"/>
    <w:rPr>
      <w:rFonts w:ascii="Calibri" w:hAnsi="Calibri" w:eastAsia="宋体" w:cs="Times New Roman"/>
      <w:lang w:val="en-US" w:eastAsia="zh-CN" w:bidi="ar-SA"/>
    </w:rPr>
  </w:style>
  <w:style w:type="paragraph" w:customStyle="1" w:styleId="36">
    <w:name w:val="WPSOffice手动目录 2"/>
    <w:qFormat/>
    <w:uiPriority w:val="0"/>
    <w:pPr>
      <w:ind w:left="200" w:leftChars="200"/>
    </w:pPr>
    <w:rPr>
      <w:rFonts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image" Target="media/image7.emf"/><Relationship Id="rId21" Type="http://schemas.openxmlformats.org/officeDocument/2006/relationships/oleObject" Target="embeddings/oleObject7.bin"/><Relationship Id="rId20" Type="http://schemas.openxmlformats.org/officeDocument/2006/relationships/image" Target="media/image6.emf"/><Relationship Id="rId2" Type="http://schemas.openxmlformats.org/officeDocument/2006/relationships/settings" Target="settings.xml"/><Relationship Id="rId19" Type="http://schemas.openxmlformats.org/officeDocument/2006/relationships/oleObject" Target="embeddings/oleObject6.bin"/><Relationship Id="rId18" Type="http://schemas.openxmlformats.org/officeDocument/2006/relationships/image" Target="media/image5.emf"/><Relationship Id="rId17" Type="http://schemas.openxmlformats.org/officeDocument/2006/relationships/oleObject" Target="embeddings/oleObject5.bin"/><Relationship Id="rId16" Type="http://schemas.openxmlformats.org/officeDocument/2006/relationships/image" Target="media/image4.emf"/><Relationship Id="rId15" Type="http://schemas.openxmlformats.org/officeDocument/2006/relationships/oleObject" Target="embeddings/oleObject4.bin"/><Relationship Id="rId14" Type="http://schemas.openxmlformats.org/officeDocument/2006/relationships/image" Target="media/image3.emf"/><Relationship Id="rId13" Type="http://schemas.openxmlformats.org/officeDocument/2006/relationships/oleObject" Target="embeddings/oleObject3.bin"/><Relationship Id="rId12" Type="http://schemas.openxmlformats.org/officeDocument/2006/relationships/image" Target="media/image2.emf"/><Relationship Id="rId11" Type="http://schemas.openxmlformats.org/officeDocument/2006/relationships/oleObject" Target="embeddings/oleObject2.bin"/><Relationship Id="rId10" Type="http://schemas.openxmlformats.org/officeDocument/2006/relationships/image" Target="media/image1.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1027"/>
    <customShpInfo spid="_x0000_s1028"/>
    <customShpInfo spid="_x0000_s1029"/>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19</Pages>
  <Words>15</Words>
  <Characters>18</Characters>
  <Lines>61</Lines>
  <Paragraphs>17</Paragraphs>
  <TotalTime>12</TotalTime>
  <ScaleCrop>false</ScaleCrop>
  <LinksUpToDate>false</LinksUpToDate>
  <CharactersWithSpaces>18</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2020-08-10T01:49:00Z</dcterms:created>
  <dc:creator>曹颖</dc:creator>
  <cp:lastModifiedBy>user</cp:lastModifiedBy>
  <cp:lastPrinted>2025-08-07T09:34:00Z</cp:lastPrinted>
  <dcterms:modified xsi:type="dcterms:W3CDTF">2025-09-15T17:05:04Z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C57B2E1F7205472EBD80C4F997EA8B74_13</vt:lpwstr>
  </property>
  <property fmtid="{D5CDD505-2E9C-101B-9397-08002B2CF9AE}" pid="4" name="KSOTemplateDocerSaveRecord">
    <vt:lpwstr>eyJoZGlkIjoiYzI3MjI3Mzk4YjE5NmU1Y2MyZjE3NTYwMGQzZjU4MGUifQ==</vt:lpwstr>
  </property>
</Properties>
</file>