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425"/>
      <w:bookmarkStart w:id="2" w:name="_Toc15396597"/>
      <w:bookmarkStart w:id="3" w:name="_Toc15396475"/>
      <w:bookmarkStart w:id="4" w:name="_Toc15377193"/>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ind w:left="0" w:leftChars="0" w:firstLine="0" w:firstLineChars="0"/>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8442"/>
      <w:bookmarkStart w:id="9" w:name="_Toc15377194"/>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攀枝花市东区人民法院</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公开文字说明</w:t>
      </w:r>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bookmarkStart w:id="103" w:name="_GoBack"/>
      <w:bookmarkEnd w:id="103"/>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0348"/>
        <w15:color w:val="DBDBDB"/>
        <w:docPartObj>
          <w:docPartGallery w:val="Table of Contents"/>
          <w:docPartUnique/>
        </w:docPartObj>
      </w:sdtPr>
      <w:sdtEndPr>
        <w:rPr>
          <w:rFonts w:hint="eastAsia" w:ascii="Times New Roman" w:hAnsi="Times New Roman" w:eastAsia="宋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pPr>
          <w:bookmarkStart w:id="12" w:name="_Toc15396599"/>
          <w:bookmarkStart w:id="13" w:name="_Toc15377196"/>
        </w:p>
        <w:p>
          <w:pPr>
            <w:pStyle w:val="38"/>
            <w:tabs>
              <w:tab w:val="right" w:leader="dot" w:pos="8306"/>
            </w:tabs>
            <w:rPr>
              <w:rFonts w:hint="eastAsia" w:ascii="黑体" w:hAnsi="黑体" w:eastAsia="黑体" w:cs="黑体"/>
              <w:b/>
              <w:sz w:val="32"/>
              <w:szCs w:val="32"/>
            </w:rPr>
          </w:pPr>
          <w:r>
            <w:rPr>
              <w:rFonts w:hint="eastAsia"/>
            </w:rPr>
            <w:fldChar w:fldCharType="begin"/>
          </w:r>
          <w:r>
            <w:rPr>
              <w:rFonts w:hint="eastAsia"/>
            </w:rPr>
            <w:instrText xml:space="preserve">TOC \o "1-2" \h \u </w:instrText>
          </w:r>
          <w:r>
            <w:rPr>
              <w:rFonts w:hint="eastAsia"/>
            </w:rPr>
            <w:fldChar w:fldCharType="separate"/>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_Toc23669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第一部分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 xml:space="preserve"> </w:t>
          </w:r>
          <w:r>
            <w:rPr>
              <w:rFonts w:hint="eastAsia" w:ascii="黑体" w:hAnsi="黑体" w:eastAsia="黑体" w:cs="黑体"/>
              <w:b/>
              <w:sz w:val="32"/>
              <w:szCs w:val="32"/>
              <w:lang w:eastAsia="zh-CN"/>
            </w:rPr>
            <w:t>单位</w:t>
          </w:r>
          <w:r>
            <w:rPr>
              <w:rFonts w:hint="eastAsia" w:ascii="黑体" w:hAnsi="黑体" w:eastAsia="黑体" w:cs="黑体"/>
              <w:b/>
              <w:sz w:val="32"/>
              <w:szCs w:val="32"/>
            </w:rPr>
            <w:t>概况</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_Toc23669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1</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_Toc20821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8"/>
            <w:tabs>
              <w:tab w:val="right" w:leader="dot" w:pos="8306"/>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_Toc8223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第二部分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2024年度</w:t>
          </w:r>
          <w:r>
            <w:rPr>
              <w:rFonts w:hint="eastAsia" w:ascii="黑体" w:hAnsi="黑体" w:eastAsia="黑体" w:cs="黑体"/>
              <w:b/>
              <w:sz w:val="32"/>
              <w:szCs w:val="32"/>
              <w:lang w:eastAsia="zh-CN"/>
            </w:rPr>
            <w:t>单位</w:t>
          </w:r>
          <w:r>
            <w:rPr>
              <w:rFonts w:hint="eastAsia" w:ascii="黑体" w:hAnsi="黑体" w:eastAsia="黑体" w:cs="黑体"/>
              <w:b/>
              <w:sz w:val="32"/>
              <w:szCs w:val="32"/>
            </w:rPr>
            <w:t>决算情况说明</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_Toc8223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11</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_Toc15579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8"/>
            <w:tabs>
              <w:tab w:val="right" w:leader="dot" w:pos="8306"/>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_Toc8307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名词解释</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_Toc8307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23</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8"/>
            <w:tabs>
              <w:tab w:val="right" w:leader="dot" w:pos="8306"/>
            </w:tabs>
            <w:rPr>
              <w:rFonts w:hint="eastAsia" w:ascii="黑体" w:hAnsi="黑体" w:eastAsia="黑体" w:cs="黑体"/>
              <w:b/>
              <w:sz w:val="32"/>
              <w:szCs w:val="32"/>
              <w:lang w:val="en-US" w:eastAsia="zh-CN"/>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_Toc8307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w:t>
          </w:r>
          <w:r>
            <w:rPr>
              <w:rFonts w:hint="eastAsia" w:ascii="黑体" w:hAnsi="黑体" w:eastAsia="黑体" w:cs="黑体"/>
              <w:b/>
              <w:sz w:val="32"/>
              <w:szCs w:val="32"/>
              <w:lang w:eastAsia="zh-CN"/>
            </w:rPr>
            <w:t>四</w:t>
          </w:r>
          <w:r>
            <w:rPr>
              <w:rFonts w:hint="eastAsia" w:ascii="黑体" w:hAnsi="黑体" w:eastAsia="黑体" w:cs="黑体"/>
              <w:b/>
              <w:sz w:val="32"/>
              <w:szCs w:val="32"/>
            </w:rPr>
            <w:t>部分</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附件</w:t>
          </w:r>
          <w:r>
            <w:rPr>
              <w:rFonts w:hint="eastAsia" w:ascii="黑体" w:hAnsi="黑体" w:eastAsia="黑体" w:cs="黑体"/>
              <w:b/>
              <w:sz w:val="32"/>
              <w:szCs w:val="32"/>
            </w:rPr>
            <w:tab/>
          </w:r>
          <w:r>
            <w:rPr>
              <w:rFonts w:hint="eastAsia" w:ascii="黑体" w:hAnsi="黑体" w:eastAsia="黑体" w:cs="黑体"/>
              <w:b/>
              <w:sz w:val="32"/>
              <w:szCs w:val="32"/>
              <w:lang w:val="en-US" w:eastAsia="zh-CN"/>
            </w:rPr>
            <w:t>3</w:t>
          </w:r>
          <w:r>
            <w:rPr>
              <w:rFonts w:hint="eastAsia" w:ascii="黑体" w:hAnsi="黑体" w:eastAsia="黑体" w:cs="黑体"/>
              <w:b/>
              <w:sz w:val="32"/>
              <w:szCs w:val="32"/>
            </w:rPr>
            <w:fldChar w:fldCharType="end"/>
          </w:r>
          <w:r>
            <w:rPr>
              <w:rFonts w:hint="eastAsia" w:ascii="黑体" w:hAnsi="黑体" w:eastAsia="黑体" w:cs="黑体"/>
              <w:b/>
              <w:sz w:val="32"/>
              <w:szCs w:val="32"/>
              <w:lang w:val="en-US" w:eastAsia="zh-CN"/>
            </w:rPr>
            <w:t>0</w:t>
          </w:r>
        </w:p>
        <w:p>
          <w:pPr>
            <w:pStyle w:val="38"/>
            <w:tabs>
              <w:tab w:val="right" w:leader="dot" w:pos="8306"/>
            </w:tabs>
            <w:rPr>
              <w:rFonts w:hint="eastAsia" w:ascii="黑体" w:hAnsi="黑体" w:eastAsia="黑体" w:cs="黑体"/>
              <w:b/>
              <w:sz w:val="32"/>
              <w:szCs w:val="32"/>
            </w:rPr>
          </w:pPr>
        </w:p>
        <w:p>
          <w:pPr>
            <w:pStyle w:val="38"/>
            <w:tabs>
              <w:tab w:val="right" w:leader="dot" w:pos="8306"/>
            </w:tabs>
            <w:rPr>
              <w:b/>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_Toc25223 </w:instrText>
          </w:r>
          <w:r>
            <w:rPr>
              <w:rFonts w:hint="eastAsia" w:ascii="黑体" w:hAnsi="黑体" w:eastAsia="黑体" w:cs="黑体"/>
              <w:b/>
              <w:sz w:val="32"/>
              <w:szCs w:val="32"/>
            </w:rPr>
            <w:fldChar w:fldCharType="separate"/>
          </w:r>
          <w:r>
            <w:rPr>
              <w:rFonts w:hint="eastAsia" w:ascii="黑体" w:hAnsi="黑体" w:eastAsia="黑体" w:cs="黑体"/>
              <w:b/>
              <w:sz w:val="32"/>
              <w:szCs w:val="32"/>
            </w:rPr>
            <w:t>第</w:t>
          </w:r>
          <w:r>
            <w:rPr>
              <w:rFonts w:hint="eastAsia" w:ascii="黑体" w:hAnsi="黑体" w:eastAsia="黑体" w:cs="黑体"/>
              <w:b/>
              <w:sz w:val="32"/>
              <w:szCs w:val="32"/>
              <w:lang w:eastAsia="zh-CN"/>
            </w:rPr>
            <w:t>五</w:t>
          </w:r>
          <w:r>
            <w:rPr>
              <w:rFonts w:hint="eastAsia" w:ascii="黑体" w:hAnsi="黑体" w:eastAsia="黑体" w:cs="黑体"/>
              <w:b/>
              <w:sz w:val="32"/>
              <w:szCs w:val="32"/>
            </w:rPr>
            <w:t xml:space="preserve">部分 </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附表</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_Toc25223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29</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9"/>
            <w:tabs>
              <w:tab w:val="right" w:leader="dot" w:pos="830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lang w:val="en-US" w:eastAsia="zh-CN"/>
            </w:rPr>
            <w:t>2024年度单位预算项目支出绩效自评表......29</w:t>
          </w:r>
        </w:p>
        <w:p>
          <w:pPr>
            <w:pStyle w:val="3"/>
            <w:bidi w:val="0"/>
            <w:jc w:val="center"/>
            <w:outlineLvl w:val="9"/>
            <w:rPr>
              <w:rFonts w:hint="eastAsia"/>
            </w:rPr>
          </w:pPr>
          <w:r>
            <w:rPr>
              <w:rFonts w:hint="eastAsia"/>
              <w:b/>
            </w:rPr>
            <w:fldChar w:fldCharType="end"/>
          </w:r>
        </w:p>
      </w:sdtContent>
    </w:sdt>
    <w:p>
      <w:pPr>
        <w:rPr>
          <w:rFonts w:hint="eastAsia"/>
        </w:rPr>
        <w:sectPr>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p>
    <w:p>
      <w:pPr>
        <w:pStyle w:val="3"/>
        <w:bidi w:val="0"/>
        <w:jc w:val="center"/>
        <w:rPr>
          <w:rFonts w:hint="eastAsia"/>
        </w:rPr>
      </w:pPr>
      <w:bookmarkStart w:id="14" w:name="_Toc23669"/>
      <w:r>
        <w:rPr>
          <w:rFonts w:hint="eastAsia"/>
        </w:rPr>
        <w:t>第一部分</w:t>
      </w:r>
      <w:r>
        <w:rPr>
          <w:rFonts w:hint="eastAsia"/>
          <w:lang w:val="en-US" w:eastAsia="zh-CN"/>
        </w:rPr>
        <w:t xml:space="preserve"> </w:t>
      </w:r>
      <w:r>
        <w:rPr>
          <w:rFonts w:hint="eastAsia"/>
        </w:rPr>
        <w:t xml:space="preserve"> </w:t>
      </w:r>
      <w:r>
        <w:rPr>
          <w:rFonts w:hint="eastAsia"/>
          <w:lang w:eastAsia="zh-CN"/>
        </w:rPr>
        <w:t>单位</w:t>
      </w:r>
      <w:r>
        <w:rPr>
          <w:rFonts w:hint="eastAsia"/>
        </w:rPr>
        <w:t>概况</w:t>
      </w:r>
      <w:bookmarkEnd w:id="12"/>
      <w:bookmarkEnd w:id="13"/>
      <w:bookmarkEnd w:id="14"/>
    </w:p>
    <w:p>
      <w:pPr>
        <w:widowControl/>
        <w:jc w:val="left"/>
        <w:rPr>
          <w:rFonts w:ascii="Times New Roman" w:hAnsi="Times New Roman" w:eastAsia="黑体"/>
          <w:color w:val="auto"/>
          <w:sz w:val="32"/>
          <w:szCs w:val="32"/>
          <w:highlight w:val="none"/>
        </w:rPr>
      </w:pPr>
    </w:p>
    <w:p>
      <w:pPr>
        <w:pStyle w:val="4"/>
        <w:numPr>
          <w:ilvl w:val="0"/>
          <w:numId w:val="1"/>
        </w:numPr>
        <w:bidi w:val="0"/>
        <w:rPr>
          <w:rFonts w:hint="eastAsia" w:ascii="黑体" w:hAnsi="黑体" w:eastAsia="黑体" w:cs="黑体"/>
          <w:lang w:eastAsia="zh-CN"/>
        </w:rPr>
      </w:pPr>
      <w:bookmarkStart w:id="15" w:name="_Toc20821"/>
      <w:r>
        <w:rPr>
          <w:rFonts w:hint="eastAsia" w:ascii="黑体" w:hAnsi="黑体" w:cs="黑体"/>
          <w:lang w:eastAsia="zh-CN"/>
        </w:rPr>
        <w:t>单位</w:t>
      </w:r>
      <w:r>
        <w:rPr>
          <w:rFonts w:hint="eastAsia" w:ascii="黑体" w:hAnsi="黑体" w:eastAsia="黑体" w:cs="黑体"/>
          <w:lang w:eastAsia="zh-CN"/>
        </w:rPr>
        <w:t>职责</w:t>
      </w:r>
      <w:bookmarkEnd w:id="15"/>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16" w:name="_Toc24572"/>
      <w:bookmarkStart w:id="17" w:name="_Toc15378445"/>
      <w:bookmarkStart w:id="18" w:name="_Toc15377198"/>
      <w:r>
        <w:rPr>
          <w:rFonts w:hint="eastAsia" w:eastAsia="方正仿宋_GBK" w:cs="Times New Roman"/>
          <w:sz w:val="33"/>
          <w:szCs w:val="33"/>
          <w:lang w:val="en-US" w:eastAsia="zh-CN"/>
        </w:rPr>
        <w:t>（一）主要职能</w:t>
      </w:r>
      <w:bookmarkEnd w:id="16"/>
    </w:p>
    <w:bookmarkEnd w:id="17"/>
    <w:bookmarkEnd w:id="18"/>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19" w:name="_Toc13818"/>
      <w:r>
        <w:rPr>
          <w:rFonts w:hint="eastAsia" w:eastAsia="方正仿宋_GBK" w:cs="Times New Roman"/>
          <w:sz w:val="33"/>
          <w:szCs w:val="33"/>
          <w:lang w:val="en-US" w:eastAsia="zh-CN"/>
        </w:rPr>
        <w:t>攀枝花市东区人民法院主管东区范围内的刑事案件、民事案件、行政案件。通过审判活动，惩办一切犯罪分子，解决民事纠纷，维护社会主义法制和社会秩序，保护社会主义的全民所有的财产、劳动群众集体所有的财产，保护公民私人所有的合法财产，保护公民的人身权利、民主权利和其他权利，保障国家的社会主义革命和社会主义建设事业的顺利进行。</w:t>
      </w:r>
      <w:bookmarkEnd w:id="19"/>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bookmarkStart w:id="20" w:name="_Toc31746"/>
      <w:r>
        <w:rPr>
          <w:rFonts w:hint="eastAsia" w:eastAsia="方正仿宋_GBK" w:cs="Times New Roman"/>
          <w:sz w:val="33"/>
          <w:szCs w:val="33"/>
          <w:lang w:val="en-US" w:eastAsia="zh-CN"/>
        </w:rPr>
        <w:t>（二）2024年重点工作完成情况</w:t>
      </w:r>
      <w:bookmarkEnd w:id="20"/>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eastAsia="方正仿宋_GBK" w:cs="Times New Roman"/>
          <w:sz w:val="33"/>
          <w:szCs w:val="33"/>
          <w:lang w:val="en-US" w:eastAsia="zh-CN"/>
        </w:rPr>
      </w:pPr>
      <w:r>
        <w:rPr>
          <w:rFonts w:hint="eastAsia" w:eastAsia="方正仿宋_GBK" w:cs="Times New Roman"/>
          <w:sz w:val="33"/>
          <w:szCs w:val="33"/>
          <w:lang w:val="en-US" w:eastAsia="zh-CN"/>
        </w:rPr>
        <w:t>2024年，在区委坚强领导、区人大及其常委会有力监督、区政府大力支持、区政协民主监督和社会各界关心帮助下，区法院坚持以习近平新时代中国特色社会主义思想为指导，深入践行习近平法治思想，全面贯彻党的二十大和二十届三中全会精神和省委十二届五次、六次全会精神，认真落实市委、区委决策部署，忠实履行宪法和法律赋予的职责，做实做优为大局服务、为人民司法，审判执行工作取得新进展、呈现新面貌。全年共受理各类案件9309件，审、执结各类案件8641件，18项审判管理指标达标率100%，一线法官人均办案338件，共获省、市、区各类表彰表扬52项。</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一、担当作为顾大局，坚持在护航共富发展中彰显作为</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一是除险保安</w:t>
      </w:r>
      <w:r>
        <w:rPr>
          <w:rFonts w:hint="eastAsia" w:eastAsia="方正仿宋_GBK"/>
          <w:b/>
          <w:sz w:val="33"/>
          <w:szCs w:val="33"/>
        </w:rPr>
        <w:t>绘就平安底色</w:t>
      </w:r>
      <w:r>
        <w:rPr>
          <w:rFonts w:eastAsia="方正仿宋_GBK"/>
          <w:b/>
          <w:sz w:val="33"/>
          <w:szCs w:val="33"/>
        </w:rPr>
        <w:t>。</w:t>
      </w:r>
      <w:r>
        <w:rPr>
          <w:rFonts w:eastAsia="方正仿宋_GBK"/>
          <w:bCs/>
          <w:sz w:val="33"/>
          <w:szCs w:val="33"/>
        </w:rPr>
        <w:t>助力重点项目风险化解，</w:t>
      </w:r>
      <w:r>
        <w:rPr>
          <w:rFonts w:eastAsia="方正仿宋_GBK"/>
          <w:sz w:val="33"/>
          <w:szCs w:val="33"/>
        </w:rPr>
        <w:t>参加“</w:t>
      </w:r>
      <w:r>
        <w:rPr>
          <w:rFonts w:eastAsia="方正仿宋_GBK"/>
          <w:bCs/>
          <w:sz w:val="33"/>
          <w:szCs w:val="33"/>
        </w:rPr>
        <w:t>花舞人间</w:t>
      </w:r>
      <w:r>
        <w:rPr>
          <w:rFonts w:eastAsia="方正仿宋_GBK"/>
          <w:sz w:val="33"/>
          <w:szCs w:val="33"/>
        </w:rPr>
        <w:t>”</w:t>
      </w:r>
      <w:r>
        <w:rPr>
          <w:rFonts w:eastAsia="方正仿宋_GBK"/>
          <w:bCs/>
          <w:sz w:val="33"/>
          <w:szCs w:val="33"/>
        </w:rPr>
        <w:t>“花海憬悦”等项目协调会</w:t>
      </w:r>
      <w:r>
        <w:rPr>
          <w:rFonts w:hint="eastAsia" w:eastAsia="方正仿宋_GBK"/>
          <w:bCs/>
          <w:sz w:val="33"/>
          <w:szCs w:val="33"/>
        </w:rPr>
        <w:t>13</w:t>
      </w:r>
      <w:r>
        <w:rPr>
          <w:rFonts w:eastAsia="方正仿宋_GBK"/>
          <w:bCs/>
          <w:sz w:val="33"/>
          <w:szCs w:val="33"/>
        </w:rPr>
        <w:t>次，针对性提出</w:t>
      </w:r>
      <w:r>
        <w:rPr>
          <w:rFonts w:hint="eastAsia" w:eastAsia="方正仿宋_GBK"/>
          <w:bCs/>
          <w:sz w:val="33"/>
          <w:szCs w:val="33"/>
        </w:rPr>
        <w:t>涉康养、房地产领域</w:t>
      </w:r>
      <w:r>
        <w:rPr>
          <w:rFonts w:eastAsia="方正仿宋_GBK"/>
          <w:bCs/>
          <w:sz w:val="33"/>
          <w:szCs w:val="33"/>
        </w:rPr>
        <w:t>法律建议</w:t>
      </w:r>
      <w:r>
        <w:rPr>
          <w:rFonts w:hint="eastAsia" w:eastAsia="方正仿宋_GBK"/>
          <w:bCs/>
          <w:sz w:val="33"/>
          <w:szCs w:val="33"/>
        </w:rPr>
        <w:t>1</w:t>
      </w:r>
      <w:r>
        <w:rPr>
          <w:rFonts w:hint="eastAsia" w:eastAsia="方正仿宋_GBK"/>
          <w:bCs/>
          <w:sz w:val="33"/>
          <w:szCs w:val="33"/>
          <w:lang w:val="en-US" w:eastAsia="zh-CN"/>
        </w:rPr>
        <w:t>4</w:t>
      </w:r>
      <w:r>
        <w:rPr>
          <w:rFonts w:eastAsia="方正仿宋_GBK"/>
          <w:bCs/>
          <w:sz w:val="33"/>
          <w:szCs w:val="33"/>
        </w:rPr>
        <w:t>条。</w:t>
      </w:r>
      <w:r>
        <w:rPr>
          <w:rFonts w:eastAsia="方正仿宋_GBK"/>
          <w:sz w:val="33"/>
          <w:szCs w:val="33"/>
        </w:rPr>
        <w:t>防范化解金融风险，审结借款、信用卡、票据等纠纷案件</w:t>
      </w:r>
      <w:r>
        <w:rPr>
          <w:rFonts w:hint="eastAsia" w:eastAsia="方正仿宋_GBK"/>
          <w:sz w:val="33"/>
          <w:szCs w:val="33"/>
        </w:rPr>
        <w:t>751</w:t>
      </w:r>
      <w:r>
        <w:rPr>
          <w:rFonts w:eastAsia="方正仿宋_GBK"/>
          <w:sz w:val="33"/>
          <w:szCs w:val="33"/>
        </w:rPr>
        <w:t>件，为金融机构清收不良贷款</w:t>
      </w:r>
      <w:r>
        <w:rPr>
          <w:rFonts w:hint="eastAsia" w:eastAsia="方正仿宋_GBK"/>
          <w:sz w:val="33"/>
          <w:szCs w:val="33"/>
        </w:rPr>
        <w:t>2.3亿</w:t>
      </w:r>
      <w:r>
        <w:rPr>
          <w:rFonts w:eastAsia="方正仿宋_GBK"/>
          <w:sz w:val="33"/>
          <w:szCs w:val="33"/>
        </w:rPr>
        <w:t>元。</w:t>
      </w:r>
      <w:r>
        <w:rPr>
          <w:rFonts w:eastAsia="方正仿宋_GBK"/>
          <w:bCs/>
          <w:sz w:val="33"/>
          <w:szCs w:val="33"/>
        </w:rPr>
        <w:t>防范民生领域风险，</w:t>
      </w:r>
      <w:r>
        <w:rPr>
          <w:rFonts w:hint="eastAsia" w:eastAsia="方正仿宋_GBK"/>
          <w:sz w:val="33"/>
          <w:szCs w:val="33"/>
        </w:rPr>
        <w:t>妥善化解群体性</w:t>
      </w:r>
      <w:r>
        <w:rPr>
          <w:rFonts w:eastAsia="方正仿宋_GBK"/>
          <w:sz w:val="33"/>
          <w:szCs w:val="33"/>
        </w:rPr>
        <w:t>买卖合同、租赁合同纠纷</w:t>
      </w:r>
      <w:r>
        <w:rPr>
          <w:rFonts w:hint="eastAsia" w:eastAsia="方正仿宋_GBK"/>
          <w:sz w:val="33"/>
          <w:szCs w:val="33"/>
        </w:rPr>
        <w:t>69</w:t>
      </w:r>
      <w:r>
        <w:rPr>
          <w:rFonts w:eastAsia="方正仿宋_GBK"/>
          <w:sz w:val="33"/>
          <w:szCs w:val="33"/>
        </w:rPr>
        <w:t>件。筑牢信访维稳底线，</w:t>
      </w:r>
      <w:r>
        <w:rPr>
          <w:rFonts w:hint="eastAsia" w:eastAsia="方正仿宋_GBK"/>
          <w:sz w:val="33"/>
          <w:szCs w:val="33"/>
        </w:rPr>
        <w:t>推进涉诉信访法治化，严格落实院庭长带头接访制度，院庭长</w:t>
      </w:r>
      <w:r>
        <w:rPr>
          <w:rFonts w:hint="eastAsia" w:eastAsia="方正仿宋_GBK"/>
          <w:sz w:val="33"/>
          <w:szCs w:val="33"/>
          <w:lang w:eastAsia="zh-CN"/>
        </w:rPr>
        <w:t>全年共</w:t>
      </w:r>
      <w:r>
        <w:rPr>
          <w:rFonts w:hint="eastAsia" w:eastAsia="方正仿宋_GBK"/>
          <w:sz w:val="33"/>
          <w:szCs w:val="33"/>
        </w:rPr>
        <w:t>接访</w:t>
      </w:r>
      <w:r>
        <w:rPr>
          <w:rFonts w:hint="eastAsia" w:eastAsia="方正仿宋_GBK"/>
          <w:color w:val="auto"/>
          <w:sz w:val="33"/>
          <w:szCs w:val="33"/>
        </w:rPr>
        <w:t>30</w:t>
      </w:r>
      <w:r>
        <w:rPr>
          <w:rFonts w:hint="eastAsia" w:eastAsia="方正仿宋_GBK"/>
          <w:sz w:val="33"/>
          <w:szCs w:val="33"/>
        </w:rPr>
        <w:t>人次，</w:t>
      </w:r>
      <w:r>
        <w:rPr>
          <w:rFonts w:eastAsia="方正仿宋_GBK"/>
          <w:sz w:val="33"/>
          <w:szCs w:val="33"/>
        </w:rPr>
        <w:t>实质处理群众合理合法诉求</w:t>
      </w:r>
      <w:r>
        <w:rPr>
          <w:rFonts w:hint="eastAsia" w:eastAsia="方正仿宋_GBK"/>
          <w:sz w:val="33"/>
          <w:szCs w:val="33"/>
        </w:rPr>
        <w:t>27</w:t>
      </w:r>
      <w:r>
        <w:rPr>
          <w:rFonts w:eastAsia="方正仿宋_GBK"/>
          <w:sz w:val="33"/>
          <w:szCs w:val="33"/>
        </w:rPr>
        <w:t>件</w:t>
      </w:r>
      <w:r>
        <w:rPr>
          <w:rFonts w:hint="eastAsia" w:eastAsia="方正仿宋_GBK"/>
          <w:sz w:val="33"/>
          <w:szCs w:val="33"/>
        </w:rPr>
        <w:t>。</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二是稳企赋能优化营商环境。</w:t>
      </w:r>
      <w:r>
        <w:rPr>
          <w:rFonts w:eastAsia="方正仿宋_GBK"/>
          <w:sz w:val="33"/>
          <w:szCs w:val="33"/>
        </w:rPr>
        <w:t>依法平等保护</w:t>
      </w:r>
      <w:r>
        <w:rPr>
          <w:rFonts w:hint="eastAsia" w:eastAsia="方正仿宋_GBK"/>
          <w:sz w:val="33"/>
          <w:szCs w:val="33"/>
        </w:rPr>
        <w:t>各类市场主体</w:t>
      </w:r>
      <w:r>
        <w:rPr>
          <w:rFonts w:eastAsia="方正仿宋_GBK"/>
          <w:sz w:val="33"/>
          <w:szCs w:val="33"/>
        </w:rPr>
        <w:t>合法权益，</w:t>
      </w:r>
      <w:r>
        <w:rPr>
          <w:rFonts w:hint="eastAsia" w:eastAsia="方正仿宋_GBK"/>
          <w:sz w:val="33"/>
          <w:szCs w:val="33"/>
        </w:rPr>
        <w:t>审执涉企案件5095件</w:t>
      </w:r>
      <w:r>
        <w:rPr>
          <w:rFonts w:eastAsia="方正仿宋_GBK"/>
          <w:sz w:val="33"/>
          <w:szCs w:val="33"/>
        </w:rPr>
        <w:t>，涉案标的</w:t>
      </w:r>
      <w:r>
        <w:rPr>
          <w:rFonts w:hint="eastAsia" w:eastAsia="方正仿宋_GBK"/>
          <w:sz w:val="33"/>
          <w:szCs w:val="33"/>
        </w:rPr>
        <w:t>38.09亿</w:t>
      </w:r>
      <w:r>
        <w:rPr>
          <w:rFonts w:eastAsia="方正仿宋_GBK"/>
          <w:sz w:val="33"/>
          <w:szCs w:val="33"/>
        </w:rPr>
        <w:t>元。</w:t>
      </w:r>
      <w:r>
        <w:rPr>
          <w:rFonts w:hint="eastAsia" w:eastAsia="方正仿宋_GBK"/>
          <w:sz w:val="33"/>
          <w:szCs w:val="33"/>
        </w:rPr>
        <w:t>加强破产审判专业化建设，</w:t>
      </w:r>
      <w:r>
        <w:rPr>
          <w:rFonts w:eastAsia="方正仿宋_GBK"/>
          <w:sz w:val="33"/>
          <w:szCs w:val="33"/>
        </w:rPr>
        <w:t>妥善审结</w:t>
      </w:r>
      <w:r>
        <w:rPr>
          <w:rFonts w:hint="eastAsia" w:eastAsia="方正仿宋_GBK"/>
          <w:sz w:val="33"/>
          <w:szCs w:val="33"/>
        </w:rPr>
        <w:t>朝阳房地产</w:t>
      </w:r>
      <w:r>
        <w:rPr>
          <w:rFonts w:eastAsia="方正仿宋_GBK"/>
          <w:sz w:val="33"/>
          <w:szCs w:val="33"/>
        </w:rPr>
        <w:t>、</w:t>
      </w:r>
      <w:r>
        <w:rPr>
          <w:rFonts w:hint="eastAsia" w:eastAsia="方正仿宋_GBK"/>
          <w:sz w:val="33"/>
          <w:szCs w:val="33"/>
        </w:rPr>
        <w:t>幸福阳光</w:t>
      </w:r>
      <w:r>
        <w:rPr>
          <w:rFonts w:eastAsia="方正仿宋_GBK"/>
          <w:sz w:val="33"/>
          <w:szCs w:val="33"/>
        </w:rPr>
        <w:t>破产案件2件，</w:t>
      </w:r>
      <w:r>
        <w:rPr>
          <w:rFonts w:hint="eastAsia" w:eastAsia="方正仿宋_GBK"/>
          <w:sz w:val="33"/>
          <w:szCs w:val="33"/>
        </w:rPr>
        <w:t>化解不良债务1.1亿元，创新管理人选任方式，</w:t>
      </w:r>
      <w:r>
        <w:rPr>
          <w:rFonts w:eastAsia="方正仿宋_GBK"/>
          <w:sz w:val="33"/>
          <w:szCs w:val="33"/>
        </w:rPr>
        <w:t>加快推</w:t>
      </w:r>
      <w:r>
        <w:rPr>
          <w:rFonts w:hint="eastAsia" w:eastAsia="方正仿宋_GBK"/>
          <w:sz w:val="33"/>
          <w:szCs w:val="33"/>
        </w:rPr>
        <w:t>进</w:t>
      </w:r>
      <w:r>
        <w:rPr>
          <w:rFonts w:eastAsia="方正仿宋_GBK"/>
          <w:sz w:val="33"/>
          <w:szCs w:val="33"/>
        </w:rPr>
        <w:t>“御湖花都”项目整体破产重整，助力企业涅槃重生。变“坐堂问案”为“上门服务”，走访高梁坪高新技术产业园区、攀钢集团有限公司9次，帮助企业解决经营、用工、财务等法律问题</w:t>
      </w:r>
      <w:r>
        <w:rPr>
          <w:rFonts w:hint="eastAsia" w:eastAsia="方正仿宋_GBK"/>
          <w:sz w:val="33"/>
          <w:szCs w:val="33"/>
        </w:rPr>
        <w:t>12个</w:t>
      </w:r>
      <w:r>
        <w:rPr>
          <w:rFonts w:eastAsia="方正仿宋_GBK"/>
          <w:sz w:val="33"/>
          <w:szCs w:val="33"/>
        </w:rPr>
        <w:t>，帮助审查完善合同</w:t>
      </w:r>
      <w:r>
        <w:rPr>
          <w:rFonts w:hint="eastAsia" w:eastAsia="方正仿宋_GBK"/>
          <w:sz w:val="33"/>
          <w:szCs w:val="33"/>
        </w:rPr>
        <w:t>35</w:t>
      </w:r>
      <w:r>
        <w:rPr>
          <w:rFonts w:eastAsia="方正仿宋_GBK"/>
          <w:sz w:val="33"/>
          <w:szCs w:val="33"/>
        </w:rPr>
        <w:t>份。坚持善意文明执行，慎用执行强制措施，</w:t>
      </w:r>
      <w:r>
        <w:rPr>
          <w:rFonts w:hint="eastAsia" w:eastAsia="方正仿宋_GBK"/>
          <w:sz w:val="33"/>
          <w:szCs w:val="33"/>
        </w:rPr>
        <w:t>对15家企业解除失信不良限制，</w:t>
      </w:r>
      <w:r>
        <w:rPr>
          <w:rFonts w:eastAsia="方正仿宋_GBK"/>
          <w:sz w:val="33"/>
          <w:szCs w:val="33"/>
        </w:rPr>
        <w:t>某钒钛公司民间借贷执行案获评“四川法院优化法治化营商环境十大典型案例”。</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bCs/>
          <w:sz w:val="33"/>
          <w:szCs w:val="33"/>
        </w:rPr>
      </w:pPr>
      <w:r>
        <w:rPr>
          <w:rFonts w:eastAsia="方正仿宋_GBK"/>
          <w:b/>
          <w:sz w:val="33"/>
          <w:szCs w:val="33"/>
        </w:rPr>
        <w:t>三是法</w:t>
      </w:r>
      <w:r>
        <w:rPr>
          <w:rFonts w:hint="eastAsia" w:eastAsia="方正仿宋_GBK"/>
          <w:b/>
          <w:sz w:val="33"/>
          <w:szCs w:val="33"/>
          <w:lang w:eastAsia="zh-CN"/>
        </w:rPr>
        <w:t>助</w:t>
      </w:r>
      <w:r>
        <w:rPr>
          <w:rFonts w:eastAsia="方正仿宋_GBK"/>
          <w:b/>
          <w:sz w:val="33"/>
          <w:szCs w:val="33"/>
        </w:rPr>
        <w:t>共富</w:t>
      </w:r>
      <w:r>
        <w:rPr>
          <w:rFonts w:hint="eastAsia" w:eastAsia="方正仿宋_GBK"/>
          <w:b/>
          <w:color w:val="auto"/>
          <w:sz w:val="33"/>
          <w:szCs w:val="33"/>
          <w:lang w:eastAsia="zh-CN"/>
        </w:rPr>
        <w:t>激活</w:t>
      </w:r>
      <w:r>
        <w:rPr>
          <w:rFonts w:hint="eastAsia" w:eastAsia="方正仿宋_GBK"/>
          <w:b/>
          <w:sz w:val="33"/>
          <w:szCs w:val="33"/>
        </w:rPr>
        <w:t>创新</w:t>
      </w:r>
      <w:r>
        <w:rPr>
          <w:rFonts w:hint="eastAsia" w:eastAsia="方正仿宋_GBK"/>
          <w:b/>
          <w:sz w:val="33"/>
          <w:szCs w:val="33"/>
          <w:lang w:eastAsia="zh-CN"/>
        </w:rPr>
        <w:t>动力</w:t>
      </w:r>
      <w:r>
        <w:rPr>
          <w:rFonts w:eastAsia="方正仿宋_GBK"/>
          <w:b/>
          <w:sz w:val="33"/>
          <w:szCs w:val="33"/>
        </w:rPr>
        <w:t>。</w:t>
      </w:r>
      <w:r>
        <w:rPr>
          <w:rFonts w:hint="eastAsia" w:eastAsia="方正仿宋_GBK"/>
          <w:sz w:val="33"/>
          <w:szCs w:val="33"/>
        </w:rPr>
        <w:t>找准服务保障新质生产力的结合点、着力点，以法治护航共富试验区建设。深入推进知识产权“三合一”审判机制，完善知识产权审判团队搭建，审结知识产权案件</w:t>
      </w:r>
      <w:r>
        <w:rPr>
          <w:rFonts w:hint="eastAsia" w:eastAsia="方正仿宋_GBK"/>
          <w:sz w:val="33"/>
          <w:szCs w:val="33"/>
          <w:lang w:val="en-US" w:eastAsia="zh-CN"/>
        </w:rPr>
        <w:t>79</w:t>
      </w:r>
      <w:r>
        <w:rPr>
          <w:rFonts w:hint="eastAsia" w:eastAsia="方正仿宋_GBK"/>
          <w:sz w:val="33"/>
          <w:szCs w:val="33"/>
        </w:rPr>
        <w:t>件。</w:t>
      </w:r>
      <w:r>
        <w:rPr>
          <w:rFonts w:hint="eastAsia" w:eastAsia="方正仿宋_GBK"/>
          <w:sz w:val="33"/>
          <w:szCs w:val="33"/>
          <w:highlight w:val="none"/>
        </w:rPr>
        <w:t>深化知识产权司法保护，围绕“攀果”特色产业精准发力，</w:t>
      </w:r>
      <w:r>
        <w:rPr>
          <w:rFonts w:hint="eastAsia" w:ascii="方正仿宋_GBK" w:eastAsia="方正仿宋_GBK"/>
          <w:bCs/>
          <w:sz w:val="33"/>
          <w:szCs w:val="33"/>
          <w:highlight w:val="none"/>
        </w:rPr>
        <w:t>圆满化解涉侵害“</w:t>
      </w:r>
      <w:r>
        <w:rPr>
          <w:rFonts w:eastAsia="方正仿宋_GBK"/>
          <w:bCs/>
          <w:sz w:val="33"/>
          <w:szCs w:val="33"/>
          <w:highlight w:val="none"/>
        </w:rPr>
        <w:t>26度果园</w:t>
      </w:r>
      <w:r>
        <w:rPr>
          <w:rFonts w:hint="eastAsia" w:ascii="方正仿宋_GBK" w:eastAsia="方正仿宋_GBK"/>
          <w:bCs/>
          <w:sz w:val="33"/>
          <w:szCs w:val="33"/>
          <w:highlight w:val="none"/>
        </w:rPr>
        <w:t>”商</w:t>
      </w:r>
      <w:r>
        <w:rPr>
          <w:rFonts w:eastAsia="方正仿宋_GBK"/>
          <w:bCs/>
          <w:sz w:val="33"/>
          <w:szCs w:val="33"/>
          <w:highlight w:val="none"/>
        </w:rPr>
        <w:t>标权纠纷</w:t>
      </w:r>
      <w:r>
        <w:rPr>
          <w:rFonts w:hint="eastAsia" w:eastAsia="方正仿宋_GBK"/>
          <w:bCs/>
          <w:sz w:val="33"/>
          <w:szCs w:val="33"/>
          <w:highlight w:val="none"/>
          <w:lang w:eastAsia="zh-CN"/>
        </w:rPr>
        <w:t>，</w:t>
      </w:r>
      <w:r>
        <w:rPr>
          <w:rFonts w:eastAsia="方正仿宋_GBK"/>
          <w:color w:val="000000"/>
          <w:sz w:val="33"/>
          <w:szCs w:val="33"/>
          <w:highlight w:val="none"/>
        </w:rPr>
        <w:t>依法支持市场监管</w:t>
      </w:r>
      <w:r>
        <w:rPr>
          <w:rFonts w:hint="eastAsia" w:eastAsia="方正仿宋_GBK"/>
          <w:color w:val="000000"/>
          <w:sz w:val="33"/>
          <w:szCs w:val="33"/>
          <w:highlight w:val="none"/>
          <w:lang w:eastAsia="zh-CN"/>
        </w:rPr>
        <w:t>单位</w:t>
      </w:r>
      <w:r>
        <w:rPr>
          <w:rFonts w:eastAsia="方正仿宋_GBK"/>
          <w:color w:val="000000"/>
          <w:sz w:val="33"/>
          <w:szCs w:val="33"/>
          <w:highlight w:val="none"/>
        </w:rPr>
        <w:t>打击恶意抢</w:t>
      </w:r>
      <w:r>
        <w:rPr>
          <w:rFonts w:hint="eastAsia" w:ascii="方正仿宋_GBK" w:eastAsia="方正仿宋_GBK"/>
          <w:color w:val="000000"/>
          <w:sz w:val="33"/>
          <w:szCs w:val="33"/>
          <w:highlight w:val="none"/>
        </w:rPr>
        <w:t>注“凯特芒”“金煌”商标行为，</w:t>
      </w:r>
      <w:r>
        <w:rPr>
          <w:rFonts w:hint="eastAsia" w:eastAsia="方正仿宋_GBK"/>
          <w:sz w:val="33"/>
          <w:szCs w:val="33"/>
          <w:highlight w:val="none"/>
        </w:rPr>
        <w:t>该</w:t>
      </w:r>
      <w:r>
        <w:rPr>
          <w:rFonts w:eastAsia="方正仿宋_GBK"/>
          <w:sz w:val="33"/>
          <w:szCs w:val="33"/>
          <w:highlight w:val="none"/>
        </w:rPr>
        <w:t>案入选四川法院“行政审判培优增效”活动案例。</w:t>
      </w:r>
      <w:r>
        <w:rPr>
          <w:rFonts w:hint="eastAsia" w:eastAsia="方正仿宋_GBK"/>
          <w:bCs/>
          <w:sz w:val="33"/>
          <w:szCs w:val="33"/>
        </w:rPr>
        <w:t>共建音乐版权保护“防火墙”</w:t>
      </w:r>
      <w:r>
        <w:rPr>
          <w:rFonts w:eastAsia="方正仿宋_GBK"/>
          <w:bCs/>
          <w:sz w:val="33"/>
          <w:szCs w:val="33"/>
        </w:rPr>
        <w:t>，</w:t>
      </w:r>
      <w:r>
        <w:rPr>
          <w:rFonts w:hint="eastAsia" w:ascii="方正仿宋_GBK" w:hAnsi="黑体" w:eastAsia="方正仿宋_GBK"/>
          <w:bCs/>
          <w:sz w:val="33"/>
          <w:szCs w:val="33"/>
        </w:rPr>
        <w:t>与</w:t>
      </w:r>
      <w:r>
        <w:rPr>
          <w:rFonts w:eastAsia="方正仿宋_GBK"/>
          <w:color w:val="000000"/>
          <w:sz w:val="33"/>
          <w:szCs w:val="33"/>
        </w:rPr>
        <w:t>知识产权服务中心</w:t>
      </w:r>
      <w:r>
        <w:rPr>
          <w:rFonts w:hint="eastAsia" w:eastAsia="方正仿宋_GBK"/>
          <w:color w:val="000000"/>
          <w:sz w:val="33"/>
          <w:szCs w:val="33"/>
        </w:rPr>
        <w:t>、中国音像管理协会及</w:t>
      </w:r>
      <w:r>
        <w:rPr>
          <w:rFonts w:hint="eastAsia" w:eastAsia="方正仿宋_GBK"/>
          <w:bCs/>
          <w:sz w:val="33"/>
          <w:szCs w:val="33"/>
          <w:lang w:val="en-US" w:eastAsia="zh-CN"/>
        </w:rPr>
        <w:t>20余</w:t>
      </w:r>
      <w:r>
        <w:rPr>
          <w:rFonts w:hint="eastAsia" w:ascii="方正仿宋_GBK" w:hAnsi="黑体" w:eastAsia="方正仿宋_GBK"/>
          <w:bCs/>
          <w:sz w:val="33"/>
          <w:szCs w:val="33"/>
        </w:rPr>
        <w:t>家</w:t>
      </w:r>
      <w:r>
        <w:rPr>
          <w:rFonts w:eastAsia="方正仿宋_GBK"/>
          <w:bCs/>
          <w:sz w:val="33"/>
          <w:szCs w:val="33"/>
        </w:rPr>
        <w:t>KTV</w:t>
      </w:r>
      <w:r>
        <w:rPr>
          <w:rFonts w:hint="eastAsia" w:ascii="方正仿宋_GBK" w:hAnsi="黑体" w:eastAsia="方正仿宋_GBK"/>
          <w:bCs/>
          <w:sz w:val="33"/>
          <w:szCs w:val="33"/>
        </w:rPr>
        <w:t>企业代表</w:t>
      </w:r>
      <w:r>
        <w:rPr>
          <w:rFonts w:hint="eastAsia" w:eastAsia="方正仿宋_GBK"/>
          <w:bCs/>
          <w:sz w:val="33"/>
          <w:szCs w:val="33"/>
        </w:rPr>
        <w:t>召开协调会</w:t>
      </w:r>
      <w:r>
        <w:rPr>
          <w:rFonts w:hint="eastAsia" w:eastAsia="方正仿宋_GBK"/>
          <w:bCs/>
          <w:sz w:val="33"/>
          <w:szCs w:val="33"/>
          <w:lang w:val="en-US" w:eastAsia="zh-CN"/>
        </w:rPr>
        <w:t>3</w:t>
      </w:r>
      <w:r>
        <w:rPr>
          <w:rFonts w:hint="eastAsia" w:eastAsia="方正仿宋_GBK"/>
          <w:bCs/>
          <w:sz w:val="33"/>
          <w:szCs w:val="33"/>
        </w:rPr>
        <w:t>次，诉前调解</w:t>
      </w:r>
      <w:r>
        <w:rPr>
          <w:rFonts w:eastAsia="方正仿宋_GBK"/>
          <w:bCs/>
          <w:sz w:val="33"/>
          <w:szCs w:val="33"/>
        </w:rPr>
        <w:t>音像侵权</w:t>
      </w:r>
      <w:r>
        <w:rPr>
          <w:rFonts w:hint="eastAsia" w:eastAsia="方正仿宋_GBK"/>
          <w:bCs/>
          <w:sz w:val="33"/>
          <w:szCs w:val="33"/>
        </w:rPr>
        <w:t>纠纷案件26件</w:t>
      </w:r>
      <w:r>
        <w:rPr>
          <w:rFonts w:eastAsia="方正仿宋_GBK"/>
          <w:bCs/>
          <w:sz w:val="33"/>
          <w:szCs w:val="33"/>
        </w:rPr>
        <w:t>。</w:t>
      </w:r>
      <w:r>
        <w:rPr>
          <w:rFonts w:hAnsi="方正仿宋_GBK" w:eastAsia="方正仿宋_GBK"/>
          <w:sz w:val="33"/>
          <w:szCs w:val="33"/>
        </w:rPr>
        <w:t>维护新业态劳动者权益，</w:t>
      </w:r>
      <w:r>
        <w:rPr>
          <w:rFonts w:eastAsia="方正仿宋_GBK"/>
          <w:sz w:val="33"/>
          <w:szCs w:val="33"/>
        </w:rPr>
        <w:t>“</w:t>
      </w:r>
      <w:r>
        <w:rPr>
          <w:rFonts w:hAnsi="方正仿宋_GBK" w:eastAsia="方正仿宋_GBK"/>
          <w:sz w:val="33"/>
          <w:szCs w:val="33"/>
        </w:rPr>
        <w:t>某耐火材料与某保险公司</w:t>
      </w:r>
      <w:r>
        <w:rPr>
          <w:rFonts w:hint="eastAsia" w:hAnsi="方正仿宋_GBK" w:eastAsia="方正仿宋_GBK"/>
          <w:sz w:val="33"/>
          <w:szCs w:val="33"/>
        </w:rPr>
        <w:t>保险</w:t>
      </w:r>
      <w:r>
        <w:rPr>
          <w:rFonts w:hAnsi="方正仿宋_GBK" w:eastAsia="方正仿宋_GBK"/>
          <w:sz w:val="33"/>
          <w:szCs w:val="33"/>
        </w:rPr>
        <w:t>纠纷案</w:t>
      </w:r>
      <w:r>
        <w:rPr>
          <w:rFonts w:eastAsia="方正仿宋_GBK"/>
          <w:sz w:val="33"/>
          <w:szCs w:val="33"/>
        </w:rPr>
        <w:t>”</w:t>
      </w:r>
      <w:r>
        <w:rPr>
          <w:rFonts w:hAnsi="方正仿宋_GBK" w:eastAsia="方正仿宋_GBK"/>
          <w:sz w:val="33"/>
          <w:szCs w:val="33"/>
        </w:rPr>
        <w:t>获评全市法院司法服务共同富裕试验区建设典型案例。</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二、忠诚履职办好案，坚持在捍卫公平正义中诠释</w:t>
      </w:r>
      <w:r>
        <w:rPr>
          <w:rFonts w:hint="eastAsia" w:eastAsia="方正黑体_GBK"/>
          <w:sz w:val="33"/>
          <w:szCs w:val="33"/>
        </w:rPr>
        <w:t>使命</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一是依法</w:t>
      </w:r>
      <w:r>
        <w:rPr>
          <w:rFonts w:hint="eastAsia" w:eastAsia="方正仿宋_GBK"/>
          <w:b/>
          <w:sz w:val="33"/>
          <w:szCs w:val="33"/>
        </w:rPr>
        <w:t>惩治</w:t>
      </w:r>
      <w:r>
        <w:rPr>
          <w:rFonts w:eastAsia="方正仿宋_GBK"/>
          <w:b/>
          <w:sz w:val="33"/>
          <w:szCs w:val="33"/>
        </w:rPr>
        <w:t>各类犯罪，推进平安东区建设。</w:t>
      </w:r>
      <w:r>
        <w:rPr>
          <w:rFonts w:hint="eastAsia" w:eastAsia="方正仿宋_GBK"/>
          <w:sz w:val="33"/>
          <w:szCs w:val="33"/>
        </w:rPr>
        <w:t>受理</w:t>
      </w:r>
      <w:r>
        <w:rPr>
          <w:rFonts w:eastAsia="方正仿宋_GBK"/>
          <w:sz w:val="33"/>
          <w:szCs w:val="33"/>
        </w:rPr>
        <w:t>刑事案件</w:t>
      </w:r>
      <w:r>
        <w:rPr>
          <w:rFonts w:hint="eastAsia" w:eastAsia="方正仿宋_GBK"/>
          <w:sz w:val="33"/>
          <w:szCs w:val="33"/>
        </w:rPr>
        <w:t>264</w:t>
      </w:r>
      <w:r>
        <w:rPr>
          <w:rFonts w:eastAsia="方正仿宋_GBK"/>
          <w:sz w:val="33"/>
          <w:szCs w:val="33"/>
        </w:rPr>
        <w:t>件，判处罪犯</w:t>
      </w:r>
      <w:r>
        <w:rPr>
          <w:rFonts w:hint="eastAsia" w:eastAsia="方正仿宋_GBK"/>
          <w:sz w:val="33"/>
          <w:szCs w:val="33"/>
        </w:rPr>
        <w:t>332</w:t>
      </w:r>
      <w:r>
        <w:rPr>
          <w:rFonts w:eastAsia="方正仿宋_GBK"/>
          <w:sz w:val="33"/>
          <w:szCs w:val="33"/>
        </w:rPr>
        <w:t>人</w:t>
      </w:r>
      <w:r>
        <w:rPr>
          <w:rFonts w:hint="eastAsia" w:eastAsia="方正仿宋_GBK"/>
          <w:sz w:val="33"/>
          <w:szCs w:val="33"/>
        </w:rPr>
        <w:t>，1名法官获评“全省法院刑事专项审判工作成绩突出个人”</w:t>
      </w:r>
      <w:r>
        <w:rPr>
          <w:rFonts w:eastAsia="方正仿宋_GBK"/>
          <w:sz w:val="33"/>
          <w:szCs w:val="33"/>
        </w:rPr>
        <w:t>。</w:t>
      </w:r>
      <w:r>
        <w:rPr>
          <w:rFonts w:hint="eastAsia" w:eastAsia="方正仿宋_GBK"/>
          <w:sz w:val="33"/>
          <w:szCs w:val="33"/>
        </w:rPr>
        <w:t>推进扫黑除恶常态化走深走实，筑牢公众安全“警戒线”</w:t>
      </w:r>
      <w:r>
        <w:rPr>
          <w:rFonts w:eastAsia="方正仿宋_GBK"/>
          <w:sz w:val="33"/>
          <w:szCs w:val="33"/>
        </w:rPr>
        <w:t>，审结寻衅滋事、故意伤害、</w:t>
      </w:r>
      <w:r>
        <w:rPr>
          <w:rFonts w:hint="eastAsia" w:ascii="方正仿宋_GBK" w:eastAsia="方正仿宋_GBK"/>
          <w:sz w:val="33"/>
          <w:szCs w:val="33"/>
        </w:rPr>
        <w:t>“两抢一盗”“黄赌毒”等</w:t>
      </w:r>
      <w:r>
        <w:rPr>
          <w:rFonts w:eastAsia="方正仿宋_GBK"/>
          <w:sz w:val="33"/>
          <w:szCs w:val="33"/>
        </w:rPr>
        <w:t>犯罪案件</w:t>
      </w:r>
      <w:r>
        <w:rPr>
          <w:rFonts w:hint="eastAsia" w:eastAsia="方正仿宋_GBK"/>
          <w:sz w:val="33"/>
          <w:szCs w:val="33"/>
        </w:rPr>
        <w:t>85</w:t>
      </w:r>
      <w:r>
        <w:rPr>
          <w:rFonts w:eastAsia="方正仿宋_GBK"/>
          <w:sz w:val="33"/>
          <w:szCs w:val="33"/>
        </w:rPr>
        <w:t>件</w:t>
      </w:r>
      <w:r>
        <w:rPr>
          <w:rFonts w:hint="eastAsia" w:eastAsia="方正仿宋_GBK"/>
          <w:sz w:val="33"/>
          <w:szCs w:val="33"/>
        </w:rPr>
        <w:t>117</w:t>
      </w:r>
      <w:r>
        <w:rPr>
          <w:rFonts w:eastAsia="方正仿宋_GBK"/>
          <w:sz w:val="33"/>
          <w:szCs w:val="33"/>
        </w:rPr>
        <w:t>人。全链条打击电信网络诈骗及其关联犯罪，审结网络赌博、电信诈骗、养老诈骗等案件</w:t>
      </w:r>
      <w:r>
        <w:rPr>
          <w:rFonts w:hint="eastAsia" w:eastAsia="方正仿宋_GBK"/>
          <w:sz w:val="33"/>
          <w:szCs w:val="33"/>
        </w:rPr>
        <w:t>6</w:t>
      </w:r>
      <w:r>
        <w:rPr>
          <w:rFonts w:eastAsia="方正仿宋_GBK"/>
          <w:sz w:val="33"/>
          <w:szCs w:val="33"/>
        </w:rPr>
        <w:t>件</w:t>
      </w:r>
      <w:r>
        <w:rPr>
          <w:rFonts w:hint="eastAsia" w:eastAsia="方正仿宋_GBK"/>
          <w:sz w:val="33"/>
          <w:szCs w:val="33"/>
        </w:rPr>
        <w:t>18</w:t>
      </w:r>
      <w:r>
        <w:rPr>
          <w:rFonts w:eastAsia="方正仿宋_GBK"/>
          <w:sz w:val="33"/>
          <w:szCs w:val="33"/>
        </w:rPr>
        <w:t>人。保持惩治腐败高压态势，审结</w:t>
      </w:r>
      <w:r>
        <w:rPr>
          <w:rFonts w:hint="eastAsia" w:eastAsia="方正仿宋_GBK"/>
          <w:sz w:val="33"/>
          <w:szCs w:val="33"/>
        </w:rPr>
        <w:t>四川省审计厅原二级巡视员郭某等</w:t>
      </w:r>
      <w:r>
        <w:rPr>
          <w:rFonts w:eastAsia="方正仿宋_GBK"/>
          <w:sz w:val="33"/>
          <w:szCs w:val="33"/>
        </w:rPr>
        <w:t>职务犯罪案件</w:t>
      </w:r>
      <w:r>
        <w:rPr>
          <w:rFonts w:hint="eastAsia" w:eastAsia="方正仿宋_GBK"/>
          <w:sz w:val="33"/>
          <w:szCs w:val="33"/>
        </w:rPr>
        <w:t>7</w:t>
      </w:r>
      <w:r>
        <w:rPr>
          <w:rFonts w:eastAsia="方正仿宋_GBK"/>
          <w:sz w:val="33"/>
          <w:szCs w:val="33"/>
        </w:rPr>
        <w:t>件</w:t>
      </w:r>
      <w:r>
        <w:rPr>
          <w:rFonts w:hint="eastAsia" w:eastAsia="方正仿宋_GBK"/>
          <w:sz w:val="33"/>
          <w:szCs w:val="33"/>
        </w:rPr>
        <w:t>9</w:t>
      </w:r>
      <w:r>
        <w:rPr>
          <w:rFonts w:eastAsia="方正仿宋_GBK"/>
          <w:sz w:val="33"/>
          <w:szCs w:val="33"/>
        </w:rPr>
        <w:t>人。坚持宽严相济</w:t>
      </w:r>
      <w:r>
        <w:rPr>
          <w:rFonts w:hint="eastAsia" w:eastAsia="方正仿宋_GBK"/>
          <w:sz w:val="33"/>
          <w:szCs w:val="33"/>
        </w:rPr>
        <w:t>刑事政策，</w:t>
      </w:r>
      <w:r>
        <w:rPr>
          <w:rFonts w:eastAsia="方正仿宋_GBK"/>
          <w:sz w:val="33"/>
          <w:szCs w:val="33"/>
        </w:rPr>
        <w:t>审结认罪认罚案件</w:t>
      </w:r>
      <w:r>
        <w:rPr>
          <w:rFonts w:hint="eastAsia" w:eastAsia="方正仿宋_GBK"/>
          <w:sz w:val="33"/>
          <w:szCs w:val="33"/>
        </w:rPr>
        <w:t>187</w:t>
      </w:r>
      <w:r>
        <w:rPr>
          <w:rFonts w:eastAsia="方正仿宋_GBK"/>
          <w:sz w:val="33"/>
          <w:szCs w:val="33"/>
        </w:rPr>
        <w:t>件</w:t>
      </w:r>
      <w:r>
        <w:rPr>
          <w:rFonts w:hint="eastAsia" w:eastAsia="方正仿宋_GBK"/>
          <w:sz w:val="33"/>
          <w:szCs w:val="33"/>
        </w:rPr>
        <w:t>265</w:t>
      </w:r>
      <w:r>
        <w:rPr>
          <w:rFonts w:eastAsia="方正仿宋_GBK"/>
          <w:sz w:val="33"/>
          <w:szCs w:val="33"/>
        </w:rPr>
        <w:t>人，对</w:t>
      </w:r>
      <w:r>
        <w:rPr>
          <w:rFonts w:hint="eastAsia" w:eastAsia="方正仿宋_GBK"/>
          <w:sz w:val="33"/>
          <w:szCs w:val="33"/>
        </w:rPr>
        <w:t>136</w:t>
      </w:r>
      <w:r>
        <w:rPr>
          <w:rFonts w:eastAsia="方正仿宋_GBK"/>
          <w:sz w:val="33"/>
          <w:szCs w:val="33"/>
        </w:rPr>
        <w:t>名被告人依法从</w:t>
      </w:r>
      <w:r>
        <w:rPr>
          <w:rFonts w:hint="eastAsia" w:eastAsia="方正仿宋_GBK"/>
          <w:sz w:val="33"/>
          <w:szCs w:val="33"/>
        </w:rPr>
        <w:t>宽</w:t>
      </w:r>
      <w:r>
        <w:rPr>
          <w:rFonts w:hint="eastAsia" w:eastAsia="方正仿宋_GBK"/>
          <w:sz w:val="33"/>
          <w:szCs w:val="33"/>
          <w:lang w:eastAsia="zh-CN"/>
        </w:rPr>
        <w:t>处理</w:t>
      </w:r>
      <w:r>
        <w:rPr>
          <w:rFonts w:eastAsia="方正仿宋_GBK"/>
          <w:sz w:val="33"/>
          <w:szCs w:val="33"/>
        </w:rPr>
        <w:t>或适用缓刑。</w:t>
      </w:r>
      <w:r>
        <w:rPr>
          <w:rFonts w:hint="eastAsia" w:eastAsia="方正仿宋_GBK"/>
          <w:sz w:val="33"/>
          <w:szCs w:val="33"/>
        </w:rPr>
        <w:t>坚持教育、感化、挽救方针，依法从轻判处未成年人犯罪10人。</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ascii="方正仿宋_GBK" w:hAnsi="方正仿宋_GBK" w:eastAsia="方正仿宋_GBK" w:cs="方正仿宋_GBK"/>
          <w:sz w:val="33"/>
          <w:szCs w:val="33"/>
        </w:rPr>
      </w:pPr>
      <w:r>
        <w:rPr>
          <w:rFonts w:eastAsia="方正仿宋_GBK"/>
          <w:b/>
          <w:sz w:val="33"/>
          <w:szCs w:val="33"/>
        </w:rPr>
        <w:t>二是妥善化解民事纠纷，推进和谐东区建设。</w:t>
      </w:r>
      <w:r>
        <w:rPr>
          <w:rFonts w:hint="eastAsia" w:eastAsia="方正仿宋_GBK"/>
          <w:sz w:val="33"/>
          <w:szCs w:val="33"/>
        </w:rPr>
        <w:t>受理</w:t>
      </w:r>
      <w:r>
        <w:rPr>
          <w:rFonts w:eastAsia="方正仿宋_GBK"/>
          <w:sz w:val="33"/>
          <w:szCs w:val="33"/>
        </w:rPr>
        <w:t>民事案件</w:t>
      </w:r>
      <w:r>
        <w:rPr>
          <w:rFonts w:hint="eastAsia" w:eastAsia="方正仿宋_GBK"/>
          <w:sz w:val="33"/>
          <w:szCs w:val="33"/>
        </w:rPr>
        <w:t>5577</w:t>
      </w:r>
      <w:r>
        <w:rPr>
          <w:rFonts w:eastAsia="方正仿宋_GBK"/>
          <w:sz w:val="33"/>
          <w:szCs w:val="33"/>
        </w:rPr>
        <w:t>件，结案金额</w:t>
      </w:r>
      <w:r>
        <w:rPr>
          <w:rFonts w:hint="eastAsia" w:eastAsia="方正仿宋_GBK"/>
          <w:sz w:val="33"/>
          <w:szCs w:val="33"/>
        </w:rPr>
        <w:t>13.34亿</w:t>
      </w:r>
      <w:r>
        <w:rPr>
          <w:rFonts w:eastAsia="方正仿宋_GBK"/>
          <w:sz w:val="33"/>
          <w:szCs w:val="33"/>
        </w:rPr>
        <w:t>元</w:t>
      </w:r>
      <w:r>
        <w:rPr>
          <w:rFonts w:hint="eastAsia" w:eastAsia="方正仿宋_GBK"/>
          <w:sz w:val="33"/>
          <w:szCs w:val="33"/>
        </w:rPr>
        <w:t>，</w:t>
      </w:r>
      <w:r>
        <w:rPr>
          <w:rFonts w:eastAsia="方正小标宋简体"/>
          <w:sz w:val="33"/>
          <w:szCs w:val="33"/>
        </w:rPr>
        <w:t>1</w:t>
      </w:r>
      <w:r>
        <w:rPr>
          <w:rFonts w:hint="eastAsia" w:ascii="方正仿宋_GBK" w:hAnsi="方正仿宋_GBK" w:eastAsia="方正仿宋_GBK" w:cs="方正仿宋_GBK"/>
          <w:sz w:val="33"/>
          <w:szCs w:val="33"/>
        </w:rPr>
        <w:t>名法官获评“全省法院民商事审判工作成绩突出个人”。</w:t>
      </w:r>
      <w:r>
        <w:rPr>
          <w:rFonts w:hint="eastAsia" w:ascii="方正仿宋_GBK" w:eastAsia="方正仿宋_GBK"/>
          <w:sz w:val="33"/>
          <w:szCs w:val="33"/>
        </w:rPr>
        <w:t>与区检察院</w:t>
      </w:r>
      <w:r>
        <w:rPr>
          <w:rFonts w:hint="eastAsia" w:ascii="方正仿宋_GBK" w:eastAsia="方正仿宋_GBK"/>
          <w:sz w:val="33"/>
          <w:szCs w:val="33"/>
          <w:lang w:eastAsia="zh-CN"/>
        </w:rPr>
        <w:t>建立</w:t>
      </w:r>
      <w:r>
        <w:rPr>
          <w:rFonts w:hint="eastAsia" w:ascii="方正仿宋_GBK" w:eastAsia="方正仿宋_GBK"/>
          <w:sz w:val="33"/>
          <w:szCs w:val="33"/>
        </w:rPr>
        <w:t>民事和解工作</w:t>
      </w:r>
      <w:r>
        <w:rPr>
          <w:rFonts w:hint="eastAsia" w:ascii="方正仿宋_GBK" w:eastAsia="方正仿宋_GBK"/>
          <w:sz w:val="33"/>
          <w:szCs w:val="33"/>
          <w:lang w:eastAsia="zh-CN"/>
        </w:rPr>
        <w:t>机制</w:t>
      </w:r>
      <w:r>
        <w:rPr>
          <w:rFonts w:hint="eastAsia" w:ascii="方正仿宋_GBK" w:eastAsia="方正仿宋_GBK"/>
          <w:sz w:val="33"/>
          <w:szCs w:val="33"/>
        </w:rPr>
        <w:t>，联合化解民事纠纷</w:t>
      </w:r>
      <w:r>
        <w:rPr>
          <w:rFonts w:hint="eastAsia" w:eastAsia="方正仿宋_GBK"/>
          <w:sz w:val="33"/>
          <w:szCs w:val="33"/>
        </w:rPr>
        <w:t>10余</w:t>
      </w:r>
      <w:r>
        <w:rPr>
          <w:rFonts w:hint="eastAsia" w:ascii="方正仿宋_GBK" w:eastAsia="方正仿宋_GBK"/>
          <w:sz w:val="33"/>
          <w:szCs w:val="33"/>
        </w:rPr>
        <w:t>件。</w:t>
      </w:r>
      <w:r>
        <w:rPr>
          <w:rFonts w:hint="eastAsia" w:ascii="方正仿宋_GBK" w:hAnsi="方正仿宋_GBK" w:eastAsia="方正仿宋_GBK" w:cs="方正仿宋_GBK"/>
          <w:sz w:val="33"/>
          <w:szCs w:val="33"/>
        </w:rPr>
        <w:t>审结房屋买卖、建设工程等纠纷</w:t>
      </w:r>
      <w:r>
        <w:rPr>
          <w:rFonts w:hint="eastAsia" w:eastAsia="方正仿宋_GBK"/>
          <w:sz w:val="33"/>
          <w:szCs w:val="33"/>
        </w:rPr>
        <w:t>140</w:t>
      </w:r>
      <w:r>
        <w:rPr>
          <w:rFonts w:hint="eastAsia" w:ascii="方正仿宋_GBK" w:hAnsi="方正仿宋_GBK" w:eastAsia="方正仿宋_GBK" w:cs="方正仿宋_GBK"/>
          <w:sz w:val="33"/>
          <w:szCs w:val="33"/>
        </w:rPr>
        <w:t>件，依法保障房地产和建筑业平稳健康发展。审结教育、劳动、医疗等</w:t>
      </w:r>
      <w:r>
        <w:rPr>
          <w:rFonts w:hint="eastAsia" w:ascii="方正仿宋_GBK" w:hAnsi="方正仿宋_GBK" w:eastAsia="方正仿宋_GBK" w:cs="方正仿宋_GBK"/>
          <w:sz w:val="33"/>
          <w:szCs w:val="33"/>
          <w:lang w:eastAsia="zh-CN"/>
        </w:rPr>
        <w:t>纠纷</w:t>
      </w:r>
      <w:r>
        <w:rPr>
          <w:rFonts w:hint="eastAsia" w:ascii="方正仿宋_GBK" w:hAnsi="方正仿宋_GBK" w:eastAsia="方正仿宋_GBK" w:cs="方正仿宋_GBK"/>
          <w:sz w:val="33"/>
          <w:szCs w:val="33"/>
        </w:rPr>
        <w:t>案件</w:t>
      </w:r>
      <w:r>
        <w:rPr>
          <w:rFonts w:hint="eastAsia" w:eastAsia="方正仿宋_GBK"/>
          <w:sz w:val="33"/>
          <w:szCs w:val="33"/>
        </w:rPr>
        <w:t>187</w:t>
      </w:r>
      <w:r>
        <w:rPr>
          <w:rFonts w:hint="eastAsia" w:ascii="方正仿宋_GBK" w:hAnsi="方正仿宋_GBK" w:eastAsia="方正仿宋_GBK" w:cs="方正仿宋_GBK"/>
          <w:sz w:val="33"/>
          <w:szCs w:val="33"/>
        </w:rPr>
        <w:t>件，切实保障老百姓幼有所育、劳有所得、病有所医。审结离婚、继承、抚养等婚姻家庭案件</w:t>
      </w:r>
      <w:r>
        <w:rPr>
          <w:rFonts w:hint="eastAsia" w:eastAsia="方正仿宋_GBK"/>
          <w:sz w:val="33"/>
          <w:szCs w:val="33"/>
        </w:rPr>
        <w:t>330</w:t>
      </w:r>
      <w:r>
        <w:rPr>
          <w:rFonts w:hint="eastAsia" w:ascii="方正仿宋_GBK" w:hAnsi="方正仿宋_GBK" w:eastAsia="方正仿宋_GBK" w:cs="方正仿宋_GBK"/>
          <w:sz w:val="33"/>
          <w:szCs w:val="33"/>
        </w:rPr>
        <w:t>件，</w:t>
      </w:r>
      <w:r>
        <w:rPr>
          <w:rFonts w:hint="eastAsia" w:eastAsia="方正仿宋_GBK"/>
          <w:sz w:val="33"/>
          <w:szCs w:val="33"/>
        </w:rPr>
        <w:t>55</w:t>
      </w:r>
      <w:r>
        <w:rPr>
          <w:rFonts w:eastAsia="方正仿宋_GBK"/>
          <w:sz w:val="33"/>
          <w:szCs w:val="33"/>
        </w:rPr>
        <w:t>%</w:t>
      </w:r>
      <w:r>
        <w:rPr>
          <w:rFonts w:hint="eastAsia" w:ascii="方正仿宋_GBK" w:hAnsi="方正仿宋_GBK" w:eastAsia="方正仿宋_GBK" w:cs="方正仿宋_GBK"/>
          <w:sz w:val="33"/>
          <w:szCs w:val="33"/>
        </w:rPr>
        <w:t>以上案件调解结案。加大妇女儿童权益保护，</w:t>
      </w:r>
      <w:r>
        <w:rPr>
          <w:rFonts w:hAnsi="方正仿宋_GBK" w:eastAsia="方正仿宋_GBK"/>
          <w:sz w:val="33"/>
          <w:szCs w:val="33"/>
        </w:rPr>
        <w:t>发出《家庭教育指导令》《家庭教育责任告知书》</w:t>
      </w:r>
      <w:r>
        <w:rPr>
          <w:rFonts w:hint="eastAsia" w:eastAsia="方正仿宋_GBK"/>
          <w:sz w:val="33"/>
          <w:szCs w:val="33"/>
        </w:rPr>
        <w:t>200</w:t>
      </w:r>
      <w:r>
        <w:rPr>
          <w:rFonts w:hAnsi="方正仿宋_GBK" w:eastAsia="方正仿宋_GBK"/>
          <w:sz w:val="33"/>
          <w:szCs w:val="33"/>
        </w:rPr>
        <w:t>余份</w:t>
      </w:r>
      <w:r>
        <w:rPr>
          <w:rFonts w:hint="eastAsia" w:hAnsi="方正仿宋_GBK" w:eastAsia="方正仿宋_GBK"/>
          <w:sz w:val="33"/>
          <w:szCs w:val="33"/>
        </w:rPr>
        <w:t>，</w:t>
      </w:r>
      <w:r>
        <w:rPr>
          <w:rFonts w:eastAsia="方正仿宋_GBK"/>
          <w:sz w:val="33"/>
          <w:szCs w:val="33"/>
        </w:rPr>
        <w:t>1名法官被评选为“童卫2024年度四川全省优秀公益宣讲师”。</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ascii="方正仿宋_GBK" w:eastAsia="方正仿宋_GBK"/>
          <w:sz w:val="33"/>
          <w:szCs w:val="33"/>
        </w:rPr>
      </w:pPr>
      <w:r>
        <w:rPr>
          <w:rFonts w:eastAsia="方正仿宋_GBK"/>
          <w:b/>
          <w:sz w:val="33"/>
          <w:szCs w:val="33"/>
        </w:rPr>
        <w:t>三是支持促进依法行政，</w:t>
      </w:r>
      <w:r>
        <w:rPr>
          <w:rFonts w:hint="eastAsia" w:eastAsia="方正仿宋_GBK"/>
          <w:b/>
          <w:sz w:val="33"/>
          <w:szCs w:val="33"/>
        </w:rPr>
        <w:t>助推</w:t>
      </w:r>
      <w:r>
        <w:rPr>
          <w:rFonts w:eastAsia="方正仿宋_GBK"/>
          <w:b/>
          <w:sz w:val="33"/>
          <w:szCs w:val="33"/>
        </w:rPr>
        <w:t>法治东区建设。</w:t>
      </w:r>
      <w:r>
        <w:rPr>
          <w:rFonts w:hint="eastAsia" w:eastAsia="方正仿宋_GBK"/>
          <w:sz w:val="33"/>
          <w:szCs w:val="33"/>
        </w:rPr>
        <w:t>受理</w:t>
      </w:r>
      <w:r>
        <w:rPr>
          <w:rFonts w:eastAsia="方正仿宋_GBK"/>
          <w:sz w:val="33"/>
          <w:szCs w:val="33"/>
        </w:rPr>
        <w:t>行政案件</w:t>
      </w:r>
      <w:r>
        <w:rPr>
          <w:rFonts w:hint="eastAsia" w:eastAsia="方正仿宋_GBK"/>
          <w:sz w:val="33"/>
          <w:szCs w:val="33"/>
        </w:rPr>
        <w:t>29</w:t>
      </w:r>
      <w:r>
        <w:rPr>
          <w:rFonts w:eastAsia="方正仿宋_GBK"/>
          <w:sz w:val="33"/>
          <w:szCs w:val="33"/>
        </w:rPr>
        <w:t>件，行政非诉案件</w:t>
      </w:r>
      <w:r>
        <w:rPr>
          <w:rFonts w:hint="eastAsia" w:eastAsia="方正仿宋_GBK"/>
          <w:sz w:val="33"/>
          <w:szCs w:val="33"/>
        </w:rPr>
        <w:t>42</w:t>
      </w:r>
      <w:r>
        <w:rPr>
          <w:rFonts w:eastAsia="方正仿宋_GBK"/>
          <w:sz w:val="33"/>
          <w:szCs w:val="33"/>
        </w:rPr>
        <w:t>件</w:t>
      </w:r>
      <w:r>
        <w:rPr>
          <w:rFonts w:hint="eastAsia" w:eastAsia="方正仿宋_GBK"/>
          <w:sz w:val="33"/>
          <w:szCs w:val="33"/>
        </w:rPr>
        <w:t>，行政庭获评“全省法院行政审判工作先进集体”。</w:t>
      </w:r>
      <w:r>
        <w:rPr>
          <w:rFonts w:hint="eastAsia" w:ascii="方正仿宋_GBK" w:eastAsia="方正仿宋_GBK"/>
          <w:sz w:val="33"/>
          <w:szCs w:val="33"/>
        </w:rPr>
        <w:t>坚持“有诉必理”，与区司法局联合设立行政复议案件受理窗口，畅通行政案件受理渠道。</w:t>
      </w:r>
      <w:r>
        <w:rPr>
          <w:rFonts w:hint="eastAsia" w:eastAsia="方正仿宋_GBK"/>
          <w:sz w:val="33"/>
          <w:szCs w:val="33"/>
        </w:rPr>
        <w:t>建立“府院检”</w:t>
      </w:r>
      <w:r>
        <w:rPr>
          <w:rFonts w:eastAsia="方正仿宋_GBK"/>
          <w:sz w:val="33"/>
          <w:szCs w:val="33"/>
        </w:rPr>
        <w:t>行政争议实质化解</w:t>
      </w:r>
      <w:r>
        <w:rPr>
          <w:rFonts w:hint="eastAsia" w:eastAsia="方正仿宋_GBK"/>
          <w:sz w:val="33"/>
          <w:szCs w:val="33"/>
        </w:rPr>
        <w:t>机制</w:t>
      </w:r>
      <w:r>
        <w:rPr>
          <w:rFonts w:eastAsia="方正仿宋_GBK"/>
          <w:sz w:val="33"/>
          <w:szCs w:val="33"/>
        </w:rPr>
        <w:t>，与</w:t>
      </w:r>
      <w:r>
        <w:rPr>
          <w:rFonts w:eastAsia="方正仿宋_GBK"/>
          <w:kern w:val="0"/>
          <w:sz w:val="33"/>
          <w:szCs w:val="33"/>
          <w:shd w:val="clear" w:color="auto" w:fill="FFFFFF"/>
        </w:rPr>
        <w:t>区政府、区检察院联合签署《</w:t>
      </w:r>
      <w:r>
        <w:rPr>
          <w:rFonts w:eastAsia="方正仿宋_GBK"/>
          <w:sz w:val="33"/>
          <w:szCs w:val="33"/>
        </w:rPr>
        <w:t>共同推进行政争议实质性化解工作实施办法》，行政</w:t>
      </w:r>
      <w:r>
        <w:rPr>
          <w:rFonts w:hint="eastAsia" w:eastAsia="方正仿宋_GBK"/>
          <w:sz w:val="33"/>
          <w:szCs w:val="33"/>
        </w:rPr>
        <w:t>收案</w:t>
      </w:r>
      <w:r>
        <w:rPr>
          <w:rFonts w:eastAsia="方正仿宋_GBK"/>
          <w:sz w:val="33"/>
          <w:szCs w:val="33"/>
        </w:rPr>
        <w:t>数量同比下降55%</w:t>
      </w:r>
      <w:r>
        <w:rPr>
          <w:rFonts w:hint="eastAsia" w:eastAsia="方正仿宋_GBK"/>
          <w:sz w:val="33"/>
          <w:szCs w:val="33"/>
        </w:rPr>
        <w:t>。</w:t>
      </w:r>
      <w:r>
        <w:rPr>
          <w:rFonts w:hint="eastAsia" w:ascii="方正仿宋_GBK" w:hAnsi="方正仿宋_GBK" w:eastAsia="方正仿宋_GBK" w:cs="方正仿宋_GBK"/>
          <w:sz w:val="33"/>
          <w:szCs w:val="33"/>
        </w:rPr>
        <w:t>切实保障行政相对人合法权益，依法判决撤销或确认行政行为违法</w:t>
      </w:r>
      <w:r>
        <w:rPr>
          <w:rFonts w:eastAsia="方正仿宋_GBK"/>
          <w:sz w:val="33"/>
          <w:szCs w:val="33"/>
        </w:rPr>
        <w:t>2</w:t>
      </w:r>
      <w:r>
        <w:rPr>
          <w:rFonts w:hint="eastAsia" w:ascii="方正仿宋_GBK" w:hAnsi="方正仿宋_GBK" w:eastAsia="方正仿宋_GBK" w:cs="方正仿宋_GBK"/>
          <w:sz w:val="33"/>
          <w:szCs w:val="33"/>
        </w:rPr>
        <w:t>件。</w:t>
      </w:r>
      <w:r>
        <w:rPr>
          <w:rFonts w:hint="eastAsia" w:eastAsia="方正仿宋_GBK"/>
          <w:sz w:val="33"/>
          <w:szCs w:val="33"/>
        </w:rPr>
        <w:t>强化司法与行政良性互动，</w:t>
      </w:r>
      <w:r>
        <w:rPr>
          <w:rFonts w:eastAsia="方正仿宋_GBK"/>
          <w:sz w:val="33"/>
          <w:szCs w:val="33"/>
        </w:rPr>
        <w:t>行政机关负责人100%出庭应诉。</w:t>
      </w:r>
    </w:p>
    <w:p>
      <w:pPr>
        <w:pStyle w:val="37"/>
        <w:keepNext w:val="0"/>
        <w:keepLines w:val="0"/>
        <w:pageBreakBefore w:val="0"/>
        <w:widowControl/>
        <w:kinsoku/>
        <w:wordWrap/>
        <w:overflowPunct/>
        <w:topLinePunct w:val="0"/>
        <w:autoSpaceDE w:val="0"/>
        <w:autoSpaceDN/>
        <w:bidi w:val="0"/>
        <w:adjustRightInd w:val="0"/>
        <w:snapToGrid/>
        <w:spacing w:line="560" w:lineRule="exact"/>
        <w:ind w:firstLine="660" w:firstLineChars="200"/>
        <w:jc w:val="both"/>
        <w:textAlignment w:val="auto"/>
        <w:rPr>
          <w:rFonts w:ascii="Times New Roman" w:eastAsia="方正仿宋_GBK"/>
          <w:sz w:val="33"/>
          <w:szCs w:val="33"/>
        </w:rPr>
      </w:pPr>
      <w:r>
        <w:rPr>
          <w:rFonts w:ascii="Times New Roman" w:eastAsia="方正仿宋_GBK"/>
          <w:b/>
          <w:sz w:val="33"/>
          <w:szCs w:val="33"/>
        </w:rPr>
        <w:t>四是持续发力执行攻坚，推进诚信东区建设。</w:t>
      </w:r>
      <w:r>
        <w:rPr>
          <w:rFonts w:hint="eastAsia" w:ascii="Times New Roman" w:eastAsia="方正仿宋_GBK"/>
          <w:sz w:val="33"/>
          <w:szCs w:val="33"/>
        </w:rPr>
        <w:t>受理</w:t>
      </w:r>
      <w:r>
        <w:rPr>
          <w:rFonts w:ascii="Times New Roman" w:eastAsia="方正仿宋_GBK"/>
          <w:sz w:val="33"/>
          <w:szCs w:val="33"/>
        </w:rPr>
        <w:t>执行案件</w:t>
      </w:r>
      <w:r>
        <w:rPr>
          <w:rFonts w:hint="eastAsia" w:ascii="Times New Roman" w:hAnsi="Times New Roman" w:eastAsia="方正仿宋_GBK"/>
          <w:sz w:val="33"/>
          <w:szCs w:val="33"/>
        </w:rPr>
        <w:t>3277</w:t>
      </w:r>
      <w:r>
        <w:rPr>
          <w:rFonts w:ascii="Times New Roman" w:eastAsia="方正仿宋_GBK"/>
          <w:sz w:val="33"/>
          <w:szCs w:val="33"/>
        </w:rPr>
        <w:t>件，执行到位金额</w:t>
      </w:r>
      <w:r>
        <w:rPr>
          <w:rFonts w:hint="eastAsia" w:ascii="Times New Roman" w:hAnsi="Times New Roman" w:eastAsia="方正仿宋_GBK"/>
          <w:sz w:val="33"/>
          <w:szCs w:val="33"/>
        </w:rPr>
        <w:t>8.24</w:t>
      </w:r>
      <w:r>
        <w:rPr>
          <w:rFonts w:ascii="Times New Roman" w:eastAsia="方正仿宋_GBK"/>
          <w:sz w:val="33"/>
          <w:szCs w:val="33"/>
        </w:rPr>
        <w:t>亿元</w:t>
      </w:r>
      <w:r>
        <w:rPr>
          <w:rFonts w:hint="eastAsia" w:ascii="Times New Roman" w:eastAsia="方正仿宋_GBK"/>
          <w:sz w:val="33"/>
          <w:szCs w:val="33"/>
        </w:rPr>
        <w:t>。积极探索执行前端化解路径，新建执行服务中心，推进执前财产保全、随案执行和执行督促</w:t>
      </w:r>
      <w:r>
        <w:rPr>
          <w:rFonts w:hint="eastAsia" w:ascii="Times New Roman" w:eastAsia="方正仿宋_GBK"/>
          <w:sz w:val="33"/>
          <w:szCs w:val="33"/>
          <w:lang w:eastAsia="zh-CN"/>
        </w:rPr>
        <w:t>工作</w:t>
      </w:r>
      <w:r>
        <w:rPr>
          <w:rFonts w:hint="eastAsia" w:ascii="Times New Roman" w:eastAsia="方正仿宋_GBK"/>
          <w:sz w:val="33"/>
          <w:szCs w:val="33"/>
        </w:rPr>
        <w:t>，执行到位率58%，同比提高12个百分点。</w:t>
      </w:r>
      <w:r>
        <w:rPr>
          <w:rFonts w:ascii="Times New Roman" w:eastAsia="方正仿宋_GBK"/>
          <w:sz w:val="33"/>
          <w:szCs w:val="33"/>
        </w:rPr>
        <w:t>在全市率先挂牌成立</w:t>
      </w:r>
      <w:r>
        <w:rPr>
          <w:rFonts w:ascii="Times New Roman" w:hAnsi="Times New Roman" w:eastAsia="方正仿宋_GBK"/>
          <w:sz w:val="33"/>
          <w:szCs w:val="33"/>
        </w:rPr>
        <w:t>“</w:t>
      </w:r>
      <w:r>
        <w:rPr>
          <w:rFonts w:ascii="Times New Roman" w:eastAsia="方正仿宋_GBK"/>
          <w:sz w:val="33"/>
          <w:szCs w:val="33"/>
        </w:rPr>
        <w:t>执行</w:t>
      </w:r>
      <w:r>
        <w:rPr>
          <w:rFonts w:ascii="Times New Roman" w:hAnsi="Times New Roman" w:eastAsia="方正仿宋_GBK"/>
          <w:sz w:val="33"/>
          <w:szCs w:val="33"/>
        </w:rPr>
        <w:t>110</w:t>
      </w:r>
      <w:r>
        <w:rPr>
          <w:rFonts w:ascii="Times New Roman" w:eastAsia="方正仿宋_GBK"/>
          <w:sz w:val="33"/>
          <w:szCs w:val="33"/>
        </w:rPr>
        <w:t>指挥中心</w:t>
      </w:r>
      <w:r>
        <w:rPr>
          <w:rFonts w:ascii="Times New Roman" w:hAnsi="Times New Roman" w:eastAsia="方正仿宋_GBK"/>
          <w:sz w:val="33"/>
          <w:szCs w:val="33"/>
        </w:rPr>
        <w:t>”</w:t>
      </w:r>
      <w:r>
        <w:rPr>
          <w:rFonts w:ascii="Times New Roman" w:eastAsia="方正仿宋_GBK"/>
          <w:sz w:val="33"/>
          <w:szCs w:val="33"/>
        </w:rPr>
        <w:t>，</w:t>
      </w:r>
      <w:r>
        <w:rPr>
          <w:rFonts w:hint="eastAsia" w:ascii="Times New Roman" w:eastAsia="方正仿宋_GBK"/>
          <w:sz w:val="33"/>
          <w:szCs w:val="33"/>
        </w:rPr>
        <w:t>采取“执行110+24小时警务”办案模式，</w:t>
      </w:r>
      <w:r>
        <w:rPr>
          <w:rFonts w:ascii="Times New Roman" w:eastAsia="方正仿宋_GBK"/>
          <w:sz w:val="33"/>
          <w:szCs w:val="33"/>
        </w:rPr>
        <w:t>拘传被执行人</w:t>
      </w:r>
      <w:r>
        <w:rPr>
          <w:rFonts w:hint="eastAsia" w:ascii="Times New Roman" w:hAnsi="Times New Roman" w:eastAsia="方正仿宋_GBK"/>
          <w:sz w:val="33"/>
          <w:szCs w:val="33"/>
        </w:rPr>
        <w:t>57</w:t>
      </w:r>
      <w:r>
        <w:rPr>
          <w:rFonts w:ascii="Times New Roman" w:eastAsia="方正仿宋_GBK"/>
          <w:sz w:val="33"/>
          <w:szCs w:val="33"/>
        </w:rPr>
        <w:t>人。</w:t>
      </w:r>
      <w:r>
        <w:rPr>
          <w:rFonts w:hint="eastAsia" w:ascii="Times New Roman" w:eastAsia="方正仿宋_GBK"/>
          <w:sz w:val="33"/>
          <w:szCs w:val="33"/>
        </w:rPr>
        <w:t>加大执行力度，开展“法执共富”“小额执行”等专项行动，</w:t>
      </w:r>
      <w:r>
        <w:rPr>
          <w:rFonts w:ascii="Times New Roman" w:eastAsia="方正仿宋_GBK"/>
          <w:sz w:val="33"/>
          <w:szCs w:val="33"/>
        </w:rPr>
        <w:t>执结涉农民工工资案件</w:t>
      </w:r>
      <w:r>
        <w:rPr>
          <w:rFonts w:hint="eastAsia" w:ascii="Times New Roman" w:hAnsi="Times New Roman" w:eastAsia="方正仿宋_GBK"/>
          <w:sz w:val="33"/>
          <w:szCs w:val="33"/>
        </w:rPr>
        <w:t>948</w:t>
      </w:r>
      <w:r>
        <w:rPr>
          <w:rFonts w:ascii="Times New Roman" w:eastAsia="方正仿宋_GBK"/>
          <w:sz w:val="33"/>
          <w:szCs w:val="33"/>
        </w:rPr>
        <w:t>件，发放案款</w:t>
      </w:r>
      <w:r>
        <w:rPr>
          <w:rFonts w:hint="eastAsia" w:ascii="Times New Roman" w:hAnsi="Times New Roman" w:eastAsia="方正仿宋_GBK"/>
          <w:sz w:val="33"/>
          <w:szCs w:val="33"/>
        </w:rPr>
        <w:t>4923</w:t>
      </w:r>
      <w:r>
        <w:rPr>
          <w:rFonts w:ascii="Times New Roman" w:eastAsia="方正仿宋_GBK"/>
          <w:sz w:val="33"/>
          <w:szCs w:val="33"/>
        </w:rPr>
        <w:t>万元。保持执行高压态势，</w:t>
      </w:r>
      <w:r>
        <w:rPr>
          <w:rFonts w:hint="eastAsia" w:ascii="Times New Roman" w:eastAsia="方正仿宋_GBK"/>
          <w:sz w:val="33"/>
          <w:szCs w:val="33"/>
        </w:rPr>
        <w:t>与区公安分局、区检察院建立执行联动机制，移送协查案件27件，</w:t>
      </w:r>
      <w:r>
        <w:rPr>
          <w:rFonts w:ascii="Times New Roman" w:eastAsia="方正仿宋_GBK"/>
          <w:sz w:val="33"/>
          <w:szCs w:val="33"/>
        </w:rPr>
        <w:t>纳入失信被执行人名单、限制高消费</w:t>
      </w:r>
      <w:r>
        <w:rPr>
          <w:rFonts w:hint="eastAsia" w:ascii="Times New Roman" w:hAnsi="Times New Roman" w:eastAsia="方正仿宋_GBK"/>
          <w:sz w:val="33"/>
          <w:szCs w:val="33"/>
        </w:rPr>
        <w:t>1520</w:t>
      </w:r>
      <w:r>
        <w:rPr>
          <w:rFonts w:ascii="Times New Roman" w:eastAsia="方正仿宋_GBK"/>
          <w:sz w:val="33"/>
          <w:szCs w:val="33"/>
        </w:rPr>
        <w:t>人次，实施司法拘留</w:t>
      </w:r>
      <w:r>
        <w:rPr>
          <w:rFonts w:hint="eastAsia" w:ascii="Times New Roman" w:hAnsi="Times New Roman" w:eastAsia="方正仿宋_GBK"/>
          <w:sz w:val="33"/>
          <w:szCs w:val="33"/>
        </w:rPr>
        <w:t>33</w:t>
      </w:r>
      <w:r>
        <w:rPr>
          <w:rFonts w:ascii="Times New Roman" w:eastAsia="方正仿宋_GBK"/>
          <w:sz w:val="33"/>
          <w:szCs w:val="33"/>
        </w:rPr>
        <w:t>人。</w:t>
      </w:r>
      <w:r>
        <w:rPr>
          <w:rFonts w:hint="eastAsia" w:ascii="Times New Roman" w:eastAsia="方正仿宋_GBK"/>
          <w:sz w:val="33"/>
          <w:szCs w:val="33"/>
        </w:rPr>
        <w:t>用好失信结果运用，</w:t>
      </w:r>
      <w:r>
        <w:rPr>
          <w:rFonts w:ascii="Times New Roman" w:hAnsi="Times New Roman" w:eastAsia="方正仿宋_GBK"/>
          <w:sz w:val="33"/>
          <w:szCs w:val="33"/>
        </w:rPr>
        <w:t>为区级各</w:t>
      </w:r>
      <w:r>
        <w:rPr>
          <w:rFonts w:hint="eastAsia" w:ascii="Times New Roman" w:hAnsi="Times New Roman" w:eastAsia="方正仿宋_GBK"/>
          <w:sz w:val="33"/>
          <w:szCs w:val="33"/>
          <w:lang w:eastAsia="zh-CN"/>
        </w:rPr>
        <w:t>单位</w:t>
      </w:r>
      <w:r>
        <w:rPr>
          <w:rFonts w:ascii="Times New Roman" w:hAnsi="Times New Roman" w:eastAsia="方正仿宋_GBK"/>
          <w:sz w:val="33"/>
          <w:szCs w:val="33"/>
        </w:rPr>
        <w:t>发展党员、村（社）选举等进行失信审查1500余人次。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三、为民司法护权益，坚持在</w:t>
      </w:r>
      <w:r>
        <w:rPr>
          <w:rFonts w:hint="eastAsia" w:eastAsia="方正黑体_GBK"/>
          <w:sz w:val="33"/>
          <w:szCs w:val="33"/>
        </w:rPr>
        <w:t>紧贴群众需求</w:t>
      </w:r>
      <w:r>
        <w:rPr>
          <w:rFonts w:eastAsia="方正黑体_GBK"/>
          <w:sz w:val="33"/>
          <w:szCs w:val="33"/>
        </w:rPr>
        <w:t>中</w:t>
      </w:r>
      <w:r>
        <w:rPr>
          <w:rFonts w:hint="eastAsia" w:eastAsia="方正黑体_GBK"/>
          <w:sz w:val="33"/>
          <w:szCs w:val="33"/>
        </w:rPr>
        <w:t>优化服务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一是参与基层社会治理，源头化解矛盾纠纷。</w:t>
      </w:r>
      <w:r>
        <w:rPr>
          <w:rFonts w:eastAsia="方正仿宋_GBK"/>
          <w:sz w:val="33"/>
          <w:szCs w:val="33"/>
        </w:rPr>
        <w:t>完善“法院+”纠纷化解</w:t>
      </w:r>
      <w:r>
        <w:rPr>
          <w:rFonts w:hint="eastAsia" w:eastAsia="方正仿宋_GBK"/>
          <w:sz w:val="33"/>
          <w:szCs w:val="33"/>
        </w:rPr>
        <w:t>工作</w:t>
      </w:r>
      <w:r>
        <w:rPr>
          <w:rFonts w:eastAsia="方正仿宋_GBK"/>
          <w:sz w:val="33"/>
          <w:szCs w:val="33"/>
        </w:rPr>
        <w:t>格局，对接医疗、金融、知识产权等5家人民调解委员会，委托调解案件</w:t>
      </w:r>
      <w:r>
        <w:rPr>
          <w:rFonts w:hint="eastAsia" w:eastAsia="方正仿宋_GBK"/>
          <w:sz w:val="33"/>
          <w:szCs w:val="33"/>
        </w:rPr>
        <w:t>227</w:t>
      </w:r>
      <w:r>
        <w:rPr>
          <w:rFonts w:eastAsia="方正仿宋_GBK"/>
          <w:sz w:val="33"/>
          <w:szCs w:val="33"/>
        </w:rPr>
        <w:t>件。搭建调解平台，成立东华街道驻法院调解工作室，返聘退休法官3名，全年调解案件256件，司法确认率达79%。建立交通、物业等类型化矛盾纠纷化解机制，通过设立法官工作站、推广个案示范性诉讼等方式，</w:t>
      </w:r>
      <w:r>
        <w:rPr>
          <w:rFonts w:hint="eastAsia" w:eastAsia="方正仿宋_GBK"/>
          <w:sz w:val="33"/>
          <w:szCs w:val="33"/>
        </w:rPr>
        <w:t>诉前化解纠纷2000余件，1篇裁判文书获“全省法院物业纠纷优秀裁判文书”</w:t>
      </w:r>
      <w:r>
        <w:rPr>
          <w:rFonts w:eastAsia="方正仿宋_GBK"/>
          <w:sz w:val="33"/>
          <w:szCs w:val="33"/>
        </w:rPr>
        <w:t>。</w:t>
      </w:r>
      <w:r>
        <w:rPr>
          <w:rFonts w:hint="eastAsia" w:eastAsia="方正仿宋_GBK"/>
          <w:sz w:val="33"/>
          <w:szCs w:val="33"/>
        </w:rPr>
        <w:t>着眼“抓前端、治未病”，</w:t>
      </w:r>
      <w:r>
        <w:rPr>
          <w:rFonts w:eastAsia="方正仿宋_GBK"/>
          <w:sz w:val="33"/>
          <w:szCs w:val="33"/>
        </w:rPr>
        <w:t>针对办案中发现的苗头</w:t>
      </w:r>
      <w:r>
        <w:rPr>
          <w:rFonts w:hint="eastAsia" w:eastAsia="方正仿宋_GBK"/>
          <w:sz w:val="33"/>
          <w:szCs w:val="33"/>
        </w:rPr>
        <w:t>性、</w:t>
      </w:r>
      <w:r>
        <w:rPr>
          <w:rFonts w:eastAsia="方正仿宋_GBK"/>
          <w:sz w:val="33"/>
          <w:szCs w:val="33"/>
        </w:rPr>
        <w:t>行业性问题，向相关职能</w:t>
      </w:r>
      <w:r>
        <w:rPr>
          <w:rFonts w:hint="eastAsia" w:eastAsia="方正仿宋_GBK"/>
          <w:sz w:val="33"/>
          <w:szCs w:val="33"/>
          <w:lang w:eastAsia="zh-CN"/>
        </w:rPr>
        <w:t>单位</w:t>
      </w:r>
      <w:r>
        <w:rPr>
          <w:rFonts w:eastAsia="方正仿宋_GBK"/>
          <w:sz w:val="33"/>
          <w:szCs w:val="33"/>
        </w:rPr>
        <w:t>发送司法建议1</w:t>
      </w:r>
      <w:r>
        <w:rPr>
          <w:rFonts w:hint="eastAsia" w:eastAsia="方正仿宋_GBK"/>
          <w:sz w:val="33"/>
          <w:szCs w:val="33"/>
          <w:lang w:val="en-US" w:eastAsia="zh-CN"/>
        </w:rPr>
        <w:t>5</w:t>
      </w:r>
      <w:r>
        <w:rPr>
          <w:rFonts w:eastAsia="方正仿宋_GBK"/>
          <w:sz w:val="33"/>
          <w:szCs w:val="33"/>
        </w:rPr>
        <w:t>份，回复率达100%。</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二是坚持司法便民利民，不断</w:t>
      </w:r>
      <w:r>
        <w:rPr>
          <w:rFonts w:hint="eastAsia" w:eastAsia="方正仿宋_GBK"/>
          <w:b/>
          <w:sz w:val="33"/>
          <w:szCs w:val="33"/>
        </w:rPr>
        <w:t>提升</w:t>
      </w:r>
      <w:r>
        <w:rPr>
          <w:rFonts w:eastAsia="方正仿宋_GBK"/>
          <w:b/>
          <w:sz w:val="33"/>
          <w:szCs w:val="33"/>
        </w:rPr>
        <w:t>诉讼</w:t>
      </w:r>
      <w:r>
        <w:rPr>
          <w:rFonts w:hint="eastAsia" w:eastAsia="方正仿宋_GBK"/>
          <w:b/>
          <w:sz w:val="33"/>
          <w:szCs w:val="33"/>
        </w:rPr>
        <w:t>体验</w:t>
      </w:r>
      <w:r>
        <w:rPr>
          <w:rFonts w:eastAsia="方正仿宋_GBK"/>
          <w:b/>
          <w:sz w:val="33"/>
          <w:szCs w:val="33"/>
        </w:rPr>
        <w:t>。</w:t>
      </w:r>
      <w:r>
        <w:rPr>
          <w:rFonts w:eastAsia="方正仿宋_GBK"/>
          <w:sz w:val="33"/>
          <w:szCs w:val="33"/>
        </w:rPr>
        <w:t>深化一站式诉讼服务体系建设，</w:t>
      </w:r>
      <w:r>
        <w:rPr>
          <w:rFonts w:hAnsi="方正仿宋_GBK" w:eastAsia="方正仿宋_GBK"/>
          <w:sz w:val="33"/>
          <w:szCs w:val="33"/>
        </w:rPr>
        <w:t>为群众提供集立案、调解、保全、送达于一体的全流程诉讼服务。</w:t>
      </w:r>
      <w:r>
        <w:rPr>
          <w:rFonts w:eastAsia="方正仿宋_GBK"/>
          <w:sz w:val="33"/>
          <w:szCs w:val="33"/>
        </w:rPr>
        <w:t>优化电子化办案流程，跨域立案、电子送达、网上开庭等10余项诉讼服务在线办理，全年网上立案</w:t>
      </w:r>
      <w:r>
        <w:rPr>
          <w:rFonts w:hint="eastAsia" w:eastAsia="方正仿宋_GBK"/>
          <w:sz w:val="33"/>
          <w:szCs w:val="33"/>
        </w:rPr>
        <w:t>5742</w:t>
      </w:r>
      <w:r>
        <w:rPr>
          <w:rFonts w:eastAsia="方正仿宋_GBK"/>
          <w:sz w:val="33"/>
          <w:szCs w:val="33"/>
        </w:rPr>
        <w:t>件</w:t>
      </w:r>
      <w:r>
        <w:rPr>
          <w:rFonts w:hint="eastAsia" w:eastAsia="方正仿宋_GBK"/>
          <w:sz w:val="33"/>
          <w:szCs w:val="33"/>
        </w:rPr>
        <w:t>。</w:t>
      </w:r>
      <w:r>
        <w:rPr>
          <w:rFonts w:eastAsia="方正仿宋_GBK"/>
          <w:sz w:val="33"/>
          <w:szCs w:val="33"/>
        </w:rPr>
        <w:t>发挥12368诉讼服务热线作用，受理群众咨询、提供法律服务</w:t>
      </w:r>
      <w:r>
        <w:rPr>
          <w:rFonts w:hint="eastAsia" w:eastAsia="方正仿宋_GBK"/>
          <w:sz w:val="33"/>
          <w:szCs w:val="33"/>
        </w:rPr>
        <w:t>228</w:t>
      </w:r>
      <w:r>
        <w:rPr>
          <w:rFonts w:eastAsia="方正仿宋_GBK"/>
          <w:sz w:val="33"/>
          <w:szCs w:val="33"/>
        </w:rPr>
        <w:t>次。</w:t>
      </w:r>
      <w:r>
        <w:rPr>
          <w:rFonts w:hint="eastAsia" w:eastAsia="方正仿宋_GBK"/>
          <w:sz w:val="33"/>
          <w:szCs w:val="33"/>
        </w:rPr>
        <w:t>提升</w:t>
      </w:r>
      <w:r>
        <w:rPr>
          <w:rFonts w:eastAsia="方正仿宋_GBK"/>
          <w:sz w:val="33"/>
          <w:szCs w:val="33"/>
        </w:rPr>
        <w:t>律师义工窗口</w:t>
      </w:r>
      <w:r>
        <w:rPr>
          <w:rFonts w:hint="eastAsia" w:eastAsia="方正仿宋_GBK"/>
          <w:sz w:val="33"/>
          <w:szCs w:val="33"/>
        </w:rPr>
        <w:t>服务水平</w:t>
      </w:r>
      <w:r>
        <w:rPr>
          <w:rFonts w:eastAsia="方正仿宋_GBK"/>
          <w:sz w:val="33"/>
          <w:szCs w:val="33"/>
        </w:rPr>
        <w:t>，免费为群众提供法律援助</w:t>
      </w:r>
      <w:r>
        <w:rPr>
          <w:rFonts w:hint="eastAsia" w:eastAsia="方正仿宋_GBK"/>
          <w:sz w:val="33"/>
          <w:szCs w:val="33"/>
        </w:rPr>
        <w:t>31</w:t>
      </w:r>
      <w:r>
        <w:rPr>
          <w:rFonts w:eastAsia="方正仿宋_GBK"/>
          <w:sz w:val="33"/>
          <w:szCs w:val="33"/>
        </w:rPr>
        <w:t>次。</w:t>
      </w:r>
      <w:r>
        <w:rPr>
          <w:rFonts w:hint="eastAsia" w:ascii="方正仿宋_GBK" w:hAnsi="方正仿宋_GBK" w:eastAsia="方正仿宋_GBK" w:cs="方正仿宋_GBK"/>
          <w:sz w:val="33"/>
          <w:szCs w:val="33"/>
        </w:rPr>
        <w:t>加大对困难、弱势群体的司法救助力度，向符合救助条件的</w:t>
      </w:r>
      <w:r>
        <w:rPr>
          <w:rFonts w:hint="eastAsia" w:eastAsia="方正仿宋_GBK"/>
          <w:sz w:val="33"/>
          <w:szCs w:val="33"/>
          <w:lang w:val="en-US" w:eastAsia="zh-CN"/>
        </w:rPr>
        <w:t>2</w:t>
      </w:r>
      <w:r>
        <w:rPr>
          <w:rFonts w:hint="eastAsia" w:ascii="方正仿宋_GBK" w:hAnsi="方正仿宋_GBK" w:eastAsia="方正仿宋_GBK" w:cs="方正仿宋_GBK"/>
          <w:sz w:val="33"/>
          <w:szCs w:val="33"/>
        </w:rPr>
        <w:t>名申请人发放救助金</w:t>
      </w:r>
      <w:r>
        <w:rPr>
          <w:rFonts w:hint="eastAsia" w:eastAsia="方正仿宋_GBK"/>
          <w:sz w:val="33"/>
          <w:szCs w:val="33"/>
          <w:lang w:val="en-US" w:eastAsia="zh-CN"/>
        </w:rPr>
        <w:t>21.58</w:t>
      </w:r>
      <w:r>
        <w:rPr>
          <w:rFonts w:hint="eastAsia" w:ascii="方正仿宋_GBK" w:hAnsi="方正仿宋_GBK" w:eastAsia="方正仿宋_GBK" w:cs="方正仿宋_GBK"/>
          <w:sz w:val="33"/>
          <w:szCs w:val="33"/>
        </w:rPr>
        <w:t>万元。</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三是发挥案例示范作用，引领良好社会风尚。</w:t>
      </w:r>
      <w:r>
        <w:rPr>
          <w:rFonts w:eastAsia="方正仿宋_GBK"/>
          <w:sz w:val="33"/>
          <w:szCs w:val="33"/>
        </w:rPr>
        <w:t>坚持将社会主义核心价值观融入释法说理，努力把是非判清、规则判明、人心判暖。判决未尽照顾义务的共同饮酒人对醉酒死亡者承担赔偿责任，警示聚餐同饮应履行劝阻、照顾义务。妥善执结全市首例居住权案件，让八旬老人“住有所居”</w:t>
      </w:r>
      <w:r>
        <w:rPr>
          <w:rFonts w:hint="eastAsia" w:eastAsia="方正仿宋_GBK"/>
          <w:sz w:val="33"/>
          <w:szCs w:val="33"/>
        </w:rPr>
        <w:t>，</w:t>
      </w:r>
      <w:r>
        <w:rPr>
          <w:rFonts w:eastAsia="方正仿宋_GBK"/>
          <w:sz w:val="33"/>
          <w:szCs w:val="33"/>
        </w:rPr>
        <w:t>弘扬养老孝老传统美德。</w:t>
      </w:r>
      <w:r>
        <w:rPr>
          <w:rFonts w:hint="eastAsia" w:eastAsia="方正仿宋_GBK"/>
          <w:sz w:val="33"/>
          <w:szCs w:val="33"/>
        </w:rPr>
        <w:t>审结利用网络侵害他人名誉权案，胡某利用抖音发布诋毁他人言论，被判令赔礼道歉并赔偿损失，倡导文明和谐的社会风气。审结李某、郑某等9人组织考试作弊案，被告人分获1至4年不等有期徒刑，助力营造风清气正的考试环境。</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四、</w:t>
      </w:r>
      <w:r>
        <w:rPr>
          <w:rFonts w:hint="eastAsia" w:eastAsia="方正黑体_GBK"/>
          <w:sz w:val="33"/>
          <w:szCs w:val="33"/>
        </w:rPr>
        <w:t>守正创新</w:t>
      </w:r>
      <w:r>
        <w:rPr>
          <w:rFonts w:eastAsia="方正黑体_GBK"/>
          <w:sz w:val="33"/>
          <w:szCs w:val="33"/>
        </w:rPr>
        <w:t>促发展，坚持在深化司法改革中提质增效</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一是深化司法体制改革。</w:t>
      </w:r>
      <w:r>
        <w:rPr>
          <w:rFonts w:eastAsia="方正仿宋_GBK"/>
          <w:sz w:val="33"/>
          <w:szCs w:val="33"/>
        </w:rPr>
        <w:t>加强审判质效动态研判和预警通报，</w:t>
      </w:r>
      <w:r>
        <w:rPr>
          <w:rFonts w:hint="eastAsia" w:eastAsia="方正仿宋_GBK"/>
          <w:sz w:val="33"/>
          <w:szCs w:val="33"/>
        </w:rPr>
        <w:t>清</w:t>
      </w:r>
      <w:r>
        <w:rPr>
          <w:rFonts w:eastAsia="方正仿宋_GBK"/>
          <w:sz w:val="33"/>
          <w:szCs w:val="33"/>
        </w:rPr>
        <w:t>理长期未结案件</w:t>
      </w:r>
      <w:r>
        <w:rPr>
          <w:rFonts w:hint="eastAsia" w:eastAsia="方正仿宋_GBK"/>
          <w:sz w:val="33"/>
          <w:szCs w:val="33"/>
        </w:rPr>
        <w:t>23</w:t>
      </w:r>
      <w:r>
        <w:rPr>
          <w:rFonts w:eastAsia="方正仿宋_GBK"/>
          <w:sz w:val="33"/>
          <w:szCs w:val="33"/>
        </w:rPr>
        <w:t>件，12个月以上未结案件同比下降50%</w:t>
      </w:r>
      <w:r>
        <w:rPr>
          <w:rFonts w:hint="eastAsia" w:eastAsia="方正仿宋_GBK"/>
          <w:sz w:val="33"/>
          <w:szCs w:val="33"/>
        </w:rPr>
        <w:t>。坚持开展每月</w:t>
      </w:r>
      <w:r>
        <w:rPr>
          <w:rFonts w:eastAsia="方正仿宋_GBK"/>
          <w:sz w:val="33"/>
          <w:szCs w:val="33"/>
        </w:rPr>
        <w:t>审判数据会商，</w:t>
      </w:r>
      <w:r>
        <w:rPr>
          <w:rFonts w:hint="eastAsia" w:eastAsia="方正仿宋_GBK"/>
          <w:sz w:val="33"/>
          <w:szCs w:val="33"/>
        </w:rPr>
        <w:t>案件改发率、平均审理天数等多项审判质效指标趋优向好</w:t>
      </w:r>
      <w:r>
        <w:rPr>
          <w:rFonts w:eastAsia="方正仿宋_GBK"/>
          <w:sz w:val="33"/>
          <w:szCs w:val="33"/>
        </w:rPr>
        <w:t>。深化“分调裁审”机制改革，设立速裁审判团队，形成调解、快裁、快审</w:t>
      </w:r>
      <w:r>
        <w:rPr>
          <w:rFonts w:hint="eastAsia" w:eastAsia="方正仿宋_GBK"/>
          <w:sz w:val="33"/>
          <w:szCs w:val="33"/>
        </w:rPr>
        <w:t>一体</w:t>
      </w:r>
      <w:r>
        <w:rPr>
          <w:rFonts w:eastAsia="方正仿宋_GBK"/>
          <w:sz w:val="33"/>
          <w:szCs w:val="33"/>
        </w:rPr>
        <w:t>解纷模式，速裁团队结案</w:t>
      </w:r>
      <w:r>
        <w:rPr>
          <w:rFonts w:hint="eastAsia" w:eastAsia="方正仿宋_GBK"/>
          <w:sz w:val="33"/>
          <w:szCs w:val="33"/>
        </w:rPr>
        <w:t>1723</w:t>
      </w:r>
      <w:r>
        <w:rPr>
          <w:rFonts w:eastAsia="方正仿宋_GBK"/>
          <w:sz w:val="33"/>
          <w:szCs w:val="33"/>
        </w:rPr>
        <w:t>件，平均</w:t>
      </w:r>
      <w:r>
        <w:rPr>
          <w:rFonts w:hint="eastAsia" w:eastAsia="方正仿宋_GBK"/>
          <w:sz w:val="33"/>
          <w:szCs w:val="33"/>
        </w:rPr>
        <w:t>审理天数26</w:t>
      </w:r>
      <w:r>
        <w:rPr>
          <w:rFonts w:eastAsia="方正仿宋_GBK"/>
          <w:sz w:val="33"/>
          <w:szCs w:val="33"/>
        </w:rPr>
        <w:t>天，个人办案数量最多达</w:t>
      </w:r>
      <w:r>
        <w:rPr>
          <w:rFonts w:hint="eastAsia" w:eastAsia="方正仿宋_GBK"/>
          <w:sz w:val="33"/>
          <w:szCs w:val="33"/>
        </w:rPr>
        <w:t>780</w:t>
      </w:r>
      <w:r>
        <w:rPr>
          <w:rFonts w:eastAsia="方正仿宋_GBK"/>
          <w:sz w:val="33"/>
          <w:szCs w:val="33"/>
        </w:rPr>
        <w:t>件。切实维护司法权威，开展整治虚假诉讼</w:t>
      </w:r>
      <w:r>
        <w:rPr>
          <w:rFonts w:hint="eastAsia" w:eastAsia="方正仿宋_GBK"/>
          <w:sz w:val="33"/>
          <w:szCs w:val="33"/>
        </w:rPr>
        <w:t>、恶意诉讼</w:t>
      </w:r>
      <w:r>
        <w:rPr>
          <w:rFonts w:eastAsia="方正仿宋_GBK"/>
          <w:sz w:val="33"/>
          <w:szCs w:val="33"/>
        </w:rPr>
        <w:t>专项行动，</w:t>
      </w:r>
      <w:r>
        <w:rPr>
          <w:rFonts w:hint="eastAsia" w:eastAsia="方正仿宋_GBK"/>
          <w:sz w:val="33"/>
          <w:szCs w:val="33"/>
        </w:rPr>
        <w:t>审结全市首例组织、策划虚假诉讼违规套取公积金案件，判处被告人段某有期徒刑一年，并处罚金人民币二万元</w:t>
      </w:r>
      <w:r>
        <w:rPr>
          <w:rFonts w:eastAsia="方正仿宋_GBK"/>
          <w:sz w:val="33"/>
          <w:szCs w:val="33"/>
        </w:rPr>
        <w:t>。</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二是强化审判权力监督。</w:t>
      </w:r>
      <w:r>
        <w:rPr>
          <w:rFonts w:eastAsia="方正仿宋_GBK"/>
          <w:sz w:val="33"/>
          <w:szCs w:val="33"/>
        </w:rPr>
        <w:t>严格落实院庭长审判监督管理职责，推动院庭长办案常态化，院庭长带头办案</w:t>
      </w:r>
      <w:r>
        <w:rPr>
          <w:rFonts w:hint="eastAsia" w:eastAsia="方正仿宋_GBK"/>
          <w:sz w:val="33"/>
          <w:szCs w:val="33"/>
        </w:rPr>
        <w:t>4741</w:t>
      </w:r>
      <w:r>
        <w:rPr>
          <w:rFonts w:eastAsia="方正仿宋_GBK"/>
          <w:sz w:val="33"/>
          <w:szCs w:val="33"/>
        </w:rPr>
        <w:t>件，占结案总数的</w:t>
      </w:r>
      <w:r>
        <w:rPr>
          <w:rFonts w:hint="eastAsia" w:eastAsia="方正仿宋_GBK"/>
          <w:sz w:val="33"/>
          <w:szCs w:val="33"/>
        </w:rPr>
        <w:t>54</w:t>
      </w:r>
      <w:r>
        <w:rPr>
          <w:rFonts w:eastAsia="方正仿宋_GBK"/>
          <w:sz w:val="33"/>
          <w:szCs w:val="33"/>
        </w:rPr>
        <w:t>%。落实院庭长裁判文书“阅核制”，阅核率</w:t>
      </w:r>
      <w:r>
        <w:rPr>
          <w:rFonts w:hint="eastAsia" w:eastAsia="方正仿宋_GBK"/>
          <w:sz w:val="33"/>
          <w:szCs w:val="33"/>
        </w:rPr>
        <w:t>超25</w:t>
      </w:r>
      <w:r>
        <w:rPr>
          <w:rFonts w:eastAsia="方正仿宋_GBK"/>
          <w:sz w:val="33"/>
          <w:szCs w:val="33"/>
        </w:rPr>
        <w:t>%。扎实推进“一案一码”编码制度试点工作，做好案件全程“静默化监管”。</w:t>
      </w:r>
      <w:r>
        <w:rPr>
          <w:rFonts w:hint="eastAsia" w:eastAsia="方正仿宋_GBK"/>
          <w:color w:val="000000"/>
          <w:sz w:val="33"/>
          <w:szCs w:val="33"/>
        </w:rPr>
        <w:t>发挥</w:t>
      </w:r>
      <w:r>
        <w:rPr>
          <w:rFonts w:eastAsia="方正仿宋_GBK"/>
          <w:color w:val="000000"/>
          <w:sz w:val="33"/>
          <w:szCs w:val="33"/>
        </w:rPr>
        <w:t>审判委员会、专业法官会议监督指导职能，</w:t>
      </w:r>
      <w:r>
        <w:rPr>
          <w:rFonts w:eastAsia="方正仿宋_GBK"/>
          <w:sz w:val="33"/>
          <w:szCs w:val="33"/>
        </w:rPr>
        <w:t>召开审判委员会、专业法官会议</w:t>
      </w:r>
      <w:r>
        <w:rPr>
          <w:rFonts w:hint="eastAsia" w:eastAsia="方正仿宋_GBK"/>
          <w:sz w:val="33"/>
          <w:szCs w:val="33"/>
        </w:rPr>
        <w:t>56</w:t>
      </w:r>
      <w:r>
        <w:rPr>
          <w:rFonts w:eastAsia="方正仿宋_GBK"/>
          <w:sz w:val="33"/>
          <w:szCs w:val="33"/>
        </w:rPr>
        <w:t>次</w:t>
      </w:r>
      <w:r>
        <w:rPr>
          <w:rFonts w:hint="eastAsia" w:eastAsia="方正仿宋_GBK"/>
          <w:sz w:val="33"/>
          <w:szCs w:val="33"/>
        </w:rPr>
        <w:t>。</w:t>
      </w:r>
      <w:r>
        <w:rPr>
          <w:rFonts w:hint="eastAsia" w:ascii="方正仿宋_GBK" w:hAnsi="方正仿宋_GBK" w:eastAsia="方正仿宋_GBK" w:cs="方正仿宋_GBK"/>
          <w:sz w:val="33"/>
          <w:szCs w:val="33"/>
        </w:rPr>
        <w:t>强化</w:t>
      </w:r>
      <w:r>
        <w:rPr>
          <w:rFonts w:ascii="方正仿宋_GBK" w:hAnsi="方正仿宋_GBK" w:eastAsia="方正仿宋_GBK" w:cs="方正仿宋_GBK"/>
          <w:sz w:val="33"/>
          <w:szCs w:val="33"/>
        </w:rPr>
        <w:t>人民法院案例库、法答网、类案检索比对等平台</w:t>
      </w:r>
      <w:r>
        <w:rPr>
          <w:rFonts w:hint="eastAsia" w:ascii="方正仿宋_GBK" w:hAnsi="方正仿宋_GBK" w:eastAsia="方正仿宋_GBK" w:cs="方正仿宋_GBK"/>
          <w:sz w:val="33"/>
          <w:szCs w:val="33"/>
        </w:rPr>
        <w:t>使用</w:t>
      </w:r>
      <w:r>
        <w:rPr>
          <w:rFonts w:eastAsia="方正仿宋_GBK"/>
          <w:sz w:val="33"/>
          <w:szCs w:val="33"/>
        </w:rPr>
        <w:t>，检索案件4.3万次</w:t>
      </w:r>
      <w:r>
        <w:rPr>
          <w:rFonts w:hint="eastAsia" w:eastAsia="方正仿宋_GBK"/>
          <w:sz w:val="33"/>
          <w:szCs w:val="33"/>
        </w:rPr>
        <w:t>，</w:t>
      </w:r>
      <w:r>
        <w:rPr>
          <w:rFonts w:ascii="方正仿宋_GBK" w:hAnsi="方正仿宋_GBK" w:eastAsia="方正仿宋_GBK" w:cs="方正仿宋_GBK"/>
          <w:sz w:val="33"/>
          <w:szCs w:val="33"/>
        </w:rPr>
        <w:t>类案检索比例达</w:t>
      </w:r>
      <w:r>
        <w:rPr>
          <w:rFonts w:eastAsia="方正仿宋_GBK" w:cs="方正仿宋_GBK"/>
          <w:sz w:val="33"/>
          <w:szCs w:val="33"/>
        </w:rPr>
        <w:t>100%</w:t>
      </w:r>
      <w:r>
        <w:rPr>
          <w:rFonts w:hint="eastAsia" w:eastAsia="方正仿宋_GBK" w:cs="方正仿宋_GBK"/>
          <w:sz w:val="33"/>
          <w:szCs w:val="33"/>
        </w:rPr>
        <w:t>。</w:t>
      </w:r>
      <w:r>
        <w:rPr>
          <w:rFonts w:eastAsia="方正仿宋_GBK"/>
          <w:sz w:val="33"/>
          <w:szCs w:val="33"/>
        </w:rPr>
        <w:t>规范审判权力运行，</w:t>
      </w:r>
      <w:r>
        <w:rPr>
          <w:rFonts w:hint="eastAsia" w:eastAsia="方正仿宋_GBK"/>
          <w:sz w:val="33"/>
          <w:szCs w:val="33"/>
        </w:rPr>
        <w:t>开展案件常规随机评查、重点评查、专项评查118件次，发布提醒督办4次。</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w:t>
      </w:r>
      <w:r>
        <w:rPr>
          <w:rFonts w:hint="eastAsia" w:eastAsia="方正仿宋_GBK"/>
          <w:b/>
          <w:sz w:val="33"/>
          <w:szCs w:val="33"/>
        </w:rPr>
        <w:t>深化智慧集约增效</w:t>
      </w:r>
      <w:r>
        <w:rPr>
          <w:rFonts w:eastAsia="方正仿宋_GBK"/>
          <w:b/>
          <w:sz w:val="33"/>
          <w:szCs w:val="33"/>
        </w:rPr>
        <w:t>。</w:t>
      </w:r>
      <w:r>
        <w:rPr>
          <w:rFonts w:hint="eastAsia" w:eastAsia="方正仿宋_GBK"/>
          <w:sz w:val="33"/>
          <w:szCs w:val="33"/>
        </w:rPr>
        <w:t>优质化运行</w:t>
      </w:r>
      <w:r>
        <w:rPr>
          <w:rFonts w:hAnsi="方正仿宋_GBK" w:eastAsia="方正仿宋_GBK"/>
          <w:sz w:val="33"/>
          <w:szCs w:val="33"/>
        </w:rPr>
        <w:t>办案服务保障中心，</w:t>
      </w:r>
      <w:r>
        <w:rPr>
          <w:rFonts w:hint="eastAsia" w:hAnsi="方正仿宋_GBK" w:eastAsia="方正仿宋_GBK"/>
          <w:sz w:val="33"/>
          <w:szCs w:val="33"/>
        </w:rPr>
        <w:t>释放审辅事务集约办理效能，打造</w:t>
      </w:r>
      <w:r>
        <w:rPr>
          <w:rFonts w:eastAsia="方正仿宋_GBK"/>
          <w:sz w:val="33"/>
          <w:szCs w:val="33"/>
        </w:rPr>
        <w:t>集中保全、集中扫描、集中送达</w:t>
      </w:r>
      <w:r>
        <w:rPr>
          <w:rFonts w:hint="eastAsia" w:eastAsia="方正仿宋_GBK"/>
          <w:sz w:val="33"/>
          <w:szCs w:val="33"/>
        </w:rPr>
        <w:t>中心。推进电子档案单套制归档改革，扫描归档卷宗190万页，促进审判执行全过程电子卷宗应用。</w:t>
      </w:r>
      <w:r>
        <w:rPr>
          <w:rFonts w:eastAsia="方正仿宋_GBK"/>
          <w:sz w:val="33"/>
          <w:szCs w:val="33"/>
        </w:rPr>
        <w:t>加强网络司法拍卖，成交</w:t>
      </w:r>
      <w:r>
        <w:rPr>
          <w:rFonts w:hint="eastAsia" w:eastAsia="方正仿宋_GBK"/>
          <w:sz w:val="33"/>
          <w:szCs w:val="33"/>
        </w:rPr>
        <w:t>119</w:t>
      </w:r>
      <w:r>
        <w:rPr>
          <w:rFonts w:eastAsia="方正仿宋_GBK"/>
          <w:sz w:val="33"/>
          <w:szCs w:val="33"/>
        </w:rPr>
        <w:t>件，成交金额</w:t>
      </w:r>
      <w:r>
        <w:rPr>
          <w:rFonts w:hint="eastAsia" w:eastAsia="方正仿宋_GBK"/>
          <w:sz w:val="33"/>
          <w:szCs w:val="33"/>
        </w:rPr>
        <w:t>1.57亿</w:t>
      </w:r>
      <w:r>
        <w:rPr>
          <w:rFonts w:eastAsia="方正仿宋_GBK"/>
          <w:sz w:val="33"/>
          <w:szCs w:val="33"/>
        </w:rPr>
        <w:t>元，确保双方当事人利益最大化。</w:t>
      </w:r>
      <w:r>
        <w:rPr>
          <w:rFonts w:hint="eastAsia" w:eastAsia="方正仿宋_GBK"/>
          <w:sz w:val="33"/>
          <w:szCs w:val="33"/>
        </w:rPr>
        <w:t>积极</w:t>
      </w:r>
      <w:r>
        <w:rPr>
          <w:rFonts w:eastAsia="方正仿宋_GBK"/>
          <w:sz w:val="33"/>
          <w:szCs w:val="33"/>
        </w:rPr>
        <w:t>推动全流程在线办案工作，</w:t>
      </w:r>
      <w:r>
        <w:rPr>
          <w:rFonts w:hint="eastAsia" w:eastAsia="方正仿宋_GBK"/>
          <w:sz w:val="33"/>
          <w:szCs w:val="33"/>
        </w:rPr>
        <w:t>改建</w:t>
      </w:r>
      <w:r>
        <w:rPr>
          <w:rFonts w:eastAsia="方正仿宋_GBK"/>
          <w:sz w:val="33"/>
          <w:szCs w:val="33"/>
        </w:rPr>
        <w:t>融合法庭2个，实现远程开庭、语音转换、电子签名，庭审更智能、高效、便捷。</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黑体_GBK"/>
          <w:sz w:val="33"/>
          <w:szCs w:val="33"/>
        </w:rPr>
      </w:pPr>
      <w:r>
        <w:rPr>
          <w:rFonts w:eastAsia="方正黑体_GBK"/>
          <w:sz w:val="33"/>
          <w:szCs w:val="33"/>
        </w:rPr>
        <w:t>五、重勤廉优</w:t>
      </w:r>
      <w:r>
        <w:rPr>
          <w:rFonts w:hint="eastAsia" w:eastAsia="方正黑体_GBK"/>
          <w:sz w:val="33"/>
          <w:szCs w:val="33"/>
        </w:rPr>
        <w:t>提</w:t>
      </w:r>
      <w:r>
        <w:rPr>
          <w:rFonts w:eastAsia="方正黑体_GBK"/>
          <w:sz w:val="33"/>
          <w:szCs w:val="33"/>
        </w:rPr>
        <w:t>效能，</w:t>
      </w:r>
      <w:r>
        <w:rPr>
          <w:rFonts w:hint="eastAsia" w:eastAsia="方正黑体_GBK"/>
          <w:sz w:val="33"/>
          <w:szCs w:val="33"/>
        </w:rPr>
        <w:t>坚持</w:t>
      </w:r>
      <w:r>
        <w:rPr>
          <w:rFonts w:eastAsia="方正黑体_GBK"/>
          <w:sz w:val="33"/>
          <w:szCs w:val="33"/>
        </w:rPr>
        <w:t>在锻造过硬队伍中凝聚力量</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一是</w:t>
      </w:r>
      <w:r>
        <w:rPr>
          <w:rFonts w:hint="eastAsia" w:eastAsia="方正仿宋_GBK"/>
          <w:b/>
          <w:sz w:val="33"/>
          <w:szCs w:val="33"/>
        </w:rPr>
        <w:t>坚定捍卫筑牢政治忠诚</w:t>
      </w:r>
      <w:r>
        <w:rPr>
          <w:rFonts w:eastAsia="方正仿宋_GBK"/>
          <w:b/>
          <w:sz w:val="33"/>
          <w:szCs w:val="33"/>
        </w:rPr>
        <w:t>。</w:t>
      </w:r>
      <w:r>
        <w:rPr>
          <w:rFonts w:eastAsia="方正仿宋_GBK"/>
          <w:sz w:val="33"/>
          <w:szCs w:val="33"/>
        </w:rPr>
        <w:t>始终把党的政治建设摆在首位，深入学习党的</w:t>
      </w:r>
      <w:r>
        <w:rPr>
          <w:rFonts w:hint="eastAsia" w:eastAsia="方正仿宋_GBK"/>
          <w:sz w:val="33"/>
          <w:szCs w:val="33"/>
          <w:lang w:eastAsia="zh-CN"/>
        </w:rPr>
        <w:t>二十大和</w:t>
      </w:r>
      <w:r>
        <w:rPr>
          <w:rFonts w:eastAsia="方正仿宋_GBK"/>
          <w:sz w:val="33"/>
          <w:szCs w:val="33"/>
        </w:rPr>
        <w:t>二十届三中全会精神，规范第一议题、党组理论中心组、支部集体学习等制度，组织集中学教活动</w:t>
      </w:r>
      <w:r>
        <w:rPr>
          <w:rFonts w:hint="eastAsia" w:eastAsia="方正仿宋_GBK"/>
          <w:sz w:val="33"/>
          <w:szCs w:val="33"/>
        </w:rPr>
        <w:t>40</w:t>
      </w:r>
      <w:r>
        <w:rPr>
          <w:rFonts w:eastAsia="方正仿宋_GBK"/>
          <w:sz w:val="33"/>
          <w:szCs w:val="33"/>
        </w:rPr>
        <w:t>场次。深化党员教育，依托三线教育资源开展政治理论学习</w:t>
      </w:r>
      <w:r>
        <w:rPr>
          <w:rFonts w:hint="eastAsia" w:eastAsia="方正仿宋_GBK"/>
          <w:sz w:val="33"/>
          <w:szCs w:val="33"/>
        </w:rPr>
        <w:t>12</w:t>
      </w:r>
      <w:r>
        <w:rPr>
          <w:rFonts w:eastAsia="方正仿宋_GBK"/>
          <w:sz w:val="33"/>
          <w:szCs w:val="33"/>
        </w:rPr>
        <w:t>期、党性教育20期。严守政治规矩，严格落实重大事项请示报告制度，向区委、区委政法委请示报告重大事项</w:t>
      </w:r>
      <w:r>
        <w:rPr>
          <w:rFonts w:hint="eastAsia" w:eastAsia="方正仿宋_GBK"/>
          <w:sz w:val="33"/>
          <w:szCs w:val="33"/>
        </w:rPr>
        <w:t>1</w:t>
      </w:r>
      <w:r>
        <w:rPr>
          <w:rFonts w:hint="eastAsia" w:eastAsia="方正仿宋_GBK"/>
          <w:sz w:val="33"/>
          <w:szCs w:val="33"/>
          <w:lang w:val="en-US" w:eastAsia="zh-CN"/>
        </w:rPr>
        <w:t>5</w:t>
      </w:r>
      <w:r>
        <w:rPr>
          <w:rFonts w:hint="eastAsia" w:eastAsia="方正仿宋_GBK"/>
          <w:sz w:val="33"/>
          <w:szCs w:val="33"/>
          <w:lang w:eastAsia="zh-CN"/>
        </w:rPr>
        <w:t>次</w:t>
      </w:r>
      <w:r>
        <w:rPr>
          <w:rFonts w:eastAsia="方正仿宋_GBK"/>
          <w:sz w:val="33"/>
          <w:szCs w:val="33"/>
        </w:rPr>
        <w:t>。严格落实意识形态工作责任制，党组每季度专题分析研判意识形态工作，严格把方向、抓导向、管阵地。</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二是</w:t>
      </w:r>
      <w:r>
        <w:rPr>
          <w:rFonts w:hint="eastAsia" w:eastAsia="方正仿宋_GBK"/>
          <w:b/>
          <w:sz w:val="33"/>
          <w:szCs w:val="33"/>
        </w:rPr>
        <w:t>崇学尚研提升能力素养</w:t>
      </w:r>
      <w:r>
        <w:rPr>
          <w:rFonts w:eastAsia="方正仿宋_GBK"/>
          <w:b/>
          <w:sz w:val="33"/>
          <w:szCs w:val="33"/>
        </w:rPr>
        <w:t>。</w:t>
      </w:r>
      <w:r>
        <w:rPr>
          <w:rFonts w:eastAsia="方正仿宋_GBK"/>
          <w:sz w:val="33"/>
          <w:szCs w:val="33"/>
        </w:rPr>
        <w:t>鲜明重实干、重实绩的用人导向，修订员额法官、法官助理、司法行政人员等分类考核办法，激活队伍内生动力。增强干警履职能力，开展职业化培训</w:t>
      </w:r>
      <w:r>
        <w:rPr>
          <w:rFonts w:hint="eastAsia" w:eastAsia="方正仿宋_GBK"/>
          <w:sz w:val="33"/>
          <w:szCs w:val="33"/>
        </w:rPr>
        <w:t>66</w:t>
      </w:r>
      <w:r>
        <w:rPr>
          <w:rFonts w:eastAsia="方正仿宋_GBK"/>
          <w:sz w:val="33"/>
          <w:szCs w:val="33"/>
        </w:rPr>
        <w:t>期</w:t>
      </w:r>
      <w:r>
        <w:rPr>
          <w:rFonts w:hint="eastAsia" w:eastAsia="方正仿宋_GBK"/>
          <w:sz w:val="33"/>
          <w:szCs w:val="33"/>
        </w:rPr>
        <w:t>969</w:t>
      </w:r>
      <w:r>
        <w:rPr>
          <w:rFonts w:eastAsia="方正仿宋_GBK"/>
          <w:sz w:val="33"/>
          <w:szCs w:val="33"/>
        </w:rPr>
        <w:t>人次。大力推行业务精品工程，院领导牵头开展课题调研</w:t>
      </w:r>
      <w:r>
        <w:rPr>
          <w:rFonts w:hint="eastAsia" w:eastAsia="方正仿宋_GBK"/>
          <w:sz w:val="33"/>
          <w:szCs w:val="33"/>
        </w:rPr>
        <w:t>2</w:t>
      </w:r>
      <w:r>
        <w:rPr>
          <w:rFonts w:eastAsia="方正仿宋_GBK"/>
          <w:sz w:val="33"/>
          <w:szCs w:val="33"/>
        </w:rPr>
        <w:t>项，其中省高院重点课题1项，调研论文、案例在</w:t>
      </w:r>
      <w:r>
        <w:rPr>
          <w:rFonts w:hint="eastAsia" w:ascii="方正仿宋_GBK" w:eastAsia="方正仿宋_GBK"/>
          <w:sz w:val="32"/>
          <w:szCs w:val="32"/>
        </w:rPr>
        <w:t>“</w:t>
      </w:r>
      <w:r>
        <w:rPr>
          <w:rFonts w:hint="eastAsia" w:ascii="方正仿宋_GBK" w:hAnsi="方正仿宋_GBK" w:eastAsia="方正仿宋_GBK"/>
          <w:sz w:val="32"/>
          <w:szCs w:val="32"/>
        </w:rPr>
        <w:t>治蜀兴川</w:t>
      </w:r>
      <w:r>
        <w:rPr>
          <w:rFonts w:hint="eastAsia" w:ascii="方正仿宋_GBK" w:eastAsia="方正仿宋_GBK"/>
          <w:sz w:val="32"/>
          <w:szCs w:val="32"/>
        </w:rPr>
        <w:t>”</w:t>
      </w:r>
      <w:r>
        <w:rPr>
          <w:rFonts w:hint="eastAsia" w:ascii="方正仿宋_GBK" w:eastAsia="方正仿宋_GBK"/>
          <w:sz w:val="33"/>
          <w:szCs w:val="33"/>
        </w:rPr>
        <w:t>“</w:t>
      </w:r>
      <w:r>
        <w:rPr>
          <w:rFonts w:hint="eastAsia" w:ascii="方正仿宋_GBK" w:hAnsi="方正仿宋_GBK" w:eastAsia="方正仿宋_GBK"/>
          <w:sz w:val="32"/>
          <w:szCs w:val="32"/>
        </w:rPr>
        <w:t>《民法典》天府论坛</w:t>
      </w:r>
      <w:r>
        <w:rPr>
          <w:rFonts w:hint="eastAsia" w:ascii="方正仿宋_GBK" w:eastAsia="方正仿宋_GBK"/>
          <w:sz w:val="33"/>
          <w:szCs w:val="33"/>
        </w:rPr>
        <w:t>”</w:t>
      </w:r>
      <w:r>
        <w:rPr>
          <w:rFonts w:hAnsi="方正仿宋_GBK" w:eastAsia="方正仿宋_GBK"/>
          <w:sz w:val="32"/>
          <w:szCs w:val="32"/>
        </w:rPr>
        <w:t>等省市奖项</w:t>
      </w:r>
      <w:r>
        <w:rPr>
          <w:rFonts w:hint="eastAsia" w:hAnsi="方正仿宋_GBK" w:eastAsia="方正仿宋_GBK"/>
          <w:sz w:val="32"/>
          <w:szCs w:val="32"/>
          <w:lang w:eastAsia="zh-CN"/>
        </w:rPr>
        <w:t>评选</w:t>
      </w:r>
      <w:r>
        <w:rPr>
          <w:rFonts w:hAnsi="方正仿宋_GBK" w:eastAsia="方正仿宋_GBK"/>
          <w:sz w:val="32"/>
          <w:szCs w:val="32"/>
        </w:rPr>
        <w:t>中获奖</w:t>
      </w:r>
      <w:r>
        <w:rPr>
          <w:rFonts w:eastAsia="方正仿宋_GBK"/>
          <w:sz w:val="32"/>
          <w:szCs w:val="32"/>
        </w:rPr>
        <w:t>6</w:t>
      </w:r>
      <w:r>
        <w:rPr>
          <w:rFonts w:hAnsi="方正仿宋_GBK" w:eastAsia="方正仿宋_GBK"/>
          <w:sz w:val="32"/>
          <w:szCs w:val="32"/>
        </w:rPr>
        <w:t>篇。</w:t>
      </w:r>
      <w:r>
        <w:rPr>
          <w:rFonts w:eastAsia="方正仿宋_GBK"/>
          <w:sz w:val="33"/>
          <w:szCs w:val="33"/>
        </w:rPr>
        <w:t>获评</w:t>
      </w:r>
      <w:r>
        <w:rPr>
          <w:rFonts w:hint="eastAsia" w:ascii="方正仿宋_GBK" w:eastAsia="方正仿宋_GBK"/>
          <w:sz w:val="33"/>
          <w:szCs w:val="33"/>
        </w:rPr>
        <w:t>全省“十佳裁判文书”</w:t>
      </w:r>
      <w:r>
        <w:rPr>
          <w:rFonts w:hint="eastAsia" w:eastAsia="方正仿宋_GBK"/>
          <w:sz w:val="33"/>
          <w:szCs w:val="33"/>
        </w:rPr>
        <w:t>1</w:t>
      </w:r>
      <w:r>
        <w:rPr>
          <w:rFonts w:eastAsia="方正仿宋_GBK"/>
          <w:sz w:val="33"/>
          <w:szCs w:val="33"/>
        </w:rPr>
        <w:t>篇，入选全省法院优秀庭审</w:t>
      </w:r>
      <w:r>
        <w:rPr>
          <w:rFonts w:hint="eastAsia" w:eastAsia="方正仿宋_GBK"/>
          <w:sz w:val="33"/>
          <w:szCs w:val="33"/>
        </w:rPr>
        <w:t>1</w:t>
      </w:r>
      <w:r>
        <w:rPr>
          <w:rFonts w:eastAsia="方正仿宋_GBK"/>
          <w:sz w:val="33"/>
          <w:szCs w:val="33"/>
        </w:rPr>
        <w:t>场</w:t>
      </w:r>
      <w:r>
        <w:rPr>
          <w:rFonts w:hint="eastAsia" w:eastAsia="方正仿宋_GBK"/>
          <w:sz w:val="33"/>
          <w:szCs w:val="33"/>
        </w:rPr>
        <w:t>，</w:t>
      </w:r>
      <w:r>
        <w:rPr>
          <w:rFonts w:eastAsia="方正仿宋_GBK"/>
          <w:sz w:val="33"/>
          <w:szCs w:val="33"/>
        </w:rPr>
        <w:t>入</w:t>
      </w:r>
      <w:r>
        <w:rPr>
          <w:rFonts w:hint="eastAsia" w:ascii="方正仿宋_GBK" w:eastAsia="方正仿宋_GBK"/>
          <w:sz w:val="33"/>
          <w:szCs w:val="33"/>
        </w:rPr>
        <w:t>选全市法院“十佳庭审”</w:t>
      </w:r>
      <w:r>
        <w:rPr>
          <w:rFonts w:hint="eastAsia" w:eastAsia="方正仿宋_GBK"/>
          <w:sz w:val="33"/>
          <w:szCs w:val="33"/>
        </w:rPr>
        <w:t>2</w:t>
      </w:r>
      <w:r>
        <w:rPr>
          <w:rFonts w:eastAsia="方正仿宋_GBK"/>
          <w:sz w:val="33"/>
          <w:szCs w:val="33"/>
        </w:rPr>
        <w:t>场、</w:t>
      </w:r>
      <w:r>
        <w:rPr>
          <w:rFonts w:hint="eastAsia" w:eastAsia="方正仿宋_GBK"/>
          <w:sz w:val="33"/>
          <w:szCs w:val="33"/>
        </w:rPr>
        <w:t>优秀庭审5场、</w:t>
      </w:r>
      <w:r>
        <w:rPr>
          <w:rFonts w:eastAsia="方正仿宋_GBK"/>
          <w:sz w:val="33"/>
          <w:szCs w:val="33"/>
        </w:rPr>
        <w:t>优秀裁判文书</w:t>
      </w:r>
      <w:r>
        <w:rPr>
          <w:rFonts w:hint="eastAsia" w:eastAsia="方正仿宋_GBK"/>
          <w:sz w:val="33"/>
          <w:szCs w:val="33"/>
        </w:rPr>
        <w:t>5</w:t>
      </w:r>
      <w:r>
        <w:rPr>
          <w:rFonts w:eastAsia="方正仿宋_GBK"/>
          <w:sz w:val="33"/>
          <w:szCs w:val="33"/>
        </w:rPr>
        <w:t>篇。</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b/>
          <w:sz w:val="33"/>
          <w:szCs w:val="33"/>
        </w:rPr>
        <w:t>三是</w:t>
      </w:r>
      <w:r>
        <w:rPr>
          <w:rFonts w:hint="eastAsia" w:eastAsia="方正仿宋_GBK"/>
          <w:b/>
          <w:sz w:val="33"/>
          <w:szCs w:val="33"/>
        </w:rPr>
        <w:t>真管真严建设勤廉法院</w:t>
      </w:r>
      <w:r>
        <w:rPr>
          <w:rFonts w:eastAsia="方正仿宋_GBK"/>
          <w:b/>
          <w:sz w:val="33"/>
          <w:szCs w:val="33"/>
        </w:rPr>
        <w:t>。</w:t>
      </w:r>
      <w:r>
        <w:rPr>
          <w:rFonts w:eastAsia="方正仿宋_GBK"/>
          <w:sz w:val="33"/>
          <w:szCs w:val="33"/>
        </w:rPr>
        <w:t>深入开展司法作风突出问题集中整治，完成问题整改</w:t>
      </w:r>
      <w:r>
        <w:rPr>
          <w:rFonts w:hint="eastAsia" w:eastAsia="方正仿宋_GBK"/>
          <w:sz w:val="33"/>
          <w:szCs w:val="33"/>
        </w:rPr>
        <w:t>10</w:t>
      </w:r>
      <w:r>
        <w:rPr>
          <w:rFonts w:eastAsia="方正仿宋_GBK"/>
          <w:sz w:val="33"/>
          <w:szCs w:val="33"/>
        </w:rPr>
        <w:t>个，全面破解司法作风“问题圈”“顽疾链”。压实党风廉政建设主体责任，扎实推进以案促改，开展专题廉政党课</w:t>
      </w:r>
      <w:r>
        <w:rPr>
          <w:rFonts w:hint="eastAsia" w:eastAsia="方正仿宋_GBK"/>
          <w:sz w:val="33"/>
          <w:szCs w:val="33"/>
        </w:rPr>
        <w:t>4</w:t>
      </w:r>
      <w:r>
        <w:rPr>
          <w:rFonts w:eastAsia="方正仿宋_GBK"/>
          <w:sz w:val="33"/>
          <w:szCs w:val="33"/>
        </w:rPr>
        <w:t>次，开展集中警示教育</w:t>
      </w:r>
      <w:r>
        <w:rPr>
          <w:rFonts w:hint="eastAsia" w:eastAsia="方正仿宋_GBK"/>
          <w:sz w:val="33"/>
          <w:szCs w:val="33"/>
        </w:rPr>
        <w:t>8</w:t>
      </w:r>
      <w:r>
        <w:rPr>
          <w:rFonts w:eastAsia="方正仿宋_GBK"/>
          <w:sz w:val="33"/>
          <w:szCs w:val="33"/>
        </w:rPr>
        <w:t>次</w:t>
      </w:r>
      <w:r>
        <w:rPr>
          <w:rFonts w:hint="eastAsia" w:eastAsia="方正仿宋_GBK"/>
          <w:sz w:val="33"/>
          <w:szCs w:val="33"/>
          <w:lang w:eastAsia="zh-CN"/>
        </w:rPr>
        <w:t>，</w:t>
      </w:r>
      <w:r>
        <w:rPr>
          <w:rFonts w:eastAsia="方正仿宋_GBK"/>
          <w:sz w:val="33"/>
          <w:szCs w:val="33"/>
        </w:rPr>
        <w:t>开展干部任前谈话</w:t>
      </w:r>
      <w:r>
        <w:rPr>
          <w:rFonts w:hint="eastAsia" w:eastAsia="方正仿宋_GBK"/>
          <w:sz w:val="33"/>
          <w:szCs w:val="33"/>
        </w:rPr>
        <w:t>15</w:t>
      </w:r>
      <w:r>
        <w:rPr>
          <w:rFonts w:eastAsia="方正仿宋_GBK"/>
          <w:sz w:val="33"/>
          <w:szCs w:val="33"/>
        </w:rPr>
        <w:t>人次。</w:t>
      </w:r>
      <w:r>
        <w:rPr>
          <w:rFonts w:hint="eastAsia" w:eastAsia="方正仿宋_GBK"/>
          <w:sz w:val="33"/>
          <w:szCs w:val="33"/>
          <w:lang w:val="en-US" w:eastAsia="zh-CN"/>
        </w:rPr>
        <w:t>严格执行</w:t>
      </w:r>
      <w:r>
        <w:rPr>
          <w:rFonts w:hint="default" w:eastAsia="方正仿宋_GBK"/>
          <w:sz w:val="33"/>
          <w:szCs w:val="33"/>
          <w:lang w:val="en-US" w:eastAsia="zh-CN"/>
        </w:rPr>
        <w:t>“三非”</w:t>
      </w:r>
      <w:r>
        <w:rPr>
          <w:rFonts w:hint="eastAsia" w:eastAsia="方正仿宋_GBK"/>
          <w:sz w:val="33"/>
          <w:szCs w:val="33"/>
          <w:lang w:val="en-US" w:eastAsia="zh-CN"/>
        </w:rPr>
        <w:t>工作机制和</w:t>
      </w:r>
      <w:r>
        <w:rPr>
          <w:rFonts w:hint="default" w:eastAsia="方正仿宋_GBK"/>
          <w:sz w:val="33"/>
          <w:szCs w:val="33"/>
          <w:lang w:val="en-US" w:eastAsia="zh-CN"/>
        </w:rPr>
        <w:t>防止干预司法“三个规定”</w:t>
      </w:r>
      <w:r>
        <w:rPr>
          <w:rFonts w:hint="eastAsia" w:eastAsia="方正仿宋_GBK"/>
          <w:sz w:val="33"/>
          <w:szCs w:val="33"/>
          <w:lang w:val="en-US" w:eastAsia="zh-CN"/>
        </w:rPr>
        <w:t>制度</w:t>
      </w:r>
      <w:r>
        <w:rPr>
          <w:rFonts w:eastAsia="方正仿宋_GBK"/>
          <w:sz w:val="33"/>
          <w:szCs w:val="33"/>
        </w:rPr>
        <w:t>，记录填报过问案件情况</w:t>
      </w:r>
      <w:r>
        <w:rPr>
          <w:rFonts w:hint="eastAsia" w:eastAsia="方正仿宋_GBK"/>
          <w:sz w:val="33"/>
          <w:szCs w:val="33"/>
        </w:rPr>
        <w:t>1400余</w:t>
      </w:r>
      <w:r>
        <w:rPr>
          <w:rFonts w:eastAsia="方正仿宋_GBK"/>
          <w:sz w:val="33"/>
          <w:szCs w:val="33"/>
        </w:rPr>
        <w:t>条，</w:t>
      </w:r>
      <w:r>
        <w:rPr>
          <w:rFonts w:hint="eastAsia" w:eastAsia="方正仿宋_GBK"/>
          <w:sz w:val="33"/>
          <w:szCs w:val="33"/>
        </w:rPr>
        <w:t>做到</w:t>
      </w:r>
      <w:r>
        <w:rPr>
          <w:rFonts w:eastAsia="方正仿宋_GBK"/>
          <w:sz w:val="33"/>
          <w:szCs w:val="33"/>
        </w:rPr>
        <w:t>逢问必录、逢问必报。积极打造党风廉政教育实践基地，组织党政机关、企事业单位干部职工旁听职务犯罪庭审</w:t>
      </w:r>
      <w:r>
        <w:rPr>
          <w:rFonts w:hint="eastAsia" w:eastAsia="方正仿宋_GBK"/>
          <w:sz w:val="33"/>
          <w:szCs w:val="33"/>
        </w:rPr>
        <w:t>1200</w:t>
      </w:r>
      <w:r>
        <w:rPr>
          <w:rFonts w:eastAsia="方正仿宋_GBK"/>
          <w:sz w:val="33"/>
          <w:szCs w:val="33"/>
        </w:rPr>
        <w:t>余人次，进一步提升反腐倡廉教育鲜活性。</w:t>
      </w:r>
    </w:p>
    <w:p>
      <w:pPr>
        <w:keepNext w:val="0"/>
        <w:keepLines w:val="0"/>
        <w:pageBreakBefore w:val="0"/>
        <w:numPr>
          <w:ilvl w:val="0"/>
          <w:numId w:val="2"/>
        </w:numPr>
        <w:kinsoku/>
        <w:wordWrap/>
        <w:overflowPunct/>
        <w:topLinePunct w:val="0"/>
        <w:autoSpaceDN/>
        <w:bidi w:val="0"/>
        <w:snapToGrid/>
        <w:spacing w:line="560" w:lineRule="exact"/>
        <w:ind w:left="210" w:firstLine="660" w:firstLineChars="200"/>
        <w:jc w:val="both"/>
        <w:textAlignment w:val="auto"/>
        <w:rPr>
          <w:rFonts w:eastAsia="方正黑体_GBK"/>
          <w:sz w:val="33"/>
          <w:szCs w:val="33"/>
        </w:rPr>
      </w:pPr>
      <w:r>
        <w:rPr>
          <w:rFonts w:eastAsia="方正黑体_GBK"/>
          <w:sz w:val="33"/>
          <w:szCs w:val="33"/>
        </w:rPr>
        <w:t>公开</w:t>
      </w:r>
      <w:r>
        <w:rPr>
          <w:rFonts w:hint="eastAsia" w:eastAsia="方正黑体_GBK"/>
          <w:sz w:val="33"/>
          <w:szCs w:val="33"/>
        </w:rPr>
        <w:t>透明</w:t>
      </w:r>
      <w:r>
        <w:rPr>
          <w:rFonts w:eastAsia="方正黑体_GBK"/>
          <w:sz w:val="33"/>
          <w:szCs w:val="33"/>
        </w:rPr>
        <w:t>树公信，</w:t>
      </w:r>
      <w:r>
        <w:rPr>
          <w:rFonts w:hint="eastAsia" w:eastAsia="方正黑体_GBK"/>
          <w:sz w:val="33"/>
          <w:szCs w:val="33"/>
        </w:rPr>
        <w:t>坚持</w:t>
      </w:r>
      <w:r>
        <w:rPr>
          <w:rFonts w:eastAsia="方正黑体_GBK"/>
          <w:sz w:val="33"/>
          <w:szCs w:val="33"/>
        </w:rPr>
        <w:t>在践行司法民主中改进工</w:t>
      </w:r>
      <w:r>
        <w:rPr>
          <w:rFonts w:hint="eastAsia" w:eastAsia="方正黑体_GBK"/>
          <w:sz w:val="33"/>
          <w:szCs w:val="33"/>
          <w:lang w:eastAsia="zh-CN"/>
        </w:rPr>
        <w:t>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jc w:val="both"/>
        <w:textAlignment w:val="auto"/>
        <w:rPr>
          <w:rFonts w:eastAsia="方正仿宋_GBK"/>
          <w:sz w:val="33"/>
          <w:szCs w:val="33"/>
        </w:rPr>
      </w:pPr>
      <w:r>
        <w:rPr>
          <w:rFonts w:eastAsia="方正仿宋_GBK"/>
          <w:sz w:val="33"/>
          <w:szCs w:val="33"/>
        </w:rPr>
        <w:t>认真贯彻落实全过程人民民主，将自觉接受人大和社会各界监督转化为推动工作发展的强大动力。主动向区人大及其常委会报告重大工作和依法履职情况，认真接受区人大常委会专题调研指导。</w:t>
      </w:r>
      <w:r>
        <w:rPr>
          <w:rFonts w:hint="eastAsia" w:eastAsia="方正仿宋_GBK"/>
          <w:sz w:val="33"/>
          <w:szCs w:val="33"/>
        </w:rPr>
        <w:t>真诚</w:t>
      </w:r>
      <w:r>
        <w:rPr>
          <w:rFonts w:eastAsia="方正仿宋_GBK"/>
          <w:sz w:val="33"/>
          <w:szCs w:val="33"/>
        </w:rPr>
        <w:t>接受</w:t>
      </w:r>
      <w:r>
        <w:rPr>
          <w:rFonts w:hint="eastAsia" w:eastAsia="方正仿宋_GBK"/>
          <w:sz w:val="33"/>
          <w:szCs w:val="33"/>
        </w:rPr>
        <w:t>区</w:t>
      </w:r>
      <w:r>
        <w:rPr>
          <w:rFonts w:eastAsia="方正仿宋_GBK"/>
          <w:sz w:val="33"/>
          <w:szCs w:val="33"/>
        </w:rPr>
        <w:t>政协</w:t>
      </w:r>
      <w:r>
        <w:rPr>
          <w:rFonts w:hint="eastAsia" w:eastAsia="方正仿宋_GBK"/>
          <w:sz w:val="33"/>
          <w:szCs w:val="33"/>
        </w:rPr>
        <w:t>和各民主党派、工商联、无党派人士</w:t>
      </w:r>
      <w:r>
        <w:rPr>
          <w:rFonts w:eastAsia="方正仿宋_GBK"/>
          <w:sz w:val="33"/>
          <w:szCs w:val="33"/>
        </w:rPr>
        <w:t>民主监督，</w:t>
      </w:r>
      <w:r>
        <w:rPr>
          <w:rFonts w:hint="eastAsia" w:eastAsia="方正仿宋_GBK"/>
          <w:sz w:val="33"/>
          <w:szCs w:val="33"/>
        </w:rPr>
        <w:t>及时</w:t>
      </w:r>
      <w:r>
        <w:rPr>
          <w:rFonts w:eastAsia="方正仿宋_GBK"/>
          <w:sz w:val="33"/>
          <w:szCs w:val="33"/>
        </w:rPr>
        <w:t>通报法院工作情况。强化代表委员日常联络工作，邀请代表委员视察座谈、旁听庭审、见证执行等5次。依法接受检察机关法律监督，邀请检察长列席审判委员会会议</w:t>
      </w:r>
      <w:r>
        <w:rPr>
          <w:rFonts w:hint="eastAsia" w:eastAsia="方正仿宋_GBK"/>
          <w:sz w:val="33"/>
          <w:szCs w:val="33"/>
        </w:rPr>
        <w:t>4</w:t>
      </w:r>
      <w:r>
        <w:rPr>
          <w:rFonts w:eastAsia="方正仿宋_GBK"/>
          <w:sz w:val="33"/>
          <w:szCs w:val="33"/>
        </w:rPr>
        <w:t>次。</w:t>
      </w:r>
      <w:r>
        <w:rPr>
          <w:rFonts w:hint="eastAsia" w:eastAsia="方正仿宋_GBK"/>
          <w:sz w:val="33"/>
          <w:szCs w:val="33"/>
        </w:rPr>
        <w:t>充分发挥人民陪审员作用</w:t>
      </w:r>
      <w:r>
        <w:rPr>
          <w:rFonts w:eastAsia="方正仿宋_GBK"/>
          <w:sz w:val="33"/>
          <w:szCs w:val="33"/>
        </w:rPr>
        <w:t>，人民陪审员参审案件</w:t>
      </w:r>
      <w:r>
        <w:rPr>
          <w:rFonts w:hint="eastAsia" w:eastAsia="方正仿宋_GBK"/>
          <w:sz w:val="33"/>
          <w:szCs w:val="33"/>
        </w:rPr>
        <w:t>449</w:t>
      </w:r>
      <w:r>
        <w:rPr>
          <w:rFonts w:eastAsia="方正仿宋_GBK"/>
          <w:sz w:val="33"/>
          <w:szCs w:val="33"/>
        </w:rPr>
        <w:t>件。广泛接受社会监督，公布裁判文书</w:t>
      </w:r>
      <w:r>
        <w:rPr>
          <w:rFonts w:hint="eastAsia" w:eastAsia="方正仿宋_GBK"/>
          <w:sz w:val="33"/>
          <w:szCs w:val="33"/>
        </w:rPr>
        <w:t>2104</w:t>
      </w:r>
      <w:r>
        <w:rPr>
          <w:rFonts w:eastAsia="方正仿宋_GBK"/>
          <w:sz w:val="33"/>
          <w:szCs w:val="33"/>
        </w:rPr>
        <w:t>篇，公开案件信息</w:t>
      </w:r>
      <w:r>
        <w:rPr>
          <w:rFonts w:hint="eastAsia" w:eastAsia="方正仿宋_GBK"/>
          <w:sz w:val="33"/>
          <w:szCs w:val="33"/>
        </w:rPr>
        <w:t>8391</w:t>
      </w:r>
      <w:r>
        <w:rPr>
          <w:rFonts w:eastAsia="方正仿宋_GBK"/>
          <w:sz w:val="33"/>
          <w:szCs w:val="33"/>
        </w:rPr>
        <w:t>件，依托区法院微信公众号、新浪微博等平台公开各类信息</w:t>
      </w:r>
      <w:r>
        <w:rPr>
          <w:rFonts w:hint="eastAsia" w:eastAsia="方正仿宋_GBK"/>
          <w:sz w:val="33"/>
          <w:szCs w:val="33"/>
        </w:rPr>
        <w:t>274</w:t>
      </w:r>
      <w:r>
        <w:rPr>
          <w:rFonts w:eastAsia="方正仿宋_GBK"/>
          <w:sz w:val="33"/>
          <w:szCs w:val="33"/>
        </w:rPr>
        <w:t>条，深化与舆论良性互动。</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eastAsia="方正仿宋_GBK"/>
          <w:sz w:val="33"/>
          <w:szCs w:val="33"/>
        </w:rPr>
      </w:pPr>
      <w:r>
        <w:rPr>
          <w:rFonts w:eastAsia="方正仿宋_GBK"/>
          <w:sz w:val="33"/>
          <w:szCs w:val="33"/>
        </w:rPr>
        <w:t>各位代表，</w:t>
      </w:r>
      <w:r>
        <w:rPr>
          <w:rFonts w:hint="eastAsia" w:eastAsia="方正仿宋_GBK"/>
          <w:sz w:val="33"/>
          <w:szCs w:val="33"/>
        </w:rPr>
        <w:t>过去一年，是区法院</w:t>
      </w:r>
      <w:r>
        <w:rPr>
          <w:rFonts w:eastAsia="方正仿宋_GBK"/>
          <w:sz w:val="33"/>
          <w:szCs w:val="33"/>
        </w:rPr>
        <w:t>拼搏笃行、担当实干</w:t>
      </w:r>
      <w:r>
        <w:rPr>
          <w:rFonts w:hint="eastAsia" w:eastAsia="方正仿宋_GBK"/>
          <w:sz w:val="33"/>
          <w:szCs w:val="33"/>
        </w:rPr>
        <w:t>的一年，市、区领导先后6次批示肯定区法院工作，省法院2次刊载区法院工作典型经验做法，2个集体和22名干警受到省级荣誉表彰。</w:t>
      </w:r>
      <w:r>
        <w:rPr>
          <w:rFonts w:eastAsia="方正仿宋_GBK"/>
          <w:sz w:val="33"/>
          <w:szCs w:val="33"/>
        </w:rPr>
        <w:t>这些成绩的取得，是区委坚强领导、区人大及其常委会有力监督，区政府、区政协大力支持和社会各界关心帮助的结果。在此，我谨代表区法院</w:t>
      </w:r>
      <w:r>
        <w:rPr>
          <w:rFonts w:hint="eastAsia" w:eastAsia="方正仿宋_GBK"/>
          <w:sz w:val="33"/>
          <w:szCs w:val="33"/>
        </w:rPr>
        <w:t>向大家致以</w:t>
      </w:r>
      <w:r>
        <w:rPr>
          <w:rFonts w:eastAsia="方正仿宋_GBK"/>
          <w:sz w:val="33"/>
          <w:szCs w:val="33"/>
        </w:rPr>
        <w:t>衷心的感谢。</w:t>
      </w:r>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lang w:eastAsia="zh-CN"/>
        </w:rPr>
      </w:pPr>
      <w:r>
        <w:rPr>
          <w:rFonts w:eastAsia="方正仿宋_GBK"/>
          <w:sz w:val="33"/>
          <w:szCs w:val="33"/>
        </w:rPr>
        <w:t>同时，我们也清醒认识到，</w:t>
      </w:r>
      <w:r>
        <w:rPr>
          <w:rFonts w:hint="eastAsia" w:eastAsia="方正仿宋_GBK"/>
          <w:sz w:val="33"/>
          <w:szCs w:val="33"/>
          <w:lang w:eastAsia="zh-CN"/>
        </w:rPr>
        <w:t>区</w:t>
      </w:r>
      <w:r>
        <w:rPr>
          <w:rFonts w:eastAsia="方正仿宋_GBK"/>
          <w:sz w:val="33"/>
          <w:szCs w:val="33"/>
        </w:rPr>
        <w:t>法院工作还存在不少问题和困难：一是服务保障中心大局的工作实效与党委政府要求仍有差距，优化营商环境举措需要更加精准</w:t>
      </w:r>
      <w:r>
        <w:rPr>
          <w:rFonts w:hint="eastAsia" w:eastAsia="方正仿宋_GBK"/>
          <w:sz w:val="33"/>
          <w:szCs w:val="33"/>
        </w:rPr>
        <w:t>务实</w:t>
      </w:r>
      <w:r>
        <w:rPr>
          <w:rFonts w:eastAsia="方正仿宋_GBK"/>
          <w:sz w:val="33"/>
          <w:szCs w:val="33"/>
        </w:rPr>
        <w:t>有效；二是审</w:t>
      </w:r>
      <w:r>
        <w:rPr>
          <w:rFonts w:hint="eastAsia" w:eastAsia="方正仿宋_GBK"/>
          <w:sz w:val="33"/>
          <w:szCs w:val="33"/>
          <w:lang w:eastAsia="zh-CN"/>
        </w:rPr>
        <w:t>判</w:t>
      </w:r>
      <w:r>
        <w:rPr>
          <w:rFonts w:eastAsia="方正仿宋_GBK"/>
          <w:sz w:val="33"/>
          <w:szCs w:val="33"/>
        </w:rPr>
        <w:t>质效的提升与人民群众的感受仍有落差，“切实解决执行难”、诉讼服务水平需要不断巩固</w:t>
      </w:r>
      <w:r>
        <w:rPr>
          <w:rFonts w:hint="eastAsia" w:eastAsia="方正仿宋_GBK"/>
          <w:sz w:val="33"/>
          <w:szCs w:val="33"/>
        </w:rPr>
        <w:t>提高</w:t>
      </w:r>
      <w:r>
        <w:rPr>
          <w:rFonts w:eastAsia="方正仿宋_GBK"/>
          <w:sz w:val="33"/>
          <w:szCs w:val="33"/>
        </w:rPr>
        <w:t>；三是现代化的审判理念、</w:t>
      </w:r>
      <w:r>
        <w:rPr>
          <w:rFonts w:hint="eastAsia" w:eastAsia="方正仿宋_GBK"/>
          <w:sz w:val="33"/>
          <w:szCs w:val="33"/>
        </w:rPr>
        <w:t>数字</w:t>
      </w:r>
      <w:r>
        <w:rPr>
          <w:rFonts w:eastAsia="方正仿宋_GBK"/>
          <w:sz w:val="33"/>
          <w:szCs w:val="33"/>
        </w:rPr>
        <w:t>法院建设</w:t>
      </w:r>
      <w:r>
        <w:rPr>
          <w:rFonts w:hint="eastAsia" w:eastAsia="方正仿宋_GBK"/>
          <w:sz w:val="33"/>
          <w:szCs w:val="33"/>
        </w:rPr>
        <w:t>进度</w:t>
      </w:r>
      <w:r>
        <w:rPr>
          <w:rFonts w:eastAsia="方正仿宋_GBK"/>
          <w:sz w:val="33"/>
          <w:szCs w:val="33"/>
        </w:rPr>
        <w:t>与审执工作实际仍不相适应；四是队伍建设仍有薄弱环节，从严教育、管理与监督需要不断加强。对此，我们将高度重视，采取有力措施，着力加以解决。</w:t>
      </w:r>
    </w:p>
    <w:p>
      <w:pPr>
        <w:pStyle w:val="4"/>
        <w:bidi w:val="0"/>
        <w:rPr>
          <w:rFonts w:hint="eastAsia"/>
        </w:rPr>
      </w:pPr>
      <w:bookmarkStart w:id="21" w:name="_Toc15396601"/>
      <w:bookmarkStart w:id="22" w:name="_Toc8701"/>
      <w:bookmarkStart w:id="23" w:name="_Toc15377200"/>
      <w:r>
        <w:rPr>
          <w:rFonts w:hint="eastAsia"/>
        </w:rPr>
        <w:t>二、机构设置</w:t>
      </w:r>
      <w:bookmarkEnd w:id="21"/>
      <w:bookmarkEnd w:id="22"/>
      <w:bookmarkEnd w:id="23"/>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ascii="Times New Roman" w:hAnsi="Times New Roman" w:eastAsia="方正仿宋_GBK"/>
          <w:sz w:val="33"/>
          <w:szCs w:val="33"/>
        </w:rPr>
      </w:pPr>
      <w:r>
        <w:rPr>
          <w:rFonts w:hint="eastAsia" w:ascii="Times New Roman" w:hAnsi="Times New Roman" w:eastAsia="方正仿宋_GBK"/>
          <w:sz w:val="33"/>
          <w:szCs w:val="33"/>
        </w:rPr>
        <w:t>四川省攀枝花市东区人民法院</w:t>
      </w:r>
      <w:r>
        <w:rPr>
          <w:rFonts w:hint="eastAsia" w:eastAsia="方正仿宋_GBK"/>
          <w:sz w:val="33"/>
          <w:szCs w:val="33"/>
          <w:lang w:eastAsia="zh-CN"/>
        </w:rPr>
        <w:t>单位为一级预算单位，无</w:t>
      </w:r>
      <w:r>
        <w:rPr>
          <w:rFonts w:hint="eastAsia" w:ascii="Times New Roman" w:hAnsi="Times New Roman" w:eastAsia="方正仿宋_GBK"/>
          <w:sz w:val="33"/>
          <w:szCs w:val="33"/>
        </w:rPr>
        <w:t>下属二级</w:t>
      </w:r>
      <w:r>
        <w:rPr>
          <w:rFonts w:hint="eastAsia" w:ascii="Times New Roman" w:hAnsi="Times New Roman" w:eastAsia="方正仿宋_GBK"/>
          <w:sz w:val="33"/>
          <w:szCs w:val="33"/>
          <w:lang w:eastAsia="zh-CN"/>
        </w:rPr>
        <w:t>预算</w:t>
      </w:r>
      <w:r>
        <w:rPr>
          <w:rFonts w:hint="eastAsia" w:ascii="Times New Roman" w:hAnsi="Times New Roman" w:eastAsia="方正仿宋_GBK"/>
          <w:sz w:val="33"/>
          <w:szCs w:val="33"/>
        </w:rPr>
        <w:t>单位。</w:t>
      </w:r>
    </w:p>
    <w:p>
      <w:pPr>
        <w:pStyle w:val="3"/>
        <w:bidi w:val="0"/>
        <w:ind w:left="0" w:leftChars="0" w:firstLine="0" w:firstLineChars="0"/>
        <w:jc w:val="center"/>
      </w:pPr>
      <w:bookmarkStart w:id="24" w:name="_Toc15377204"/>
      <w:bookmarkStart w:id="25" w:name="_Toc15396602"/>
      <w:bookmarkStart w:id="26" w:name="_Toc8223"/>
      <w:r>
        <w:rPr>
          <w:rFonts w:hint="eastAsia"/>
        </w:rPr>
        <w:t>第二部分</w:t>
      </w:r>
      <w:r>
        <w:rPr>
          <w:rFonts w:hint="eastAsia"/>
          <w:lang w:val="en-US" w:eastAsia="zh-CN"/>
        </w:rPr>
        <w:t xml:space="preserve"> </w:t>
      </w:r>
      <w:r>
        <w:rPr>
          <w:rFonts w:hint="eastAsia"/>
        </w:rPr>
        <w:t xml:space="preserve"> </w:t>
      </w:r>
      <w:r>
        <w:rPr>
          <w:rFonts w:hint="eastAsia"/>
          <w:lang w:val="en-US" w:eastAsia="zh-CN"/>
        </w:rPr>
        <w:t>2024年度</w:t>
      </w:r>
      <w:r>
        <w:rPr>
          <w:rFonts w:hint="eastAsia"/>
          <w:lang w:eastAsia="zh-CN"/>
        </w:rPr>
        <w:t>单位</w:t>
      </w:r>
      <w:r>
        <w:rPr>
          <w:rFonts w:hint="eastAsia"/>
        </w:rPr>
        <w:t>决算情况说明</w:t>
      </w:r>
      <w:bookmarkEnd w:id="24"/>
      <w:bookmarkEnd w:id="25"/>
      <w:bookmarkEnd w:id="26"/>
    </w:p>
    <w:p>
      <w:pPr>
        <w:pStyle w:val="4"/>
        <w:bidi w:val="0"/>
        <w:rPr>
          <w:rFonts w:hint="eastAsia"/>
        </w:rPr>
      </w:pPr>
      <w:bookmarkStart w:id="27" w:name="_Toc15396603"/>
      <w:bookmarkStart w:id="28" w:name="_Toc15377205"/>
      <w:bookmarkStart w:id="29" w:name="_Toc7064"/>
      <w:r>
        <w:rPr>
          <w:rFonts w:hint="eastAsia"/>
          <w:lang w:eastAsia="zh-CN"/>
        </w:rPr>
        <w:t>一、</w:t>
      </w:r>
      <w:r>
        <w:rPr>
          <w:rFonts w:hint="eastAsia"/>
        </w:rPr>
        <w:t>收入支出决算总体情况说明</w:t>
      </w:r>
      <w:bookmarkEnd w:id="27"/>
      <w:bookmarkEnd w:id="28"/>
      <w:bookmarkEnd w:id="29"/>
    </w:p>
    <w:p>
      <w:pPr>
        <w:keepNext w:val="0"/>
        <w:keepLines w:val="0"/>
        <w:pageBreakBefore w:val="0"/>
        <w:kinsoku/>
        <w:wordWrap/>
        <w:overflowPunct/>
        <w:topLinePunct w:val="0"/>
        <w:autoSpaceDN/>
        <w:bidi w:val="0"/>
        <w:snapToGrid/>
        <w:spacing w:line="560" w:lineRule="exact"/>
        <w:ind w:firstLine="660" w:firstLineChars="200"/>
        <w:jc w:val="both"/>
        <w:textAlignment w:val="auto"/>
        <w:rPr>
          <w:rFonts w:hint="eastAsia" w:ascii="Times New Roman" w:hAnsi="Times New Roman" w:eastAsia="方正仿宋_GBK"/>
          <w:sz w:val="33"/>
          <w:szCs w:val="33"/>
          <w:lang w:val="en-US" w:eastAsia="zh-CN"/>
        </w:rPr>
      </w:pPr>
      <w:bookmarkStart w:id="30" w:name="_Toc13575"/>
      <w:r>
        <w:rPr>
          <w:rFonts w:hint="eastAsia" w:ascii="Times New Roman" w:hAnsi="Times New Roman" w:eastAsia="方正仿宋_GBK"/>
          <w:sz w:val="33"/>
          <w:szCs w:val="33"/>
          <w:lang w:val="en-US" w:eastAsia="zh-CN"/>
        </w:rPr>
        <w:t>2024年度收入、支出总计均为2887.89万元。与2024年度相比，收入、支出总计各增加94.41万元，增长3.38%。主要变动原因是</w:t>
      </w:r>
      <w:bookmarkEnd w:id="30"/>
      <w:r>
        <w:rPr>
          <w:rFonts w:hint="eastAsia" w:eastAsia="方正仿宋_GBK"/>
          <w:sz w:val="33"/>
          <w:szCs w:val="33"/>
          <w:lang w:val="en-US" w:eastAsia="zh-CN"/>
        </w:rPr>
        <w:t>2024年新招考公务员人数较多，造成了基本收支的正常增长。</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4962525" cy="3648075"/>
            <wp:effectExtent l="0" t="0" r="9525" b="9525"/>
            <wp:docPr id="4" name="图片 4"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1"/>
                    <pic:cNvPicPr>
                      <a:picLocks noChangeAspect="1"/>
                    </pic:cNvPicPr>
                  </pic:nvPicPr>
                  <pic:blipFill>
                    <a:blip r:embed="rId10"/>
                    <a:stretch>
                      <a:fillRect/>
                    </a:stretch>
                  </pic:blipFill>
                  <pic:spPr>
                    <a:xfrm>
                      <a:off x="0" y="0"/>
                      <a:ext cx="4962525" cy="36480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4"/>
        <w:bidi w:val="0"/>
        <w:rPr>
          <w:rFonts w:hint="eastAsia"/>
          <w:lang w:eastAsia="zh-CN"/>
        </w:rPr>
      </w:pPr>
      <w:bookmarkStart w:id="31" w:name="_Toc15579"/>
      <w:bookmarkStart w:id="32" w:name="_Toc15396604"/>
      <w:bookmarkStart w:id="33" w:name="_Toc15377206"/>
      <w:r>
        <w:rPr>
          <w:rFonts w:hint="eastAsia"/>
          <w:lang w:eastAsia="zh-CN"/>
        </w:rPr>
        <w:t>二、收入决算情况说明</w:t>
      </w:r>
      <w:bookmarkEnd w:id="31"/>
      <w:bookmarkEnd w:id="32"/>
      <w:bookmarkEnd w:id="3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4" w:name="_Toc491"/>
      <w:r>
        <w:rPr>
          <w:rFonts w:hint="eastAsia" w:ascii="Times New Roman" w:hAnsi="Times New Roman" w:eastAsia="方正仿宋_GBK" w:cs="Times New Roman"/>
          <w:kern w:val="2"/>
          <w:sz w:val="33"/>
          <w:szCs w:val="33"/>
          <w:lang w:val="en-US" w:eastAsia="zh-CN" w:bidi="ar-SA"/>
        </w:rPr>
        <w:t>2024年度本年收入合计2887.89万元，其中：一般公共预算财政拨款收入2367.17万元，占81.96%；政府性基金预算财政拨款收入0万元，占0%%；国有资本经营预算财政拨款收入0万元，占0%；上级补助收入0万元，占0%；事业收入0万元，占0%；经营收入0万元，占0%；附属单位上缴收入0万元，占0%；其他收入520.72万元，占18.03%。</w:t>
      </w:r>
      <w:bookmarkEnd w:id="34"/>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029200" cy="3667125"/>
            <wp:effectExtent l="0" t="0" r="0" b="9525"/>
            <wp:docPr id="5" name="图片 5"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2"/>
                    <pic:cNvPicPr>
                      <a:picLocks noChangeAspect="1"/>
                    </pic:cNvPicPr>
                  </pic:nvPicPr>
                  <pic:blipFill>
                    <a:blip r:embed="rId11"/>
                    <a:stretch>
                      <a:fillRect/>
                    </a:stretch>
                  </pic:blipFill>
                  <pic:spPr>
                    <a:xfrm>
                      <a:off x="0" y="0"/>
                      <a:ext cx="5029200" cy="3667125"/>
                    </a:xfrm>
                    <a:prstGeom prst="rect">
                      <a:avLst/>
                    </a:prstGeom>
                  </pic:spPr>
                </pic:pic>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4"/>
        <w:bidi w:val="0"/>
        <w:rPr>
          <w:rFonts w:hint="eastAsia"/>
        </w:rPr>
      </w:pPr>
      <w:bookmarkStart w:id="35" w:name="_Toc15377207"/>
      <w:bookmarkStart w:id="36" w:name="_Toc21063"/>
      <w:bookmarkStart w:id="37" w:name="_Toc15396605"/>
      <w:r>
        <w:rPr>
          <w:rFonts w:hint="eastAsia"/>
          <w:lang w:eastAsia="zh-CN"/>
        </w:rPr>
        <w:t>三、</w:t>
      </w:r>
      <w:r>
        <w:rPr>
          <w:rFonts w:hint="eastAsia"/>
        </w:rPr>
        <w:t>支出决算情况说明</w:t>
      </w:r>
      <w:bookmarkEnd w:id="35"/>
      <w:bookmarkEnd w:id="36"/>
      <w:bookmarkEnd w:id="3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Times New Roman" w:hAnsi="Times New Roman" w:eastAsia="方正仿宋_GBK" w:cs="Times New Roman"/>
          <w:kern w:val="2"/>
          <w:sz w:val="33"/>
          <w:szCs w:val="33"/>
          <w:lang w:val="en-US" w:eastAsia="zh-CN" w:bidi="ar-SA"/>
        </w:rPr>
      </w:pPr>
      <w:bookmarkStart w:id="38" w:name="_Toc8955"/>
      <w:r>
        <w:rPr>
          <w:rFonts w:hint="eastAsia" w:ascii="Times New Roman" w:hAnsi="Times New Roman" w:eastAsia="方正仿宋_GBK" w:cs="Times New Roman"/>
          <w:kern w:val="2"/>
          <w:sz w:val="33"/>
          <w:szCs w:val="33"/>
          <w:lang w:val="en-US" w:eastAsia="zh-CN" w:bidi="ar-SA"/>
        </w:rPr>
        <w:t>2024年度本年支出合计2887.89万元，其中：基本支出2321.61万元，占80.39%；项目支出566.27万元，占19.6%；上缴上级支出0万元，占0%；经营支出0万元，占0%；对附属单位补助支出0万元，占0%。</w:t>
      </w:r>
      <w:bookmarkEnd w:id="38"/>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000625" cy="3686175"/>
            <wp:effectExtent l="0" t="0" r="9525" b="9525"/>
            <wp:docPr id="6" name="图片 6"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3"/>
                    <pic:cNvPicPr>
                      <a:picLocks noChangeAspect="1"/>
                    </pic:cNvPicPr>
                  </pic:nvPicPr>
                  <pic:blipFill>
                    <a:blip r:embed="rId12"/>
                    <a:stretch>
                      <a:fillRect/>
                    </a:stretch>
                  </pic:blipFill>
                  <pic:spPr>
                    <a:xfrm>
                      <a:off x="0" y="0"/>
                      <a:ext cx="5000625" cy="3686175"/>
                    </a:xfrm>
                    <a:prstGeom prst="rect">
                      <a:avLst/>
                    </a:prstGeom>
                  </pic:spPr>
                </pic:pic>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pStyle w:val="4"/>
        <w:bidi w:val="0"/>
      </w:pPr>
      <w:bookmarkStart w:id="39" w:name="_Toc19000"/>
      <w:bookmarkStart w:id="40" w:name="_Toc15396606"/>
      <w:bookmarkStart w:id="41" w:name="_Toc15377208"/>
      <w:r>
        <w:rPr>
          <w:rFonts w:hint="eastAsia"/>
        </w:rPr>
        <w:t>四、财政拨款收入支出决算总体情况说明</w:t>
      </w:r>
      <w:bookmarkEnd w:id="39"/>
      <w:bookmarkEnd w:id="40"/>
      <w:bookmarkEnd w:id="41"/>
    </w:p>
    <w:p>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2024年度财政拨款收入、支出总计均为2367.17万元。</w:t>
      </w:r>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与2024年度相比，财政拨款收入总计、支出总计各减少40.03万元，下降1.66%。主要变动原因是我</w:t>
      </w:r>
      <w:r>
        <w:rPr>
          <w:rFonts w:hint="eastAsia" w:eastAsia="方正仿宋_GBK" w:cs="Times New Roman"/>
          <w:kern w:val="2"/>
          <w:sz w:val="33"/>
          <w:szCs w:val="33"/>
          <w:lang w:val="en-US" w:eastAsia="zh-CN" w:bidi="ar-SA"/>
        </w:rPr>
        <w:t>院根据实际情况进行规范支出。</w:t>
      </w:r>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lang w:val="en-US" w:eastAsia="zh-CN"/>
        </w:rPr>
      </w:pPr>
    </w:p>
    <w:p>
      <w:pPr>
        <w:pStyle w:val="2"/>
        <w:spacing w:line="240" w:lineRule="auto"/>
        <w:rPr>
          <w:rFonts w:hint="eastAsia"/>
          <w:lang w:val="en-US" w:eastAsia="zh-CN"/>
        </w:rPr>
      </w:pPr>
      <w:r>
        <w:rPr>
          <w:rFonts w:hint="eastAsia"/>
          <w:lang w:val="en-US" w:eastAsia="zh-CN"/>
        </w:rPr>
        <w:drawing>
          <wp:inline distT="0" distB="0" distL="114300" distR="114300">
            <wp:extent cx="4991100" cy="3638550"/>
            <wp:effectExtent l="0" t="0" r="0" b="0"/>
            <wp:docPr id="22" name="图片 22"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4"/>
                    <pic:cNvPicPr>
                      <a:picLocks noChangeAspect="1"/>
                    </pic:cNvPicPr>
                  </pic:nvPicPr>
                  <pic:blipFill>
                    <a:blip r:embed="rId13"/>
                    <a:stretch>
                      <a:fillRect/>
                    </a:stretch>
                  </pic:blipFill>
                  <pic:spPr>
                    <a:xfrm>
                      <a:off x="0" y="0"/>
                      <a:ext cx="4991100" cy="3638550"/>
                    </a:xfrm>
                    <a:prstGeom prst="rect">
                      <a:avLst/>
                    </a:prstGeom>
                  </pic:spPr>
                </pic:pic>
              </a:graphicData>
            </a:graphic>
          </wp:inline>
        </w:drawing>
      </w:r>
    </w:p>
    <w:p>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r>
        <w:rPr>
          <w:rFonts w:hint="eastAsia" w:eastAsia="仿宋_GB2312" w:cs="仿宋_GB2312"/>
          <w:color w:val="auto"/>
          <w:kern w:val="2"/>
          <w:sz w:val="32"/>
          <w:szCs w:val="32"/>
          <w:highlight w:val="none"/>
          <w:lang w:val="en-US" w:eastAsia="zh-CN" w:bidi="ar-SA"/>
        </w:rPr>
        <w:t>图</w:t>
      </w:r>
    </w:p>
    <w:p>
      <w:pPr>
        <w:pStyle w:val="4"/>
        <w:bidi w:val="0"/>
      </w:pPr>
      <w:bookmarkStart w:id="42" w:name="_Toc15396607"/>
      <w:bookmarkStart w:id="43" w:name="_Toc11367"/>
      <w:bookmarkStart w:id="44" w:name="_Toc15377209"/>
      <w:r>
        <w:rPr>
          <w:rFonts w:hint="eastAsia"/>
        </w:rPr>
        <w:t>五、一般公共预算财政拨款支出决算情况说明</w:t>
      </w:r>
      <w:bookmarkEnd w:id="42"/>
      <w:bookmarkEnd w:id="43"/>
      <w:bookmarkEnd w:id="44"/>
    </w:p>
    <w:p>
      <w:pPr>
        <w:spacing w:line="600" w:lineRule="exact"/>
        <w:ind w:firstLine="640"/>
        <w:rPr>
          <w:rFonts w:hint="eastAsia" w:ascii="Times New Roman" w:hAnsi="Times New Roman" w:eastAsia="楷体_GB2312" w:cs="楷体_GB2312"/>
          <w:b/>
          <w:color w:val="auto"/>
          <w:sz w:val="32"/>
          <w:szCs w:val="32"/>
          <w:highlight w:val="none"/>
        </w:rPr>
      </w:pPr>
      <w:bookmarkStart w:id="4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5"/>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2024年度一般公共预算财政拨款支出2367.17万元，占本年支出合计的81.96%。与2024年度相比，一般公共预算财政拨款支出减少40.03万元，下降1.66%。主要变动原因是我</w:t>
      </w:r>
      <w:r>
        <w:rPr>
          <w:rFonts w:hint="eastAsia" w:eastAsia="方正仿宋_GBK" w:cs="Times New Roman"/>
          <w:kern w:val="2"/>
          <w:sz w:val="33"/>
          <w:szCs w:val="33"/>
          <w:lang w:val="en-US" w:eastAsia="zh-CN" w:bidi="ar-SA"/>
        </w:rPr>
        <w:t>院根据实际情况进行规范支出。</w:t>
      </w:r>
    </w:p>
    <w:p>
      <w:pPr>
        <w:spacing w:line="600" w:lineRule="exact"/>
        <w:ind w:left="0" w:leftChars="0" w:firstLine="0" w:firstLineChars="0"/>
        <w:rPr>
          <w:rFonts w:hint="eastAsia" w:ascii="Times New Roman" w:hAnsi="Times New Roman" w:eastAsia="方正仿宋_GBK" w:cs="Times New Roman"/>
          <w:kern w:val="2"/>
          <w:sz w:val="33"/>
          <w:szCs w:val="33"/>
          <w:lang w:val="en-US" w:eastAsia="zh-CN" w:bidi="ar-SA"/>
        </w:rPr>
      </w:pPr>
    </w:p>
    <w:p>
      <w:pPr>
        <w:spacing w:line="600" w:lineRule="exact"/>
        <w:ind w:firstLine="640"/>
        <w:rPr>
          <w:rFonts w:hint="eastAsia" w:ascii="Times New Roman" w:hAnsi="Times New Roman" w:eastAsia="方正仿宋_GBK" w:cs="Times New Roman"/>
          <w:kern w:val="2"/>
          <w:sz w:val="33"/>
          <w:szCs w:val="33"/>
          <w:lang w:val="en-US" w:eastAsia="zh-CN" w:bidi="ar-SA"/>
        </w:rPr>
      </w:pPr>
    </w:p>
    <w:p>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00625" cy="3705225"/>
            <wp:effectExtent l="0" t="0" r="9525" b="9525"/>
            <wp:docPr id="8" name="图片 8"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5"/>
                    <pic:cNvPicPr>
                      <a:picLocks noChangeAspect="1"/>
                    </pic:cNvPicPr>
                  </pic:nvPicPr>
                  <pic:blipFill>
                    <a:blip r:embed="rId14"/>
                    <a:stretch>
                      <a:fillRect/>
                    </a:stretch>
                  </pic:blipFill>
                  <pic:spPr>
                    <a:xfrm>
                      <a:off x="0" y="0"/>
                      <a:ext cx="5000625" cy="3705225"/>
                    </a:xfrm>
                    <a:prstGeom prst="rect">
                      <a:avLst/>
                    </a:prstGeom>
                  </pic:spPr>
                </pic:pic>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r>
        <w:rPr>
          <w:rFonts w:hint="eastAsia" w:eastAsia="仿宋_GB2312" w:cs="仿宋_GB2312"/>
          <w:color w:val="auto"/>
          <w:kern w:val="2"/>
          <w:sz w:val="32"/>
          <w:szCs w:val="32"/>
          <w:highlight w:val="none"/>
          <w:lang w:val="en-US" w:eastAsia="zh-CN" w:bidi="ar-SA"/>
        </w:rPr>
        <w:t>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6"/>
    </w:p>
    <w:p>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2367.17万元，主要用于以下方面：一般公共服务支出41.63万元，占1.76%；公共安全支出1771.06万元，占74.82%；社会保障和就业支出310.23万元，占13.11%；卫生健康支出105.12万元，占4.44%；住房保障支出139.13万元，占5.88%。</w:t>
      </w:r>
    </w:p>
    <w:p>
      <w:pPr>
        <w:pStyle w:val="2"/>
        <w:spacing w:line="240" w:lineRule="auto"/>
        <w:jc w:val="center"/>
        <w:rPr>
          <w:rFonts w:hint="default"/>
          <w:lang w:eastAsia="zh-CN"/>
        </w:rPr>
      </w:pPr>
      <w:r>
        <w:rPr>
          <w:rFonts w:hint="default"/>
          <w:lang w:eastAsia="zh-CN"/>
        </w:rPr>
        <w:drawing>
          <wp:inline distT="0" distB="0" distL="114300" distR="114300">
            <wp:extent cx="5010150" cy="3714750"/>
            <wp:effectExtent l="0" t="0" r="0" b="0"/>
            <wp:docPr id="23" name="图片 23"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6"/>
                    <pic:cNvPicPr>
                      <a:picLocks noChangeAspect="1"/>
                    </pic:cNvPicPr>
                  </pic:nvPicPr>
                  <pic:blipFill>
                    <a:blip r:embed="rId15"/>
                    <a:stretch>
                      <a:fillRect/>
                    </a:stretch>
                  </pic:blipFill>
                  <pic:spPr>
                    <a:xfrm>
                      <a:off x="0" y="0"/>
                      <a:ext cx="5010150" cy="3714750"/>
                    </a:xfrm>
                    <a:prstGeom prst="rect">
                      <a:avLst/>
                    </a:prstGeom>
                  </pic:spPr>
                </pic:pic>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r>
        <w:rPr>
          <w:rFonts w:hint="eastAsia" w:eastAsia="仿宋_GB2312" w:cs="仿宋_GB2312"/>
          <w:color w:val="auto"/>
          <w:kern w:val="2"/>
          <w:sz w:val="32"/>
          <w:szCs w:val="32"/>
          <w:highlight w:val="none"/>
          <w:lang w:val="en-US" w:eastAsia="zh-CN" w:bidi="ar-SA"/>
        </w:rPr>
        <w:t>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7"/>
    </w:p>
    <w:p>
      <w:pPr>
        <w:spacing w:line="600" w:lineRule="exact"/>
        <w:ind w:firstLine="640"/>
        <w:rPr>
          <w:rFonts w:hint="eastAsia" w:ascii="Times New Roman" w:hAnsi="Times New Roman" w:eastAsia="方正仿宋_GBK" w:cs="Times New Roman"/>
          <w:kern w:val="2"/>
          <w:sz w:val="33"/>
          <w:szCs w:val="33"/>
          <w:lang w:val="en-US" w:eastAsia="zh-CN" w:bidi="ar-SA"/>
        </w:rPr>
      </w:pPr>
      <w:bookmarkStart w:id="48" w:name="_Toc15378460"/>
      <w:bookmarkStart w:id="49" w:name="_Toc15377444"/>
      <w:bookmarkStart w:id="50" w:name="_Toc15377213"/>
      <w:r>
        <w:rPr>
          <w:rFonts w:hint="eastAsia" w:ascii="Times New Roman" w:hAnsi="Times New Roman" w:eastAsia="方正仿宋_GBK" w:cs="Times New Roman"/>
          <w:kern w:val="2"/>
          <w:sz w:val="33"/>
          <w:szCs w:val="33"/>
          <w:lang w:val="en-US" w:eastAsia="zh-CN" w:bidi="ar-SA"/>
        </w:rPr>
        <w:t>2024年度一般公共预算财政拨款支出决算数为2367.17，完成预算100%。其中：</w:t>
      </w:r>
      <w:bookmarkEnd w:id="48"/>
      <w:bookmarkEnd w:id="49"/>
      <w:bookmarkEnd w:id="50"/>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cstheme="minorBidi"/>
          <w:bCs/>
          <w:color w:val="000000"/>
          <w:sz w:val="32"/>
          <w:szCs w:val="32"/>
          <w:lang w:val="en-US" w:eastAsia="zh-CN"/>
        </w:rPr>
        <w:t>一般公共服务支出（类）其他一般公共服务支出（款）国家赔偿费用支出（项）：</w:t>
      </w:r>
      <w:r>
        <w:rPr>
          <w:rFonts w:hint="eastAsia" w:ascii="Times New Roman" w:hAnsi="Times New Roman" w:eastAsia="方正仿宋_GBK" w:cs="Times New Roman"/>
          <w:kern w:val="2"/>
          <w:sz w:val="33"/>
          <w:szCs w:val="33"/>
          <w:lang w:val="en-US" w:eastAsia="zh-CN" w:bidi="ar-SA"/>
        </w:rPr>
        <w:t>支出决算为41.63万元，完成预算100%。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bCs/>
          <w:color w:val="000000"/>
          <w:sz w:val="32"/>
          <w:szCs w:val="32"/>
        </w:rPr>
        <w:t>公共安全支出（类）法院（款）行政运行（项）</w:t>
      </w:r>
      <w:r>
        <w:rPr>
          <w:rStyle w:val="19"/>
          <w:rFonts w:ascii="仿宋" w:hAnsi="仿宋" w:eastAsia="仿宋"/>
          <w:bCs/>
          <w:color w:val="000000"/>
          <w:sz w:val="32"/>
          <w:szCs w:val="32"/>
        </w:rPr>
        <w:t>:</w:t>
      </w:r>
      <w:r>
        <w:rPr>
          <w:rFonts w:hint="eastAsia" w:ascii="Times New Roman" w:hAnsi="Times New Roman" w:eastAsia="方正仿宋_GBK" w:cs="Times New Roman"/>
          <w:kern w:val="2"/>
          <w:sz w:val="33"/>
          <w:szCs w:val="33"/>
          <w:lang w:val="en-US" w:eastAsia="zh-CN" w:bidi="ar-SA"/>
        </w:rPr>
        <w:t>支出决算为1373.43万元，完成预算100%。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cstheme="minorBidi"/>
          <w:bCs/>
          <w:color w:val="000000"/>
          <w:sz w:val="32"/>
          <w:szCs w:val="32"/>
        </w:rPr>
        <w:t>公共安全支出（类）法院（款）</w:t>
      </w:r>
      <w:r>
        <w:rPr>
          <w:rStyle w:val="19"/>
          <w:rFonts w:hint="eastAsia" w:ascii="仿宋" w:hAnsi="仿宋" w:eastAsia="仿宋" w:cstheme="minorBidi"/>
          <w:bCs/>
          <w:color w:val="000000"/>
          <w:sz w:val="32"/>
          <w:szCs w:val="32"/>
          <w:lang w:eastAsia="zh-CN"/>
        </w:rPr>
        <w:t>案件审判</w:t>
      </w:r>
      <w:r>
        <w:rPr>
          <w:rStyle w:val="19"/>
          <w:rFonts w:hint="eastAsia" w:ascii="仿宋" w:hAnsi="仿宋" w:eastAsia="仿宋" w:cstheme="minorBidi"/>
          <w:bCs/>
          <w:color w:val="000000"/>
          <w:sz w:val="32"/>
          <w:szCs w:val="32"/>
        </w:rPr>
        <w:t>（项）:</w:t>
      </w:r>
      <w:r>
        <w:rPr>
          <w:rFonts w:hint="eastAsia" w:ascii="Times New Roman" w:hAnsi="Times New Roman" w:eastAsia="方正仿宋_GBK" w:cs="Times New Roman"/>
          <w:kern w:val="2"/>
          <w:sz w:val="33"/>
          <w:szCs w:val="33"/>
          <w:lang w:val="en-US" w:eastAsia="zh-CN" w:bidi="ar-SA"/>
        </w:rPr>
        <w:t>支出决算为28.36万元，完成预算100%。</w:t>
      </w:r>
    </w:p>
    <w:p>
      <w:pPr>
        <w:numPr>
          <w:ilvl w:val="0"/>
          <w:numId w:val="3"/>
        </w:numPr>
        <w:spacing w:line="600" w:lineRule="exact"/>
        <w:ind w:firstLine="640"/>
        <w:rPr>
          <w:rFonts w:hint="eastAsia" w:ascii="Times New Roman" w:hAnsi="Times New Roman" w:eastAsia="方正仿宋_GBK" w:cs="Times New Roman"/>
          <w:kern w:val="2"/>
          <w:sz w:val="33"/>
          <w:szCs w:val="33"/>
          <w:lang w:val="en-US" w:eastAsia="zh-CN" w:bidi="ar-SA"/>
        </w:rPr>
      </w:pPr>
      <w:r>
        <w:rPr>
          <w:rStyle w:val="19"/>
          <w:rFonts w:hint="eastAsia" w:ascii="仿宋" w:hAnsi="仿宋" w:eastAsia="仿宋"/>
          <w:bCs/>
          <w:color w:val="000000"/>
          <w:sz w:val="32"/>
          <w:szCs w:val="32"/>
        </w:rPr>
        <w:t>公共安全支出（类）法院（款）</w:t>
      </w:r>
      <w:r>
        <w:rPr>
          <w:rStyle w:val="19"/>
          <w:rFonts w:hint="eastAsia" w:ascii="仿宋" w:hAnsi="仿宋" w:eastAsia="仿宋"/>
          <w:bCs/>
          <w:color w:val="000000"/>
          <w:sz w:val="32"/>
          <w:szCs w:val="32"/>
          <w:lang w:eastAsia="zh-CN"/>
        </w:rPr>
        <w:t>其他法院支出</w:t>
      </w:r>
      <w:r>
        <w:rPr>
          <w:rStyle w:val="19"/>
          <w:rFonts w:hint="eastAsia" w:ascii="仿宋" w:hAnsi="仿宋" w:eastAsia="仿宋"/>
          <w:bCs/>
          <w:color w:val="000000"/>
          <w:sz w:val="32"/>
          <w:szCs w:val="32"/>
        </w:rPr>
        <w:t>（项）</w:t>
      </w:r>
      <w:r>
        <w:rPr>
          <w:rStyle w:val="19"/>
          <w:rFonts w:ascii="仿宋" w:hAnsi="仿宋" w:eastAsia="仿宋"/>
          <w:bCs/>
          <w:color w:val="000000"/>
          <w:sz w:val="32"/>
          <w:szCs w:val="32"/>
        </w:rPr>
        <w:t>:</w:t>
      </w:r>
      <w:r>
        <w:rPr>
          <w:rFonts w:hint="eastAsia" w:ascii="Times New Roman" w:hAnsi="Times New Roman" w:eastAsia="方正仿宋_GBK" w:cs="Times New Roman"/>
          <w:kern w:val="2"/>
          <w:sz w:val="33"/>
          <w:szCs w:val="33"/>
          <w:lang w:val="en-US" w:eastAsia="zh-CN" w:bidi="ar-SA"/>
        </w:rPr>
        <w:t>支出决算为369.27万元，完成预算100%。</w:t>
      </w:r>
    </w:p>
    <w:p>
      <w:pPr>
        <w:numPr>
          <w:ilvl w:val="0"/>
          <w:numId w:val="3"/>
        </w:numPr>
        <w:spacing w:line="600" w:lineRule="exact"/>
        <w:ind w:firstLine="640"/>
        <w:rPr>
          <w:rFonts w:hint="eastAsia"/>
          <w:lang w:eastAsia="zh-CN"/>
        </w:rPr>
      </w:pPr>
      <w:r>
        <w:rPr>
          <w:rStyle w:val="19"/>
          <w:rFonts w:hint="eastAsia" w:ascii="仿宋" w:hAnsi="仿宋" w:eastAsia="仿宋"/>
          <w:b/>
          <w:bCs w:val="0"/>
          <w:color w:val="000000"/>
          <w:sz w:val="32"/>
          <w:szCs w:val="32"/>
        </w:rPr>
        <w:t>社</w:t>
      </w:r>
      <w:r>
        <w:rPr>
          <w:rStyle w:val="19"/>
          <w:rFonts w:hint="eastAsia" w:ascii="仿宋" w:hAnsi="仿宋" w:eastAsia="仿宋"/>
          <w:bCs/>
          <w:color w:val="000000"/>
          <w:sz w:val="32"/>
          <w:szCs w:val="32"/>
        </w:rPr>
        <w:t>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w:t>
      </w:r>
      <w:r>
        <w:rPr>
          <w:rStyle w:val="19"/>
          <w:rFonts w:hint="eastAsia" w:ascii="仿宋" w:hAnsi="仿宋" w:eastAsia="仿宋"/>
          <w:bCs/>
          <w:color w:val="000000"/>
          <w:sz w:val="32"/>
          <w:szCs w:val="32"/>
          <w:lang w:eastAsia="zh-CN"/>
        </w:rPr>
        <w:t>行政单位离退休</w:t>
      </w:r>
      <w:r>
        <w:rPr>
          <w:rStyle w:val="19"/>
          <w:rFonts w:hint="eastAsia" w:ascii="仿宋" w:hAnsi="仿宋" w:eastAsia="仿宋"/>
          <w:bCs/>
          <w:color w:val="000000"/>
          <w:sz w:val="32"/>
          <w:szCs w:val="32"/>
        </w:rPr>
        <w:t>（项）：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4.22</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 xml:space="preserve"> 社会保障和就业支出（类）行政事业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养老支出（款）机关事业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基本养老保险缴费支出（项）：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148.76</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lang w:eastAsia="zh-CN"/>
        </w:rPr>
      </w:pPr>
      <w:r>
        <w:rPr>
          <w:rStyle w:val="19"/>
          <w:rFonts w:hint="eastAsia" w:ascii="仿宋" w:hAnsi="仿宋" w:eastAsia="仿宋"/>
          <w:bCs/>
          <w:color w:val="000000"/>
          <w:sz w:val="32"/>
          <w:szCs w:val="32"/>
        </w:rPr>
        <w:t xml:space="preserve"> 社会保障和就业支出（类）行政事业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养老支出（款）机关事业</w:t>
      </w:r>
      <w:r>
        <w:rPr>
          <w:rStyle w:val="19"/>
          <w:rFonts w:hint="eastAsia" w:ascii="仿宋" w:hAnsi="仿宋" w:eastAsia="仿宋"/>
          <w:bCs/>
          <w:color w:val="000000"/>
          <w:sz w:val="32"/>
          <w:szCs w:val="32"/>
          <w:lang w:eastAsia="zh-CN"/>
        </w:rPr>
        <w:t>单位职业年金</w:t>
      </w:r>
      <w:r>
        <w:rPr>
          <w:rStyle w:val="19"/>
          <w:rFonts w:hint="eastAsia" w:ascii="仿宋" w:hAnsi="仿宋" w:eastAsia="仿宋"/>
          <w:bCs/>
          <w:color w:val="000000"/>
          <w:sz w:val="32"/>
          <w:szCs w:val="32"/>
        </w:rPr>
        <w:t>缴费支出（项）：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157.25</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
          <w:bCs w:val="0"/>
          <w:color w:val="000000"/>
          <w:sz w:val="32"/>
          <w:szCs w:val="32"/>
        </w:rPr>
        <w:t>卫生</w:t>
      </w:r>
      <w:r>
        <w:rPr>
          <w:rStyle w:val="19"/>
          <w:rFonts w:hint="eastAsia" w:ascii="仿宋" w:hAnsi="仿宋" w:eastAsia="仿宋"/>
          <w:bCs/>
          <w:color w:val="000000"/>
          <w:sz w:val="32"/>
          <w:szCs w:val="32"/>
        </w:rPr>
        <w:t>健康支出（类）行政事业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医疗支出（款）行政</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85.01</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卫生健康支出（类）行政事业</w:t>
      </w:r>
      <w:r>
        <w:rPr>
          <w:rStyle w:val="19"/>
          <w:rFonts w:hint="eastAsia" w:ascii="仿宋" w:hAnsi="仿宋" w:eastAsia="仿宋"/>
          <w:bCs/>
          <w:color w:val="000000"/>
          <w:sz w:val="32"/>
          <w:szCs w:val="32"/>
          <w:lang w:eastAsia="zh-CN"/>
        </w:rPr>
        <w:t>单位</w:t>
      </w:r>
      <w:r>
        <w:rPr>
          <w:rStyle w:val="19"/>
          <w:rFonts w:hint="eastAsia" w:ascii="仿宋" w:hAnsi="仿宋" w:eastAsia="仿宋"/>
          <w:bCs/>
          <w:color w:val="000000"/>
          <w:sz w:val="32"/>
          <w:szCs w:val="32"/>
        </w:rPr>
        <w:t>医疗支出（款）公务员医疗补助支出（项）：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20.11</w:t>
      </w:r>
      <w:r>
        <w:rPr>
          <w:rFonts w:hint="eastAsia" w:ascii="Times New Roman" w:hAnsi="Times New Roman" w:eastAsia="方正仿宋_GBK" w:cs="Times New Roman"/>
          <w:sz w:val="33"/>
          <w:szCs w:val="33"/>
          <w:lang w:eastAsia="zh-CN"/>
        </w:rPr>
        <w:t>万元，完成预算100%。</w:t>
      </w:r>
    </w:p>
    <w:p>
      <w:pPr>
        <w:numPr>
          <w:ilvl w:val="0"/>
          <w:numId w:val="3"/>
        </w:numPr>
        <w:spacing w:line="600" w:lineRule="exact"/>
        <w:ind w:firstLine="640"/>
        <w:rPr>
          <w:rFonts w:hint="eastAsia" w:ascii="Times New Roman" w:hAnsi="Times New Roman" w:eastAsia="方正仿宋_GBK" w:cs="Times New Roman"/>
          <w:sz w:val="33"/>
          <w:szCs w:val="33"/>
          <w:lang w:eastAsia="zh-CN"/>
        </w:rPr>
      </w:pPr>
      <w:r>
        <w:rPr>
          <w:rStyle w:val="19"/>
          <w:rFonts w:hint="eastAsia" w:ascii="仿宋" w:hAnsi="仿宋" w:eastAsia="仿宋"/>
          <w:bCs/>
          <w:color w:val="000000"/>
          <w:sz w:val="32"/>
          <w:szCs w:val="32"/>
        </w:rPr>
        <w:t>住房保障支出（类）住房改革支出（款）住房公积金支出（项）：</w:t>
      </w:r>
      <w:r>
        <w:rPr>
          <w:rFonts w:hint="eastAsia" w:ascii="Times New Roman" w:hAnsi="Times New Roman" w:eastAsia="方正仿宋_GBK" w:cs="Times New Roman"/>
          <w:sz w:val="33"/>
          <w:szCs w:val="33"/>
          <w:lang w:eastAsia="zh-CN"/>
        </w:rPr>
        <w:t>支出决算为</w:t>
      </w:r>
      <w:r>
        <w:rPr>
          <w:rFonts w:hint="eastAsia" w:eastAsia="方正仿宋_GBK" w:cs="Times New Roman"/>
          <w:sz w:val="33"/>
          <w:szCs w:val="33"/>
          <w:lang w:val="en-US" w:eastAsia="zh-CN"/>
        </w:rPr>
        <w:t>139.13</w:t>
      </w:r>
      <w:r>
        <w:rPr>
          <w:rFonts w:hint="eastAsia" w:ascii="Times New Roman" w:hAnsi="Times New Roman" w:eastAsia="方正仿宋_GBK" w:cs="Times New Roman"/>
          <w:sz w:val="33"/>
          <w:szCs w:val="33"/>
          <w:lang w:eastAsia="zh-CN"/>
        </w:rPr>
        <w:t>万元，完成预算100%。</w:t>
      </w:r>
    </w:p>
    <w:p>
      <w:pPr>
        <w:pStyle w:val="4"/>
        <w:bidi w:val="0"/>
      </w:pPr>
      <w:bookmarkStart w:id="51" w:name="_Toc21076"/>
      <w:bookmarkStart w:id="52" w:name="_Toc15377214"/>
      <w:bookmarkStart w:id="53" w:name="_Toc15396608"/>
      <w:r>
        <w:rPr>
          <w:rFonts w:hint="eastAsia"/>
        </w:rPr>
        <w:t>六、一般公共预算财政拨款基本支出决算情况说明</w:t>
      </w:r>
      <w:bookmarkEnd w:id="51"/>
      <w:bookmarkEnd w:id="52"/>
      <w:bookmarkEnd w:id="53"/>
      <w:r>
        <w:tab/>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2024年度一般公共预算财政拨款基本支出</w:t>
      </w:r>
      <w:r>
        <w:rPr>
          <w:rFonts w:hint="default" w:ascii="Times New Roman" w:hAnsi="Times New Roman" w:eastAsia="方正仿宋_GBK" w:cs="Times New Roman"/>
          <w:sz w:val="33"/>
          <w:szCs w:val="33"/>
        </w:rPr>
        <w:t>1927.92</w:t>
      </w:r>
      <w:r>
        <w:rPr>
          <w:rFonts w:hint="default" w:ascii="Times New Roman" w:hAnsi="Times New Roman" w:eastAsia="方正仿宋_GBK" w:cs="Times New Roman"/>
          <w:color w:val="auto"/>
          <w:kern w:val="2"/>
          <w:sz w:val="33"/>
          <w:szCs w:val="33"/>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人员经费</w:t>
      </w:r>
      <w:r>
        <w:rPr>
          <w:rFonts w:hint="default" w:ascii="Times New Roman" w:hAnsi="Times New Roman" w:eastAsia="方正仿宋_GBK" w:cs="Times New Roman"/>
          <w:sz w:val="33"/>
          <w:szCs w:val="33"/>
        </w:rPr>
        <w:t>1719.51</w:t>
      </w:r>
      <w:r>
        <w:rPr>
          <w:rFonts w:hint="default" w:ascii="Times New Roman" w:hAnsi="Times New Roman" w:eastAsia="方正仿宋_GBK" w:cs="Times New Roman"/>
          <w:color w:val="auto"/>
          <w:kern w:val="2"/>
          <w:sz w:val="33"/>
          <w:szCs w:val="33"/>
          <w:highlight w:val="none"/>
          <w:lang w:val="en-US" w:eastAsia="zh-CN" w:bidi="ar-SA"/>
        </w:rPr>
        <w:t>万元，主要包括：基本工资357.78万元、津贴补贴568.6万元、奖金30.35万元、机关事业单位基本养老保险缴费148.76万元、职业年金缴费157.25万元、职工基本医疗保险缴费85.01万元、公务员医疗补助缴费20.11万元、其他社会保障缴费1.54万元、住房公积金139.13万元、其他工资福利支出206.68万元、生活补助4.29万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公用经费</w:t>
      </w:r>
      <w:r>
        <w:rPr>
          <w:rFonts w:hint="default" w:ascii="Times New Roman" w:hAnsi="Times New Roman" w:eastAsia="方正仿宋_GBK" w:cs="Times New Roman"/>
          <w:sz w:val="33"/>
          <w:szCs w:val="33"/>
        </w:rPr>
        <w:t>208.41</w:t>
      </w:r>
      <w:r>
        <w:rPr>
          <w:rFonts w:hint="default" w:ascii="Times New Roman" w:hAnsi="Times New Roman" w:eastAsia="方正仿宋_GBK" w:cs="Times New Roman"/>
          <w:color w:val="auto"/>
          <w:kern w:val="2"/>
          <w:sz w:val="33"/>
          <w:szCs w:val="33"/>
          <w:highlight w:val="none"/>
          <w:lang w:val="en-US" w:eastAsia="zh-CN" w:bidi="ar-SA"/>
        </w:rPr>
        <w:t>万元，主要包括：办公费26.89万元、水费12.2万元、电费26万元、邮电费9.97万元、差旅费20万元、会议费0.87万元、公务接待费1.24万元、工会经费13.81万元、福利费1.57万元、公务用车运行维护费19.21万元、其他交通费用67.23、其他商品和服务支出9.42万元。</w:t>
      </w:r>
    </w:p>
    <w:p>
      <w:pPr>
        <w:pStyle w:val="4"/>
        <w:bidi w:val="0"/>
      </w:pPr>
      <w:bookmarkStart w:id="54" w:name="_Toc16016"/>
      <w:bookmarkStart w:id="55" w:name="_Toc15377215"/>
      <w:bookmarkStart w:id="56" w:name="_Toc15396609"/>
      <w:r>
        <w:rPr>
          <w:rFonts w:hint="eastAsia"/>
        </w:rPr>
        <w:t>七、财政拨款“三公”经费支出决算情况说明</w:t>
      </w:r>
      <w:bookmarkEnd w:id="54"/>
      <w:bookmarkEnd w:id="55"/>
      <w:bookmarkEnd w:id="5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2024年度“三公”经费财政拨款支出决算为20.45万元，完成预算100%，较上年度减少0.35万元，下降1.68%。决算数</w:t>
      </w:r>
      <w:r>
        <w:rPr>
          <w:rFonts w:hint="eastAsia" w:eastAsia="方正仿宋_GBK" w:cs="Times New Roman"/>
          <w:color w:val="auto"/>
          <w:kern w:val="2"/>
          <w:sz w:val="33"/>
          <w:szCs w:val="33"/>
          <w:highlight w:val="none"/>
          <w:lang w:val="en-US" w:eastAsia="zh-CN" w:bidi="ar-SA"/>
        </w:rPr>
        <w:t>较上年减少的</w:t>
      </w:r>
      <w:r>
        <w:rPr>
          <w:rFonts w:hint="eastAsia" w:ascii="Times New Roman" w:hAnsi="Times New Roman" w:eastAsia="方正仿宋_GBK" w:cs="Times New Roman"/>
          <w:color w:val="auto"/>
          <w:kern w:val="2"/>
          <w:sz w:val="33"/>
          <w:szCs w:val="33"/>
          <w:highlight w:val="none"/>
          <w:lang w:val="en-US" w:eastAsia="zh-CN" w:bidi="ar-SA"/>
        </w:rPr>
        <w:t>主要原因是我</w:t>
      </w:r>
      <w:r>
        <w:rPr>
          <w:rFonts w:hint="eastAsia" w:eastAsia="方正仿宋_GBK" w:cs="Times New Roman"/>
          <w:color w:val="auto"/>
          <w:kern w:val="2"/>
          <w:sz w:val="33"/>
          <w:szCs w:val="33"/>
          <w:highlight w:val="none"/>
          <w:lang w:val="en-US" w:eastAsia="zh-CN" w:bidi="ar-SA"/>
        </w:rPr>
        <w:t>院2024年提高了公务用车的使用规范，同时依标准进行必要的公务接待，做到据实报销。</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2024年度“三公”经费财政拨款支出决算中，因公出国（境）费支出决算0万元，占0%；公务用车购置及运行维护费支出决算19.21万元，占93.94%；公务接待费支出决算1.24万元，占6.06%。具体情况如下：</w:t>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spacing w:line="240" w:lineRule="auto"/>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981575" cy="3686175"/>
            <wp:effectExtent l="0" t="0" r="9525" b="9525"/>
            <wp:docPr id="24" name="图片 24"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7"/>
                    <pic:cNvPicPr>
                      <a:picLocks noChangeAspect="1"/>
                    </pic:cNvPicPr>
                  </pic:nvPicPr>
                  <pic:blipFill>
                    <a:blip r:embed="rId16"/>
                    <a:stretch>
                      <a:fillRect/>
                    </a:stretch>
                  </pic:blipFill>
                  <pic:spPr>
                    <a:xfrm>
                      <a:off x="0" y="0"/>
                      <a:ext cx="4981575" cy="3686175"/>
                    </a:xfrm>
                    <a:prstGeom prst="rect">
                      <a:avLst/>
                    </a:prstGeom>
                  </pic:spPr>
                </pic:pic>
              </a:graphicData>
            </a:graphic>
          </wp:inline>
        </w:drawing>
      </w:r>
    </w:p>
    <w:p>
      <w:pPr>
        <w:spacing w:line="600" w:lineRule="exact"/>
        <w:ind w:firstLine="640"/>
        <w:jc w:val="center"/>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r>
        <w:rPr>
          <w:rFonts w:hint="eastAsia" w:eastAsia="仿宋_GB2312" w:cs="仿宋_GB2312"/>
          <w:color w:val="auto"/>
          <w:kern w:val="2"/>
          <w:sz w:val="32"/>
          <w:szCs w:val="32"/>
          <w:highlight w:val="none"/>
          <w:lang w:val="en-US" w:eastAsia="zh-CN" w:bidi="ar-SA"/>
        </w:rPr>
        <w:t>图</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全年安排因公出国（境）团组0次，出国（境）0人。</w:t>
      </w:r>
    </w:p>
    <w:p>
      <w:pPr>
        <w:spacing w:line="600" w:lineRule="exact"/>
        <w:ind w:firstLine="640"/>
        <w:rPr>
          <w:rFonts w:hint="eastAsia"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19.21万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公务用车购置及运行维护费支出决算比202</w:t>
      </w:r>
      <w:r>
        <w:rPr>
          <w:rFonts w:hint="eastAsia"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年度减少1.2万元，下降5.88%。</w:t>
      </w:r>
      <w:r>
        <w:rPr>
          <w:rFonts w:hint="eastAsia" w:eastAsia="方正仿宋_GBK" w:cs="Times New Roman"/>
          <w:color w:val="auto"/>
          <w:kern w:val="2"/>
          <w:sz w:val="33"/>
          <w:szCs w:val="33"/>
          <w:highlight w:val="none"/>
          <w:lang w:val="en-US" w:eastAsia="zh-CN" w:bidi="ar-SA"/>
        </w:rPr>
        <w:t>主要原因是</w:t>
      </w:r>
      <w:r>
        <w:rPr>
          <w:rFonts w:hint="eastAsia" w:ascii="Times New Roman" w:hAnsi="Times New Roman" w:eastAsia="方正仿宋_GBK" w:cs="Times New Roman"/>
          <w:color w:val="auto"/>
          <w:kern w:val="2"/>
          <w:sz w:val="33"/>
          <w:szCs w:val="33"/>
          <w:highlight w:val="none"/>
          <w:lang w:val="en-US" w:eastAsia="zh-CN" w:bidi="ar-SA"/>
        </w:rPr>
        <w:t>我</w:t>
      </w:r>
      <w:r>
        <w:rPr>
          <w:rFonts w:hint="eastAsia" w:eastAsia="方正仿宋_GBK" w:cs="Times New Roman"/>
          <w:color w:val="auto"/>
          <w:kern w:val="2"/>
          <w:sz w:val="33"/>
          <w:szCs w:val="33"/>
          <w:highlight w:val="none"/>
          <w:lang w:val="en-US" w:eastAsia="zh-CN" w:bidi="ar-SA"/>
        </w:rPr>
        <w:t>院2024年提高了公务用车的使用规范。</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其中：公务用车购置支出0万元。截至2024年12月31日，单位共有公务用车16辆，其中：轿车8辆、越野车3辆、载客汽车0辆、其他车型5辆。</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公务用车运行维护费支出19.21万元。主要用于</w:t>
      </w:r>
      <w:r>
        <w:rPr>
          <w:rFonts w:hint="default" w:ascii="Times New Roman" w:hAnsi="Times New Roman" w:eastAsia="方正仿宋_GBK" w:cs="Times New Roman"/>
          <w:color w:val="auto"/>
          <w:kern w:val="2"/>
          <w:sz w:val="33"/>
          <w:szCs w:val="33"/>
          <w:highlight w:val="none"/>
          <w:lang w:val="en-US" w:eastAsia="zh-CN" w:bidi="ar-SA"/>
        </w:rPr>
        <w:t>执法执勤、案件审判等</w:t>
      </w:r>
      <w:r>
        <w:rPr>
          <w:rFonts w:hint="eastAsia" w:ascii="Times New Roman" w:hAnsi="Times New Roman" w:eastAsia="方正仿宋_GBK" w:cs="Times New Roman"/>
          <w:color w:val="auto"/>
          <w:kern w:val="2"/>
          <w:sz w:val="33"/>
          <w:szCs w:val="33"/>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1.24万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公务接待费支出决算比202</w:t>
      </w:r>
      <w:r>
        <w:rPr>
          <w:rFonts w:hint="eastAsia"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年度增加0.85万元，增长217.95%。主要原因是</w:t>
      </w:r>
      <w:r>
        <w:rPr>
          <w:rFonts w:hint="eastAsia" w:eastAsia="方正仿宋_GBK" w:cs="Times New Roman"/>
          <w:color w:val="auto"/>
          <w:kern w:val="2"/>
          <w:sz w:val="33"/>
          <w:szCs w:val="33"/>
          <w:highlight w:val="none"/>
          <w:lang w:val="en-US" w:eastAsia="zh-CN" w:bidi="ar-SA"/>
        </w:rPr>
        <w:t>2024年司法调研活动、工作交流会议等较上年有所增加</w:t>
      </w:r>
      <w:r>
        <w:rPr>
          <w:rFonts w:hint="default" w:ascii="Times New Roman" w:hAnsi="Times New Roman" w:eastAsia="方正仿宋_GBK" w:cs="Times New Roman"/>
          <w:color w:val="auto"/>
          <w:kern w:val="2"/>
          <w:sz w:val="33"/>
          <w:szCs w:val="33"/>
          <w:highlight w:val="none"/>
          <w:lang w:val="en-US" w:eastAsia="zh-CN" w:bidi="ar-SA"/>
        </w:rPr>
        <w:t>，</w:t>
      </w:r>
      <w:r>
        <w:rPr>
          <w:rFonts w:hint="eastAsia" w:eastAsia="方正仿宋_GBK" w:cs="Times New Roman"/>
          <w:color w:val="auto"/>
          <w:kern w:val="2"/>
          <w:sz w:val="33"/>
          <w:szCs w:val="33"/>
          <w:highlight w:val="none"/>
          <w:lang w:val="en-US" w:eastAsia="zh-CN" w:bidi="ar-SA"/>
        </w:rPr>
        <w:t>我院</w:t>
      </w:r>
      <w:r>
        <w:rPr>
          <w:rFonts w:hint="default" w:ascii="Times New Roman" w:hAnsi="Times New Roman" w:eastAsia="方正仿宋_GBK" w:cs="Times New Roman"/>
          <w:color w:val="auto"/>
          <w:kern w:val="2"/>
          <w:sz w:val="33"/>
          <w:szCs w:val="33"/>
          <w:highlight w:val="none"/>
          <w:lang w:val="en-US" w:eastAsia="zh-CN" w:bidi="ar-SA"/>
        </w:rPr>
        <w:t>进行了必要的公务接待</w:t>
      </w:r>
      <w:r>
        <w:rPr>
          <w:rFonts w:hint="eastAsia" w:eastAsia="方正仿宋_GBK" w:cs="Times New Roman"/>
          <w:color w:val="auto"/>
          <w:kern w:val="2"/>
          <w:sz w:val="33"/>
          <w:szCs w:val="33"/>
          <w:highlight w:val="none"/>
          <w:lang w:val="en-US" w:eastAsia="zh-CN" w:bidi="ar-SA"/>
        </w:rPr>
        <w:t>，导致公务接待费用增加</w:t>
      </w:r>
      <w:r>
        <w:rPr>
          <w:rFonts w:hint="default"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其中：</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国内公务接待支出1.24万元，主要用于执行公务、开展业务活动开支的交通费、住宿费、用餐费等。国内公务接待4批次，77人次（不包括陪同人员），共计支出1.24万元，具体内容包括：</w:t>
      </w:r>
      <w:r>
        <w:rPr>
          <w:rFonts w:hint="default" w:ascii="Times New Roman" w:hAnsi="Times New Roman" w:eastAsia="方正仿宋_GBK" w:cs="Times New Roman"/>
          <w:color w:val="auto"/>
          <w:kern w:val="2"/>
          <w:sz w:val="33"/>
          <w:szCs w:val="33"/>
          <w:highlight w:val="none"/>
          <w:lang w:val="en-US" w:eastAsia="zh-CN" w:bidi="ar-SA"/>
        </w:rPr>
        <w:t>接待</w:t>
      </w:r>
      <w:r>
        <w:rPr>
          <w:rFonts w:hint="eastAsia" w:ascii="Times New Roman" w:hAnsi="Times New Roman" w:eastAsia="方正仿宋_GBK" w:cs="Times New Roman"/>
          <w:color w:val="auto"/>
          <w:kern w:val="2"/>
          <w:sz w:val="33"/>
          <w:szCs w:val="33"/>
          <w:highlight w:val="none"/>
          <w:lang w:val="en-US" w:eastAsia="zh-CN" w:bidi="ar-SA"/>
        </w:rPr>
        <w:t>攀枝花市中级人民法院、会理市人民法院等8家法院42人参加2024年攀枝花市人民法庭现场工作推进会</w:t>
      </w:r>
      <w:r>
        <w:rPr>
          <w:rFonts w:hint="default" w:ascii="Times New Roman" w:hAnsi="Times New Roman" w:eastAsia="方正仿宋_GBK" w:cs="Times New Roman"/>
          <w:color w:val="auto"/>
          <w:kern w:val="2"/>
          <w:sz w:val="33"/>
          <w:szCs w:val="33"/>
          <w:highlight w:val="none"/>
          <w:lang w:val="en-US" w:eastAsia="zh-CN" w:bidi="ar-SA"/>
        </w:rPr>
        <w:t>，接待金额为</w:t>
      </w:r>
      <w:r>
        <w:rPr>
          <w:rFonts w:hint="eastAsia" w:ascii="Times New Roman" w:hAnsi="Times New Roman" w:eastAsia="方正仿宋_GBK" w:cs="Times New Roman"/>
          <w:color w:val="auto"/>
          <w:kern w:val="2"/>
          <w:sz w:val="33"/>
          <w:szCs w:val="33"/>
          <w:highlight w:val="none"/>
          <w:lang w:val="en-US" w:eastAsia="zh-CN" w:bidi="ar-SA"/>
        </w:rPr>
        <w:t>5035元；接待四川省高级人民法院、攀枝花市中级人民法院5人参加调研督导司法警务工作，接待金额为1254元；接待云南省丽江市华坪县人民法院10人交流学习党建、法庭建设、审判执行工作，接待金额为2120元；接待四川省高级人民法院、攀枝花市中级人民法院等20人参加扫</w:t>
      </w:r>
      <w:r>
        <w:rPr>
          <w:rFonts w:hint="eastAsia" w:eastAsia="方正仿宋_GBK" w:cs="Times New Roman"/>
          <w:color w:val="auto"/>
          <w:kern w:val="2"/>
          <w:sz w:val="33"/>
          <w:szCs w:val="33"/>
          <w:highlight w:val="none"/>
          <w:lang w:val="en-US" w:eastAsia="zh-CN" w:bidi="ar-SA"/>
        </w:rPr>
        <w:t>黑</w:t>
      </w:r>
      <w:r>
        <w:rPr>
          <w:rFonts w:hint="eastAsia" w:ascii="Times New Roman" w:hAnsi="Times New Roman" w:eastAsia="方正仿宋_GBK" w:cs="Times New Roman"/>
          <w:color w:val="auto"/>
          <w:kern w:val="2"/>
          <w:sz w:val="33"/>
          <w:szCs w:val="33"/>
          <w:highlight w:val="none"/>
          <w:lang w:val="en-US" w:eastAsia="zh-CN" w:bidi="ar-SA"/>
        </w:rPr>
        <w:t>除恶交流工作，接待</w:t>
      </w:r>
      <w:r>
        <w:rPr>
          <w:rFonts w:hint="eastAsia" w:eastAsia="方正仿宋_GBK" w:cs="Times New Roman"/>
          <w:color w:val="auto"/>
          <w:kern w:val="2"/>
          <w:sz w:val="33"/>
          <w:szCs w:val="33"/>
          <w:highlight w:val="none"/>
          <w:lang w:val="en-US" w:eastAsia="zh-CN" w:bidi="ar-SA"/>
        </w:rPr>
        <w:t>金额为</w:t>
      </w:r>
      <w:r>
        <w:rPr>
          <w:rFonts w:hint="eastAsia" w:ascii="Times New Roman" w:hAnsi="Times New Roman" w:eastAsia="方正仿宋_GBK" w:cs="Times New Roman"/>
          <w:color w:val="auto"/>
          <w:kern w:val="2"/>
          <w:sz w:val="33"/>
          <w:szCs w:val="33"/>
          <w:highlight w:val="none"/>
          <w:lang w:val="en-US" w:eastAsia="zh-CN" w:bidi="ar-SA"/>
        </w:rPr>
        <w:t>4000元。</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外事接待支出0万元，外事接待0批次，0人次（不包括陪同人员），共计支出0万元。</w:t>
      </w:r>
      <w:bookmarkStart w:id="59" w:name="_Toc15396610"/>
      <w:bookmarkStart w:id="60" w:name="_Toc15377218"/>
    </w:p>
    <w:p>
      <w:pPr>
        <w:pStyle w:val="4"/>
        <w:bidi w:val="0"/>
      </w:pPr>
      <w:bookmarkStart w:id="61" w:name="_Toc21893"/>
      <w:r>
        <w:rPr>
          <w:rFonts w:hint="eastAsia"/>
        </w:rPr>
        <w:t>八、政府性基金预算支出决算情况说明</w:t>
      </w:r>
      <w:bookmarkEnd w:id="59"/>
      <w:bookmarkEnd w:id="60"/>
      <w:bookmarkEnd w:id="6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2024年度政府性基金预算财政拨款支出0万元。</w:t>
      </w:r>
    </w:p>
    <w:p>
      <w:pPr>
        <w:pStyle w:val="4"/>
        <w:bidi w:val="0"/>
      </w:pPr>
      <w:bookmarkStart w:id="62" w:name="_Toc23701"/>
      <w:bookmarkStart w:id="63" w:name="_Toc15377219"/>
      <w:bookmarkStart w:id="64" w:name="_Toc15396611"/>
      <w:r>
        <w:rPr>
          <w:rFonts w:hint="eastAsia"/>
          <w:lang w:eastAsia="zh-CN"/>
        </w:rPr>
        <w:t>九、</w:t>
      </w:r>
      <w:r>
        <w:rPr>
          <w:rFonts w:hint="eastAsia"/>
        </w:rPr>
        <w:t>国有资本经营预算支出决算情况说明</w:t>
      </w:r>
      <w:bookmarkEnd w:id="62"/>
      <w:bookmarkEnd w:id="63"/>
      <w:bookmarkEnd w:id="64"/>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2024年度国有资本经营预算财政拨款支出0万元。</w:t>
      </w:r>
    </w:p>
    <w:p>
      <w:pPr>
        <w:pStyle w:val="4"/>
        <w:bidi w:val="0"/>
        <w:rPr>
          <w:rFonts w:hint="eastAsia"/>
        </w:rPr>
      </w:pPr>
      <w:bookmarkStart w:id="65" w:name="_Toc15396612"/>
      <w:bookmarkStart w:id="66" w:name="_Toc15377221"/>
      <w:bookmarkStart w:id="67" w:name="_Toc1738"/>
      <w:r>
        <w:rPr>
          <w:rFonts w:hint="eastAsia"/>
          <w:lang w:eastAsia="zh-CN"/>
        </w:rPr>
        <w:t>十、</w:t>
      </w:r>
      <w:r>
        <w:rPr>
          <w:rFonts w:hint="eastAsia"/>
        </w:rPr>
        <w:t>其他重要事项的情况说明</w:t>
      </w:r>
      <w:bookmarkEnd w:id="65"/>
      <w:bookmarkEnd w:id="66"/>
      <w:bookmarkEnd w:id="6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22"/>
      <w:r>
        <w:rPr>
          <w:rFonts w:hint="eastAsia" w:ascii="Times New Roman" w:hAnsi="Times New Roman" w:eastAsia="楷体_GB2312" w:cs="楷体_GB2312"/>
          <w:b/>
          <w:color w:val="auto"/>
          <w:sz w:val="32"/>
          <w:szCs w:val="32"/>
          <w:highlight w:val="none"/>
        </w:rPr>
        <w:t>（一）机关运行经费支出情况</w:t>
      </w:r>
      <w:bookmarkEnd w:id="68"/>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2024年度，四川省攀枝花市东区人民法院机关运行经费支出208.41万元，比2024年度增加19.66万元，增长10.42%。主要原因是我院</w:t>
      </w:r>
      <w:r>
        <w:rPr>
          <w:rFonts w:hint="eastAsia" w:eastAsia="方正仿宋_GBK" w:cs="Times New Roman"/>
          <w:color w:val="auto"/>
          <w:kern w:val="2"/>
          <w:sz w:val="33"/>
          <w:szCs w:val="33"/>
          <w:highlight w:val="none"/>
          <w:lang w:val="en-US" w:eastAsia="zh-CN" w:bidi="ar-SA"/>
        </w:rPr>
        <w:t>2024年新招考公务员人数较多，造成了</w:t>
      </w:r>
      <w:r>
        <w:rPr>
          <w:rFonts w:hint="eastAsia" w:ascii="Times New Roman" w:hAnsi="Times New Roman" w:eastAsia="方正仿宋_GBK" w:cs="Times New Roman"/>
          <w:color w:val="auto"/>
          <w:kern w:val="2"/>
          <w:sz w:val="33"/>
          <w:szCs w:val="33"/>
          <w:highlight w:val="none"/>
          <w:lang w:val="en-US" w:eastAsia="zh-CN" w:bidi="ar-SA"/>
        </w:rPr>
        <w:t>公用经费支出增加。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23"/>
      <w:r>
        <w:rPr>
          <w:rFonts w:hint="eastAsia" w:ascii="Times New Roman" w:hAnsi="Times New Roman" w:eastAsia="楷体_GB2312" w:cs="楷体_GB2312"/>
          <w:b/>
          <w:color w:val="auto"/>
          <w:sz w:val="32"/>
          <w:szCs w:val="32"/>
          <w:highlight w:val="none"/>
        </w:rPr>
        <w:t>（二）政府采购支出情况</w:t>
      </w:r>
      <w:bookmarkEnd w:id="69"/>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2024年度，四川省攀枝花市东区人民法院政府采购支出总额7.7万元，其中：政府采购货物支出0万元、政府采购工程支出0万元、政府采购服务支出7.7万元。主要用于执法执勤用车的</w:t>
      </w:r>
      <w:r>
        <w:rPr>
          <w:rFonts w:hint="eastAsia" w:eastAsia="方正仿宋_GBK" w:cs="Times New Roman"/>
          <w:color w:val="auto"/>
          <w:kern w:val="2"/>
          <w:sz w:val="33"/>
          <w:szCs w:val="33"/>
          <w:highlight w:val="none"/>
          <w:lang w:val="en-US" w:eastAsia="zh-CN" w:bidi="ar-SA"/>
        </w:rPr>
        <w:t>燃油费4万元及</w:t>
      </w:r>
      <w:r>
        <w:rPr>
          <w:rFonts w:hint="eastAsia" w:ascii="Times New Roman" w:hAnsi="Times New Roman" w:eastAsia="方正仿宋_GBK" w:cs="Times New Roman"/>
          <w:color w:val="auto"/>
          <w:kern w:val="2"/>
          <w:sz w:val="33"/>
          <w:szCs w:val="33"/>
          <w:highlight w:val="none"/>
          <w:lang w:val="en-US" w:eastAsia="zh-CN" w:bidi="ar-SA"/>
        </w:rPr>
        <w:t>保险</w:t>
      </w:r>
      <w:r>
        <w:rPr>
          <w:rFonts w:hint="eastAsia" w:eastAsia="方正仿宋_GBK" w:cs="Times New Roman"/>
          <w:color w:val="auto"/>
          <w:kern w:val="2"/>
          <w:sz w:val="33"/>
          <w:szCs w:val="33"/>
          <w:highlight w:val="none"/>
          <w:lang w:val="en-US" w:eastAsia="zh-CN" w:bidi="ar-SA"/>
        </w:rPr>
        <w:t>费3.7万元</w:t>
      </w:r>
      <w:r>
        <w:rPr>
          <w:rFonts w:hint="eastAsia" w:ascii="Times New Roman" w:hAnsi="Times New Roman" w:eastAsia="方正仿宋_GBK" w:cs="Times New Roman"/>
          <w:color w:val="auto"/>
          <w:kern w:val="2"/>
          <w:sz w:val="33"/>
          <w:szCs w:val="33"/>
          <w:highlight w:val="none"/>
          <w:lang w:val="en-US" w:eastAsia="zh-CN" w:bidi="ar-SA"/>
        </w:rPr>
        <w:t>。授予中小企业合同金额0万元，占政府采购支出总额的0%，其中：授予小微企业合同金额0万元，占政府采购支出总额的0%。</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377224"/>
      <w:r>
        <w:rPr>
          <w:rFonts w:hint="eastAsia" w:ascii="Times New Roman" w:hAnsi="Times New Roman" w:eastAsia="楷体_GB2312" w:cs="楷体_GB2312"/>
          <w:b/>
          <w:color w:val="auto"/>
          <w:sz w:val="32"/>
          <w:szCs w:val="32"/>
          <w:highlight w:val="none"/>
        </w:rPr>
        <w:t>（三）国有资产占有使用情况</w:t>
      </w:r>
      <w:bookmarkEnd w:id="70"/>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截至2024年12月31日，四川省攀枝花市东区人民法院共有车辆16辆，其中：主要负责人用车0辆、机要通信用车0辆、应急保障用车0辆、其他用车16辆，其他用车主要是用于我院执法执勤工作。单价100万元（含）以上设备（不含车辆）0台（套）。</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根据预算绩效管理要求，本</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在2024年度预算编制阶段，组织对办案经费、行政运行经费、人民陪审员经费、司法救助金、信息系统维护费项目5个项目开展了预算事前绩效评估，对5个项目编制了绩效目标，预算执行过程中，选取5个项目开展绩效监控</w:t>
      </w:r>
      <w:r>
        <w:rPr>
          <w:rFonts w:hint="eastAsia" w:eastAsia="方正仿宋_GBK" w:cs="Times New Roman"/>
          <w:color w:val="auto"/>
          <w:kern w:val="2"/>
          <w:sz w:val="33"/>
          <w:szCs w:val="33"/>
          <w:highlight w:val="none"/>
          <w:lang w:val="en-US" w:eastAsia="zh-CN" w:bidi="ar-SA"/>
        </w:rPr>
        <w:t>。</w:t>
      </w:r>
    </w:p>
    <w:p>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br w:type="page"/>
      </w:r>
    </w:p>
    <w:p>
      <w:pPr>
        <w:pStyle w:val="3"/>
        <w:bidi w:val="0"/>
        <w:jc w:val="center"/>
        <w:rPr>
          <w:rFonts w:hint="eastAsia"/>
        </w:rPr>
      </w:pPr>
      <w:bookmarkStart w:id="71" w:name="_Toc15377225"/>
      <w:bookmarkStart w:id="72" w:name="_Toc8307"/>
      <w:bookmarkStart w:id="73" w:name="_Toc15396613"/>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71"/>
      <w:bookmarkEnd w:id="72"/>
      <w:bookmarkEnd w:id="73"/>
    </w:p>
    <w:p>
      <w:pPr>
        <w:spacing w:line="600" w:lineRule="exact"/>
        <w:jc w:val="left"/>
        <w:rPr>
          <w:rFonts w:ascii="Times New Roman" w:hAnsi="Times New Roman"/>
          <w:b/>
          <w:color w:val="auto"/>
          <w:sz w:val="44"/>
          <w:szCs w:val="44"/>
          <w:highlight w:val="none"/>
        </w:rPr>
      </w:pP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bookmarkStart w:id="74" w:name="_Toc15377226"/>
      <w:r>
        <w:rPr>
          <w:rFonts w:hint="default" w:ascii="Times New Roman" w:hAnsi="Times New Roman" w:eastAsia="方正仿宋_GBK" w:cs="Times New Roman"/>
          <w:color w:val="auto"/>
          <w:kern w:val="2"/>
          <w:sz w:val="33"/>
          <w:szCs w:val="33"/>
          <w:highlight w:val="none"/>
          <w:lang w:val="en-US" w:eastAsia="zh-CN" w:bidi="ar-SA"/>
        </w:rPr>
        <w:t>1.财政拨款收入：指</w:t>
      </w:r>
      <w:r>
        <w:rPr>
          <w:rFonts w:hint="eastAsia" w:eastAsia="方正仿宋_GBK" w:cs="Times New Roman"/>
          <w:color w:val="auto"/>
          <w:kern w:val="2"/>
          <w:sz w:val="33"/>
          <w:szCs w:val="33"/>
          <w:highlight w:val="none"/>
          <w:lang w:val="en-US" w:eastAsia="zh-CN" w:bidi="ar-SA"/>
        </w:rPr>
        <w:t>单位</w:t>
      </w:r>
      <w:r>
        <w:rPr>
          <w:rFonts w:hint="default" w:ascii="Times New Roman" w:hAnsi="Times New Roman" w:eastAsia="方正仿宋_GBK" w:cs="Times New Roman"/>
          <w:color w:val="auto"/>
          <w:kern w:val="2"/>
          <w:sz w:val="33"/>
          <w:szCs w:val="33"/>
          <w:highlight w:val="none"/>
          <w:lang w:val="en-US" w:eastAsia="zh-CN" w:bidi="ar-SA"/>
        </w:rPr>
        <w:t>从同级财政</w:t>
      </w:r>
      <w:r>
        <w:rPr>
          <w:rFonts w:hint="eastAsia" w:eastAsia="方正仿宋_GBK" w:cs="Times New Roman"/>
          <w:color w:val="auto"/>
          <w:kern w:val="2"/>
          <w:sz w:val="33"/>
          <w:szCs w:val="33"/>
          <w:highlight w:val="none"/>
          <w:lang w:val="en-US" w:eastAsia="zh-CN" w:bidi="ar-SA"/>
        </w:rPr>
        <w:t>单位</w:t>
      </w:r>
      <w:r>
        <w:rPr>
          <w:rFonts w:hint="default" w:ascii="Times New Roman" w:hAnsi="Times New Roman" w:eastAsia="方正仿宋_GBK" w:cs="Times New Roman"/>
          <w:color w:val="auto"/>
          <w:kern w:val="2"/>
          <w:sz w:val="33"/>
          <w:szCs w:val="33"/>
          <w:highlight w:val="none"/>
          <w:lang w:val="en-US" w:eastAsia="zh-CN" w:bidi="ar-SA"/>
        </w:rPr>
        <w:t>取得的财政预算资金。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2.事业收入：指事业</w:t>
      </w:r>
      <w:r>
        <w:rPr>
          <w:rFonts w:hint="eastAsia" w:eastAsia="方正仿宋_GBK" w:cs="Times New Roman"/>
          <w:color w:val="auto"/>
          <w:kern w:val="2"/>
          <w:sz w:val="33"/>
          <w:szCs w:val="33"/>
          <w:highlight w:val="none"/>
          <w:lang w:val="en-US" w:eastAsia="zh-CN" w:bidi="ar-SA"/>
        </w:rPr>
        <w:t>单位</w:t>
      </w:r>
      <w:r>
        <w:rPr>
          <w:rFonts w:hint="default" w:ascii="Times New Roman" w:hAnsi="Times New Roman" w:eastAsia="方正仿宋_GBK" w:cs="Times New Roman"/>
          <w:color w:val="auto"/>
          <w:kern w:val="2"/>
          <w:sz w:val="33"/>
          <w:szCs w:val="33"/>
          <w:highlight w:val="none"/>
          <w:lang w:val="en-US" w:eastAsia="zh-CN" w:bidi="ar-SA"/>
        </w:rPr>
        <w:t>开展专业业务活动及辅助活动取得的收入。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3.</w:t>
      </w:r>
      <w:r>
        <w:rPr>
          <w:rFonts w:hint="eastAsia" w:ascii="Times New Roman" w:hAnsi="Times New Roman" w:eastAsia="方正仿宋_GBK" w:cs="Times New Roman"/>
          <w:color w:val="auto"/>
          <w:kern w:val="2"/>
          <w:sz w:val="33"/>
          <w:szCs w:val="33"/>
          <w:highlight w:val="none"/>
          <w:lang w:val="en-US" w:eastAsia="zh-CN" w:bidi="ar-SA"/>
        </w:rPr>
        <w:t>经营收入：指事业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在专业业务活动及其辅助活动之外开展非独立核算经营活动取得的收入。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4.</w:t>
      </w:r>
      <w:r>
        <w:rPr>
          <w:rFonts w:hint="eastAsia" w:ascii="Times New Roman" w:hAnsi="Times New Roman" w:eastAsia="方正仿宋_GBK" w:cs="Times New Roman"/>
          <w:color w:val="auto"/>
          <w:kern w:val="2"/>
          <w:sz w:val="33"/>
          <w:szCs w:val="33"/>
          <w:highlight w:val="none"/>
          <w:lang w:val="en-US" w:eastAsia="zh-CN" w:bidi="ar-SA"/>
        </w:rPr>
        <w:t>其他收入：指</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取得的除上述收入以外的各项收入。主要是东区财政拨款收入。</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5.</w:t>
      </w:r>
      <w:r>
        <w:rPr>
          <w:rFonts w:hint="eastAsia" w:ascii="Times New Roman" w:hAnsi="Times New Roman" w:eastAsia="方正仿宋_GBK" w:cs="Times New Roman"/>
          <w:color w:val="auto"/>
          <w:kern w:val="2"/>
          <w:sz w:val="33"/>
          <w:szCs w:val="33"/>
          <w:highlight w:val="none"/>
          <w:lang w:val="en-US" w:eastAsia="zh-CN" w:bidi="ar-SA"/>
        </w:rPr>
        <w:t>使用非财政拨款结余：指事业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使用以前年度积累的非财政拨款结余弥补当年收支差额的金额。</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6.</w:t>
      </w:r>
      <w:r>
        <w:rPr>
          <w:rFonts w:hint="eastAsia" w:ascii="Times New Roman" w:hAnsi="Times New Roman" w:eastAsia="方正仿宋_GBK" w:cs="Times New Roman"/>
          <w:color w:val="auto"/>
          <w:kern w:val="2"/>
          <w:sz w:val="33"/>
          <w:szCs w:val="33"/>
          <w:highlight w:val="none"/>
          <w:lang w:val="en-US" w:eastAsia="zh-CN" w:bidi="ar-SA"/>
        </w:rPr>
        <w:t>年初结转和结余：指以前年度尚未完成、结转到本年按有关规定继续使用的资金。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7.</w:t>
      </w:r>
      <w:r>
        <w:rPr>
          <w:rFonts w:hint="eastAsia" w:ascii="Times New Roman" w:hAnsi="Times New Roman" w:eastAsia="方正仿宋_GBK" w:cs="Times New Roman"/>
          <w:color w:val="auto"/>
          <w:kern w:val="2"/>
          <w:sz w:val="33"/>
          <w:szCs w:val="33"/>
          <w:highlight w:val="none"/>
          <w:lang w:val="en-US" w:eastAsia="zh-CN" w:bidi="ar-SA"/>
        </w:rPr>
        <w:t>结余分配：指事业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按照会计制度规定缴纳的所得税、提取的专用结余以及转入非财政拨款结余的金额等。</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8</w:t>
      </w:r>
      <w:r>
        <w:rPr>
          <w:rFonts w:hint="eastAsia" w:ascii="Times New Roman" w:hAnsi="Times New Roman" w:eastAsia="方正仿宋_GBK" w:cs="Times New Roman"/>
          <w:color w:val="auto"/>
          <w:kern w:val="2"/>
          <w:sz w:val="33"/>
          <w:szCs w:val="33"/>
          <w:highlight w:val="none"/>
          <w:lang w:val="en-US" w:eastAsia="zh-CN" w:bidi="ar-SA"/>
        </w:rPr>
        <w:t>.年末结转和结余：指</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按有关规定结转到下年或以后年度继续使用的资金。</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9.</w:t>
      </w:r>
      <w:r>
        <w:rPr>
          <w:rFonts w:hint="eastAsia" w:ascii="Times New Roman" w:hAnsi="Times New Roman" w:eastAsia="方正仿宋_GBK" w:cs="Times New Roman"/>
          <w:color w:val="auto"/>
          <w:kern w:val="2"/>
          <w:sz w:val="33"/>
          <w:szCs w:val="33"/>
          <w:highlight w:val="none"/>
          <w:lang w:val="en-US" w:eastAsia="zh-CN" w:bidi="ar-SA"/>
        </w:rPr>
        <w:t>公共安全支出（类）法院（款）行政运行（项）: 反映行政</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（包括实行公务员管理的事业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）的基本支出。</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10.</w:t>
      </w:r>
      <w:r>
        <w:rPr>
          <w:rFonts w:hint="eastAsia" w:ascii="Times New Roman" w:hAnsi="Times New Roman" w:eastAsia="方正仿宋_GBK" w:cs="Times New Roman"/>
          <w:color w:val="auto"/>
          <w:kern w:val="2"/>
          <w:sz w:val="33"/>
          <w:szCs w:val="33"/>
          <w:highlight w:val="none"/>
          <w:lang w:val="en-US" w:eastAsia="zh-CN" w:bidi="ar-SA"/>
        </w:rPr>
        <w:t>公共安全支出（类）法院（款）一般行政管理事务（项）: 反映行政</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（包括实行公务员管理的事业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）未单独设置相应科目的其他项目支出。</w:t>
      </w:r>
    </w:p>
    <w:p>
      <w:pPr>
        <w:spacing w:line="600" w:lineRule="exact"/>
        <w:ind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11．公共安全支出（类）法院（款）案件审判（项）: 反映人民法院对刑事、民事、行政、涉外等案件审判活动的支出。</w:t>
      </w:r>
    </w:p>
    <w:p>
      <w:pPr>
        <w:spacing w:line="600" w:lineRule="exact"/>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color w:val="auto"/>
          <w:kern w:val="2"/>
          <w:sz w:val="33"/>
          <w:szCs w:val="33"/>
          <w:highlight w:val="none"/>
          <w:lang w:val="en-US" w:eastAsia="zh-CN" w:bidi="ar-SA"/>
        </w:rPr>
        <w:t>12．公共安全支出（类）法院（款）事业运行（项）: 反映事业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的基本支出，不包括行政</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（包括实行公务员管理的事业</w:t>
      </w:r>
      <w:r>
        <w:rPr>
          <w:rFonts w:hint="eastAsia"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）后勤服务中心、医务室</w:t>
      </w:r>
      <w:r>
        <w:rPr>
          <w:rFonts w:hint="eastAsia" w:ascii="Times New Roman" w:hAnsi="Times New Roman" w:eastAsia="方正仿宋_GBK" w:cs="Times New Roman"/>
          <w:sz w:val="33"/>
          <w:szCs w:val="33"/>
          <w:lang w:val="en-US" w:eastAsia="zh-CN"/>
        </w:rPr>
        <w:t>等附属事业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13．公共安全支出（类）法院（款）其他法院支出（项）: 反映除行政运行、一般行政管理事务、机关服务、案件审判、案件执行、“两庭”建设、事业运行等项目之外用于法院方面的支出。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14．公共安全支出（类）其他公共安全支出（款）国家司法救助支出（项）: 反映用于国家司法救助方面的支出。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15．公共安全支出（类）其他公共安全支出（款）其他公共安全支出（项）: 反映除上述项目外用于国家安全方面的支出。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16．社会保障和就业支出（类）行政事业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养老支出（款）行政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离退休（项）: 反映行政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（包括实行公务员管理的事业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）开支的离退休经费。</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17．社会保障和就业支出（类）行政事业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养老支出（款）机关事业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基本养老保险缴费支出（项）: 反映机关事业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实施养老保险制度由</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缴纳的基本养老保险费支出。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18．社会保障和就业支出（类）行政事业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离退休（款）机关事业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职业年金缴费支出（项）:反映机关事业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实施养老保险制度由</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实际缴纳的职业年金支出。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19．社会保障和就业支出（类）抚恤（款）死亡抚恤（项）: 反应按规定用于烈士和牺牲、病故人员家属的一次性和定期抚恤金、丧葬补助费以及烈士褒扬金。</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20．卫生健康支出（类）行政事业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医疗（款）行政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医疗（项）:反映财政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集中安排的行政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基本医疗保险缴费经费，未参加医疗保险的行政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的公费医疗经费，按国家规定享受离休人员、红军老战士待遇人员的医疗经费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21．卫生健康支出（类）行政事业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医疗（款）事业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医疗（项）: 反映财政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集中安排的事业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基本医疗保险缴费经费，未参加医疗保险的事业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的公费医疗经费，按国家规定享受离休人员待遇的医疗经费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22．卫生健康支出（类）行政事业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医疗（款）公务员医疗补助（项）: 反映财政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集中安排的公务员医疗补助经费。</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23．住房保障（类）住房改革支出（款）住房公积金（项）:反映行政事业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按人力资源和社会保障部、财政部规定的基本工资和津贴补贴以及规定比例为职工缴纳的住房公积金。</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24.其他支出（类）其他支出（款）其他支出（项）：反映除上述项目以外其他不能划分到具体功能科目中的支出项目。</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25.基本支出：指为保障机构正常运转、完成日常工作任务而发生的人员支出和公用支出。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26.项目支出：指在基本支出之外为完成特定行政任务和事业发展目标所发生的支出。 </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27.经营支出：指事业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在专业业务活动及其辅助活动之外开展非独立核算经营活动发生的支出。</w:t>
      </w:r>
    </w:p>
    <w:p>
      <w:pPr>
        <w:spacing w:line="300" w:lineRule="auto"/>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28.“三公”经费：指</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用财政拨款安排的因公出国（境）费、公务用车购置及运行费和公务接待费。其中，因公出国（境）费反映</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公务出国（境）的国际旅费、国外城市间交通费、住宿费、伙食费、培训费、公杂费等支出；公务用车购置及运行费反映</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公务用车车辆购置支出（含车辆购置税）及租用费、燃料费、维修费、过路过桥费、保险费等支出；公务接待费反映</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按规定开支的各类公务接待（含外宾接待）支出。</w:t>
      </w:r>
    </w:p>
    <w:p>
      <w:pPr>
        <w:spacing w:line="300" w:lineRule="auto"/>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29.机关运行经费：为保障行政</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（含参照公务员法管理的事业</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br w:type="page"/>
      </w:r>
    </w:p>
    <w:p>
      <w:pPr>
        <w:pStyle w:val="3"/>
        <w:numPr>
          <w:ilvl w:val="0"/>
          <w:numId w:val="4"/>
        </w:numPr>
        <w:bidi w:val="0"/>
        <w:jc w:val="center"/>
        <w:rPr>
          <w:rFonts w:hint="eastAsia"/>
          <w:lang w:eastAsia="zh-CN"/>
        </w:rPr>
      </w:pPr>
      <w:r>
        <w:rPr>
          <w:rFonts w:hint="eastAsia"/>
        </w:rPr>
        <w:t>附</w:t>
      </w:r>
      <w:r>
        <w:rPr>
          <w:rFonts w:hint="eastAsia"/>
          <w:lang w:eastAsia="zh-CN"/>
        </w:rPr>
        <w:t>件</w:t>
      </w:r>
    </w:p>
    <w:p>
      <w:pPr>
        <w:numPr>
          <w:ilvl w:val="0"/>
          <w:numId w:val="0"/>
        </w:numPr>
        <w:rPr>
          <w:rFonts w:hint="eastAsia"/>
          <w:lang w:eastAsia="zh-CN"/>
        </w:rPr>
      </w:pPr>
      <w:r>
        <w:rPr>
          <w:rFonts w:hint="eastAsia"/>
          <w:lang w:eastAsia="zh-CN"/>
        </w:rPr>
        <w:t>单位预算项目支出绩效自评表（</w:t>
      </w:r>
      <w:r>
        <w:rPr>
          <w:rFonts w:hint="eastAsia"/>
          <w:lang w:val="en-US" w:eastAsia="zh-CN"/>
        </w:rPr>
        <w:t>2024年度</w:t>
      </w:r>
      <w:r>
        <w:rPr>
          <w:rFonts w:hint="eastAsia"/>
          <w:lang w:eastAsia="zh-CN"/>
        </w:rPr>
        <w:t>）见附表十四。</w:t>
      </w:r>
    </w:p>
    <w:p>
      <w:pPr>
        <w:pStyle w:val="2"/>
        <w:rPr>
          <w:rFonts w:hint="eastAsia"/>
          <w:lang w:val="zh-CN" w:eastAsia="zh-CN"/>
        </w:rPr>
      </w:pPr>
    </w:p>
    <w:p>
      <w:pPr>
        <w:keepNext w:val="0"/>
        <w:keepLines w:val="0"/>
        <w:pageBreakBefore w:val="0"/>
        <w:widowControl w:val="0"/>
        <w:kinsoku/>
        <w:wordWrap/>
        <w:overflowPunct/>
        <w:topLinePunct w:val="0"/>
        <w:autoSpaceDE/>
        <w:autoSpaceDN/>
        <w:bidi w:val="0"/>
        <w:spacing w:line="578" w:lineRule="exact"/>
        <w:ind w:left="0" w:leftChars="0" w:firstLine="0" w:firstLineChars="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
        <w:bidi w:val="0"/>
        <w:jc w:val="center"/>
        <w:rPr>
          <w:rFonts w:hint="eastAsia"/>
        </w:rPr>
      </w:pPr>
      <w:bookmarkStart w:id="76" w:name="_Toc25223"/>
      <w:r>
        <w:rPr>
          <w:rFonts w:hint="eastAsia"/>
        </w:rPr>
        <w:t>第</w:t>
      </w:r>
      <w:r>
        <w:rPr>
          <w:rFonts w:hint="eastAsia"/>
          <w:lang w:eastAsia="zh-CN"/>
        </w:rPr>
        <w:t>五</w:t>
      </w:r>
      <w:r>
        <w:rPr>
          <w:rFonts w:hint="eastAsia"/>
        </w:rPr>
        <w:t>部分 附表</w:t>
      </w:r>
      <w:bookmarkEnd w:id="74"/>
      <w:bookmarkEnd w:id="75"/>
      <w:bookmarkEnd w:id="76"/>
      <w:bookmarkStart w:id="77" w:name="_Toc15396619"/>
    </w:p>
    <w:p>
      <w:pPr>
        <w:adjustRightInd w:val="0"/>
        <w:snapToGrid w:val="0"/>
        <w:spacing w:line="600" w:lineRule="exact"/>
        <w:ind w:firstLine="720"/>
        <w:rPr>
          <w:rFonts w:hint="eastAsia" w:eastAsia="仿宋_GB2312"/>
          <w:sz w:val="32"/>
          <w:szCs w:val="32"/>
          <w:lang w:val="zh-CN" w:eastAsia="zh-CN"/>
        </w:rPr>
      </w:pPr>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78" w:name="_Toc17053"/>
      <w:r>
        <w:rPr>
          <w:rFonts w:hint="eastAsia" w:ascii="Times New Roman" w:hAnsi="Times New Roman" w:eastAsia="方正仿宋_GBK" w:cs="Times New Roman"/>
          <w:sz w:val="33"/>
          <w:szCs w:val="33"/>
          <w:lang w:val="zh-CN" w:eastAsia="zh-CN"/>
        </w:rPr>
        <w:t>一、收入支出决算总表</w:t>
      </w:r>
      <w:bookmarkEnd w:id="77"/>
      <w:bookmarkEnd w:id="78"/>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79" w:name="_Toc15396620"/>
      <w:bookmarkStart w:id="80" w:name="_Toc5927"/>
      <w:r>
        <w:rPr>
          <w:rFonts w:hint="eastAsia" w:ascii="Times New Roman" w:hAnsi="Times New Roman" w:eastAsia="方正仿宋_GBK" w:cs="Times New Roman"/>
          <w:sz w:val="33"/>
          <w:szCs w:val="33"/>
          <w:lang w:val="zh-CN" w:eastAsia="zh-CN"/>
        </w:rPr>
        <w:t>二、收入决算表</w:t>
      </w:r>
      <w:bookmarkEnd w:id="79"/>
      <w:bookmarkEnd w:id="80"/>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1" w:name="_Toc27416"/>
      <w:bookmarkStart w:id="82" w:name="_Toc15396621"/>
      <w:r>
        <w:rPr>
          <w:rFonts w:hint="eastAsia" w:ascii="Times New Roman" w:hAnsi="Times New Roman" w:eastAsia="方正仿宋_GBK" w:cs="Times New Roman"/>
          <w:sz w:val="33"/>
          <w:szCs w:val="33"/>
          <w:lang w:val="zh-CN" w:eastAsia="zh-CN"/>
        </w:rPr>
        <w:t>三、支出决算表</w:t>
      </w:r>
      <w:bookmarkEnd w:id="81"/>
      <w:bookmarkEnd w:id="82"/>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3" w:name="_Toc15396622"/>
      <w:bookmarkStart w:id="84" w:name="_Toc10953"/>
      <w:r>
        <w:rPr>
          <w:rFonts w:hint="eastAsia" w:ascii="Times New Roman" w:hAnsi="Times New Roman" w:eastAsia="方正仿宋_GBK" w:cs="Times New Roman"/>
          <w:sz w:val="33"/>
          <w:szCs w:val="33"/>
          <w:lang w:val="zh-CN" w:eastAsia="zh-CN"/>
        </w:rPr>
        <w:t>四、财政拨款收入支出决算总表</w:t>
      </w:r>
      <w:bookmarkEnd w:id="83"/>
      <w:bookmarkEnd w:id="84"/>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5" w:name="_Toc15396623"/>
      <w:bookmarkStart w:id="86" w:name="_Toc26776"/>
      <w:r>
        <w:rPr>
          <w:rFonts w:hint="eastAsia" w:ascii="Times New Roman" w:hAnsi="Times New Roman" w:eastAsia="方正仿宋_GBK" w:cs="Times New Roman"/>
          <w:sz w:val="33"/>
          <w:szCs w:val="33"/>
          <w:lang w:val="zh-CN" w:eastAsia="zh-CN"/>
        </w:rPr>
        <w:t>五、财政拨款支出决算明细表</w:t>
      </w:r>
      <w:bookmarkEnd w:id="85"/>
      <w:bookmarkEnd w:id="86"/>
      <w:bookmarkStart w:id="87" w:name="_Toc15396624"/>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8" w:name="_Toc27193"/>
      <w:r>
        <w:rPr>
          <w:rFonts w:hint="eastAsia" w:ascii="Times New Roman" w:hAnsi="Times New Roman" w:eastAsia="方正仿宋_GBK" w:cs="Times New Roman"/>
          <w:sz w:val="33"/>
          <w:szCs w:val="33"/>
          <w:lang w:val="zh-CN" w:eastAsia="zh-CN"/>
        </w:rPr>
        <w:t>六、一般公共预算财政拨款支出决算表</w:t>
      </w:r>
      <w:bookmarkEnd w:id="87"/>
      <w:bookmarkEnd w:id="88"/>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89" w:name="_Toc24348"/>
      <w:bookmarkStart w:id="90" w:name="_Toc15396625"/>
      <w:r>
        <w:rPr>
          <w:rFonts w:hint="eastAsia" w:ascii="Times New Roman" w:hAnsi="Times New Roman" w:eastAsia="方正仿宋_GBK" w:cs="Times New Roman"/>
          <w:sz w:val="33"/>
          <w:szCs w:val="33"/>
          <w:lang w:val="zh-CN" w:eastAsia="zh-CN"/>
        </w:rPr>
        <w:t>七、一般公共预算财政拨款支出决算明细表</w:t>
      </w:r>
      <w:bookmarkEnd w:id="89"/>
      <w:bookmarkEnd w:id="90"/>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1" w:name="_Toc21071"/>
      <w:bookmarkStart w:id="92" w:name="_Toc15396626"/>
      <w:r>
        <w:rPr>
          <w:rFonts w:hint="eastAsia" w:ascii="Times New Roman" w:hAnsi="Times New Roman" w:eastAsia="方正仿宋_GBK" w:cs="Times New Roman"/>
          <w:sz w:val="33"/>
          <w:szCs w:val="33"/>
          <w:lang w:val="zh-CN" w:eastAsia="zh-CN"/>
        </w:rPr>
        <w:t>八、一般公共预算财政拨款基本支出决算表</w:t>
      </w:r>
      <w:bookmarkEnd w:id="91"/>
      <w:bookmarkEnd w:id="92"/>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3" w:name="_Toc1422"/>
      <w:bookmarkStart w:id="94" w:name="_Toc15396627"/>
      <w:r>
        <w:rPr>
          <w:rFonts w:hint="eastAsia" w:ascii="Times New Roman" w:hAnsi="Times New Roman" w:eastAsia="方正仿宋_GBK" w:cs="Times New Roman"/>
          <w:sz w:val="33"/>
          <w:szCs w:val="33"/>
          <w:lang w:val="zh-CN" w:eastAsia="zh-CN"/>
        </w:rPr>
        <w:t>九、一般公共预算财政拨款项目支出决算表</w:t>
      </w:r>
      <w:bookmarkEnd w:id="93"/>
      <w:bookmarkEnd w:id="94"/>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5" w:name="_Toc15396628"/>
      <w:bookmarkStart w:id="96" w:name="_Toc32254"/>
      <w:r>
        <w:rPr>
          <w:rFonts w:hint="eastAsia" w:ascii="Times New Roman" w:hAnsi="Times New Roman" w:eastAsia="方正仿宋_GBK" w:cs="Times New Roman"/>
          <w:sz w:val="33"/>
          <w:szCs w:val="33"/>
          <w:lang w:val="zh-CN" w:eastAsia="zh-CN"/>
        </w:rPr>
        <w:t>十、</w:t>
      </w:r>
      <w:bookmarkEnd w:id="95"/>
      <w:r>
        <w:rPr>
          <w:rFonts w:hint="eastAsia" w:ascii="Times New Roman" w:hAnsi="Times New Roman" w:eastAsia="方正仿宋_GBK" w:cs="Times New Roman"/>
          <w:sz w:val="33"/>
          <w:szCs w:val="33"/>
          <w:lang w:val="zh-CN" w:eastAsia="zh-CN"/>
        </w:rPr>
        <w:t>政府性基金预算财政拨款收入支出决算表</w:t>
      </w:r>
      <w:bookmarkEnd w:id="96"/>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7" w:name="_Toc15396629"/>
      <w:bookmarkStart w:id="98" w:name="_Toc29719"/>
      <w:r>
        <w:rPr>
          <w:rFonts w:hint="eastAsia" w:ascii="Times New Roman" w:hAnsi="Times New Roman" w:eastAsia="方正仿宋_GBK" w:cs="Times New Roman"/>
          <w:sz w:val="33"/>
          <w:szCs w:val="33"/>
          <w:lang w:val="zh-CN" w:eastAsia="zh-CN"/>
        </w:rPr>
        <w:t>十一、</w:t>
      </w:r>
      <w:bookmarkEnd w:id="97"/>
      <w:r>
        <w:rPr>
          <w:rFonts w:hint="eastAsia" w:ascii="Times New Roman" w:hAnsi="Times New Roman" w:eastAsia="方正仿宋_GBK" w:cs="Times New Roman"/>
          <w:sz w:val="33"/>
          <w:szCs w:val="33"/>
          <w:lang w:val="zh-CN" w:eastAsia="zh-CN"/>
        </w:rPr>
        <w:t>国有资本经营预算财政拨款收入支出决算表</w:t>
      </w:r>
      <w:bookmarkEnd w:id="98"/>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99" w:name="_Toc15396630"/>
      <w:bookmarkStart w:id="100" w:name="_Toc29119"/>
      <w:r>
        <w:rPr>
          <w:rFonts w:hint="eastAsia" w:ascii="Times New Roman" w:hAnsi="Times New Roman" w:eastAsia="方正仿宋_GBK" w:cs="Times New Roman"/>
          <w:sz w:val="33"/>
          <w:szCs w:val="33"/>
          <w:lang w:val="zh-CN" w:eastAsia="zh-CN"/>
        </w:rPr>
        <w:t>十二、</w:t>
      </w:r>
      <w:bookmarkEnd w:id="99"/>
      <w:r>
        <w:rPr>
          <w:rFonts w:hint="eastAsia" w:ascii="Times New Roman" w:hAnsi="Times New Roman" w:eastAsia="方正仿宋_GBK" w:cs="Times New Roman"/>
          <w:sz w:val="33"/>
          <w:szCs w:val="33"/>
          <w:lang w:val="zh-CN" w:eastAsia="zh-CN"/>
        </w:rPr>
        <w:t>国有资本经营预算财政拨款支出决算表</w:t>
      </w:r>
      <w:bookmarkEnd w:id="100"/>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bookmarkStart w:id="101" w:name="_Toc15396631"/>
      <w:bookmarkStart w:id="102" w:name="_Toc7774"/>
      <w:r>
        <w:rPr>
          <w:rFonts w:hint="eastAsia" w:ascii="Times New Roman" w:hAnsi="Times New Roman" w:eastAsia="方正仿宋_GBK" w:cs="Times New Roman"/>
          <w:sz w:val="33"/>
          <w:szCs w:val="33"/>
          <w:lang w:val="zh-CN" w:eastAsia="zh-CN"/>
        </w:rPr>
        <w:t>十三、</w:t>
      </w:r>
      <w:bookmarkEnd w:id="101"/>
      <w:r>
        <w:rPr>
          <w:rFonts w:hint="eastAsia" w:ascii="Times New Roman" w:hAnsi="Times New Roman" w:eastAsia="方正仿宋_GBK" w:cs="Times New Roman"/>
          <w:sz w:val="33"/>
          <w:szCs w:val="33"/>
          <w:lang w:val="zh-CN" w:eastAsia="zh-CN"/>
        </w:rPr>
        <w:t>财政拨款“三公”经费支出决算表</w:t>
      </w:r>
      <w:bookmarkEnd w:id="102"/>
    </w:p>
    <w:p>
      <w:pPr>
        <w:adjustRightInd w:val="0"/>
        <w:snapToGrid w:val="0"/>
        <w:spacing w:line="600" w:lineRule="exact"/>
        <w:ind w:firstLine="720"/>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十四、</w:t>
      </w:r>
      <w:r>
        <w:rPr>
          <w:rFonts w:hint="eastAsia" w:ascii="Times New Roman" w:hAnsi="Times New Roman" w:eastAsia="方正仿宋_GBK" w:cs="Times New Roman"/>
          <w:sz w:val="33"/>
          <w:szCs w:val="33"/>
          <w:lang w:val="en-US" w:eastAsia="zh-CN"/>
        </w:rPr>
        <w:t>2024年度</w:t>
      </w:r>
      <w:r>
        <w:rPr>
          <w:rFonts w:hint="eastAsia" w:eastAsia="方正仿宋_GBK" w:cs="Times New Roman"/>
          <w:sz w:val="33"/>
          <w:szCs w:val="33"/>
          <w:lang w:val="en-US" w:eastAsia="zh-CN"/>
        </w:rPr>
        <w:t>单位</w:t>
      </w:r>
      <w:r>
        <w:rPr>
          <w:rFonts w:hint="eastAsia" w:ascii="Times New Roman" w:hAnsi="Times New Roman" w:eastAsia="方正仿宋_GBK" w:cs="Times New Roman"/>
          <w:sz w:val="33"/>
          <w:szCs w:val="33"/>
          <w:lang w:val="en-US" w:eastAsia="zh-CN"/>
        </w:rPr>
        <w:t>预算项目支出绩效自评表</w:t>
      </w:r>
    </w:p>
    <w:p>
      <w:pPr>
        <w:adjustRightInd w:val="0"/>
        <w:snapToGrid w:val="0"/>
        <w:spacing w:line="600" w:lineRule="exact"/>
        <w:ind w:firstLine="720"/>
        <w:rPr>
          <w:rFonts w:hint="eastAsia" w:eastAsia="仿宋_GB2312"/>
          <w:sz w:val="32"/>
          <w:szCs w:val="32"/>
          <w:lang w:val="zh-CN"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17733"/>
    <w:multiLevelType w:val="singleLevel"/>
    <w:tmpl w:val="CB817733"/>
    <w:lvl w:ilvl="0" w:tentative="0">
      <w:start w:val="1"/>
      <w:numFmt w:val="chineseCounting"/>
      <w:suff w:val="nothing"/>
      <w:lvlText w:val="%1、"/>
      <w:lvlJc w:val="left"/>
      <w:rPr>
        <w:rFonts w:hint="eastAsia"/>
      </w:rPr>
    </w:lvl>
  </w:abstractNum>
  <w:abstractNum w:abstractNumId="1">
    <w:nsid w:val="F9F58DB5"/>
    <w:multiLevelType w:val="singleLevel"/>
    <w:tmpl w:val="F9F58DB5"/>
    <w:lvl w:ilvl="0" w:tentative="0">
      <w:start w:val="4"/>
      <w:numFmt w:val="chineseCounting"/>
      <w:suff w:val="space"/>
      <w:lvlText w:val="第%1部分"/>
      <w:lvlJc w:val="left"/>
      <w:rPr>
        <w:rFonts w:hint="eastAsia"/>
      </w:rPr>
    </w:lvl>
  </w:abstractNum>
  <w:abstractNum w:abstractNumId="2">
    <w:nsid w:val="3AE9876C"/>
    <w:multiLevelType w:val="singleLevel"/>
    <w:tmpl w:val="3AE9876C"/>
    <w:lvl w:ilvl="0" w:tentative="0">
      <w:start w:val="6"/>
      <w:numFmt w:val="chineseCounting"/>
      <w:suff w:val="nothing"/>
      <w:lvlText w:val="%1、"/>
      <w:lvlJc w:val="left"/>
      <w:rPr>
        <w:rFonts w:hint="eastAsia"/>
      </w:rPr>
    </w:lvl>
  </w:abstractNum>
  <w:abstractNum w:abstractNumId="3">
    <w:nsid w:val="71D778F8"/>
    <w:multiLevelType w:val="singleLevel"/>
    <w:tmpl w:val="71D778F8"/>
    <w:lvl w:ilvl="0" w:tentative="0">
      <w:start w:val="1"/>
      <w:numFmt w:val="decimal"/>
      <w:suff w:val="nothing"/>
      <w:lvlText w:val="%1、"/>
      <w:lvlJc w:val="left"/>
      <w:rPr>
        <w:rFonts w:hint="default"/>
        <w:sz w:val="32"/>
        <w:szCs w:val="32"/>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28A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73C2F"/>
    <w:rsid w:val="02FEBE30"/>
    <w:rsid w:val="038571E0"/>
    <w:rsid w:val="04916F1E"/>
    <w:rsid w:val="061E35DE"/>
    <w:rsid w:val="066E0107"/>
    <w:rsid w:val="07996F6E"/>
    <w:rsid w:val="07DFD8BA"/>
    <w:rsid w:val="09867E8F"/>
    <w:rsid w:val="0A2032A3"/>
    <w:rsid w:val="0CA8290A"/>
    <w:rsid w:val="0D35B1ED"/>
    <w:rsid w:val="0E254B6B"/>
    <w:rsid w:val="0EC7776F"/>
    <w:rsid w:val="0F437E11"/>
    <w:rsid w:val="0F6B49F3"/>
    <w:rsid w:val="0F98263C"/>
    <w:rsid w:val="101860EC"/>
    <w:rsid w:val="101F47CC"/>
    <w:rsid w:val="10C055FF"/>
    <w:rsid w:val="11694EBD"/>
    <w:rsid w:val="11772AA4"/>
    <w:rsid w:val="118107EC"/>
    <w:rsid w:val="11D0201D"/>
    <w:rsid w:val="12E24EE2"/>
    <w:rsid w:val="13D50BC4"/>
    <w:rsid w:val="13E75DFD"/>
    <w:rsid w:val="14B17F78"/>
    <w:rsid w:val="14FB20D9"/>
    <w:rsid w:val="165E0673"/>
    <w:rsid w:val="16B831D5"/>
    <w:rsid w:val="16BB723D"/>
    <w:rsid w:val="17E50567"/>
    <w:rsid w:val="186504BB"/>
    <w:rsid w:val="19A445FC"/>
    <w:rsid w:val="1BE8440E"/>
    <w:rsid w:val="1D155CEE"/>
    <w:rsid w:val="1D1638FE"/>
    <w:rsid w:val="1DB91AD3"/>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455B14"/>
    <w:rsid w:val="36AA5135"/>
    <w:rsid w:val="36BE0DA7"/>
    <w:rsid w:val="376B6AA6"/>
    <w:rsid w:val="376D39B2"/>
    <w:rsid w:val="37DE7E55"/>
    <w:rsid w:val="37E16F03"/>
    <w:rsid w:val="37F53A3B"/>
    <w:rsid w:val="389B6C89"/>
    <w:rsid w:val="38D469F0"/>
    <w:rsid w:val="39627CCD"/>
    <w:rsid w:val="397BAF1F"/>
    <w:rsid w:val="3AB79AF3"/>
    <w:rsid w:val="3ABA0B83"/>
    <w:rsid w:val="3AE834C0"/>
    <w:rsid w:val="3B5B6CD8"/>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7E1D5D"/>
    <w:rsid w:val="4A627F82"/>
    <w:rsid w:val="4B0E749A"/>
    <w:rsid w:val="4B2477C4"/>
    <w:rsid w:val="4B4F25DA"/>
    <w:rsid w:val="4BE068DB"/>
    <w:rsid w:val="4D577224"/>
    <w:rsid w:val="4DBF1CEB"/>
    <w:rsid w:val="4DF0007C"/>
    <w:rsid w:val="4E3C33C6"/>
    <w:rsid w:val="4EAB630A"/>
    <w:rsid w:val="4ECE2238"/>
    <w:rsid w:val="4F833267"/>
    <w:rsid w:val="4FE9BD67"/>
    <w:rsid w:val="4FFB052F"/>
    <w:rsid w:val="537E6D0A"/>
    <w:rsid w:val="53F74C96"/>
    <w:rsid w:val="549E63A2"/>
    <w:rsid w:val="55170BA8"/>
    <w:rsid w:val="553218C9"/>
    <w:rsid w:val="567E1AA5"/>
    <w:rsid w:val="56E47B74"/>
    <w:rsid w:val="57175D52"/>
    <w:rsid w:val="57BD3DD4"/>
    <w:rsid w:val="584960D7"/>
    <w:rsid w:val="589D722F"/>
    <w:rsid w:val="5AF92295"/>
    <w:rsid w:val="5B250254"/>
    <w:rsid w:val="5B5F0D1B"/>
    <w:rsid w:val="5BDD79E6"/>
    <w:rsid w:val="5BF561CA"/>
    <w:rsid w:val="5BFF5DFC"/>
    <w:rsid w:val="5CD71FC4"/>
    <w:rsid w:val="5D1F11B5"/>
    <w:rsid w:val="5D695134"/>
    <w:rsid w:val="5DAE1B18"/>
    <w:rsid w:val="5DE7D9E5"/>
    <w:rsid w:val="5E68269B"/>
    <w:rsid w:val="5ECEC941"/>
    <w:rsid w:val="5FBF9FF3"/>
    <w:rsid w:val="5FCD4E2C"/>
    <w:rsid w:val="5FEF394A"/>
    <w:rsid w:val="5FF67715"/>
    <w:rsid w:val="60F67351"/>
    <w:rsid w:val="617445B9"/>
    <w:rsid w:val="621A52DB"/>
    <w:rsid w:val="62BF3928"/>
    <w:rsid w:val="63241F79"/>
    <w:rsid w:val="63B3701E"/>
    <w:rsid w:val="647F5392"/>
    <w:rsid w:val="65E66580"/>
    <w:rsid w:val="664B1D71"/>
    <w:rsid w:val="664B4E8E"/>
    <w:rsid w:val="67277B67"/>
    <w:rsid w:val="67AA3209"/>
    <w:rsid w:val="696168E6"/>
    <w:rsid w:val="698D0931"/>
    <w:rsid w:val="6A7FE5F3"/>
    <w:rsid w:val="6B053271"/>
    <w:rsid w:val="6BDD78B3"/>
    <w:rsid w:val="6BEC4697"/>
    <w:rsid w:val="6C4A05C8"/>
    <w:rsid w:val="6C8742B8"/>
    <w:rsid w:val="6DBF5E93"/>
    <w:rsid w:val="6DFF077E"/>
    <w:rsid w:val="6E714EF0"/>
    <w:rsid w:val="6E7E3605"/>
    <w:rsid w:val="6E7FDCC7"/>
    <w:rsid w:val="6ED6A62E"/>
    <w:rsid w:val="6EE00B15"/>
    <w:rsid w:val="6F6FB3EB"/>
    <w:rsid w:val="6F8731EA"/>
    <w:rsid w:val="6FC73F26"/>
    <w:rsid w:val="6FCE6052"/>
    <w:rsid w:val="6FD57C00"/>
    <w:rsid w:val="6FEFFFD8"/>
    <w:rsid w:val="6FF5CC65"/>
    <w:rsid w:val="6FFB47EC"/>
    <w:rsid w:val="6FFF034A"/>
    <w:rsid w:val="70484440"/>
    <w:rsid w:val="712A28F1"/>
    <w:rsid w:val="715C0E4B"/>
    <w:rsid w:val="71992E7C"/>
    <w:rsid w:val="72233669"/>
    <w:rsid w:val="72666E9C"/>
    <w:rsid w:val="72734D90"/>
    <w:rsid w:val="73160E6D"/>
    <w:rsid w:val="7332FE48"/>
    <w:rsid w:val="73AB61DA"/>
    <w:rsid w:val="73AD73D5"/>
    <w:rsid w:val="73B6EB34"/>
    <w:rsid w:val="73FA497D"/>
    <w:rsid w:val="744731E5"/>
    <w:rsid w:val="74BBD01D"/>
    <w:rsid w:val="74ED5379"/>
    <w:rsid w:val="75152352"/>
    <w:rsid w:val="75993EAC"/>
    <w:rsid w:val="75DEEEC2"/>
    <w:rsid w:val="75E32345"/>
    <w:rsid w:val="76BA3172"/>
    <w:rsid w:val="76E3355F"/>
    <w:rsid w:val="76FF5125"/>
    <w:rsid w:val="77636498"/>
    <w:rsid w:val="776F6FFA"/>
    <w:rsid w:val="778769C8"/>
    <w:rsid w:val="77A75DCA"/>
    <w:rsid w:val="77DC22F5"/>
    <w:rsid w:val="78351885"/>
    <w:rsid w:val="783E271A"/>
    <w:rsid w:val="78616DE9"/>
    <w:rsid w:val="78E875D7"/>
    <w:rsid w:val="78FD609A"/>
    <w:rsid w:val="79086DAD"/>
    <w:rsid w:val="79D7FD79"/>
    <w:rsid w:val="79EE5BA4"/>
    <w:rsid w:val="7A894339"/>
    <w:rsid w:val="7AD284E8"/>
    <w:rsid w:val="7AFF7572"/>
    <w:rsid w:val="7B6C7DFB"/>
    <w:rsid w:val="7BBFBED0"/>
    <w:rsid w:val="7BC3E394"/>
    <w:rsid w:val="7C1F3737"/>
    <w:rsid w:val="7CBFC87B"/>
    <w:rsid w:val="7CFE0F48"/>
    <w:rsid w:val="7D272ABC"/>
    <w:rsid w:val="7D2E22BD"/>
    <w:rsid w:val="7D7EC23E"/>
    <w:rsid w:val="7E8ADEBF"/>
    <w:rsid w:val="7EEA7F7A"/>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eastAsia="黑体" w:asciiTheme="majorAscii" w:hAnsiTheme="majorAscii"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宋体"/>
      <w:sz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eastAsia="黑体" w:asciiTheme="majorAscii" w:hAnsiTheme="majorAscii"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Normal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TotalTime>
  <ScaleCrop>false</ScaleCrop>
  <LinksUpToDate>false</LinksUpToDate>
  <CharactersWithSpaces>8692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2025-09-15T04:05:51Z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E8ED2D5BA6E84D1EA187C5FE2FCED3F5</vt:lpwstr>
  </property>
</Properties>
</file>