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66FFF">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06267"/>
      <w:bookmarkStart w:id="2" w:name="_Toc15377193"/>
      <w:bookmarkStart w:id="3" w:name="_Toc15377425"/>
      <w:bookmarkStart w:id="4" w:name="_Toc15396475"/>
      <w:bookmarkStart w:id="5" w:name="_Toc15378441"/>
    </w:p>
    <w:p w14:paraId="52278282">
      <w:pPr>
        <w:pStyle w:val="6"/>
        <w:rPr>
          <w:rFonts w:hint="eastAsia" w:ascii="Times New Roman" w:hAnsi="Times New Roman" w:eastAsia="方正小标宋简体" w:cs="Times New Roman"/>
          <w:color w:val="auto"/>
          <w:kern w:val="2"/>
          <w:sz w:val="72"/>
          <w:szCs w:val="72"/>
          <w:highlight w:val="none"/>
          <w:lang w:val="en-US" w:eastAsia="zh-CN" w:bidi="ar-SA"/>
        </w:rPr>
      </w:pPr>
    </w:p>
    <w:p w14:paraId="6FE54FA7">
      <w:pPr>
        <w:pStyle w:val="6"/>
        <w:rPr>
          <w:rFonts w:hint="eastAsia" w:ascii="Times New Roman" w:hAnsi="Times New Roman" w:eastAsia="方正小标宋简体" w:cs="Times New Roman"/>
          <w:color w:val="auto"/>
          <w:kern w:val="2"/>
          <w:sz w:val="72"/>
          <w:szCs w:val="72"/>
          <w:highlight w:val="none"/>
          <w:lang w:val="en-US" w:eastAsia="zh-CN" w:bidi="ar-SA"/>
        </w:rPr>
      </w:pPr>
    </w:p>
    <w:p w14:paraId="115EF07F">
      <w:pPr>
        <w:pStyle w:val="6"/>
        <w:jc w:val="center"/>
        <w:rPr>
          <w:rFonts w:ascii="Times New Roman" w:hAnsi="Times New Roma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start="1"/>
          <w:cols w:space="425" w:num="1"/>
          <w:docGrid w:type="lines" w:linePitch="312" w:charSpace="0"/>
        </w:sect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四川省</w:t>
      </w:r>
      <w:r>
        <w:rPr>
          <w:rFonts w:hint="eastAsia" w:ascii="Times New Roman" w:hAnsi="Times New Roman" w:eastAsia="方正小标宋简体" w:cs="Times New Roman"/>
          <w:color w:val="auto"/>
          <w:kern w:val="2"/>
          <w:sz w:val="44"/>
          <w:szCs w:val="44"/>
          <w:highlight w:val="none"/>
          <w:lang w:val="en-US" w:eastAsia="zh-CN" w:bidi="ar-SA"/>
        </w:rPr>
        <w:t>攀枝花市总工会部门决算</w:t>
      </w:r>
      <w:r>
        <w:rPr>
          <w:rFonts w:hint="eastAsia" w:ascii="Times New Roman" w:eastAsia="方正小标宋简体" w:cs="Times New Roman"/>
          <w:color w:val="auto"/>
          <w:kern w:val="2"/>
          <w:sz w:val="44"/>
          <w:szCs w:val="44"/>
          <w:highlight w:val="none"/>
          <w:lang w:val="en-US" w:eastAsia="zh-CN" w:bidi="ar-SA"/>
        </w:rPr>
        <w:t>公开编制说明</w:t>
      </w:r>
    </w:p>
    <w:bookmarkEnd w:id="0"/>
    <w:bookmarkEnd w:id="1"/>
    <w:bookmarkEnd w:id="2"/>
    <w:bookmarkEnd w:id="3"/>
    <w:bookmarkEnd w:id="4"/>
    <w:bookmarkEnd w:id="5"/>
    <w:p w14:paraId="61C1D558">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17ED3FCC">
      <w:pPr>
        <w:widowControl/>
        <w:jc w:val="center"/>
        <w:rPr>
          <w:rFonts w:ascii="Times New Roman" w:hAnsi="Times New Roman" w:eastAsia="黑体" w:cstheme="minorBidi"/>
          <w:color w:val="auto"/>
          <w:sz w:val="28"/>
          <w:szCs w:val="28"/>
          <w:highlight w:val="none"/>
        </w:rPr>
      </w:pPr>
    </w:p>
    <w:p w14:paraId="08CBA757">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15</w:t>
      </w:r>
      <w:r>
        <w:rPr>
          <w:rFonts w:hint="eastAsia" w:ascii="Times New Roman" w:hAnsi="Times New Roman" w:eastAsia="仿宋_GB2312" w:cs="仿宋_GB2312"/>
          <w:color w:val="auto"/>
          <w:sz w:val="32"/>
          <w:szCs w:val="32"/>
          <w:highlight w:val="none"/>
        </w:rPr>
        <w:t>日</w:t>
      </w:r>
    </w:p>
    <w:p w14:paraId="0615EA92">
      <w:pPr>
        <w:rPr>
          <w:rFonts w:ascii="Times New Roman" w:hAnsi="Times New Roman"/>
          <w:color w:val="auto"/>
          <w:highlight w:val="none"/>
        </w:rPr>
      </w:pPr>
    </w:p>
    <w:p w14:paraId="710C26F4">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lang w:val="en-US" w:eastAsia="zh-CN"/>
        </w:rPr>
        <w:t>1</w:t>
      </w:r>
    </w:p>
    <w:p w14:paraId="7F84FE4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Times New Roman" w:hAnsi="Times New Roman" w:eastAsia="仿宋_GB2312" w:cs="仿宋_GB2312"/>
          <w:color w:val="auto"/>
          <w:sz w:val="32"/>
          <w:szCs w:val="32"/>
          <w:highlight w:val="none"/>
          <w:lang w:eastAsia="zh-CN"/>
        </w:rPr>
        <w:tab/>
      </w:r>
      <w:r>
        <w:rPr>
          <w:rFonts w:hint="eastAsia" w:eastAsia="仿宋_GB2312" w:cs="仿宋_GB2312"/>
          <w:color w:val="auto"/>
          <w:sz w:val="32"/>
          <w:szCs w:val="32"/>
          <w:highlight w:val="none"/>
          <w:lang w:val="en-US" w:eastAsia="zh-CN"/>
        </w:rPr>
        <w:t>1</w:t>
      </w:r>
    </w:p>
    <w:p w14:paraId="145814D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2</w:t>
      </w:r>
    </w:p>
    <w:p w14:paraId="70443BAC">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lang w:val="en-US" w:eastAsia="zh-CN"/>
        </w:rPr>
        <w:t>3</w:t>
      </w:r>
    </w:p>
    <w:p w14:paraId="3D9F163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3</w:t>
      </w:r>
    </w:p>
    <w:p w14:paraId="3055D5B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3</w:t>
      </w:r>
    </w:p>
    <w:p w14:paraId="5BE6D0F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4</w:t>
      </w:r>
    </w:p>
    <w:p w14:paraId="1BE2FCA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4</w:t>
      </w:r>
    </w:p>
    <w:p w14:paraId="57D5E20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5</w:t>
      </w:r>
    </w:p>
    <w:p w14:paraId="3F9C59E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7</w:t>
      </w:r>
    </w:p>
    <w:p w14:paraId="4B6C204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7</w:t>
      </w:r>
    </w:p>
    <w:p w14:paraId="779F09E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8</w:t>
      </w:r>
    </w:p>
    <w:p w14:paraId="19800E1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8</w:t>
      </w:r>
    </w:p>
    <w:p w14:paraId="1753521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8</w:t>
      </w:r>
    </w:p>
    <w:p w14:paraId="794BAE16">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lang w:val="en-US" w:eastAsia="zh-CN"/>
        </w:rPr>
        <w:t>10</w:t>
      </w:r>
    </w:p>
    <w:p w14:paraId="2E47F0F1">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lang w:val="en-US" w:eastAsia="zh-CN"/>
        </w:rPr>
        <w:t>12</w:t>
      </w:r>
    </w:p>
    <w:p w14:paraId="5C591B06">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lang w:val="en-US" w:eastAsia="zh-CN"/>
        </w:rPr>
        <w:t>24</w:t>
      </w:r>
    </w:p>
    <w:p w14:paraId="6198D11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24</w:t>
      </w:r>
    </w:p>
    <w:p w14:paraId="47FC68F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24</w:t>
      </w:r>
    </w:p>
    <w:p w14:paraId="0C83209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24</w:t>
      </w:r>
    </w:p>
    <w:p w14:paraId="003A6D4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24</w:t>
      </w:r>
    </w:p>
    <w:p w14:paraId="71D0FA6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24</w:t>
      </w:r>
    </w:p>
    <w:p w14:paraId="35AC6BD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24</w:t>
      </w:r>
    </w:p>
    <w:p w14:paraId="6E54E1F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24</w:t>
      </w:r>
    </w:p>
    <w:p w14:paraId="1E5D879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24</w:t>
      </w:r>
    </w:p>
    <w:p w14:paraId="5DAA4DB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24</w:t>
      </w:r>
    </w:p>
    <w:p w14:paraId="35EB72C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24</w:t>
      </w:r>
    </w:p>
    <w:p w14:paraId="0705132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24</w:t>
      </w:r>
    </w:p>
    <w:p w14:paraId="092AB5D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Times New Roman" w:hAnsi="Times New Roman"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24</w:t>
      </w:r>
    </w:p>
    <w:p w14:paraId="4427150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24</w:t>
      </w:r>
    </w:p>
    <w:sdt>
      <w:sdtPr>
        <w:rPr>
          <w:rFonts w:ascii="宋体" w:hAnsi="宋体" w:eastAsia="宋体" w:cs="Times New Roman"/>
          <w:kern w:val="2"/>
          <w:sz w:val="21"/>
          <w:szCs w:val="24"/>
          <w:lang w:val="en-US" w:eastAsia="zh-CN" w:bidi="ar-SA"/>
        </w:rPr>
        <w:id w:val="147465406"/>
        <w:showingPlcHdr/>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01BFACF5">
          <w:pPr>
            <w:spacing w:before="0" w:beforeLines="0" w:after="0" w:afterLines="0" w:line="240" w:lineRule="auto"/>
            <w:ind w:left="0" w:leftChars="0" w:right="0" w:rightChars="0" w:firstLine="0" w:firstLineChars="0"/>
            <w:jc w:val="center"/>
          </w:pPr>
          <w:bookmarkStart w:id="6" w:name="_Toc15377196"/>
          <w:bookmarkStart w:id="7" w:name="_Toc15396599"/>
          <w:r>
            <w:rPr>
              <w:rFonts w:hint="eastAsia" w:ascii="宋体" w:hAnsi="宋体" w:eastAsia="宋体" w:cs="Times New Roman"/>
              <w:kern w:val="2"/>
              <w:sz w:val="21"/>
              <w:szCs w:val="24"/>
              <w:lang w:val="en-US" w:eastAsia="zh-CN" w:bidi="ar-SA"/>
            </w:rPr>
            <w:t xml:space="preserve">     </w:t>
          </w:r>
        </w:p>
      </w:sdtContent>
    </w:sdt>
    <w:p w14:paraId="2EE145E3"/>
    <w:p w14:paraId="36AE066D">
      <w:pPr>
        <w:pStyle w:val="3"/>
        <w:keepNext/>
        <w:keepLines/>
        <w:pageBreakBefore w:val="0"/>
        <w:widowControl w:val="0"/>
        <w:kinsoku/>
        <w:wordWrap/>
        <w:overflowPunct/>
        <w:topLinePunct w:val="0"/>
        <w:autoSpaceDE/>
        <w:autoSpaceDN/>
        <w:bidi w:val="0"/>
        <w:adjustRightInd/>
        <w:snapToGrid/>
        <w:spacing w:line="579" w:lineRule="auto"/>
        <w:jc w:val="center"/>
        <w:textAlignment w:val="auto"/>
        <w:rPr>
          <w:rFonts w:hint="eastAsia" w:ascii="Times New Roman" w:hAnsi="Times New Roman" w:eastAsia="方正小标宋简体" w:cs="方正小标宋简体"/>
          <w:b w:val="0"/>
          <w:color w:val="auto"/>
          <w:highlight w:val="none"/>
        </w:rPr>
        <w:sectPr>
          <w:footerReference r:id="rId8" w:type="first"/>
          <w:footerReference r:id="rId7" w:type="default"/>
          <w:pgSz w:w="11906" w:h="16838"/>
          <w:pgMar w:top="1440" w:right="1800" w:bottom="1440" w:left="1800" w:header="851" w:footer="992" w:gutter="0"/>
          <w:pgNumType w:fmt="numberInDash" w:start="1"/>
          <w:cols w:space="425" w:num="1"/>
          <w:docGrid w:type="lines" w:linePitch="312" w:charSpace="0"/>
        </w:sectPr>
      </w:pPr>
      <w:bookmarkStart w:id="8" w:name="_Toc15667"/>
      <w:bookmarkStart w:id="9" w:name="_Toc32105"/>
    </w:p>
    <w:p w14:paraId="59CA6272">
      <w:pPr>
        <w:pStyle w:val="3"/>
        <w:keepNext/>
        <w:keepLines/>
        <w:pageBreakBefore w:val="0"/>
        <w:widowControl w:val="0"/>
        <w:kinsoku/>
        <w:wordWrap/>
        <w:overflowPunct/>
        <w:topLinePunct w:val="0"/>
        <w:autoSpaceDE/>
        <w:autoSpaceDN/>
        <w:bidi w:val="0"/>
        <w:adjustRightInd/>
        <w:snapToGrid/>
        <w:spacing w:line="579" w:lineRule="auto"/>
        <w:jc w:val="center"/>
        <w:textAlignment w:val="auto"/>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6"/>
      <w:bookmarkEnd w:id="7"/>
      <w:bookmarkEnd w:id="8"/>
      <w:bookmarkEnd w:id="9"/>
    </w:p>
    <w:p w14:paraId="700C0B97">
      <w:pPr>
        <w:widowControl/>
        <w:jc w:val="left"/>
        <w:rPr>
          <w:rFonts w:ascii="Times New Roman" w:hAnsi="Times New Roman" w:eastAsia="黑体"/>
          <w:color w:val="auto"/>
          <w:sz w:val="32"/>
          <w:szCs w:val="32"/>
          <w:highlight w:val="none"/>
        </w:rPr>
      </w:pPr>
    </w:p>
    <w:p w14:paraId="2F22FA29">
      <w:pPr>
        <w:pStyle w:val="4"/>
        <w:keepNext/>
        <w:keepLines/>
        <w:pageBreakBefore w:val="0"/>
        <w:widowControl w:val="0"/>
        <w:numPr>
          <w:ilvl w:val="0"/>
          <w:numId w:val="1"/>
        </w:numPr>
        <w:kinsoku/>
        <w:wordWrap/>
        <w:overflowPunct/>
        <w:topLinePunct w:val="0"/>
        <w:autoSpaceDE/>
        <w:autoSpaceDN/>
        <w:bidi w:val="0"/>
        <w:adjustRightInd/>
        <w:snapToGrid/>
        <w:spacing w:line="416" w:lineRule="auto"/>
        <w:textAlignment w:val="auto"/>
        <w:rPr>
          <w:rFonts w:hint="eastAsia" w:ascii="Times New Roman" w:hAnsi="Times New Roman" w:eastAsia="黑体"/>
          <w:b w:val="0"/>
          <w:color w:val="auto"/>
          <w:highlight w:val="none"/>
          <w:lang w:eastAsia="zh-CN"/>
        </w:rPr>
      </w:pPr>
      <w:bookmarkStart w:id="10" w:name="_Toc7996"/>
      <w:r>
        <w:rPr>
          <w:rFonts w:hint="eastAsia" w:ascii="Times New Roman" w:hAnsi="Times New Roman" w:eastAsia="黑体"/>
          <w:b w:val="0"/>
          <w:color w:val="auto"/>
          <w:highlight w:val="none"/>
          <w:lang w:eastAsia="zh-CN"/>
        </w:rPr>
        <w:t>部门职责</w:t>
      </w:r>
      <w:bookmarkEnd w:id="10"/>
    </w:p>
    <w:p w14:paraId="265430CD">
      <w:pPr>
        <w:pStyle w:val="6"/>
        <w:pageBreakBefore w:val="0"/>
        <w:widowControl w:val="0"/>
        <w:numPr>
          <w:ilvl w:val="0"/>
          <w:numId w:val="2"/>
        </w:numPr>
        <w:kinsoku/>
        <w:wordWrap/>
        <w:overflowPunct/>
        <w:topLinePunct w:val="0"/>
        <w:autoSpaceDE/>
        <w:autoSpaceDN/>
        <w:bidi w:val="0"/>
        <w:adjustRightInd w:val="0"/>
        <w:snapToGrid w:val="0"/>
        <w:spacing w:before="93" w:line="560" w:lineRule="exact"/>
        <w:ind w:left="94" w:leftChars="45" w:firstLine="512" w:firstLineChars="160"/>
        <w:textAlignment w:val="auto"/>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党的基本理论、基本路线、基本纲领和工运方针，围绕党和国家工作大局，贯彻执行中国工会全国代表大会、中华全国总工会执行委员会和四川省、攀枝花市工会代表大会、全委会确定的方针、任务和作出的决议。　　</w:t>
      </w:r>
    </w:p>
    <w:p w14:paraId="48376D5A">
      <w:pPr>
        <w:pStyle w:val="6"/>
        <w:pageBreakBefore w:val="0"/>
        <w:widowControl w:val="0"/>
        <w:numPr>
          <w:ilvl w:val="0"/>
          <w:numId w:val="2"/>
        </w:numPr>
        <w:kinsoku/>
        <w:wordWrap/>
        <w:overflowPunct/>
        <w:topLinePunct w:val="0"/>
        <w:autoSpaceDE/>
        <w:autoSpaceDN/>
        <w:bidi w:val="0"/>
        <w:adjustRightInd w:val="0"/>
        <w:snapToGrid w:val="0"/>
        <w:spacing w:before="93" w:line="560" w:lineRule="exact"/>
        <w:ind w:left="94" w:leftChars="45" w:firstLine="512" w:firstLineChars="160"/>
        <w:textAlignment w:val="auto"/>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依照法律和《中国工会章程》，组织和指导各级工会坚定不移地推动党的全心全意依靠工人阶级根本指导方针的贯彻落实，进一步突出和履行维护职能。　　</w:t>
      </w:r>
    </w:p>
    <w:p w14:paraId="67D6A272">
      <w:pPr>
        <w:pStyle w:val="6"/>
        <w:pageBreakBefore w:val="0"/>
        <w:widowControl w:val="0"/>
        <w:numPr>
          <w:ilvl w:val="0"/>
          <w:numId w:val="2"/>
        </w:numPr>
        <w:kinsoku/>
        <w:wordWrap/>
        <w:overflowPunct/>
        <w:topLinePunct w:val="0"/>
        <w:autoSpaceDE/>
        <w:autoSpaceDN/>
        <w:bidi w:val="0"/>
        <w:adjustRightInd w:val="0"/>
        <w:snapToGrid w:val="0"/>
        <w:spacing w:before="93" w:line="560" w:lineRule="exact"/>
        <w:ind w:left="94" w:leftChars="45" w:firstLine="512" w:firstLineChars="160"/>
        <w:textAlignment w:val="auto"/>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对有关职工合法权益的重大问题进行调查研究，向市委、市政府和四川省总工会反映职工群众的思想、愿望和要求，提出意见和建议；参与涉及职工切身利益的政策、措施和法规草案的拟定；指导企业生产经营安全保障工作，参与企业生产经营过程中发生的职工重大伤亡事故的调查处理。　　</w:t>
      </w:r>
    </w:p>
    <w:p w14:paraId="20248DAA">
      <w:pPr>
        <w:pStyle w:val="6"/>
        <w:pageBreakBefore w:val="0"/>
        <w:widowControl w:val="0"/>
        <w:numPr>
          <w:ilvl w:val="0"/>
          <w:numId w:val="2"/>
        </w:numPr>
        <w:kinsoku/>
        <w:wordWrap/>
        <w:overflowPunct/>
        <w:topLinePunct w:val="0"/>
        <w:autoSpaceDE/>
        <w:autoSpaceDN/>
        <w:bidi w:val="0"/>
        <w:adjustRightInd w:val="0"/>
        <w:snapToGrid w:val="0"/>
        <w:spacing w:before="93" w:line="560" w:lineRule="exact"/>
        <w:ind w:left="94" w:leftChars="45" w:firstLine="512" w:firstLineChars="160"/>
        <w:textAlignment w:val="auto"/>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负责工会理论政策的研究，研究制定工会的组织制度和民主制度，监督检查《中国工会章程》的贯彻执行；研究指导工会自身改革和建设；指导各级工会组织开展以职工代表大会为基本制度的民主选举、民主决策、民主管理和民主监督工作，推动建立平等协商、集体合同制度和监督保证机制的工作。　　</w:t>
      </w:r>
    </w:p>
    <w:p w14:paraId="30851E05">
      <w:pPr>
        <w:pStyle w:val="6"/>
        <w:pageBreakBefore w:val="0"/>
        <w:widowControl w:val="0"/>
        <w:numPr>
          <w:ilvl w:val="0"/>
          <w:numId w:val="2"/>
        </w:numPr>
        <w:kinsoku/>
        <w:wordWrap/>
        <w:overflowPunct/>
        <w:topLinePunct w:val="0"/>
        <w:autoSpaceDE/>
        <w:autoSpaceDN/>
        <w:bidi w:val="0"/>
        <w:adjustRightInd w:val="0"/>
        <w:snapToGrid w:val="0"/>
        <w:spacing w:before="93" w:line="560" w:lineRule="exact"/>
        <w:ind w:left="94" w:leftChars="45" w:firstLine="512" w:firstLineChars="160"/>
        <w:textAlignment w:val="auto"/>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协助县（区）党委和市级有关部门、大企业党组（党委）管理县（区）总工会和有关市级产业工会、直属企业（集团公司）工会和市属基层工会的领导干部；监督、检查市总工会机关及直属单位党员干部廉政建设情况；研究制定工会干部的管理制度和培训规划，负责县（区）总工会、产业工会、大中型企事业工会领导干部的培训工作。　　</w:t>
      </w:r>
    </w:p>
    <w:p w14:paraId="3DE0E438">
      <w:pPr>
        <w:pStyle w:val="6"/>
        <w:pageBreakBefore w:val="0"/>
        <w:widowControl w:val="0"/>
        <w:numPr>
          <w:ilvl w:val="0"/>
          <w:numId w:val="2"/>
        </w:numPr>
        <w:kinsoku/>
        <w:wordWrap/>
        <w:overflowPunct/>
        <w:topLinePunct w:val="0"/>
        <w:autoSpaceDE/>
        <w:autoSpaceDN/>
        <w:bidi w:val="0"/>
        <w:adjustRightInd w:val="0"/>
        <w:snapToGrid w:val="0"/>
        <w:spacing w:before="93" w:line="560" w:lineRule="exact"/>
        <w:ind w:left="94" w:leftChars="45" w:firstLine="512" w:firstLineChars="160"/>
        <w:textAlignment w:val="auto"/>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协助市政府做好市劳动模范的推荐、评选和管理工作；协助四川省总工会做好在攀全省劳模和“五一劳动奖章”、“五一劳动奖状”获得者的推荐、管理工作。　　</w:t>
      </w:r>
    </w:p>
    <w:p w14:paraId="59124690">
      <w:pPr>
        <w:pStyle w:val="6"/>
        <w:pageBreakBefore w:val="0"/>
        <w:widowControl w:val="0"/>
        <w:numPr>
          <w:ilvl w:val="0"/>
          <w:numId w:val="2"/>
        </w:numPr>
        <w:kinsoku/>
        <w:wordWrap/>
        <w:overflowPunct/>
        <w:topLinePunct w:val="0"/>
        <w:autoSpaceDE/>
        <w:autoSpaceDN/>
        <w:bidi w:val="0"/>
        <w:adjustRightInd w:val="0"/>
        <w:snapToGrid w:val="0"/>
        <w:spacing w:before="93" w:line="560" w:lineRule="exact"/>
        <w:ind w:left="94" w:leftChars="45" w:firstLine="512" w:firstLineChars="160"/>
        <w:textAlignment w:val="auto"/>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负责全市工会经费和工会资产的管理、审查、审计工作；研究、制定工会组织兴办职工劳动福利事业的有关制度和规定；负责对全市工会职工劳动福利事业的指导、协调工作。　　</w:t>
      </w:r>
    </w:p>
    <w:p w14:paraId="79BE8FE1">
      <w:pPr>
        <w:pStyle w:val="6"/>
        <w:pageBreakBefore w:val="0"/>
        <w:widowControl w:val="0"/>
        <w:numPr>
          <w:ilvl w:val="0"/>
          <w:numId w:val="2"/>
        </w:numPr>
        <w:kinsoku/>
        <w:wordWrap/>
        <w:overflowPunct/>
        <w:topLinePunct w:val="0"/>
        <w:autoSpaceDE/>
        <w:autoSpaceDN/>
        <w:bidi w:val="0"/>
        <w:adjustRightInd w:val="0"/>
        <w:snapToGrid w:val="0"/>
        <w:spacing w:before="93" w:line="560" w:lineRule="exact"/>
        <w:ind w:left="94" w:leftChars="45" w:firstLine="512" w:firstLineChars="160"/>
        <w:textAlignment w:val="auto"/>
        <w:outlineLvl w:val="2"/>
      </w:pPr>
      <w:r>
        <w:rPr>
          <w:rFonts w:hint="eastAsia" w:ascii="仿宋_GB2312" w:hAnsi="仿宋_GB2312" w:eastAsia="仿宋_GB2312" w:cs="仿宋_GB2312"/>
          <w:color w:val="auto"/>
          <w:kern w:val="2"/>
          <w:sz w:val="32"/>
          <w:szCs w:val="32"/>
          <w:highlight w:val="none"/>
          <w:lang w:val="en-US" w:eastAsia="zh-CN" w:bidi="ar-SA"/>
        </w:rPr>
        <w:t>承办市委、市政府和四川省总工会交办的其它事项。</w:t>
      </w:r>
      <w:bookmarkStart w:id="11" w:name="_Toc15377200"/>
      <w:bookmarkStart w:id="12" w:name="_Toc15396601"/>
    </w:p>
    <w:p w14:paraId="19E16693">
      <w:pPr>
        <w:pStyle w:val="4"/>
        <w:rPr>
          <w:rStyle w:val="30"/>
          <w:rFonts w:ascii="Times New Roman" w:hAnsi="Times New Roman"/>
          <w:b w:val="0"/>
          <w:bCs w:val="0"/>
          <w:color w:val="auto"/>
          <w:highlight w:val="none"/>
        </w:rPr>
      </w:pPr>
      <w:bookmarkStart w:id="13" w:name="_Toc26599"/>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1"/>
      <w:bookmarkEnd w:id="12"/>
      <w:bookmarkEnd w:id="13"/>
    </w:p>
    <w:p w14:paraId="1F8BDD45">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四川省攀枝花市总工会</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34F02613">
      <w:pPr>
        <w:pStyle w:val="3"/>
        <w:jc w:val="center"/>
        <w:rPr>
          <w:rFonts w:hint="eastAsia" w:ascii="Times New Roman" w:hAnsi="Times New Roman" w:eastAsia="方正小标宋简体" w:cs="方正小标宋简体"/>
          <w:b w:val="0"/>
          <w:color w:val="auto"/>
          <w:highlight w:val="none"/>
        </w:rPr>
      </w:pPr>
      <w:bookmarkStart w:id="14" w:name="_Toc15377204"/>
      <w:bookmarkStart w:id="15" w:name="_Toc15396602"/>
    </w:p>
    <w:p w14:paraId="355C271C">
      <w:pPr>
        <w:pStyle w:val="3"/>
        <w:jc w:val="center"/>
        <w:rPr>
          <w:rFonts w:hint="eastAsia" w:ascii="Times New Roman" w:hAnsi="Times New Roman" w:eastAsia="方正小标宋简体" w:cs="方正小标宋简体"/>
          <w:b w:val="0"/>
          <w:color w:val="auto"/>
          <w:highlight w:val="none"/>
        </w:rPr>
      </w:pPr>
      <w:bookmarkStart w:id="16" w:name="_Toc16257"/>
      <w:bookmarkStart w:id="17" w:name="_Toc22791"/>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4"/>
      <w:bookmarkEnd w:id="15"/>
      <w:bookmarkEnd w:id="16"/>
      <w:bookmarkEnd w:id="17"/>
    </w:p>
    <w:p w14:paraId="0BBAA38B">
      <w:pPr>
        <w:rPr>
          <w:rFonts w:ascii="Times New Roman" w:hAnsi="Times New Roman"/>
          <w:color w:val="auto"/>
          <w:highlight w:val="none"/>
        </w:rPr>
      </w:pPr>
    </w:p>
    <w:p w14:paraId="1D4EF7C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8" w:name="_Toc27152"/>
      <w:bookmarkStart w:id="19" w:name="_Toc15377205"/>
      <w:bookmarkStart w:id="20"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8"/>
      <w:bookmarkEnd w:id="19"/>
      <w:bookmarkEnd w:id="20"/>
    </w:p>
    <w:p w14:paraId="0EF85F8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bookmarkStart w:id="21" w:name="_Toc17343"/>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Times New Roman" w:hAnsi="Times New Roman" w:eastAsia="仿宋_GB2312" w:cs="仿宋_GB2312"/>
          <w:color w:val="auto"/>
          <w:sz w:val="32"/>
          <w:szCs w:val="32"/>
          <w:highlight w:val="none"/>
          <w:lang w:val="en-US" w:eastAsia="zh-CN"/>
        </w:rPr>
        <w:t>965.33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212.37</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18.03</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2024年收到省财专项资金较2023年减少。</w:t>
      </w:r>
      <w:bookmarkEnd w:id="21"/>
    </w:p>
    <w:p w14:paraId="17DA13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30141A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rPr>
          <w:rFonts w:hint="eastAsia" w:eastAsia="仿宋_GB2312"/>
          <w:lang w:eastAsia="zh-CN"/>
        </w:rPr>
        <w:drawing>
          <wp:inline distT="0" distB="0" distL="114300" distR="114300">
            <wp:extent cx="5046345" cy="3227705"/>
            <wp:effectExtent l="4445" t="4445" r="16510" b="63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2A296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8787"/>
      <w:bookmarkStart w:id="23" w:name="_Toc15377206"/>
      <w:bookmarkStart w:id="24" w:name="_Toc15396604"/>
      <w:r>
        <w:rPr>
          <w:rFonts w:hint="eastAsia" w:ascii="Times New Roman" w:hAnsi="Times New Roman" w:eastAsia="黑体"/>
          <w:color w:val="auto"/>
          <w:sz w:val="32"/>
          <w:szCs w:val="32"/>
          <w:highlight w:val="none"/>
          <w:lang w:eastAsia="zh-CN"/>
        </w:rPr>
        <w:t>二、收入决算情况说明</w:t>
      </w:r>
      <w:bookmarkEnd w:id="22"/>
      <w:bookmarkEnd w:id="23"/>
      <w:bookmarkEnd w:id="24"/>
    </w:p>
    <w:p w14:paraId="774ACE7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bookmarkStart w:id="25" w:name="_Toc7330"/>
      <w:r>
        <w:rPr>
          <w:rFonts w:hint="eastAsia" w:ascii="Times New Roman" w:hAnsi="Times New Roman" w:eastAsia="仿宋_GB2312" w:cs="仿宋_GB2312"/>
          <w:color w:val="auto"/>
          <w:sz w:val="32"/>
          <w:szCs w:val="32"/>
          <w:highlight w:val="none"/>
          <w:lang w:val="en-US" w:eastAsia="zh-CN"/>
        </w:rPr>
        <w:t>2024</w:t>
      </w:r>
      <w:r>
        <w:rPr>
          <w:rFonts w:hint="eastAsia" w:ascii="Times New Roman" w:hAnsi="Times New Roman" w:eastAsia="仿宋_GB2312" w:cs="仿宋_GB2312"/>
          <w:color w:val="auto"/>
          <w:sz w:val="32"/>
          <w:szCs w:val="32"/>
          <w:highlight w:val="none"/>
          <w:lang w:eastAsia="zh-CN"/>
        </w:rPr>
        <w:t>年度本年收入合计</w:t>
      </w:r>
      <w:r>
        <w:rPr>
          <w:rFonts w:hint="eastAsia" w:ascii="Times New Roman" w:hAnsi="Times New Roman" w:eastAsia="仿宋_GB2312" w:cs="仿宋_GB2312"/>
          <w:color w:val="auto"/>
          <w:sz w:val="32"/>
          <w:szCs w:val="32"/>
          <w:highlight w:val="none"/>
          <w:lang w:val="en-US" w:eastAsia="zh-CN"/>
        </w:rPr>
        <w:t>965.33</w:t>
      </w:r>
      <w:r>
        <w:rPr>
          <w:rFonts w:hint="eastAsia" w:ascii="Times New Roman" w:hAnsi="Times New Roman" w:eastAsia="仿宋_GB2312" w:cs="仿宋_GB2312"/>
          <w:color w:val="auto"/>
          <w:sz w:val="32"/>
          <w:szCs w:val="32"/>
          <w:highlight w:val="none"/>
          <w:lang w:eastAsia="zh-CN"/>
        </w:rPr>
        <w:t>万元，其中：一般公共预算财政拨款收入965.33万元，占100%。</w:t>
      </w:r>
      <w:bookmarkEnd w:id="25"/>
    </w:p>
    <w:p w14:paraId="4787F39F">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24838CA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6" w:name="_Toc8386"/>
      <w:bookmarkStart w:id="27" w:name="_Toc15377207"/>
      <w:bookmarkStart w:id="28" w:name="_Toc15396605"/>
      <w:r>
        <w:rPr>
          <w:rFonts w:hint="eastAsia" w:ascii="仿宋_GB2312" w:eastAsia="仿宋_GB2312"/>
          <w:sz w:val="32"/>
          <w:szCs w:val="32"/>
          <w:lang w:eastAsia="zh-CN"/>
        </w:rPr>
        <w:drawing>
          <wp:anchor distT="0" distB="0" distL="114300" distR="114300" simplePos="0" relativeHeight="251660288" behindDoc="0" locked="0" layoutInCell="1" allowOverlap="1">
            <wp:simplePos x="0" y="0"/>
            <wp:positionH relativeFrom="column">
              <wp:posOffset>137795</wp:posOffset>
            </wp:positionH>
            <wp:positionV relativeFrom="paragraph">
              <wp:posOffset>223520</wp:posOffset>
            </wp:positionV>
            <wp:extent cx="4869815" cy="2782570"/>
            <wp:effectExtent l="4445" t="4445" r="21590" b="1333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6"/>
      <w:bookmarkEnd w:id="27"/>
      <w:bookmarkEnd w:id="28"/>
    </w:p>
    <w:p w14:paraId="301A0E8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bookmarkStart w:id="29" w:name="_Toc23467"/>
      <w:r>
        <w:rPr>
          <w:rFonts w:hint="eastAsia" w:ascii="Times New Roman" w:hAnsi="Times New Roman" w:eastAsia="仿宋_GB2312" w:cs="仿宋_GB2312"/>
          <w:color w:val="auto"/>
          <w:sz w:val="32"/>
          <w:szCs w:val="32"/>
          <w:highlight w:val="none"/>
          <w:lang w:val="en-US" w:eastAsia="zh-CN"/>
        </w:rPr>
        <w:t>2024年度本年支出合计965.33万元，其中：基本支出265.54万元，占27.5%；项目支出699.8万元，占72.49%。</w:t>
      </w:r>
      <w:bookmarkEnd w:id="29"/>
    </w:p>
    <w:p w14:paraId="2B761D79">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14:paraId="05279422">
      <w:pPr>
        <w:rPr>
          <w:rFonts w:hint="eastAsia"/>
          <w:lang w:eastAsia="zh-CN"/>
        </w:rPr>
      </w:pPr>
      <w:r>
        <w:rPr>
          <w:rFonts w:hint="eastAsia" w:ascii="仿宋_GB2312" w:eastAsia="仿宋_GB2312"/>
          <w:sz w:val="32"/>
          <w:szCs w:val="32"/>
          <w:lang w:eastAsia="zh-CN"/>
        </w:rPr>
        <w:drawing>
          <wp:inline distT="0" distB="0" distL="114300" distR="114300">
            <wp:extent cx="4923790" cy="2580640"/>
            <wp:effectExtent l="4445" t="4445" r="5715" b="571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377104">
      <w:pPr>
        <w:spacing w:line="600" w:lineRule="exact"/>
        <w:ind w:firstLine="640" w:firstLineChars="200"/>
        <w:outlineLvl w:val="1"/>
        <w:rPr>
          <w:rStyle w:val="30"/>
          <w:rFonts w:ascii="Times New Roman" w:hAnsi="Times New Roman" w:eastAsia="黑体"/>
          <w:b w:val="0"/>
          <w:color w:val="auto"/>
          <w:highlight w:val="none"/>
        </w:rPr>
      </w:pPr>
      <w:bookmarkStart w:id="30" w:name="_Toc15377208"/>
      <w:bookmarkStart w:id="31" w:name="_Toc15396606"/>
      <w:bookmarkStart w:id="32" w:name="_Toc13255"/>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30"/>
      <w:bookmarkEnd w:id="31"/>
      <w:bookmarkEnd w:id="32"/>
    </w:p>
    <w:p w14:paraId="21C3D85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2024年度财政拨款收入、支出总计均为965.33万元。与2023年度相比，财政拨款收入总计、支出总计各减少212.37万元，</w:t>
      </w:r>
      <w:r>
        <w:rPr>
          <w:rFonts w:hint="eastAsia" w:ascii="Times New Roman" w:hAnsi="Times New Roman" w:eastAsia="仿宋_GB2312" w:cs="仿宋_GB2312"/>
          <w:color w:val="auto"/>
          <w:sz w:val="32"/>
          <w:szCs w:val="32"/>
          <w:highlight w:val="none"/>
        </w:rPr>
        <w:t>下降</w:t>
      </w:r>
      <w:r>
        <w:rPr>
          <w:rFonts w:hint="eastAsia" w:eastAsia="仿宋_GB2312" w:cs="仿宋_GB2312"/>
          <w:color w:val="auto"/>
          <w:sz w:val="32"/>
          <w:szCs w:val="32"/>
          <w:highlight w:val="none"/>
          <w:lang w:val="en-US" w:eastAsia="zh-CN"/>
        </w:rPr>
        <w:t>18.03</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2024年收到省财专项资金较2023年减少。</w:t>
      </w:r>
    </w:p>
    <w:p w14:paraId="4BF8CAA5">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657C3E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kern w:val="2"/>
          <w:sz w:val="33"/>
          <w:szCs w:val="33"/>
          <w:lang w:val="en-US" w:eastAsia="zh-CN" w:bidi="ar-SA"/>
        </w:rPr>
        <w:drawing>
          <wp:anchor distT="0" distB="0" distL="114300" distR="114300" simplePos="0" relativeHeight="251661312" behindDoc="0" locked="0" layoutInCell="1" allowOverlap="1">
            <wp:simplePos x="0" y="0"/>
            <wp:positionH relativeFrom="column">
              <wp:posOffset>352425</wp:posOffset>
            </wp:positionH>
            <wp:positionV relativeFrom="paragraph">
              <wp:posOffset>238125</wp:posOffset>
            </wp:positionV>
            <wp:extent cx="4599940" cy="2654935"/>
            <wp:effectExtent l="4445" t="4445" r="5715" b="762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57CDF3D8">
      <w:pPr>
        <w:pStyle w:val="2"/>
        <w:rPr>
          <w:rFonts w:hint="eastAsia" w:ascii="Times New Roman" w:hAnsi="Times New Roman" w:eastAsia="仿宋_GB2312" w:cs="仿宋_GB2312"/>
          <w:color w:val="auto"/>
          <w:kern w:val="2"/>
          <w:sz w:val="32"/>
          <w:szCs w:val="32"/>
          <w:highlight w:val="none"/>
          <w:lang w:val="en-US" w:eastAsia="zh-CN" w:bidi="ar-SA"/>
        </w:rPr>
      </w:pPr>
    </w:p>
    <w:p w14:paraId="2305B7D0">
      <w:pPr>
        <w:rPr>
          <w:rFonts w:hint="eastAsia" w:ascii="Times New Roman" w:hAnsi="Times New Roman" w:eastAsia="仿宋_GB2312" w:cs="仿宋_GB2312"/>
          <w:color w:val="auto"/>
          <w:kern w:val="2"/>
          <w:sz w:val="32"/>
          <w:szCs w:val="32"/>
          <w:highlight w:val="none"/>
          <w:lang w:val="en-US" w:eastAsia="zh-CN" w:bidi="ar-SA"/>
        </w:rPr>
      </w:pPr>
    </w:p>
    <w:p w14:paraId="22856997">
      <w:pPr>
        <w:pStyle w:val="2"/>
        <w:rPr>
          <w:rFonts w:hint="eastAsia" w:ascii="Times New Roman" w:hAnsi="Times New Roman" w:eastAsia="仿宋_GB2312" w:cs="仿宋_GB2312"/>
          <w:color w:val="auto"/>
          <w:kern w:val="2"/>
          <w:sz w:val="32"/>
          <w:szCs w:val="32"/>
          <w:highlight w:val="none"/>
          <w:lang w:val="en-US" w:eastAsia="zh-CN" w:bidi="ar-SA"/>
        </w:rPr>
      </w:pPr>
    </w:p>
    <w:p w14:paraId="09A6C646">
      <w:pPr>
        <w:rPr>
          <w:rFonts w:hint="eastAsia" w:ascii="Times New Roman" w:hAnsi="Times New Roman" w:eastAsia="仿宋_GB2312" w:cs="仿宋_GB2312"/>
          <w:color w:val="auto"/>
          <w:kern w:val="2"/>
          <w:sz w:val="32"/>
          <w:szCs w:val="32"/>
          <w:highlight w:val="none"/>
          <w:lang w:val="en-US" w:eastAsia="zh-CN" w:bidi="ar-SA"/>
        </w:rPr>
      </w:pPr>
    </w:p>
    <w:p w14:paraId="57A60C46">
      <w:pPr>
        <w:spacing w:line="600" w:lineRule="exact"/>
        <w:outlineLvl w:val="1"/>
        <w:rPr>
          <w:rFonts w:hint="eastAsia" w:ascii="Times New Roman" w:hAnsi="Times New Roman" w:eastAsia="黑体"/>
          <w:color w:val="auto"/>
          <w:sz w:val="32"/>
          <w:szCs w:val="32"/>
          <w:highlight w:val="none"/>
        </w:rPr>
      </w:pPr>
      <w:bookmarkStart w:id="33" w:name="_Toc15396607"/>
      <w:bookmarkStart w:id="34" w:name="_Toc15377209"/>
    </w:p>
    <w:p w14:paraId="40366ED6">
      <w:pPr>
        <w:spacing w:line="600" w:lineRule="exact"/>
        <w:ind w:firstLine="640" w:firstLineChars="200"/>
        <w:outlineLvl w:val="1"/>
        <w:rPr>
          <w:rStyle w:val="30"/>
          <w:rFonts w:ascii="Times New Roman" w:hAnsi="Times New Roman" w:eastAsia="黑体"/>
          <w:b w:val="0"/>
          <w:color w:val="auto"/>
          <w:highlight w:val="none"/>
        </w:rPr>
      </w:pPr>
      <w:bookmarkStart w:id="35" w:name="_Toc13531"/>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33"/>
      <w:bookmarkEnd w:id="34"/>
      <w:bookmarkEnd w:id="35"/>
    </w:p>
    <w:p w14:paraId="018DDB7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6"/>
    </w:p>
    <w:p w14:paraId="4317D5F1">
      <w:pPr>
        <w:spacing w:line="600" w:lineRule="exact"/>
        <w:ind w:firstLine="640"/>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2024年度一般公共预算财政拨款支出965.33万元，占本年支出合计的100%。与2023年度相比，一般公共预算财政拨款支出减少212.37万元，</w:t>
      </w:r>
      <w:r>
        <w:rPr>
          <w:rFonts w:hint="eastAsia" w:ascii="Times New Roman" w:hAnsi="Times New Roman" w:eastAsia="仿宋_GB2312" w:cs="仿宋_GB2312"/>
          <w:color w:val="auto"/>
          <w:sz w:val="32"/>
          <w:szCs w:val="32"/>
          <w:highlight w:val="none"/>
        </w:rPr>
        <w:t>下降</w:t>
      </w:r>
      <w:r>
        <w:rPr>
          <w:rFonts w:hint="eastAsia" w:eastAsia="仿宋_GB2312" w:cs="仿宋_GB2312"/>
          <w:color w:val="auto"/>
          <w:sz w:val="32"/>
          <w:szCs w:val="32"/>
          <w:highlight w:val="none"/>
          <w:lang w:val="en-US" w:eastAsia="zh-CN"/>
        </w:rPr>
        <w:t>18.03</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2024年收到省财专项资金较2023年减少。</w:t>
      </w:r>
    </w:p>
    <w:p w14:paraId="6E1668A7">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1F79A3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s="仿宋"/>
          <w:sz w:val="32"/>
          <w:szCs w:val="32"/>
          <w:lang w:eastAsia="zh-CN"/>
        </w:rPr>
        <w:drawing>
          <wp:anchor distT="0" distB="0" distL="114300" distR="114300" simplePos="0" relativeHeight="251662336" behindDoc="0" locked="0" layoutInCell="1" allowOverlap="1">
            <wp:simplePos x="0" y="0"/>
            <wp:positionH relativeFrom="column">
              <wp:posOffset>276225</wp:posOffset>
            </wp:positionH>
            <wp:positionV relativeFrom="paragraph">
              <wp:posOffset>216535</wp:posOffset>
            </wp:positionV>
            <wp:extent cx="4624070" cy="2306320"/>
            <wp:effectExtent l="4445" t="4445" r="19685" b="1333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658AC9D8">
      <w:pPr>
        <w:pStyle w:val="2"/>
        <w:rPr>
          <w:rFonts w:hint="eastAsia" w:ascii="Times New Roman" w:hAnsi="Times New Roman" w:eastAsia="仿宋_GB2312" w:cs="仿宋_GB2312"/>
          <w:color w:val="auto"/>
          <w:kern w:val="2"/>
          <w:sz w:val="32"/>
          <w:szCs w:val="32"/>
          <w:highlight w:val="none"/>
          <w:lang w:val="en-US" w:eastAsia="zh-CN" w:bidi="ar-SA"/>
        </w:rPr>
      </w:pPr>
    </w:p>
    <w:p w14:paraId="286B8DBD">
      <w:pPr>
        <w:rPr>
          <w:rFonts w:hint="eastAsia" w:ascii="Times New Roman" w:hAnsi="Times New Roman" w:eastAsia="仿宋_GB2312" w:cs="仿宋_GB2312"/>
          <w:color w:val="auto"/>
          <w:kern w:val="2"/>
          <w:sz w:val="32"/>
          <w:szCs w:val="32"/>
          <w:highlight w:val="none"/>
          <w:lang w:val="en-US" w:eastAsia="zh-CN" w:bidi="ar-SA"/>
        </w:rPr>
      </w:pPr>
    </w:p>
    <w:p w14:paraId="135DEFEE">
      <w:pPr>
        <w:pStyle w:val="2"/>
        <w:rPr>
          <w:rFonts w:hint="eastAsia" w:ascii="Times New Roman" w:hAnsi="Times New Roman" w:eastAsia="仿宋_GB2312" w:cs="仿宋_GB2312"/>
          <w:color w:val="auto"/>
          <w:kern w:val="2"/>
          <w:sz w:val="32"/>
          <w:szCs w:val="32"/>
          <w:highlight w:val="none"/>
          <w:lang w:val="en-US" w:eastAsia="zh-CN" w:bidi="ar-SA"/>
        </w:rPr>
      </w:pPr>
    </w:p>
    <w:p w14:paraId="2EFC0F4A">
      <w:pPr>
        <w:rPr>
          <w:rFonts w:hint="eastAsia"/>
          <w:lang w:val="en-US" w:eastAsia="zh-CN"/>
        </w:rPr>
      </w:pPr>
    </w:p>
    <w:p w14:paraId="0F53F58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7"/>
    </w:p>
    <w:p w14:paraId="4ABF264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2024年度一般公共预算财政拨款支出965.33万元，主要用于以下方面：一般公共服务支出704.69万元，占73.00%；社会保障和就业支出259.77万元，占26.91%；卫生健康支出0.87万元，占0.90%。</w:t>
      </w:r>
    </w:p>
    <w:p w14:paraId="27BDC0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29C93B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kern w:val="2"/>
          <w:sz w:val="33"/>
          <w:szCs w:val="33"/>
          <w:lang w:val="en-US" w:eastAsia="zh-CN" w:bidi="ar-SA"/>
        </w:rPr>
        <w:drawing>
          <wp:anchor distT="0" distB="0" distL="114300" distR="114300" simplePos="0" relativeHeight="251663360" behindDoc="0" locked="0" layoutInCell="1" allowOverlap="1">
            <wp:simplePos x="0" y="0"/>
            <wp:positionH relativeFrom="column">
              <wp:posOffset>438150</wp:posOffset>
            </wp:positionH>
            <wp:positionV relativeFrom="paragraph">
              <wp:posOffset>114300</wp:posOffset>
            </wp:positionV>
            <wp:extent cx="4505960" cy="2393315"/>
            <wp:effectExtent l="4445" t="4445" r="23495" b="2159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143049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1E84B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3E46E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F40368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F7746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CF1E3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5D2CED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8"/>
    </w:p>
    <w:p w14:paraId="1B9CD6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9" w:name="_Toc15377444"/>
      <w:bookmarkStart w:id="40" w:name="_Toc15377213"/>
      <w:bookmarkStart w:id="41"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2024年度一般公共预算财政拨款支出决算数为965.33万元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9"/>
      <w:bookmarkEnd w:id="40"/>
      <w:bookmarkEnd w:id="41"/>
    </w:p>
    <w:p w14:paraId="56B7D7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一般公共服务：①2012901行政运行支出：支出决算为5.77万元，完成预算100%；②2012902一般行政管理事务：支出决算为300.07万元，完成预算100%；③2012999其他群众团体事务支出：支出决算为397.11万元，完成预算100%；④2013299其他组织事务支出：支出决算为1.74万元，完成预算100%。</w:t>
      </w:r>
    </w:p>
    <w:p w14:paraId="04D47738">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：①2080501行政单位离退休：支出决算为156.83万元，完成预算100%；②2080502事业单位离退休：支出决算为102.94万元，完成预算100%。</w:t>
      </w:r>
    </w:p>
    <w:p w14:paraId="7BC6A4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：①2109999其他卫生健康支出：支出决算为0.87万元，完成预算100%。</w:t>
      </w:r>
    </w:p>
    <w:p w14:paraId="09A61103">
      <w:pPr>
        <w:tabs>
          <w:tab w:val="right" w:pos="8306"/>
        </w:tabs>
        <w:spacing w:line="600" w:lineRule="exact"/>
        <w:ind w:firstLine="640"/>
        <w:outlineLvl w:val="1"/>
        <w:rPr>
          <w:rStyle w:val="30"/>
          <w:rFonts w:ascii="Times New Roman" w:hAnsi="Times New Roman"/>
          <w:color w:val="auto"/>
          <w:highlight w:val="none"/>
        </w:rPr>
      </w:pPr>
      <w:bookmarkStart w:id="42" w:name="_Toc15396608"/>
      <w:bookmarkStart w:id="43" w:name="_Toc27033"/>
      <w:bookmarkStart w:id="44"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42"/>
      <w:bookmarkEnd w:id="43"/>
      <w:bookmarkEnd w:id="44"/>
      <w:r>
        <w:rPr>
          <w:rStyle w:val="30"/>
          <w:rFonts w:ascii="Times New Roman" w:hAnsi="Times New Roman" w:eastAsia="黑体"/>
          <w:b w:val="0"/>
          <w:color w:val="auto"/>
          <w:highlight w:val="none"/>
        </w:rPr>
        <w:tab/>
      </w:r>
    </w:p>
    <w:p w14:paraId="6CEFCA6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2024年度一般公共预算财政拨款基本支出265.54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0C951B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人员经费251.93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元，主要包括：离</w:t>
      </w:r>
      <w:r>
        <w:rPr>
          <w:rFonts w:hint="eastAsia" w:eastAsia="仿宋_GB2312" w:cs="仿宋_GB2312"/>
          <w:color w:val="auto"/>
          <w:kern w:val="2"/>
          <w:sz w:val="32"/>
          <w:szCs w:val="32"/>
          <w:highlight w:val="none"/>
          <w:lang w:val="en-US" w:eastAsia="zh-CN" w:bidi="ar-SA"/>
        </w:rPr>
        <w:t>退</w:t>
      </w:r>
      <w:r>
        <w:rPr>
          <w:rFonts w:hint="eastAsia" w:ascii="Times New Roman" w:hAnsi="Times New Roman" w:eastAsia="仿宋_GB2312" w:cs="仿宋_GB2312"/>
          <w:color w:val="auto"/>
          <w:kern w:val="2"/>
          <w:sz w:val="32"/>
          <w:szCs w:val="32"/>
          <w:highlight w:val="none"/>
          <w:lang w:val="en-US" w:eastAsia="zh-CN" w:bidi="ar-SA"/>
        </w:rPr>
        <w:t>休费、生活补助、医疗费补助。</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公用经费13.6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元，主要包括：福利费、其他商品和服务支出。</w:t>
      </w:r>
    </w:p>
    <w:p w14:paraId="4DAFA9A1">
      <w:pPr>
        <w:spacing w:line="600" w:lineRule="exact"/>
        <w:ind w:firstLine="640"/>
        <w:outlineLvl w:val="1"/>
        <w:rPr>
          <w:rStyle w:val="30"/>
          <w:rFonts w:ascii="Times New Roman" w:hAnsi="Times New Roman" w:eastAsia="黑体"/>
          <w:b w:val="0"/>
          <w:color w:val="auto"/>
          <w:highlight w:val="none"/>
        </w:rPr>
      </w:pPr>
      <w:bookmarkStart w:id="45" w:name="_Toc26337"/>
      <w:bookmarkStart w:id="46" w:name="_Toc15377215"/>
      <w:bookmarkStart w:id="47" w:name="_Toc15396609"/>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45"/>
      <w:bookmarkEnd w:id="46"/>
      <w:bookmarkEnd w:id="47"/>
    </w:p>
    <w:p w14:paraId="291F38D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8"/>
    </w:p>
    <w:p w14:paraId="7260520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2024年度“三公”经费财政拨款支出决算为0</w:t>
      </w:r>
      <w:r>
        <w:rPr>
          <w:rFonts w:hint="eastAsia" w:ascii="仿宋_GB2312" w:hAnsi="仿宋_GB2312" w:eastAsia="仿宋_GB2312" w:cs="仿宋_GB2312"/>
          <w:color w:val="auto"/>
          <w:kern w:val="2"/>
          <w:sz w:val="32"/>
          <w:szCs w:val="32"/>
          <w:highlight w:val="none"/>
          <w:lang w:val="en-US" w:eastAsia="zh-CN" w:bidi="ar-SA"/>
        </w:rPr>
        <w:t>万元。</w:t>
      </w:r>
    </w:p>
    <w:p w14:paraId="0B2F877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9"/>
    </w:p>
    <w:p w14:paraId="015875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2024年度“三公”经费财政拨款支出决算中，因公出国（境）费支出决算0万元；公务用车购置及运行维护费支出决算0万元；公务接待费支出决算0万元。</w:t>
      </w:r>
    </w:p>
    <w:p w14:paraId="7CC57522">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因公出国（境）支出决算与2023年持平。</w:t>
      </w:r>
    </w:p>
    <w:p w14:paraId="43F47AA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ascii="Times New Roman" w:hAnsi="Times New Roman" w:eastAsia="仿宋_GB2312" w:cs="仿宋_GB2312"/>
          <w:color w:val="auto"/>
          <w:kern w:val="2"/>
          <w:sz w:val="32"/>
          <w:szCs w:val="32"/>
          <w:highlight w:val="none"/>
          <w:lang w:val="en-US" w:eastAsia="zh-CN" w:bidi="ar-SA"/>
        </w:rPr>
        <w:t>公务用车购置及运行维护费</w:t>
      </w:r>
      <w:r>
        <w:rPr>
          <w:rFonts w:hint="eastAsia" w:eastAsia="仿宋_GB2312" w:cs="仿宋_GB2312"/>
          <w:color w:val="auto"/>
          <w:kern w:val="2"/>
          <w:sz w:val="32"/>
          <w:szCs w:val="32"/>
          <w:highlight w:val="none"/>
          <w:lang w:val="en-US" w:eastAsia="zh-CN" w:bidi="ar-SA"/>
        </w:rPr>
        <w:t>支出决算与2023年持平。</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Times New Roman" w:hAnsi="Times New Roman" w:eastAsia="仿宋_GB2312" w:cs="仿宋_GB2312"/>
          <w:color w:val="auto"/>
          <w:kern w:val="2"/>
          <w:sz w:val="32"/>
          <w:szCs w:val="32"/>
          <w:highlight w:val="none"/>
          <w:lang w:val="en-US" w:eastAsia="zh-CN" w:bidi="ar-SA"/>
        </w:rPr>
        <w:t>0万元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Times New Roman" w:hAnsi="Times New Roman" w:eastAsia="仿宋_GB2312" w:cs="仿宋_GB2312"/>
          <w:color w:val="auto"/>
          <w:kern w:val="2"/>
          <w:sz w:val="32"/>
          <w:szCs w:val="32"/>
          <w:highlight w:val="none"/>
          <w:lang w:val="en-US" w:eastAsia="zh-CN" w:bidi="ar-SA"/>
        </w:rPr>
        <w:t>0万元。</w:t>
      </w:r>
    </w:p>
    <w:p w14:paraId="59A441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bookmarkStart w:id="50" w:name="_Toc15377218"/>
      <w:bookmarkStart w:id="51" w:name="_Toc15396610"/>
    </w:p>
    <w:p w14:paraId="28786532">
      <w:pPr>
        <w:spacing w:line="600" w:lineRule="exact"/>
        <w:ind w:firstLine="640"/>
        <w:outlineLvl w:val="1"/>
        <w:rPr>
          <w:rStyle w:val="30"/>
          <w:rFonts w:ascii="Times New Roman" w:hAnsi="Times New Roman" w:eastAsia="黑体"/>
          <w:color w:val="auto"/>
          <w:highlight w:val="none"/>
        </w:rPr>
      </w:pPr>
      <w:bookmarkStart w:id="52" w:name="_Toc4659"/>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50"/>
      <w:bookmarkEnd w:id="51"/>
      <w:bookmarkEnd w:id="52"/>
    </w:p>
    <w:p w14:paraId="4E29B33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highlight w:val="none"/>
          <w:lang w:val="en-US" w:eastAsia="zh-CN" w:bidi="ar-SA"/>
        </w:rPr>
        <w:t>年度政府性基金预算财政拨款支出</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万元。</w:t>
      </w:r>
    </w:p>
    <w:p w14:paraId="0D919FEA">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53" w:name="_Toc1453"/>
      <w:bookmarkStart w:id="54" w:name="_Toc15396611"/>
      <w:bookmarkStart w:id="55"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53"/>
      <w:bookmarkEnd w:id="54"/>
      <w:bookmarkEnd w:id="55"/>
    </w:p>
    <w:p w14:paraId="4C7F33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2024年度国有资本经营预算财政拨款支出0</w:t>
      </w:r>
      <w:r>
        <w:rPr>
          <w:rFonts w:hint="eastAsia" w:ascii="仿宋_GB2312" w:hAnsi="仿宋_GB2312" w:eastAsia="仿宋_GB2312" w:cs="仿宋_GB2312"/>
          <w:color w:val="auto"/>
          <w:kern w:val="2"/>
          <w:sz w:val="32"/>
          <w:szCs w:val="32"/>
          <w:highlight w:val="none"/>
          <w:lang w:val="en-US" w:eastAsia="zh-CN" w:bidi="ar-SA"/>
        </w:rPr>
        <w:t>万元。</w:t>
      </w:r>
    </w:p>
    <w:p w14:paraId="65DB526C">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56" w:name="_Toc15396612"/>
      <w:bookmarkStart w:id="57" w:name="_Toc28193"/>
      <w:bookmarkStart w:id="58" w:name="_Toc15377221"/>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56"/>
      <w:bookmarkEnd w:id="57"/>
      <w:bookmarkEnd w:id="58"/>
    </w:p>
    <w:p w14:paraId="5AC220C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9" w:name="_Toc15377222"/>
      <w:r>
        <w:rPr>
          <w:rFonts w:hint="eastAsia" w:ascii="Times New Roman" w:hAnsi="Times New Roman" w:eastAsia="楷体_GB2312" w:cs="楷体_GB2312"/>
          <w:b/>
          <w:color w:val="auto"/>
          <w:sz w:val="32"/>
          <w:szCs w:val="32"/>
          <w:highlight w:val="none"/>
        </w:rPr>
        <w:t>（一）机关运行经费支出情况</w:t>
      </w:r>
      <w:bookmarkEnd w:id="59"/>
    </w:p>
    <w:p w14:paraId="3EA6407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四川省攀枝花市总工会</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Times New Roman" w:hAnsi="Times New Roman" w:eastAsia="仿宋_GB2312" w:cs="仿宋_GB2312"/>
          <w:color w:val="auto"/>
          <w:kern w:val="2"/>
          <w:sz w:val="32"/>
          <w:szCs w:val="32"/>
          <w:highlight w:val="none"/>
          <w:lang w:val="en-US" w:eastAsia="zh-CN" w:bidi="ar-SA"/>
        </w:rPr>
        <w:t>13.60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9.69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41.61</w:t>
      </w:r>
      <w:r>
        <w:rPr>
          <w:rFonts w:hint="eastAsia" w:ascii="Times New Roman" w:hAnsi="Times New Roman" w:eastAsia="仿宋_GB2312" w:cs="仿宋_GB2312"/>
          <w:color w:val="auto"/>
          <w:kern w:val="2"/>
          <w:sz w:val="32"/>
          <w:szCs w:val="32"/>
          <w:highlight w:val="none"/>
          <w:lang w:val="en-US" w:eastAsia="zh-CN" w:bidi="ar-SA"/>
        </w:rPr>
        <w:t>%。主要原因</w:t>
      </w:r>
      <w:r>
        <w:rPr>
          <w:rFonts w:hint="eastAsia" w:eastAsia="仿宋_GB2312" w:cs="仿宋_GB2312"/>
          <w:color w:val="auto"/>
          <w:kern w:val="2"/>
          <w:sz w:val="32"/>
          <w:szCs w:val="32"/>
          <w:highlight w:val="none"/>
          <w:lang w:val="en-US" w:eastAsia="zh-CN" w:bidi="ar-SA"/>
        </w:rPr>
        <w:t>2024年收到的</w:t>
      </w:r>
      <w:r>
        <w:rPr>
          <w:rFonts w:hint="eastAsia" w:ascii="Times New Roman" w:hAnsi="Times New Roman" w:eastAsia="仿宋_GB2312" w:cs="仿宋_GB2312"/>
          <w:color w:val="auto"/>
          <w:kern w:val="2"/>
          <w:sz w:val="32"/>
          <w:szCs w:val="32"/>
          <w:highlight w:val="none"/>
          <w:lang w:val="en-US" w:eastAsia="zh-CN" w:bidi="ar-SA"/>
        </w:rPr>
        <w:t>离退休人员党建经费及公用经费</w:t>
      </w:r>
      <w:r>
        <w:rPr>
          <w:rFonts w:hint="eastAsia" w:eastAsia="仿宋_GB2312" w:cs="仿宋_GB2312"/>
          <w:color w:val="auto"/>
          <w:kern w:val="2"/>
          <w:sz w:val="32"/>
          <w:szCs w:val="32"/>
          <w:highlight w:val="none"/>
          <w:lang w:val="en-US" w:eastAsia="zh-CN" w:bidi="ar-SA"/>
        </w:rPr>
        <w:t>减少</w:t>
      </w:r>
      <w:r>
        <w:rPr>
          <w:rFonts w:hint="eastAsia" w:ascii="Times New Roman" w:hAnsi="Times New Roman" w:eastAsia="仿宋_GB2312" w:cs="仿宋_GB2312"/>
          <w:color w:val="auto"/>
          <w:kern w:val="2"/>
          <w:sz w:val="32"/>
          <w:szCs w:val="32"/>
          <w:highlight w:val="none"/>
          <w:lang w:val="en-US" w:eastAsia="zh-CN" w:bidi="ar-SA"/>
        </w:rPr>
        <w:t>。</w:t>
      </w:r>
    </w:p>
    <w:p w14:paraId="6DCDBE0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0" w:name="_Toc15377223"/>
      <w:r>
        <w:rPr>
          <w:rFonts w:hint="eastAsia" w:ascii="Times New Roman" w:hAnsi="Times New Roman" w:eastAsia="楷体_GB2312" w:cs="楷体_GB2312"/>
          <w:b/>
          <w:color w:val="auto"/>
          <w:sz w:val="32"/>
          <w:szCs w:val="32"/>
          <w:highlight w:val="none"/>
        </w:rPr>
        <w:t>（二）政府采购支出情况</w:t>
      </w:r>
      <w:bookmarkEnd w:id="60"/>
    </w:p>
    <w:p w14:paraId="1A0F3A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2024年度，四川省攀枝花市总工会政府采购支出总额0万元。</w:t>
      </w:r>
    </w:p>
    <w:p w14:paraId="3D60FD9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1" w:name="_Toc15377224"/>
      <w:r>
        <w:rPr>
          <w:rFonts w:hint="eastAsia" w:ascii="Times New Roman" w:hAnsi="Times New Roman" w:eastAsia="楷体_GB2312" w:cs="楷体_GB2312"/>
          <w:b/>
          <w:color w:val="auto"/>
          <w:sz w:val="32"/>
          <w:szCs w:val="32"/>
          <w:highlight w:val="none"/>
        </w:rPr>
        <w:t>（三）国有资产占有使用情况</w:t>
      </w:r>
      <w:bookmarkEnd w:id="61"/>
    </w:p>
    <w:p w14:paraId="7C869CE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截至2024年12月31日，四川省攀枝花市总工会共有车辆0辆，其中：主要负责人用车0辆、机要通信用车0辆、应急保障用车0辆、其他用车0辆。单价100万元（含）以上设备（不含车辆）0台（套）。</w:t>
      </w:r>
    </w:p>
    <w:p w14:paraId="1A68770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0E2EEC5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根据预算绩效管理要求，四川省攀枝花市总工会在2024年度预算编制阶段，组织对</w:t>
      </w:r>
      <w:r>
        <w:rPr>
          <w:rFonts w:hint="eastAsia" w:eastAsia="仿宋_GB2312" w:cs="仿宋_GB2312"/>
          <w:color w:val="auto"/>
          <w:kern w:val="2"/>
          <w:sz w:val="32"/>
          <w:szCs w:val="32"/>
          <w:highlight w:val="none"/>
          <w:lang w:val="en-US" w:eastAsia="zh-CN" w:bidi="ar-SA"/>
        </w:rPr>
        <w:t>劳模专项经费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368E5F5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64F304BC">
      <w:pPr>
        <w:pStyle w:val="2"/>
        <w:rPr>
          <w:rFonts w:hint="eastAsia" w:ascii="Times New Roman" w:hAnsi="Times New Roman" w:eastAsia="仿宋_GB2312" w:cs="仿宋_GB2312"/>
          <w:b/>
          <w:bCs/>
          <w:color w:val="auto"/>
          <w:kern w:val="2"/>
          <w:sz w:val="32"/>
          <w:szCs w:val="32"/>
          <w:highlight w:val="none"/>
          <w:lang w:val="en-US" w:eastAsia="zh-CN" w:bidi="ar-SA"/>
        </w:rPr>
      </w:pPr>
    </w:p>
    <w:p w14:paraId="7AF1A924">
      <w:pPr>
        <w:rPr>
          <w:rFonts w:hint="eastAsia" w:ascii="Times New Roman" w:hAnsi="Times New Roman" w:eastAsia="仿宋_GB2312" w:cs="仿宋_GB2312"/>
          <w:b/>
          <w:bCs/>
          <w:color w:val="auto"/>
          <w:kern w:val="2"/>
          <w:sz w:val="32"/>
          <w:szCs w:val="32"/>
          <w:highlight w:val="none"/>
          <w:lang w:val="en-US" w:eastAsia="zh-CN" w:bidi="ar-SA"/>
        </w:rPr>
      </w:pPr>
    </w:p>
    <w:p w14:paraId="189D7BDF">
      <w:pPr>
        <w:pStyle w:val="2"/>
        <w:rPr>
          <w:rFonts w:hint="eastAsia" w:ascii="Times New Roman" w:hAnsi="Times New Roman" w:eastAsia="仿宋_GB2312" w:cs="仿宋_GB2312"/>
          <w:b/>
          <w:bCs/>
          <w:color w:val="auto"/>
          <w:kern w:val="2"/>
          <w:sz w:val="32"/>
          <w:szCs w:val="32"/>
          <w:highlight w:val="none"/>
          <w:lang w:val="en-US" w:eastAsia="zh-CN" w:bidi="ar-SA"/>
        </w:rPr>
      </w:pPr>
    </w:p>
    <w:p w14:paraId="0456E903">
      <w:pPr>
        <w:rPr>
          <w:rFonts w:hint="eastAsia" w:ascii="Times New Roman" w:hAnsi="Times New Roman" w:eastAsia="仿宋_GB2312" w:cs="仿宋_GB2312"/>
          <w:b/>
          <w:bCs/>
          <w:color w:val="auto"/>
          <w:kern w:val="2"/>
          <w:sz w:val="32"/>
          <w:szCs w:val="32"/>
          <w:highlight w:val="none"/>
          <w:lang w:val="en-US" w:eastAsia="zh-CN" w:bidi="ar-SA"/>
        </w:rPr>
      </w:pPr>
    </w:p>
    <w:p w14:paraId="30889AB7">
      <w:pPr>
        <w:pStyle w:val="2"/>
        <w:rPr>
          <w:rFonts w:hint="eastAsia" w:ascii="Times New Roman" w:hAnsi="Times New Roman" w:eastAsia="仿宋_GB2312" w:cs="仿宋_GB2312"/>
          <w:b/>
          <w:bCs/>
          <w:color w:val="auto"/>
          <w:kern w:val="2"/>
          <w:sz w:val="32"/>
          <w:szCs w:val="32"/>
          <w:highlight w:val="none"/>
          <w:lang w:val="en-US" w:eastAsia="zh-CN" w:bidi="ar-SA"/>
        </w:rPr>
      </w:pPr>
    </w:p>
    <w:p w14:paraId="7946F009">
      <w:pPr>
        <w:rPr>
          <w:rFonts w:hint="eastAsia" w:ascii="Times New Roman" w:hAnsi="Times New Roman" w:eastAsia="仿宋_GB2312" w:cs="仿宋_GB2312"/>
          <w:b/>
          <w:bCs/>
          <w:color w:val="auto"/>
          <w:kern w:val="2"/>
          <w:sz w:val="32"/>
          <w:szCs w:val="32"/>
          <w:highlight w:val="none"/>
          <w:lang w:val="en-US" w:eastAsia="zh-CN" w:bidi="ar-SA"/>
        </w:rPr>
      </w:pPr>
    </w:p>
    <w:p w14:paraId="6CBE41DF">
      <w:pPr>
        <w:pStyle w:val="2"/>
        <w:rPr>
          <w:rFonts w:hint="eastAsia" w:ascii="Times New Roman" w:hAnsi="Times New Roman" w:eastAsia="仿宋_GB2312" w:cs="仿宋_GB2312"/>
          <w:b/>
          <w:bCs/>
          <w:color w:val="auto"/>
          <w:kern w:val="2"/>
          <w:sz w:val="32"/>
          <w:szCs w:val="32"/>
          <w:highlight w:val="none"/>
          <w:lang w:val="en-US" w:eastAsia="zh-CN" w:bidi="ar-SA"/>
        </w:rPr>
      </w:pPr>
    </w:p>
    <w:p w14:paraId="3D82779A">
      <w:pPr>
        <w:rPr>
          <w:rFonts w:hint="eastAsia" w:ascii="Times New Roman" w:hAnsi="Times New Roman" w:eastAsia="仿宋_GB2312" w:cs="仿宋_GB2312"/>
          <w:b/>
          <w:bCs/>
          <w:color w:val="auto"/>
          <w:kern w:val="2"/>
          <w:sz w:val="32"/>
          <w:szCs w:val="32"/>
          <w:highlight w:val="none"/>
          <w:lang w:val="en-US" w:eastAsia="zh-CN" w:bidi="ar-SA"/>
        </w:rPr>
      </w:pPr>
    </w:p>
    <w:p w14:paraId="0ECC8232">
      <w:pPr>
        <w:pStyle w:val="2"/>
        <w:rPr>
          <w:rFonts w:hint="eastAsia" w:ascii="Times New Roman" w:hAnsi="Times New Roman" w:eastAsia="仿宋_GB2312" w:cs="仿宋_GB2312"/>
          <w:b/>
          <w:bCs/>
          <w:color w:val="auto"/>
          <w:kern w:val="2"/>
          <w:sz w:val="32"/>
          <w:szCs w:val="32"/>
          <w:highlight w:val="none"/>
          <w:lang w:val="en-US" w:eastAsia="zh-CN" w:bidi="ar-SA"/>
        </w:rPr>
      </w:pPr>
    </w:p>
    <w:p w14:paraId="3EB5C906">
      <w:pPr>
        <w:rPr>
          <w:rFonts w:hint="eastAsia" w:ascii="Times New Roman" w:hAnsi="Times New Roman" w:eastAsia="仿宋_GB2312" w:cs="仿宋_GB2312"/>
          <w:b/>
          <w:bCs/>
          <w:color w:val="auto"/>
          <w:kern w:val="2"/>
          <w:sz w:val="32"/>
          <w:szCs w:val="32"/>
          <w:highlight w:val="none"/>
          <w:lang w:val="en-US" w:eastAsia="zh-CN" w:bidi="ar-SA"/>
        </w:rPr>
      </w:pPr>
    </w:p>
    <w:p w14:paraId="54F16902">
      <w:pPr>
        <w:pStyle w:val="2"/>
        <w:rPr>
          <w:rFonts w:hint="eastAsia" w:ascii="Times New Roman" w:hAnsi="Times New Roman" w:eastAsia="仿宋_GB2312" w:cs="仿宋_GB2312"/>
          <w:b/>
          <w:bCs/>
          <w:color w:val="auto"/>
          <w:kern w:val="2"/>
          <w:sz w:val="32"/>
          <w:szCs w:val="32"/>
          <w:highlight w:val="none"/>
          <w:lang w:val="en-US" w:eastAsia="zh-CN" w:bidi="ar-SA"/>
        </w:rPr>
      </w:pPr>
    </w:p>
    <w:p w14:paraId="30B2DE79">
      <w:pPr>
        <w:rPr>
          <w:rFonts w:hint="eastAsia"/>
          <w:lang w:val="en-US" w:eastAsia="zh-CN"/>
        </w:rPr>
      </w:pPr>
    </w:p>
    <w:p w14:paraId="2D0AE3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6489A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5A8CC0C">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2" w:name="_Toc15396613"/>
      <w:bookmarkStart w:id="63" w:name="_Toc26896"/>
      <w:bookmarkStart w:id="64" w:name="_Toc17036"/>
      <w:bookmarkStart w:id="65"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2"/>
      <w:bookmarkEnd w:id="63"/>
      <w:bookmarkEnd w:id="64"/>
      <w:bookmarkEnd w:id="65"/>
    </w:p>
    <w:p w14:paraId="4BF32004">
      <w:pPr>
        <w:spacing w:line="600" w:lineRule="exact"/>
        <w:jc w:val="left"/>
        <w:rPr>
          <w:rFonts w:ascii="Times New Roman" w:hAnsi="Times New Roman"/>
          <w:b/>
          <w:color w:val="auto"/>
          <w:sz w:val="44"/>
          <w:szCs w:val="44"/>
          <w:highlight w:val="none"/>
        </w:rPr>
      </w:pPr>
    </w:p>
    <w:p w14:paraId="1878EC4D">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1.财政拨款收入：指单位从同级财政部门取得的财政预算资金。</w:t>
      </w:r>
    </w:p>
    <w:p w14:paraId="71EEFF0B">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2.年初结转和结余：指以前年度尚未完成、结转到本年按有关规定继续使用的资金。 </w:t>
      </w:r>
    </w:p>
    <w:p w14:paraId="51C87522">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3.年末结转和结余：指单位按有关规定结转到下年或以后年度继续使用的资金。</w:t>
      </w:r>
    </w:p>
    <w:p w14:paraId="5DCFC8C9">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4.一般公共服务（类）群众团体事务（款）其他群众团体事务（项）：指其他用于群众团体事务方面的支出。</w:t>
      </w:r>
    </w:p>
    <w:p w14:paraId="5090E768">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5.一般公共服务（类）组织事务（款）其他组织事务（项）：指其他用于中国共产党组织部门的事务支出。</w:t>
      </w:r>
    </w:p>
    <w:p w14:paraId="79A8041D">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6.社会保障和就业（类）行政事业单位养老（款）行政单位离退休（项）：指行政单位（包括实行公务员管理的事业单位）开支的离退休经费。</w:t>
      </w:r>
    </w:p>
    <w:p w14:paraId="25ABE9E5">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7.社会保障和就业（类）行政事业单位养老（款）事业单位离退休（项）：指事业单位开支的离退休经费。</w:t>
      </w:r>
    </w:p>
    <w:p w14:paraId="55230B07">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8.社会保障和就业（类）抚恤（款）死亡抚恤（项）：指按规定用于烈士和牺牲、病故人员家属的一次性和定期抚恤金、丧葬补助费以及烈士褒扬金。</w:t>
      </w:r>
    </w:p>
    <w:p w14:paraId="0A0E345B">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9.基本支出：指为保障机构正常运转、完成日常工作任务而发生的人员支出和公用支出。</w:t>
      </w:r>
    </w:p>
    <w:p w14:paraId="38EB1F86">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10.项目支出：指在基本支出之外为完成特定行政任务和事业发展目标所发生的支出。 </w:t>
      </w:r>
    </w:p>
    <w:p w14:paraId="492D61C7">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A1BABA0">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15E22A0">
      <w:pPr>
        <w:spacing w:line="600" w:lineRule="exact"/>
        <w:jc w:val="center"/>
        <w:rPr>
          <w:rStyle w:val="29"/>
          <w:rFonts w:hint="eastAsia" w:ascii="Times New Roman" w:hAnsi="Times New Roman" w:eastAsia="黑体"/>
          <w:b w:val="0"/>
          <w:color w:val="auto"/>
          <w:highlight w:val="none"/>
          <w:lang w:eastAsia="zh-CN"/>
        </w:rPr>
      </w:pPr>
      <w:bookmarkStart w:id="66"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67"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7"/>
    </w:p>
    <w:p w14:paraId="62664A78">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7A75BE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bookmarkStart w:id="68" w:name="_Toc5886"/>
      <w:bookmarkStart w:id="69" w:name="_Toc22692"/>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68"/>
      <w:bookmarkEnd w:id="69"/>
    </w:p>
    <w:p w14:paraId="1ACB0B84">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1910CACF">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3888E022">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2674083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2DD91EB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07E916F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市总工会属独立核算的行政单 位，设11个职能部（室），保障部、法律部、经济技术部、基层工作部、宣教部、女工部、组织部、财务部、网社部、办公室、经费审查委员会办公室。下属非独立核算事业单位2个，分别为攀枝花市总工会职工服务中心、攀枝花市工会信息中心；独立核算事业单位1个为攀枝花市工人文化宫。</w:t>
      </w:r>
    </w:p>
    <w:p w14:paraId="07BF0095">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机构职能</w:t>
      </w:r>
      <w:r>
        <w:rPr>
          <w:rFonts w:hint="eastAsia" w:ascii="Times New Roman" w:hAnsi="Times New Roman" w:eastAsia="楷体_GB2312" w:cs="楷体_GB2312"/>
          <w:b/>
          <w:color w:val="auto"/>
          <w:sz w:val="32"/>
          <w:szCs w:val="32"/>
          <w:highlight w:val="none"/>
          <w:lang w:val="zh-CN"/>
        </w:rPr>
        <w:t>。</w:t>
      </w:r>
    </w:p>
    <w:p w14:paraId="5910CFFA">
      <w:pPr>
        <w:spacing w:line="600" w:lineRule="exact"/>
        <w:ind w:firstLine="640"/>
        <w:rPr>
          <w:rFonts w:hint="default"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 xml:space="preserve">贯彻执行党的路线、方针、政策，确定全市工会工作的指导思想、目标和任务。依照法律和《中国工会章程》，组织和指导各级工会坚定不移地推动党的全心全意依靠工人阶级根本指导方针的贯彻落实，进一步突出和履行维护职能。调查研究与职工利益有关的重大问题，积极反映职工群众的意愿和要求；关注弱势群体和困难群体，向市委、市政府提供情况及相关建议；参与制定有关涉及职工切身利益的政策、措施。对侵犯职工合法权益重大事件进行调查并提出处理意见，配合相关部门参与职工重大伤亡事故的调查处理。指导市属工会、产业（园区）工会、大企业工会组织建设。负责工会理论政策的研究、研究制定工会的组织制度和民主制度，监督检查《中国工会章程》的贯彻执行；研究指导工会的自身改革和建设；指导基层各工会组织职工开展以职工代表大会为基本制度的民主选举、民主决策、民主管理和民主监督工作，推动建立平等协商、集体合同制度和监督保证机制的工作；指导基层工会协助党政不断提高职工的职业道德水平和科学文化素质。做好全国、省、市劳动模范的推荐和评选工作；协助全总、省总做好全市的全国、省、市劳动模范的管理工作。负责全市工会经费的管理、审计工作；会同有关部门制定发展工会事业的政策和规定。制定工会干部管理制度和培训规划，加强工会干部队伍建设。承办市委、市政府交办的有关事项。 </w:t>
      </w:r>
    </w:p>
    <w:p w14:paraId="62269FE0">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276A1E8E">
      <w:pPr>
        <w:spacing w:line="600" w:lineRule="exact"/>
        <w:ind w:firstLine="64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截至2024年末，</w:t>
      </w:r>
      <w:r>
        <w:rPr>
          <w:rFonts w:hint="eastAsia" w:ascii="Times New Roman" w:hAnsi="Times New Roman" w:eastAsia="仿宋_GB2312" w:cs="仿宋_GB2312"/>
          <w:color w:val="auto"/>
          <w:kern w:val="2"/>
          <w:sz w:val="32"/>
          <w:szCs w:val="32"/>
          <w:highlight w:val="none"/>
          <w:lang w:val="zh-CN" w:eastAsia="zh-CN" w:bidi="ar-SA"/>
        </w:rPr>
        <w:t>市总工会行政编制数1</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zh-CN" w:eastAsia="zh-CN" w:bidi="ar-SA"/>
        </w:rPr>
        <w:t>人、参公编制14人、事业编制49人，离休1人，退休7</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zh-CN" w:eastAsia="zh-CN" w:bidi="ar-SA"/>
        </w:rPr>
        <w:t>人。</w:t>
      </w:r>
    </w:p>
    <w:p w14:paraId="3567397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0A69204C">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7D92482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eastAsia="仿宋_GB2312" w:cs="仿宋_GB2312"/>
          <w:color w:val="auto"/>
          <w:kern w:val="2"/>
          <w:sz w:val="32"/>
          <w:szCs w:val="32"/>
          <w:highlight w:val="none"/>
          <w:lang w:val="en-US" w:eastAsia="zh-CN" w:bidi="ar-SA"/>
        </w:rPr>
        <w:t>市总工会</w:t>
      </w:r>
      <w:r>
        <w:rPr>
          <w:rFonts w:hint="eastAsia" w:ascii="Times New Roman" w:hAnsi="Times New Roman" w:eastAsia="仿宋_GB2312" w:cs="Times New Roman"/>
          <w:sz w:val="32"/>
          <w:szCs w:val="32"/>
          <w:lang w:val="en-US" w:eastAsia="zh-CN"/>
        </w:rPr>
        <w:t>2024年财政拨款收入</w:t>
      </w:r>
      <w:r>
        <w:rPr>
          <w:rFonts w:hint="eastAsia" w:eastAsia="仿宋_GB2312" w:cs="Times New Roman"/>
          <w:sz w:val="32"/>
          <w:szCs w:val="32"/>
          <w:lang w:val="en-US" w:eastAsia="zh-CN"/>
        </w:rPr>
        <w:t>965.33</w:t>
      </w:r>
      <w:r>
        <w:rPr>
          <w:rFonts w:hint="eastAsia" w:ascii="Times New Roman" w:hAnsi="Times New Roman" w:eastAsia="仿宋_GB2312" w:cs="Times New Roman"/>
          <w:sz w:val="32"/>
          <w:szCs w:val="32"/>
          <w:lang w:val="en-US" w:eastAsia="zh-CN"/>
        </w:rPr>
        <w:t>万元。其中一般公共预算财政拨款收入</w:t>
      </w:r>
      <w:r>
        <w:rPr>
          <w:rFonts w:hint="eastAsia" w:eastAsia="仿宋_GB2312" w:cs="Times New Roman"/>
          <w:sz w:val="32"/>
          <w:szCs w:val="32"/>
          <w:lang w:val="en-US" w:eastAsia="zh-CN"/>
        </w:rPr>
        <w:t>965.33</w:t>
      </w:r>
      <w:r>
        <w:rPr>
          <w:rFonts w:hint="eastAsia" w:ascii="Times New Roman" w:hAnsi="Times New Roman" w:eastAsia="仿宋_GB2312" w:cs="Times New Roman"/>
          <w:sz w:val="32"/>
          <w:szCs w:val="32"/>
          <w:lang w:val="en-US" w:eastAsia="zh-CN"/>
        </w:rPr>
        <w:t>万元，政府性基金预算财政拨款收入0万元，国有资本经营预算财政拨款收入0元。</w:t>
      </w:r>
    </w:p>
    <w:p w14:paraId="0D0A470A">
      <w:pPr>
        <w:keepNext w:val="0"/>
        <w:keepLines w:val="0"/>
        <w:pageBreakBefore w:val="0"/>
        <w:widowControl/>
        <w:numPr>
          <w:ilvl w:val="0"/>
          <w:numId w:val="4"/>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57B8E00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eastAsia="仿宋_GB2312" w:cs="Times New Roman"/>
          <w:sz w:val="32"/>
          <w:szCs w:val="32"/>
          <w:lang w:val="en-US" w:eastAsia="zh-CN"/>
        </w:rPr>
      </w:pPr>
      <w:r>
        <w:rPr>
          <w:rFonts w:hint="eastAsia" w:eastAsia="仿宋_GB2312" w:cs="仿宋_GB2312"/>
          <w:color w:val="auto"/>
          <w:kern w:val="2"/>
          <w:sz w:val="32"/>
          <w:szCs w:val="32"/>
          <w:highlight w:val="none"/>
          <w:lang w:val="en-US" w:eastAsia="zh-CN" w:bidi="ar-SA"/>
        </w:rPr>
        <w:t>市总工会</w:t>
      </w:r>
      <w:r>
        <w:rPr>
          <w:rFonts w:hint="eastAsia" w:ascii="Times New Roman" w:hAnsi="Times New Roman" w:eastAsia="仿宋_GB2312" w:cs="Times New Roman"/>
          <w:sz w:val="32"/>
          <w:szCs w:val="32"/>
          <w:lang w:val="en-US" w:eastAsia="zh-CN"/>
        </w:rPr>
        <w:t>2024年</w:t>
      </w:r>
      <w:r>
        <w:rPr>
          <w:rFonts w:hint="eastAsia" w:eastAsia="仿宋_GB2312" w:cs="Times New Roman"/>
          <w:sz w:val="32"/>
          <w:szCs w:val="32"/>
          <w:lang w:val="en-US" w:eastAsia="zh-CN"/>
        </w:rPr>
        <w:t>财政拨款支出965.33万元。</w:t>
      </w:r>
    </w:p>
    <w:p w14:paraId="644BB6E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1.基本支出安排及使用情况。2024年市总工会基本支出265.54万元，占总支出的27.51%。其中，社保保障和就业支出259.77万元，主要包括离退休人员离退休费、离退休人员生活补助、离退休人员公用经费等；一般公共服务支出5.77万元，主要包括遗属生活补助。</w:t>
      </w:r>
    </w:p>
    <w:p w14:paraId="61EF884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lang w:val="zh-CN" w:eastAsia="zh-CN"/>
        </w:rPr>
      </w:pPr>
      <w:r>
        <w:rPr>
          <w:rFonts w:hint="eastAsia" w:eastAsia="仿宋_GB2312" w:cs="Times New Roman"/>
          <w:sz w:val="32"/>
          <w:szCs w:val="32"/>
          <w:lang w:val="en-US" w:eastAsia="zh-CN"/>
        </w:rPr>
        <w:t>2.部门预算项目安排及支出情况。2024年市总工会项目支出699.80万元，占总支出的72.49%。其中，一般公共服务支出698.93万元，主要包括2024年在编在职人员五险一金、向上争取资金返还工作经费、2023年省级工会专项资金、困难职工慰问及帮扶资金、市级挂职干部补助；卫生健康支出0.87万元，主要包括干部异地体检费用。</w:t>
      </w:r>
    </w:p>
    <w:p w14:paraId="726FB9C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19ED47A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eastAsia" w:eastAsia="仿宋_GB2312" w:cs="仿宋_GB2312"/>
          <w:color w:val="auto"/>
          <w:kern w:val="2"/>
          <w:sz w:val="32"/>
          <w:szCs w:val="32"/>
          <w:highlight w:val="none"/>
          <w:lang w:val="en-US" w:eastAsia="zh-CN" w:bidi="ar-SA"/>
        </w:rPr>
        <w:t>市总工会</w:t>
      </w:r>
      <w:r>
        <w:rPr>
          <w:rFonts w:hint="eastAsia" w:ascii="Times New Roman" w:hAnsi="Times New Roman" w:eastAsia="仿宋_GB2312" w:cs="Times New Roman"/>
          <w:sz w:val="32"/>
          <w:szCs w:val="32"/>
          <w:lang w:val="en-US" w:eastAsia="zh-CN"/>
        </w:rPr>
        <w:t>2024年</w:t>
      </w:r>
      <w:r>
        <w:rPr>
          <w:rFonts w:hint="eastAsia" w:eastAsia="仿宋_GB2312" w:cs="Times New Roman"/>
          <w:sz w:val="32"/>
          <w:szCs w:val="32"/>
          <w:lang w:val="en-US" w:eastAsia="zh-CN"/>
        </w:rPr>
        <w:t>年末无</w:t>
      </w:r>
      <w:r>
        <w:rPr>
          <w:rFonts w:hint="default" w:ascii="Times New Roman" w:hAnsi="Times New Roman" w:eastAsia="仿宋_GB2312" w:cs="Times New Roman"/>
          <w:sz w:val="32"/>
          <w:szCs w:val="32"/>
          <w:lang w:val="en-US" w:eastAsia="zh-CN"/>
        </w:rPr>
        <w:t>结转结余。</w:t>
      </w:r>
    </w:p>
    <w:p w14:paraId="37883F1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6AC2AD4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78BCB96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r>
        <w:rPr>
          <w:rFonts w:hint="eastAsia" w:eastAsia="仿宋_GB2312" w:cs="仿宋_GB2312"/>
          <w:color w:val="auto"/>
          <w:kern w:val="2"/>
          <w:sz w:val="32"/>
          <w:szCs w:val="32"/>
          <w:highlight w:val="none"/>
          <w:lang w:val="zh-CN" w:eastAsia="zh-CN" w:bidi="ar-SA"/>
        </w:rPr>
        <w:t>（得分：</w:t>
      </w:r>
      <w:r>
        <w:rPr>
          <w:rFonts w:hint="eastAsia" w:eastAsia="仿宋_GB2312" w:cs="仿宋_GB2312"/>
          <w:color w:val="auto"/>
          <w:kern w:val="2"/>
          <w:sz w:val="32"/>
          <w:szCs w:val="32"/>
          <w:highlight w:val="none"/>
          <w:lang w:val="en-US" w:eastAsia="zh-CN" w:bidi="ar-SA"/>
        </w:rPr>
        <w:t>10</w:t>
      </w:r>
      <w:r>
        <w:rPr>
          <w:rFonts w:hint="eastAsia"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zh-CN" w:eastAsia="zh-CN" w:bidi="ar-SA"/>
        </w:rPr>
        <w:t>。202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年，市总工会根据年初工作规划，把“维护职工合法权益”、“广泛开展劳动技能竞赛”、“关爱帮扶困难职工”、“持续夯实基层工会组织基础”、“支持职工的法律权利”、“加强工会干部队伍建设”作为重点工作完成。</w:t>
      </w:r>
    </w:p>
    <w:p w14:paraId="0B9C0EE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eastAsia="仿宋_GB2312" w:cs="仿宋_GB2312"/>
          <w:color w:val="auto"/>
          <w:kern w:val="2"/>
          <w:sz w:val="32"/>
          <w:szCs w:val="32"/>
          <w:highlight w:val="none"/>
          <w:lang w:val="zh-CN" w:eastAsia="zh-CN" w:bidi="ar-SA"/>
        </w:rPr>
        <w:t>（得分：</w:t>
      </w:r>
      <w:r>
        <w:rPr>
          <w:rFonts w:hint="eastAsia" w:eastAsia="仿宋_GB2312" w:cs="仿宋_GB2312"/>
          <w:color w:val="auto"/>
          <w:kern w:val="2"/>
          <w:sz w:val="32"/>
          <w:szCs w:val="32"/>
          <w:highlight w:val="none"/>
          <w:lang w:val="en-US" w:eastAsia="zh-CN" w:bidi="ar-SA"/>
        </w:rPr>
        <w:t>10</w:t>
      </w:r>
      <w:r>
        <w:rPr>
          <w:rFonts w:hint="eastAsia"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zh-CN" w:eastAsia="zh-CN" w:bidi="ar-SA"/>
        </w:rPr>
        <w:t>。市总工会严格按照《中华人民共和国预算法》等有关文件精神和要求，规范编制部门预算，切实提高预算编制质量。</w:t>
      </w:r>
    </w:p>
    <w:p w14:paraId="7A6677B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eastAsia="仿宋_GB2312" w:cs="仿宋_GB2312"/>
          <w:color w:val="auto"/>
          <w:kern w:val="2"/>
          <w:sz w:val="32"/>
          <w:szCs w:val="32"/>
          <w:highlight w:val="none"/>
          <w:lang w:val="zh-CN" w:eastAsia="zh-CN" w:bidi="ar-SA"/>
        </w:rPr>
        <w:t>（得分：</w:t>
      </w:r>
      <w:r>
        <w:rPr>
          <w:rFonts w:hint="eastAsia" w:eastAsia="仿宋_GB2312" w:cs="仿宋_GB2312"/>
          <w:color w:val="auto"/>
          <w:kern w:val="2"/>
          <w:sz w:val="32"/>
          <w:szCs w:val="32"/>
          <w:highlight w:val="none"/>
          <w:lang w:val="en-US" w:eastAsia="zh-CN" w:bidi="ar-SA"/>
        </w:rPr>
        <w:t>10</w:t>
      </w:r>
      <w:r>
        <w:rPr>
          <w:rFonts w:hint="eastAsia"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zh-CN" w:eastAsia="zh-CN" w:bidi="ar-SA"/>
        </w:rPr>
        <w:t>。市总工会建立了较为完善的财务管理制度体系，包括预算管理、收支管理、资产管理、财务监督等多个方面，为规范财务行为提供了有力保障；配备专门的财务人员，确保财务工作的高效运行；严格按照国家财经法规和财务管理制度规定以及专项资金管理办法的规定办理资金结算；健全会计核算，按照国家统一会计制度的规定设置会计帐薄，依照规定进行会计处理，保证会计指标的口径一致。资金使用无截留、挤占挪用、虚列支出等情况。</w:t>
      </w:r>
    </w:p>
    <w:p w14:paraId="133DAFA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eastAsia="仿宋_GB2312" w:cs="仿宋_GB2312"/>
          <w:color w:val="auto"/>
          <w:kern w:val="2"/>
          <w:sz w:val="32"/>
          <w:szCs w:val="32"/>
          <w:highlight w:val="none"/>
          <w:lang w:val="zh-CN" w:eastAsia="zh-CN" w:bidi="ar-SA"/>
        </w:rPr>
        <w:t>（得分：</w:t>
      </w:r>
      <w:r>
        <w:rPr>
          <w:rFonts w:hint="eastAsia" w:eastAsia="仿宋_GB2312" w:cs="仿宋_GB2312"/>
          <w:color w:val="auto"/>
          <w:kern w:val="2"/>
          <w:sz w:val="32"/>
          <w:szCs w:val="32"/>
          <w:highlight w:val="none"/>
          <w:lang w:val="en-US" w:eastAsia="zh-CN" w:bidi="ar-SA"/>
        </w:rPr>
        <w:t>10</w:t>
      </w:r>
      <w:r>
        <w:rPr>
          <w:rFonts w:hint="eastAsia"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zh-CN" w:eastAsia="zh-CN" w:bidi="ar-SA"/>
        </w:rPr>
        <w:t>。市总工会加强资产管理，建立资产管理制度，分类建立资产卡片，实行资产动态管理。同时单位资产实行“谁使用、谁负责”的管理原则，及时进行资产清查盘点，确保了账实相符。</w:t>
      </w:r>
    </w:p>
    <w:p w14:paraId="3E3750F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年市总工会无集中采购。</w:t>
      </w:r>
    </w:p>
    <w:p w14:paraId="5511451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4C0A980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399.72</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14:paraId="0E81F7A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阶段</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一次性</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14:paraId="541806A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w:t>
      </w:r>
      <w:r>
        <w:rPr>
          <w:rFonts w:hint="eastAsia" w:eastAsia="仿宋_GB2312" w:cs="仿宋_GB2312"/>
          <w:color w:val="auto"/>
          <w:kern w:val="2"/>
          <w:sz w:val="32"/>
          <w:szCs w:val="32"/>
          <w:highlight w:val="none"/>
          <w:lang w:val="zh-CN" w:eastAsia="zh-CN" w:bidi="ar-SA"/>
        </w:rPr>
        <w:t>（得分：</w:t>
      </w:r>
      <w:r>
        <w:rPr>
          <w:rFonts w:hint="eastAsia" w:eastAsia="仿宋_GB2312" w:cs="仿宋_GB2312"/>
          <w:color w:val="auto"/>
          <w:kern w:val="2"/>
          <w:sz w:val="32"/>
          <w:szCs w:val="32"/>
          <w:highlight w:val="none"/>
          <w:lang w:val="en-US" w:eastAsia="zh-CN" w:bidi="ar-SA"/>
        </w:rPr>
        <w:t>20</w:t>
      </w:r>
      <w:r>
        <w:rPr>
          <w:rFonts w:hint="eastAsia"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zh-CN" w:eastAsia="zh-CN" w:bidi="ar-SA"/>
        </w:rPr>
        <w:t>项目在立项阶段决策程序规范，项目目标设置合理，项目库结构清晰。</w:t>
      </w:r>
    </w:p>
    <w:p w14:paraId="74D1041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eastAsia="仿宋_GB2312" w:cs="仿宋_GB2312"/>
          <w:color w:val="auto"/>
          <w:kern w:val="2"/>
          <w:sz w:val="32"/>
          <w:szCs w:val="32"/>
          <w:highlight w:val="none"/>
          <w:lang w:val="en-US" w:eastAsia="zh-CN" w:bidi="ar-SA"/>
        </w:rPr>
        <w:t>（得分：19）</w:t>
      </w:r>
      <w:r>
        <w:rPr>
          <w:rFonts w:hint="eastAsia"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zh-CN" w:eastAsia="zh-CN" w:bidi="ar-SA"/>
        </w:rPr>
        <w:t>资金使用率高，项目未出现重大调整，执行结果较好，项目完成度高。</w:t>
      </w:r>
    </w:p>
    <w:p w14:paraId="2456A54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w:t>
      </w:r>
      <w:r>
        <w:rPr>
          <w:rFonts w:hint="eastAsia" w:eastAsia="仿宋_GB2312" w:cs="仿宋_GB2312"/>
          <w:color w:val="auto"/>
          <w:kern w:val="2"/>
          <w:sz w:val="32"/>
          <w:szCs w:val="32"/>
          <w:highlight w:val="none"/>
          <w:lang w:val="zh-CN" w:eastAsia="zh-CN" w:bidi="ar-SA"/>
        </w:rPr>
        <w:t>（得分：</w:t>
      </w:r>
      <w:r>
        <w:rPr>
          <w:rFonts w:hint="eastAsia" w:eastAsia="仿宋_GB2312" w:cs="仿宋_GB2312"/>
          <w:color w:val="auto"/>
          <w:kern w:val="2"/>
          <w:sz w:val="32"/>
          <w:szCs w:val="32"/>
          <w:highlight w:val="none"/>
          <w:lang w:val="en-US" w:eastAsia="zh-CN" w:bidi="ar-SA"/>
        </w:rPr>
        <w:t>20</w:t>
      </w:r>
      <w:r>
        <w:rPr>
          <w:rFonts w:hint="eastAsia"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zh-CN" w:eastAsia="zh-CN" w:bidi="ar-SA"/>
        </w:rPr>
        <w:t>所有项目均完成预算执行，未出现目标偏离的情况，预期效益得以实现。</w:t>
      </w:r>
    </w:p>
    <w:p w14:paraId="36F48E1C">
      <w:pPr>
        <w:keepNext w:val="0"/>
        <w:keepLines w:val="0"/>
        <w:pageBreakBefore w:val="0"/>
        <w:widowControl w:val="0"/>
        <w:numPr>
          <w:ilvl w:val="0"/>
          <w:numId w:val="4"/>
        </w:numPr>
        <w:kinsoku/>
        <w:wordWrap/>
        <w:overflowPunct/>
        <w:topLinePunct w:val="0"/>
        <w:autoSpaceDE/>
        <w:autoSpaceDN/>
        <w:bidi w:val="0"/>
        <w:snapToGrid w:val="0"/>
        <w:spacing w:line="600" w:lineRule="exact"/>
        <w:ind w:left="0" w:leftChars="0"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767B0EE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zh-CN" w:eastAsia="zh-CN" w:bidi="ar-SA"/>
        </w:rPr>
        <w:t>市总工会按照年初制定的绩效目标，对目标任务完成情况逐条进行考核。经考核，202</w:t>
      </w:r>
      <w:r>
        <w:rPr>
          <w:rFonts w:hint="eastAsia" w:eastAsia="仿宋_GB2312" w:cs="仿宋_GB2312"/>
          <w:color w:val="auto"/>
          <w:kern w:val="2"/>
          <w:sz w:val="32"/>
          <w:szCs w:val="32"/>
          <w:highlight w:val="none"/>
          <w:lang w:val="en-US" w:eastAsia="zh-CN" w:bidi="ar-SA"/>
        </w:rPr>
        <w:t>4</w:t>
      </w:r>
      <w:r>
        <w:rPr>
          <w:rFonts w:hint="eastAsia" w:eastAsia="仿宋_GB2312" w:cs="仿宋_GB2312"/>
          <w:color w:val="auto"/>
          <w:kern w:val="2"/>
          <w:sz w:val="32"/>
          <w:szCs w:val="32"/>
          <w:highlight w:val="none"/>
          <w:lang w:val="zh-CN" w:eastAsia="zh-CN" w:bidi="ar-SA"/>
        </w:rPr>
        <w:t>年各项工作均完成较好。依据绩效目标自评结果，调整下年度项目绩效目标的设立，以便更科学地对项目进行监督和绩效管理。</w:t>
      </w:r>
    </w:p>
    <w:p w14:paraId="404D09A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247D372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52A3CD5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总体看，市总工会目标任务较明确，预算编制较准确，部门综合管理较规范，部门整体绩效良好。部门整体支出绩效评价得分为99分。</w:t>
      </w:r>
    </w:p>
    <w:p w14:paraId="11116DB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26E6700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1.预算编制准确性有待提高。部分项目预算编制前瞻性不足，如因省市政策变化，导致部分项目未实现支出或实际支出执行有偏差。</w:t>
      </w:r>
    </w:p>
    <w:p w14:paraId="6627FD7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2.绩效工作力量较薄弱。绩效评价工作对专业性要求很高，相关人员绩效管理专业知识不足。</w:t>
      </w:r>
    </w:p>
    <w:p w14:paraId="335E072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70" w:name="_Hlk110546638"/>
    </w:p>
    <w:p w14:paraId="56CECE5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1.细化预算编制工作，认真做好预算的编制。进一步加强单位内部机构业务负责人员的预算管理意识，严格按照《预算法》要求进行预算编制。</w:t>
      </w:r>
    </w:p>
    <w:p w14:paraId="32482A6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2.健全绩效体系，提高管理水平。按照全面实施预算管理的总体要求，结合行业部门特点，建立健全绩效目标指标设置、绩效监控、绩效评价、结果应用全过程的绩效管理实施办法。</w:t>
      </w:r>
    </w:p>
    <w:p w14:paraId="0D9A5A2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hint="eastAsia" w:ascii="Times New Roman" w:hAnsi="Times New Roman" w:eastAsia="仿宋_GB2312" w:cs="Times New Roman"/>
          <w:sz w:val="32"/>
          <w:szCs w:val="32"/>
          <w:u w:val="none"/>
          <w:lang w:val="en-US" w:eastAsia="zh-CN" w:bidi="ar"/>
        </w:rPr>
        <w:t>3.加强绩效管理业务培训。建议加强对绩效管理人员进行专业业务培训，提高预算绩效目标编制质量，切实提高预算收支管理水平，提升单位财务人员业务水平，适应工作需要。</w:t>
      </w:r>
    </w:p>
    <w:bookmarkEnd w:id="70"/>
    <w:p w14:paraId="5606CDA7">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8BC4A0E">
      <w:pPr>
        <w:pStyle w:val="6"/>
        <w:rPr>
          <w:rFonts w:hint="eastAsia" w:ascii="Times New Roman" w:hAnsi="Times New Roman" w:cs="宋体"/>
          <w:color w:val="FF0000"/>
          <w:kern w:val="0"/>
          <w:sz w:val="32"/>
          <w:szCs w:val="32"/>
          <w:highlight w:val="yellow"/>
          <w:shd w:val="clear" w:color="auto" w:fill="FFFFFF"/>
          <w:lang w:val="zh-CN"/>
        </w:rPr>
      </w:pPr>
    </w:p>
    <w:p w14:paraId="6613EF40">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附表：</w:t>
      </w:r>
      <w:bookmarkStart w:id="85" w:name="_GoBack"/>
      <w:bookmarkEnd w:id="85"/>
      <w:r>
        <w:rPr>
          <w:rFonts w:hint="eastAsia" w:ascii="Times New Roman" w:hAnsi="Times New Roman" w:eastAsia="仿宋_GB2312" w:cs="仿宋_GB2312"/>
          <w:b w:val="0"/>
          <w:bCs w:val="0"/>
          <w:kern w:val="0"/>
          <w:position w:val="0"/>
          <w:sz w:val="32"/>
          <w:szCs w:val="32"/>
          <w:highlight w:val="none"/>
          <w:lang w:val="en-US" w:eastAsia="zh-CN" w:bidi="ar-SA"/>
        </w:rPr>
        <w:t>部门预算项目支出绩效自评表（2024年度）</w:t>
      </w:r>
    </w:p>
    <w:p w14:paraId="44AFFF65">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579F25B3">
      <w:pPr>
        <w:pStyle w:val="6"/>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3A544467">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77A8C45F">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14:paraId="2CE9FC6B">
      <w:pPr>
        <w:pStyle w:val="35"/>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258638F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3C3CADB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（一）设立背景及基本情况。</w:t>
      </w:r>
    </w:p>
    <w:p w14:paraId="1DEC7D3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Times New Roman" w:hAnsi="Times New Roman" w:eastAsia="仿宋_GB2312" w:cs="仿宋_GB2312"/>
          <w:color w:val="auto"/>
          <w:kern w:val="0"/>
          <w:sz w:val="32"/>
          <w:szCs w:val="32"/>
          <w:highlight w:val="none"/>
          <w:u w:val="none"/>
          <w:shd w:val="clear" w:color="auto" w:fill="FFFFFF"/>
          <w:lang w:val="zh-CN"/>
        </w:rPr>
        <w:t>本项目设立旨在深入贯彻以人民为中心的发展思想，落实党中央、国务院及省委、省政府关于保障和改善民生、关心关爱困难职工和劳动模范的系列决策部署。项目立项及资金申报主要依据《中华人民共和国工会法》、《关于进一步做好困难职工帮扶工作的意见》、《劳动模范评选和管理办法》以及省级财政专项资金管理办法等相关法律法规和政策文件。项目主要内容包括：为因重大疾病、意外灾害等原因导致生活困难的职工提供基本生活、医疗、助学等救助；在重要节假日期间对各级劳动模范和先进工作者进行走访慰问，发放慰问金和慰问品。本项目主管部门为省总工会，其职能包括组织引导职工、维护职工合法权益、帮扶困难职工、评选管理劳模等。</w:t>
      </w:r>
    </w:p>
    <w:p w14:paraId="37FB2C80">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p>
    <w:p w14:paraId="50A31091">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eastAsia="仿宋_GB2312" w:cs="仿宋_GB2312"/>
          <w:b w:val="0"/>
          <w:bCs w:val="0"/>
          <w:kern w:val="0"/>
          <w:position w:val="0"/>
          <w:sz w:val="32"/>
          <w:szCs w:val="32"/>
          <w:highlight w:val="none"/>
          <w:lang w:val="zh-CN" w:eastAsia="zh-CN" w:bidi="ar-SA"/>
        </w:rPr>
        <w:t>项目</w:t>
      </w:r>
      <w:r>
        <w:rPr>
          <w:rFonts w:hint="eastAsia" w:ascii="Times New Roman" w:hAnsi="Times New Roman" w:eastAsia="仿宋_GB2312" w:cs="仿宋_GB2312"/>
          <w:b w:val="0"/>
          <w:bCs w:val="0"/>
          <w:kern w:val="0"/>
          <w:position w:val="0"/>
          <w:sz w:val="32"/>
          <w:szCs w:val="32"/>
          <w:highlight w:val="none"/>
          <w:lang w:val="zh-CN" w:eastAsia="zh-CN" w:bidi="ar-SA"/>
        </w:rPr>
        <w:t>明确了资金使用范围、申请审批程序、管理监督要求等。项目实施目的是</w:t>
      </w:r>
      <w:r>
        <w:rPr>
          <w:rFonts w:hint="eastAsia" w:eastAsia="仿宋_GB2312" w:cs="仿宋_GB2312"/>
          <w:b w:val="0"/>
          <w:bCs w:val="0"/>
          <w:kern w:val="0"/>
          <w:position w:val="0"/>
          <w:sz w:val="32"/>
          <w:szCs w:val="32"/>
          <w:highlight w:val="none"/>
          <w:lang w:val="zh-CN" w:eastAsia="zh-CN" w:bidi="ar-SA"/>
        </w:rPr>
        <w:t>帮扶全省困难职工</w:t>
      </w:r>
      <w:r>
        <w:rPr>
          <w:rFonts w:hint="eastAsia" w:ascii="Times New Roman" w:hAnsi="Times New Roman" w:eastAsia="仿宋_GB2312" w:cs="仿宋_GB2312"/>
          <w:b w:val="0"/>
          <w:bCs w:val="0"/>
          <w:kern w:val="0"/>
          <w:position w:val="0"/>
          <w:sz w:val="32"/>
          <w:szCs w:val="32"/>
          <w:highlight w:val="none"/>
          <w:lang w:val="zh-CN" w:eastAsia="zh-CN" w:bidi="ar-SA"/>
        </w:rPr>
        <w:t>，大力弘扬劳模精神、劳动精神、工匠精神，促进社会和谐稳定。主要工作任务为：精准识别帮扶对象，规范组织慰问活动，及时足额发放资金物资，加强全过程监督。项目支持方向严格限定于符合条件的在档困难职工帮扶和各级劳模慰问。</w:t>
      </w:r>
    </w:p>
    <w:p w14:paraId="5958D72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p>
    <w:p w14:paraId="034FA13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本年度项目预算总额为</w:t>
      </w:r>
      <w:r>
        <w:rPr>
          <w:rFonts w:hint="eastAsia" w:eastAsia="仿宋_GB2312" w:cs="仿宋_GB2312"/>
          <w:b w:val="0"/>
          <w:bCs w:val="0"/>
          <w:kern w:val="0"/>
          <w:position w:val="0"/>
          <w:sz w:val="32"/>
          <w:szCs w:val="32"/>
          <w:highlight w:val="none"/>
          <w:lang w:val="en-US" w:eastAsia="zh-CN" w:bidi="ar-SA"/>
        </w:rPr>
        <w:t>302.11</w:t>
      </w:r>
      <w:r>
        <w:rPr>
          <w:rFonts w:hint="eastAsia" w:ascii="Times New Roman" w:hAnsi="Times New Roman" w:eastAsia="仿宋_GB2312" w:cs="仿宋_GB2312"/>
          <w:b w:val="0"/>
          <w:bCs w:val="0"/>
          <w:kern w:val="0"/>
          <w:position w:val="0"/>
          <w:sz w:val="32"/>
          <w:szCs w:val="32"/>
          <w:highlight w:val="none"/>
          <w:lang w:val="zh-CN" w:eastAsia="zh-CN" w:bidi="ar-SA"/>
        </w:rPr>
        <w:t>万元，来源于省级财政拨款。资金分配主要遵循“保障基本、突出重点、注重公平、讲求绩效”的原则。考虑因素包括：各市县（区）上报的困难职工建档数量、劳模人数、地区经济发展水平、财政困难程度以及上年度资金使用绩效情况等。资金采取因素法分配与项目法分配相结合的方式，已按计划</w:t>
      </w:r>
      <w:r>
        <w:rPr>
          <w:rFonts w:hint="eastAsia" w:eastAsia="仿宋_GB2312" w:cs="仿宋_GB2312"/>
          <w:b w:val="0"/>
          <w:bCs w:val="0"/>
          <w:kern w:val="0"/>
          <w:position w:val="0"/>
          <w:sz w:val="32"/>
          <w:szCs w:val="32"/>
          <w:highlight w:val="none"/>
          <w:lang w:val="zh-CN" w:eastAsia="zh-CN" w:bidi="ar-SA"/>
        </w:rPr>
        <w:t>本级使用和</w:t>
      </w:r>
      <w:r>
        <w:rPr>
          <w:rFonts w:hint="eastAsia" w:ascii="Times New Roman" w:hAnsi="Times New Roman" w:eastAsia="仿宋_GB2312" w:cs="仿宋_GB2312"/>
          <w:b w:val="0"/>
          <w:bCs w:val="0"/>
          <w:kern w:val="0"/>
          <w:position w:val="0"/>
          <w:sz w:val="32"/>
          <w:szCs w:val="32"/>
          <w:highlight w:val="none"/>
          <w:lang w:val="zh-CN" w:eastAsia="zh-CN" w:bidi="ar-SA"/>
        </w:rPr>
        <w:t>下拨至各县</w:t>
      </w:r>
      <w:r>
        <w:rPr>
          <w:rFonts w:hint="eastAsia" w:eastAsia="仿宋_GB2312" w:cs="仿宋_GB2312"/>
          <w:b w:val="0"/>
          <w:bCs w:val="0"/>
          <w:kern w:val="0"/>
          <w:position w:val="0"/>
          <w:sz w:val="32"/>
          <w:szCs w:val="32"/>
          <w:highlight w:val="none"/>
          <w:lang w:val="zh-CN" w:eastAsia="zh-CN" w:bidi="ar-SA"/>
        </w:rPr>
        <w:t>区</w:t>
      </w:r>
      <w:r>
        <w:rPr>
          <w:rFonts w:hint="eastAsia" w:ascii="Times New Roman" w:hAnsi="Times New Roman" w:eastAsia="仿宋_GB2312" w:cs="仿宋_GB2312"/>
          <w:b w:val="0"/>
          <w:bCs w:val="0"/>
          <w:kern w:val="0"/>
          <w:position w:val="0"/>
          <w:sz w:val="32"/>
          <w:szCs w:val="32"/>
          <w:highlight w:val="none"/>
          <w:lang w:val="zh-CN" w:eastAsia="zh-CN" w:bidi="ar-SA"/>
        </w:rPr>
        <w:t>总工会及相关单位。</w:t>
      </w:r>
    </w:p>
    <w:p w14:paraId="5C0A344E">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（四）项目绩效目标设置。</w:t>
      </w:r>
      <w:r>
        <w:rPr>
          <w:rFonts w:hint="eastAsia" w:ascii="Times New Roman" w:hAnsi="Times New Roman" w:eastAsia="仿宋_GB2312" w:cs="仿宋_GB2312"/>
          <w:b w:val="0"/>
          <w:bCs w:val="0"/>
          <w:kern w:val="0"/>
          <w:position w:val="0"/>
          <w:sz w:val="32"/>
          <w:szCs w:val="32"/>
          <w:highlight w:val="none"/>
          <w:lang w:val="zh-CN" w:eastAsia="zh-CN" w:bidi="ar-SA"/>
        </w:rPr>
        <w:t>项目整体、区域和具体绩效目标设置情况，项目自评工作开展情况。项目整体绩效目标：有效缓解困难职工生活困难状况，确保劳模慰问全覆盖，提升职工群众获得感、幸福感、安全感。</w:t>
      </w:r>
    </w:p>
    <w:p w14:paraId="330D1864">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区域绩效目标：</w:t>
      </w:r>
      <w:r>
        <w:rPr>
          <w:rFonts w:hint="eastAsia" w:eastAsia="仿宋_GB2312" w:cs="仿宋_GB2312"/>
          <w:b w:val="0"/>
          <w:bCs w:val="0"/>
          <w:kern w:val="0"/>
          <w:position w:val="0"/>
          <w:sz w:val="32"/>
          <w:szCs w:val="32"/>
          <w:highlight w:val="none"/>
          <w:lang w:val="zh-CN" w:eastAsia="zh-CN" w:bidi="ar-SA"/>
        </w:rPr>
        <w:t>市总工会本级和</w:t>
      </w:r>
      <w:r>
        <w:rPr>
          <w:rFonts w:hint="eastAsia" w:ascii="Times New Roman" w:hAnsi="Times New Roman" w:eastAsia="仿宋_GB2312" w:cs="仿宋_GB2312"/>
          <w:b w:val="0"/>
          <w:bCs w:val="0"/>
          <w:kern w:val="0"/>
          <w:position w:val="0"/>
          <w:sz w:val="32"/>
          <w:szCs w:val="32"/>
          <w:highlight w:val="none"/>
          <w:lang w:val="zh-CN" w:eastAsia="zh-CN" w:bidi="ar-SA"/>
        </w:rPr>
        <w:t>各县</w:t>
      </w:r>
      <w:r>
        <w:rPr>
          <w:rFonts w:hint="eastAsia" w:eastAsia="仿宋_GB2312" w:cs="仿宋_GB2312"/>
          <w:b w:val="0"/>
          <w:bCs w:val="0"/>
          <w:kern w:val="0"/>
          <w:position w:val="0"/>
          <w:sz w:val="32"/>
          <w:szCs w:val="32"/>
          <w:highlight w:val="none"/>
          <w:lang w:val="zh-CN" w:eastAsia="zh-CN" w:bidi="ar-SA"/>
        </w:rPr>
        <w:t>区</w:t>
      </w:r>
      <w:r>
        <w:rPr>
          <w:rFonts w:hint="eastAsia" w:ascii="Times New Roman" w:hAnsi="Times New Roman" w:eastAsia="仿宋_GB2312" w:cs="仿宋_GB2312"/>
          <w:b w:val="0"/>
          <w:bCs w:val="0"/>
          <w:kern w:val="0"/>
          <w:position w:val="0"/>
          <w:sz w:val="32"/>
          <w:szCs w:val="32"/>
          <w:highlight w:val="none"/>
          <w:lang w:val="zh-CN" w:eastAsia="zh-CN" w:bidi="ar-SA"/>
        </w:rPr>
        <w:t>帮扶资金发放准确率100%，慰问活动按时完成率100%。</w:t>
      </w:r>
    </w:p>
    <w:p w14:paraId="58E0D6CF">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具体绩效目标：帮扶困难职工</w:t>
      </w:r>
      <w:r>
        <w:rPr>
          <w:rFonts w:hint="eastAsia" w:eastAsia="仿宋_GB2312" w:cs="仿宋_GB2312"/>
          <w:b w:val="0"/>
          <w:bCs w:val="0"/>
          <w:kern w:val="0"/>
          <w:position w:val="0"/>
          <w:sz w:val="32"/>
          <w:szCs w:val="32"/>
          <w:highlight w:val="none"/>
          <w:lang w:val="zh-CN" w:eastAsia="zh-CN" w:bidi="ar-SA"/>
        </w:rPr>
        <w:t>≥</w:t>
      </w:r>
      <w:r>
        <w:rPr>
          <w:rFonts w:hint="eastAsia" w:eastAsia="仿宋_GB2312" w:cs="仿宋_GB2312"/>
          <w:b w:val="0"/>
          <w:bCs w:val="0"/>
          <w:kern w:val="0"/>
          <w:position w:val="0"/>
          <w:sz w:val="32"/>
          <w:szCs w:val="32"/>
          <w:highlight w:val="none"/>
          <w:lang w:val="en-US" w:eastAsia="zh-CN" w:bidi="ar-SA"/>
        </w:rPr>
        <w:t>224</w:t>
      </w:r>
      <w:r>
        <w:rPr>
          <w:rFonts w:hint="eastAsia" w:ascii="Times New Roman" w:hAnsi="Times New Roman" w:eastAsia="仿宋_GB2312" w:cs="仿宋_GB2312"/>
          <w:b w:val="0"/>
          <w:bCs w:val="0"/>
          <w:kern w:val="0"/>
          <w:position w:val="0"/>
          <w:sz w:val="32"/>
          <w:szCs w:val="32"/>
          <w:highlight w:val="none"/>
          <w:lang w:val="zh-CN" w:eastAsia="zh-CN" w:bidi="ar-SA"/>
        </w:rPr>
        <w:t>人次</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慰问劳模</w:t>
      </w:r>
      <w:r>
        <w:rPr>
          <w:rFonts w:hint="eastAsia" w:eastAsia="仿宋_GB2312" w:cs="仿宋_GB2312"/>
          <w:b w:val="0"/>
          <w:bCs w:val="0"/>
          <w:kern w:val="0"/>
          <w:position w:val="0"/>
          <w:sz w:val="32"/>
          <w:szCs w:val="32"/>
          <w:highlight w:val="none"/>
          <w:lang w:val="zh-CN" w:eastAsia="zh-CN" w:bidi="ar-SA"/>
        </w:rPr>
        <w:t>≥</w:t>
      </w:r>
      <w:r>
        <w:rPr>
          <w:rFonts w:hint="eastAsia" w:eastAsia="仿宋_GB2312" w:cs="仿宋_GB2312"/>
          <w:b w:val="0"/>
          <w:bCs w:val="0"/>
          <w:kern w:val="0"/>
          <w:position w:val="0"/>
          <w:sz w:val="32"/>
          <w:szCs w:val="32"/>
          <w:highlight w:val="none"/>
          <w:lang w:val="en-US" w:eastAsia="zh-CN" w:bidi="ar-SA"/>
        </w:rPr>
        <w:t>521</w:t>
      </w:r>
      <w:r>
        <w:rPr>
          <w:rFonts w:hint="eastAsia" w:ascii="Times New Roman" w:hAnsi="Times New Roman" w:eastAsia="仿宋_GB2312" w:cs="仿宋_GB2312"/>
          <w:b w:val="0"/>
          <w:bCs w:val="0"/>
          <w:kern w:val="0"/>
          <w:position w:val="0"/>
          <w:sz w:val="32"/>
          <w:szCs w:val="32"/>
          <w:highlight w:val="none"/>
          <w:lang w:val="zh-CN" w:eastAsia="zh-CN" w:bidi="ar-SA"/>
        </w:rPr>
        <w:t>人次，发放</w:t>
      </w:r>
      <w:r>
        <w:rPr>
          <w:rFonts w:hint="eastAsia" w:eastAsia="仿宋_GB2312" w:cs="仿宋_GB2312"/>
          <w:b w:val="0"/>
          <w:bCs w:val="0"/>
          <w:kern w:val="0"/>
          <w:position w:val="0"/>
          <w:sz w:val="32"/>
          <w:szCs w:val="32"/>
          <w:highlight w:val="none"/>
          <w:lang w:val="zh-CN" w:eastAsia="zh-CN" w:bidi="ar-SA"/>
        </w:rPr>
        <w:t>帮扶资金及</w:t>
      </w:r>
      <w:r>
        <w:rPr>
          <w:rFonts w:hint="eastAsia" w:ascii="Times New Roman" w:hAnsi="Times New Roman" w:eastAsia="仿宋_GB2312" w:cs="仿宋_GB2312"/>
          <w:b w:val="0"/>
          <w:bCs w:val="0"/>
          <w:kern w:val="0"/>
          <w:position w:val="0"/>
          <w:sz w:val="32"/>
          <w:szCs w:val="32"/>
          <w:highlight w:val="none"/>
          <w:lang w:val="zh-CN" w:eastAsia="zh-CN" w:bidi="ar-SA"/>
        </w:rPr>
        <w:t>慰问金</w:t>
      </w:r>
      <w:r>
        <w:rPr>
          <w:rFonts w:hint="eastAsia" w:eastAsia="仿宋_GB2312" w:cs="仿宋_GB2312"/>
          <w:b w:val="0"/>
          <w:bCs w:val="0"/>
          <w:kern w:val="0"/>
          <w:position w:val="0"/>
          <w:sz w:val="32"/>
          <w:szCs w:val="32"/>
          <w:highlight w:val="none"/>
          <w:lang w:val="zh-CN" w:eastAsia="zh-CN" w:bidi="ar-SA"/>
        </w:rPr>
        <w:t>≤</w:t>
      </w:r>
      <w:r>
        <w:rPr>
          <w:rFonts w:hint="eastAsia" w:eastAsia="仿宋_GB2312" w:cs="仿宋_GB2312"/>
          <w:b w:val="0"/>
          <w:bCs w:val="0"/>
          <w:kern w:val="0"/>
          <w:position w:val="0"/>
          <w:sz w:val="32"/>
          <w:szCs w:val="32"/>
          <w:highlight w:val="none"/>
          <w:lang w:val="en-US" w:eastAsia="zh-CN" w:bidi="ar-SA"/>
        </w:rPr>
        <w:t>302.11</w:t>
      </w:r>
      <w:r>
        <w:rPr>
          <w:rFonts w:hint="eastAsia" w:ascii="Times New Roman" w:hAnsi="Times New Roman" w:eastAsia="仿宋_GB2312" w:cs="仿宋_GB2312"/>
          <w:b w:val="0"/>
          <w:bCs w:val="0"/>
          <w:kern w:val="0"/>
          <w:position w:val="0"/>
          <w:sz w:val="32"/>
          <w:szCs w:val="32"/>
          <w:highlight w:val="none"/>
          <w:lang w:val="zh-CN" w:eastAsia="zh-CN" w:bidi="ar-SA"/>
        </w:rPr>
        <w:t>万元；困难职工帮扶满意度≥90%，劳模慰问满意度≥95%。</w:t>
      </w:r>
    </w:p>
    <w:p w14:paraId="205297EC">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项目自评工作已按计划启动，由省总工会财务和资产管理部门牵头，各业务部门及县</w:t>
      </w:r>
      <w:r>
        <w:rPr>
          <w:rFonts w:hint="eastAsia" w:eastAsia="仿宋_GB2312" w:cs="仿宋_GB2312"/>
          <w:b w:val="0"/>
          <w:bCs w:val="0"/>
          <w:kern w:val="0"/>
          <w:position w:val="0"/>
          <w:sz w:val="32"/>
          <w:szCs w:val="32"/>
          <w:highlight w:val="none"/>
          <w:lang w:val="zh-CN" w:eastAsia="zh-CN" w:bidi="ar-SA"/>
        </w:rPr>
        <w:t>区</w:t>
      </w:r>
      <w:r>
        <w:rPr>
          <w:rFonts w:hint="eastAsia" w:ascii="Times New Roman" w:hAnsi="Times New Roman" w:eastAsia="仿宋_GB2312" w:cs="仿宋_GB2312"/>
          <w:b w:val="0"/>
          <w:bCs w:val="0"/>
          <w:kern w:val="0"/>
          <w:position w:val="0"/>
          <w:sz w:val="32"/>
          <w:szCs w:val="32"/>
          <w:highlight w:val="none"/>
          <w:lang w:val="zh-CN" w:eastAsia="zh-CN" w:bidi="ar-SA"/>
        </w:rPr>
        <w:t>总工会配合开展。</w:t>
      </w:r>
    </w:p>
    <w:p w14:paraId="4D61EEF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243D59E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（一）评价目的。</w:t>
      </w:r>
    </w:p>
    <w:p w14:paraId="1E2BEA1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通过对本项目进行绩效自评，全面检验资金使用的经济性、效率性、效益性和公平性，总结项目管理经验和成效，发现存在的问题和不足，为后续优化预算安排、完善政策设计、改进管理措施提供决策依据，不断提升专项资金使用绩效和管理水平。</w:t>
      </w:r>
    </w:p>
    <w:p w14:paraId="0B191DF5">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（二）预设问题及评价重点。</w:t>
      </w:r>
    </w:p>
    <w:p w14:paraId="1D74DD7D">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预设问题包括：帮扶对象识别是否精准？资金发放是否及时到位？慰问活动覆盖面是否达标？资金使用是否存在超范围或挪用？政策宣传是否到位？群众满意度如何？</w:t>
      </w:r>
    </w:p>
    <w:p w14:paraId="7969893B">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评价重点：围绕决策的科学性、管理的规范性、实施的有效性以及结果的效益性，对项目立项、资金分配、对象审核、发放过程、实施效果等进行全过程综合评价。</w:t>
      </w:r>
    </w:p>
    <w:p w14:paraId="5EAD6F8B">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仿宋_GB2312" w:cs="仿宋_GB2312"/>
          <w:b w:val="0"/>
          <w:color w:val="auto"/>
          <w:kern w:val="0"/>
          <w:sz w:val="32"/>
          <w:szCs w:val="32"/>
          <w:highlight w:val="none"/>
          <w:u w:val="none"/>
          <w:lang w:val="zh-CN"/>
        </w:rPr>
      </w:pPr>
      <w:r>
        <w:rPr>
          <w:rFonts w:hint="eastAsia" w:eastAsia="楷体_GB2312"/>
          <w:b/>
          <w:color w:val="auto"/>
          <w:sz w:val="32"/>
          <w:szCs w:val="32"/>
          <w:highlight w:val="none"/>
          <w:u w:val="none"/>
          <w:lang w:val="zh-CN"/>
        </w:rPr>
        <w:t>（三）</w:t>
      </w:r>
      <w:r>
        <w:rPr>
          <w:rFonts w:hint="eastAsia" w:ascii="Times New Roman" w:hAnsi="Times New Roman" w:eastAsia="楷体_GB2312"/>
          <w:b/>
          <w:color w:val="auto"/>
          <w:sz w:val="32"/>
          <w:szCs w:val="32"/>
          <w:highlight w:val="none"/>
          <w:u w:val="none"/>
          <w:lang w:val="zh-CN"/>
        </w:rPr>
        <w:t>评价选点。</w:t>
      </w:r>
      <w:r>
        <w:rPr>
          <w:rFonts w:hint="eastAsia" w:ascii="Times New Roman" w:hAnsi="Times New Roman" w:eastAsia="仿宋_GB2312" w:cs="仿宋_GB2312"/>
          <w:b w:val="0"/>
          <w:color w:val="auto"/>
          <w:kern w:val="0"/>
          <w:sz w:val="32"/>
          <w:szCs w:val="32"/>
          <w:highlight w:val="none"/>
          <w:u w:val="none"/>
          <w:lang w:val="zh-CN"/>
        </w:rPr>
        <w:t>根据要求，本次绩效自评选取了</w:t>
      </w:r>
      <w:r>
        <w:rPr>
          <w:rFonts w:hint="eastAsia" w:eastAsia="仿宋_GB2312" w:cs="仿宋_GB2312"/>
          <w:b w:val="0"/>
          <w:color w:val="auto"/>
          <w:kern w:val="0"/>
          <w:sz w:val="32"/>
          <w:szCs w:val="32"/>
          <w:highlight w:val="none"/>
          <w:u w:val="none"/>
          <w:lang w:val="en-US" w:eastAsia="zh-CN"/>
        </w:rPr>
        <w:t>6</w:t>
      </w:r>
      <w:r>
        <w:rPr>
          <w:rFonts w:hint="eastAsia" w:ascii="Times New Roman" w:hAnsi="Times New Roman" w:eastAsia="仿宋_GB2312" w:cs="仿宋_GB2312"/>
          <w:b w:val="0"/>
          <w:color w:val="auto"/>
          <w:kern w:val="0"/>
          <w:sz w:val="32"/>
          <w:szCs w:val="32"/>
          <w:highlight w:val="none"/>
          <w:u w:val="none"/>
          <w:lang w:val="zh-CN"/>
        </w:rPr>
        <w:t>个市县作为实地踏勘点位</w:t>
      </w:r>
      <w:r>
        <w:rPr>
          <w:rFonts w:hint="eastAsia" w:eastAsia="仿宋_GB2312" w:cs="仿宋_GB2312"/>
          <w:b w:val="0"/>
          <w:color w:val="auto"/>
          <w:kern w:val="0"/>
          <w:sz w:val="32"/>
          <w:szCs w:val="32"/>
          <w:highlight w:val="none"/>
          <w:u w:val="none"/>
          <w:lang w:val="zh-CN"/>
        </w:rPr>
        <w:t>。</w:t>
      </w:r>
    </w:p>
    <w:p w14:paraId="11369A08">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color w:val="auto"/>
          <w:lang w:val="zh-CN"/>
        </w:rPr>
      </w:pPr>
      <w:r>
        <w:rPr>
          <w:rFonts w:hint="eastAsia" w:eastAsia="仿宋_GB2312" w:cs="仿宋_GB2312"/>
          <w:b w:val="0"/>
          <w:color w:val="auto"/>
          <w:kern w:val="0"/>
          <w:sz w:val="32"/>
          <w:szCs w:val="32"/>
          <w:highlight w:val="none"/>
          <w:u w:val="none"/>
          <w:lang w:val="zh-CN"/>
        </w:rPr>
        <w:t>附表：绩效自评实地踏勘选点清单</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924"/>
        <w:gridCol w:w="2352"/>
        <w:gridCol w:w="1345"/>
      </w:tblGrid>
      <w:tr w14:paraId="7673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0EBEB7B3">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zh-CN"/>
              </w:rPr>
            </w:pPr>
            <w:r>
              <w:rPr>
                <w:rFonts w:hint="eastAsia" w:eastAsia="楷体_GB2312"/>
                <w:b w:val="0"/>
                <w:bCs/>
                <w:color w:val="auto"/>
                <w:sz w:val="32"/>
                <w:szCs w:val="32"/>
                <w:highlight w:val="none"/>
                <w:u w:val="none"/>
                <w:vertAlign w:val="baseline"/>
                <w:lang w:val="zh-CN"/>
              </w:rPr>
              <w:t>序号</w:t>
            </w:r>
          </w:p>
        </w:tc>
        <w:tc>
          <w:tcPr>
            <w:tcW w:w="3924" w:type="dxa"/>
          </w:tcPr>
          <w:p w14:paraId="6006110B">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zh-CN"/>
              </w:rPr>
            </w:pPr>
            <w:r>
              <w:rPr>
                <w:rFonts w:hint="eastAsia" w:eastAsia="楷体_GB2312"/>
                <w:b w:val="0"/>
                <w:bCs/>
                <w:color w:val="auto"/>
                <w:sz w:val="32"/>
                <w:szCs w:val="32"/>
                <w:highlight w:val="none"/>
                <w:u w:val="none"/>
                <w:vertAlign w:val="baseline"/>
                <w:lang w:val="zh-CN"/>
              </w:rPr>
              <w:t>市县名称</w:t>
            </w:r>
          </w:p>
        </w:tc>
        <w:tc>
          <w:tcPr>
            <w:tcW w:w="2352" w:type="dxa"/>
          </w:tcPr>
          <w:p w14:paraId="37EE7686">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zh-CN"/>
              </w:rPr>
            </w:pPr>
            <w:r>
              <w:rPr>
                <w:rFonts w:hint="eastAsia" w:eastAsia="楷体_GB2312"/>
                <w:b w:val="0"/>
                <w:bCs/>
                <w:color w:val="auto"/>
                <w:sz w:val="32"/>
                <w:szCs w:val="32"/>
                <w:highlight w:val="none"/>
                <w:u w:val="none"/>
                <w:vertAlign w:val="baseline"/>
                <w:lang w:val="zh-CN"/>
              </w:rPr>
              <w:t>所属地市</w:t>
            </w:r>
          </w:p>
        </w:tc>
        <w:tc>
          <w:tcPr>
            <w:tcW w:w="1345" w:type="dxa"/>
          </w:tcPr>
          <w:p w14:paraId="7C9064E8">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zh-CN"/>
              </w:rPr>
            </w:pPr>
            <w:r>
              <w:rPr>
                <w:rFonts w:hint="eastAsia" w:eastAsia="楷体_GB2312"/>
                <w:b w:val="0"/>
                <w:bCs/>
                <w:color w:val="auto"/>
                <w:sz w:val="32"/>
                <w:szCs w:val="32"/>
                <w:highlight w:val="none"/>
                <w:u w:val="none"/>
                <w:vertAlign w:val="baseline"/>
                <w:lang w:val="zh-CN"/>
              </w:rPr>
              <w:t>备注</w:t>
            </w:r>
          </w:p>
        </w:tc>
      </w:tr>
      <w:tr w14:paraId="6B66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62A4E69D">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en-US" w:eastAsia="zh-CN"/>
              </w:rPr>
            </w:pPr>
            <w:r>
              <w:rPr>
                <w:rFonts w:hint="eastAsia" w:eastAsia="楷体_GB2312"/>
                <w:b w:val="0"/>
                <w:bCs/>
                <w:color w:val="auto"/>
                <w:sz w:val="32"/>
                <w:szCs w:val="32"/>
                <w:highlight w:val="none"/>
                <w:u w:val="none"/>
                <w:vertAlign w:val="baseline"/>
                <w:lang w:val="en-US" w:eastAsia="zh-CN"/>
              </w:rPr>
              <w:t>1</w:t>
            </w:r>
          </w:p>
        </w:tc>
        <w:tc>
          <w:tcPr>
            <w:tcW w:w="3924" w:type="dxa"/>
          </w:tcPr>
          <w:p w14:paraId="2A3D7A50">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zh-CN"/>
              </w:rPr>
            </w:pPr>
            <w:r>
              <w:rPr>
                <w:rFonts w:hint="eastAsia" w:eastAsia="楷体_GB2312"/>
                <w:b w:val="0"/>
                <w:bCs/>
                <w:color w:val="auto"/>
                <w:sz w:val="32"/>
                <w:szCs w:val="32"/>
                <w:highlight w:val="none"/>
                <w:u w:val="none"/>
                <w:vertAlign w:val="baseline"/>
                <w:lang w:val="zh-CN"/>
              </w:rPr>
              <w:t>攀枝花市总工会</w:t>
            </w:r>
          </w:p>
        </w:tc>
        <w:tc>
          <w:tcPr>
            <w:tcW w:w="2352" w:type="dxa"/>
          </w:tcPr>
          <w:p w14:paraId="4D63CE72">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zh-CN"/>
              </w:rPr>
            </w:pPr>
            <w:r>
              <w:rPr>
                <w:rFonts w:hint="eastAsia" w:eastAsia="楷体_GB2312"/>
                <w:b w:val="0"/>
                <w:bCs/>
                <w:color w:val="auto"/>
                <w:sz w:val="32"/>
                <w:szCs w:val="32"/>
                <w:highlight w:val="none"/>
                <w:u w:val="none"/>
                <w:vertAlign w:val="baseline"/>
                <w:lang w:val="zh-CN"/>
              </w:rPr>
              <w:t>攀枝花市</w:t>
            </w:r>
          </w:p>
        </w:tc>
        <w:tc>
          <w:tcPr>
            <w:tcW w:w="1345" w:type="dxa"/>
          </w:tcPr>
          <w:p w14:paraId="57E7D916">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zh-CN"/>
              </w:rPr>
            </w:pPr>
          </w:p>
        </w:tc>
      </w:tr>
      <w:tr w14:paraId="1442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0574F41E">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en-US" w:eastAsia="zh-CN"/>
              </w:rPr>
            </w:pPr>
            <w:r>
              <w:rPr>
                <w:rFonts w:hint="eastAsia" w:eastAsia="楷体_GB2312"/>
                <w:b w:val="0"/>
                <w:bCs/>
                <w:color w:val="auto"/>
                <w:sz w:val="32"/>
                <w:szCs w:val="32"/>
                <w:highlight w:val="none"/>
                <w:u w:val="none"/>
                <w:vertAlign w:val="baseline"/>
                <w:lang w:val="en-US" w:eastAsia="zh-CN"/>
              </w:rPr>
              <w:t>2</w:t>
            </w:r>
          </w:p>
        </w:tc>
        <w:tc>
          <w:tcPr>
            <w:tcW w:w="3924" w:type="dxa"/>
          </w:tcPr>
          <w:p w14:paraId="35AFB4E3">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zh-CN"/>
              </w:rPr>
            </w:pPr>
            <w:r>
              <w:rPr>
                <w:rFonts w:hint="eastAsia" w:eastAsia="楷体_GB2312"/>
                <w:b w:val="0"/>
                <w:bCs/>
                <w:color w:val="auto"/>
                <w:sz w:val="32"/>
                <w:szCs w:val="32"/>
                <w:highlight w:val="none"/>
                <w:u w:val="none"/>
                <w:vertAlign w:val="baseline"/>
                <w:lang w:val="zh-CN"/>
              </w:rPr>
              <w:t>攀枝花市东区总工会</w:t>
            </w:r>
          </w:p>
        </w:tc>
        <w:tc>
          <w:tcPr>
            <w:tcW w:w="2352" w:type="dxa"/>
          </w:tcPr>
          <w:p w14:paraId="7C28D70B">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zh-CN"/>
              </w:rPr>
            </w:pPr>
            <w:r>
              <w:rPr>
                <w:rFonts w:hint="eastAsia" w:eastAsia="楷体_GB2312"/>
                <w:b w:val="0"/>
                <w:bCs/>
                <w:color w:val="auto"/>
                <w:sz w:val="32"/>
                <w:szCs w:val="32"/>
                <w:highlight w:val="none"/>
                <w:u w:val="none"/>
                <w:vertAlign w:val="baseline"/>
                <w:lang w:val="zh-CN"/>
              </w:rPr>
              <w:t>攀枝花市</w:t>
            </w:r>
          </w:p>
        </w:tc>
        <w:tc>
          <w:tcPr>
            <w:tcW w:w="1345" w:type="dxa"/>
          </w:tcPr>
          <w:p w14:paraId="16F17520">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zh-CN"/>
              </w:rPr>
            </w:pPr>
          </w:p>
        </w:tc>
      </w:tr>
      <w:tr w14:paraId="3CE8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56954AB9">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default" w:ascii="Times New Roman" w:hAnsi="Times New Roman" w:eastAsia="楷体_GB2312"/>
                <w:b w:val="0"/>
                <w:bCs/>
                <w:color w:val="auto"/>
                <w:sz w:val="32"/>
                <w:szCs w:val="32"/>
                <w:highlight w:val="none"/>
                <w:u w:val="none"/>
                <w:vertAlign w:val="baseline"/>
                <w:lang w:val="en-US" w:eastAsia="zh-CN"/>
              </w:rPr>
            </w:pPr>
            <w:r>
              <w:rPr>
                <w:rFonts w:hint="eastAsia" w:eastAsia="楷体_GB2312"/>
                <w:b w:val="0"/>
                <w:bCs/>
                <w:color w:val="auto"/>
                <w:sz w:val="32"/>
                <w:szCs w:val="32"/>
                <w:highlight w:val="none"/>
                <w:u w:val="none"/>
                <w:vertAlign w:val="baseline"/>
                <w:lang w:val="en-US" w:eastAsia="zh-CN"/>
              </w:rPr>
              <w:t>3</w:t>
            </w:r>
          </w:p>
        </w:tc>
        <w:tc>
          <w:tcPr>
            <w:tcW w:w="3924" w:type="dxa"/>
          </w:tcPr>
          <w:p w14:paraId="67B97052">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zh-CN"/>
              </w:rPr>
            </w:pPr>
            <w:r>
              <w:rPr>
                <w:rFonts w:hint="eastAsia" w:eastAsia="楷体_GB2312"/>
                <w:b w:val="0"/>
                <w:bCs/>
                <w:color w:val="auto"/>
                <w:sz w:val="32"/>
                <w:szCs w:val="32"/>
                <w:highlight w:val="none"/>
                <w:u w:val="none"/>
                <w:vertAlign w:val="baseline"/>
                <w:lang w:val="zh-CN"/>
              </w:rPr>
              <w:t>攀枝花市西区总工会</w:t>
            </w:r>
          </w:p>
        </w:tc>
        <w:tc>
          <w:tcPr>
            <w:tcW w:w="2352" w:type="dxa"/>
          </w:tcPr>
          <w:p w14:paraId="1CC6677F">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zh-CN"/>
              </w:rPr>
            </w:pPr>
            <w:r>
              <w:rPr>
                <w:rFonts w:hint="eastAsia" w:eastAsia="楷体_GB2312"/>
                <w:b w:val="0"/>
                <w:bCs/>
                <w:color w:val="auto"/>
                <w:sz w:val="32"/>
                <w:szCs w:val="32"/>
                <w:highlight w:val="none"/>
                <w:u w:val="none"/>
                <w:vertAlign w:val="baseline"/>
                <w:lang w:val="zh-CN"/>
              </w:rPr>
              <w:t>攀枝花市</w:t>
            </w:r>
          </w:p>
        </w:tc>
        <w:tc>
          <w:tcPr>
            <w:tcW w:w="1345" w:type="dxa"/>
          </w:tcPr>
          <w:p w14:paraId="0C8D791A">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zh-CN"/>
              </w:rPr>
            </w:pPr>
          </w:p>
        </w:tc>
      </w:tr>
      <w:tr w14:paraId="006D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35E022F3">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en-US" w:eastAsia="zh-CN"/>
              </w:rPr>
            </w:pPr>
            <w:r>
              <w:rPr>
                <w:rFonts w:hint="eastAsia" w:eastAsia="楷体_GB2312"/>
                <w:b w:val="0"/>
                <w:bCs/>
                <w:color w:val="auto"/>
                <w:sz w:val="32"/>
                <w:szCs w:val="32"/>
                <w:highlight w:val="none"/>
                <w:u w:val="none"/>
                <w:vertAlign w:val="baseline"/>
                <w:lang w:val="en-US" w:eastAsia="zh-CN"/>
              </w:rPr>
              <w:t>4</w:t>
            </w:r>
          </w:p>
        </w:tc>
        <w:tc>
          <w:tcPr>
            <w:tcW w:w="3924" w:type="dxa"/>
          </w:tcPr>
          <w:p w14:paraId="167B832E">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zh-CN"/>
              </w:rPr>
            </w:pPr>
            <w:r>
              <w:rPr>
                <w:rFonts w:hint="eastAsia" w:eastAsia="楷体_GB2312"/>
                <w:b w:val="0"/>
                <w:bCs/>
                <w:color w:val="auto"/>
                <w:sz w:val="32"/>
                <w:szCs w:val="32"/>
                <w:highlight w:val="none"/>
                <w:u w:val="none"/>
                <w:vertAlign w:val="baseline"/>
                <w:lang w:val="zh-CN"/>
              </w:rPr>
              <w:t>攀枝花市仁和区总工会</w:t>
            </w:r>
          </w:p>
        </w:tc>
        <w:tc>
          <w:tcPr>
            <w:tcW w:w="2352" w:type="dxa"/>
          </w:tcPr>
          <w:p w14:paraId="17DD00E2">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zh-CN"/>
              </w:rPr>
            </w:pPr>
            <w:r>
              <w:rPr>
                <w:rFonts w:hint="eastAsia" w:eastAsia="楷体_GB2312"/>
                <w:b w:val="0"/>
                <w:bCs/>
                <w:color w:val="auto"/>
                <w:sz w:val="32"/>
                <w:szCs w:val="32"/>
                <w:highlight w:val="none"/>
                <w:u w:val="none"/>
                <w:vertAlign w:val="baseline"/>
                <w:lang w:val="zh-CN"/>
              </w:rPr>
              <w:t>攀枝花市</w:t>
            </w:r>
          </w:p>
        </w:tc>
        <w:tc>
          <w:tcPr>
            <w:tcW w:w="1345" w:type="dxa"/>
          </w:tcPr>
          <w:p w14:paraId="7BCE9085">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zh-CN"/>
              </w:rPr>
            </w:pPr>
          </w:p>
        </w:tc>
      </w:tr>
      <w:tr w14:paraId="67CC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285ECA12">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en-US" w:eastAsia="zh-CN"/>
              </w:rPr>
            </w:pPr>
            <w:r>
              <w:rPr>
                <w:rFonts w:hint="eastAsia" w:eastAsia="楷体_GB2312"/>
                <w:b w:val="0"/>
                <w:bCs/>
                <w:color w:val="auto"/>
                <w:sz w:val="32"/>
                <w:szCs w:val="32"/>
                <w:highlight w:val="none"/>
                <w:u w:val="none"/>
                <w:vertAlign w:val="baseline"/>
                <w:lang w:val="en-US" w:eastAsia="zh-CN"/>
              </w:rPr>
              <w:t>5</w:t>
            </w:r>
          </w:p>
        </w:tc>
        <w:tc>
          <w:tcPr>
            <w:tcW w:w="3924" w:type="dxa"/>
          </w:tcPr>
          <w:p w14:paraId="7DF399D8">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zh-CN"/>
              </w:rPr>
            </w:pPr>
            <w:r>
              <w:rPr>
                <w:rFonts w:hint="eastAsia" w:eastAsia="楷体_GB2312"/>
                <w:b w:val="0"/>
                <w:bCs/>
                <w:color w:val="auto"/>
                <w:sz w:val="32"/>
                <w:szCs w:val="32"/>
                <w:highlight w:val="none"/>
                <w:u w:val="none"/>
                <w:vertAlign w:val="baseline"/>
                <w:lang w:val="zh-CN"/>
              </w:rPr>
              <w:t>米易县总工会</w:t>
            </w:r>
          </w:p>
        </w:tc>
        <w:tc>
          <w:tcPr>
            <w:tcW w:w="2352" w:type="dxa"/>
          </w:tcPr>
          <w:p w14:paraId="43BBBE56">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zh-CN"/>
              </w:rPr>
            </w:pPr>
            <w:r>
              <w:rPr>
                <w:rFonts w:hint="eastAsia" w:eastAsia="楷体_GB2312"/>
                <w:b w:val="0"/>
                <w:bCs/>
                <w:color w:val="auto"/>
                <w:sz w:val="32"/>
                <w:szCs w:val="32"/>
                <w:highlight w:val="none"/>
                <w:u w:val="none"/>
                <w:vertAlign w:val="baseline"/>
                <w:lang w:val="zh-CN"/>
              </w:rPr>
              <w:t>攀枝花市</w:t>
            </w:r>
          </w:p>
        </w:tc>
        <w:tc>
          <w:tcPr>
            <w:tcW w:w="1345" w:type="dxa"/>
          </w:tcPr>
          <w:p w14:paraId="6FAF6BDB">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zh-CN"/>
              </w:rPr>
            </w:pPr>
          </w:p>
        </w:tc>
      </w:tr>
      <w:tr w14:paraId="5D66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23F9908C">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en-US" w:eastAsia="zh-CN"/>
              </w:rPr>
            </w:pPr>
            <w:r>
              <w:rPr>
                <w:rFonts w:hint="eastAsia" w:eastAsia="楷体_GB2312"/>
                <w:b w:val="0"/>
                <w:bCs/>
                <w:color w:val="auto"/>
                <w:sz w:val="32"/>
                <w:szCs w:val="32"/>
                <w:highlight w:val="none"/>
                <w:u w:val="none"/>
                <w:vertAlign w:val="baseline"/>
                <w:lang w:val="en-US" w:eastAsia="zh-CN"/>
              </w:rPr>
              <w:t>6</w:t>
            </w:r>
          </w:p>
        </w:tc>
        <w:tc>
          <w:tcPr>
            <w:tcW w:w="3924" w:type="dxa"/>
          </w:tcPr>
          <w:p w14:paraId="2359914F">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zh-CN"/>
              </w:rPr>
            </w:pPr>
            <w:r>
              <w:rPr>
                <w:rFonts w:hint="eastAsia" w:eastAsia="楷体_GB2312"/>
                <w:b w:val="0"/>
                <w:bCs/>
                <w:color w:val="auto"/>
                <w:sz w:val="32"/>
                <w:szCs w:val="32"/>
                <w:highlight w:val="none"/>
                <w:u w:val="none"/>
                <w:vertAlign w:val="baseline"/>
                <w:lang w:val="zh-CN"/>
              </w:rPr>
              <w:t>盐边县总工会</w:t>
            </w:r>
          </w:p>
        </w:tc>
        <w:tc>
          <w:tcPr>
            <w:tcW w:w="2352" w:type="dxa"/>
          </w:tcPr>
          <w:p w14:paraId="1EF8E800">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zh-CN"/>
              </w:rPr>
            </w:pPr>
            <w:r>
              <w:rPr>
                <w:rFonts w:hint="eastAsia" w:eastAsia="楷体_GB2312"/>
                <w:b w:val="0"/>
                <w:bCs/>
                <w:color w:val="auto"/>
                <w:sz w:val="32"/>
                <w:szCs w:val="32"/>
                <w:highlight w:val="none"/>
                <w:u w:val="none"/>
                <w:vertAlign w:val="baseline"/>
                <w:lang w:val="zh-CN"/>
              </w:rPr>
              <w:t>攀枝花市</w:t>
            </w:r>
          </w:p>
        </w:tc>
        <w:tc>
          <w:tcPr>
            <w:tcW w:w="1345" w:type="dxa"/>
          </w:tcPr>
          <w:p w14:paraId="4A6E7714">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楷体_GB2312"/>
                <w:b w:val="0"/>
                <w:bCs/>
                <w:color w:val="auto"/>
                <w:sz w:val="32"/>
                <w:szCs w:val="32"/>
                <w:highlight w:val="none"/>
                <w:u w:val="none"/>
                <w:vertAlign w:val="baseline"/>
                <w:lang w:val="zh-CN"/>
              </w:rPr>
            </w:pPr>
          </w:p>
        </w:tc>
      </w:tr>
    </w:tbl>
    <w:p w14:paraId="537B2705">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楷体_GB2312"/>
          <w:b/>
          <w:color w:val="0000FF"/>
          <w:sz w:val="32"/>
          <w:szCs w:val="32"/>
          <w:highlight w:val="none"/>
          <w:u w:val="none"/>
          <w:lang w:val="zh-CN"/>
        </w:rPr>
      </w:pPr>
    </w:p>
    <w:p w14:paraId="380E5C9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（四）评价方法。</w:t>
      </w:r>
    </w:p>
    <w:p w14:paraId="1E6989C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案卷研究法：查阅项目立项、资金申报、分配方案、管理办法、发放清单、验收报告等文件资料。</w:t>
      </w:r>
    </w:p>
    <w:p w14:paraId="226CE5B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单位自评法：要求各资金使用单位提交绩效自评报告。</w:t>
      </w:r>
    </w:p>
    <w:p w14:paraId="364EF98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eastAsia="仿宋_GB2312" w:cs="仿宋_GB2312"/>
          <w:b w:val="0"/>
          <w:bCs w:val="0"/>
          <w:kern w:val="0"/>
          <w:position w:val="0"/>
          <w:sz w:val="32"/>
          <w:szCs w:val="32"/>
          <w:highlight w:val="none"/>
          <w:lang w:val="en-US" w:eastAsia="zh-CN" w:bidi="ar-SA"/>
        </w:rPr>
        <w:t>3.</w:t>
      </w:r>
      <w:r>
        <w:rPr>
          <w:rFonts w:hint="eastAsia" w:ascii="Times New Roman" w:hAnsi="Times New Roman" w:eastAsia="仿宋_GB2312" w:cs="仿宋_GB2312"/>
          <w:b w:val="0"/>
          <w:bCs w:val="0"/>
          <w:kern w:val="0"/>
          <w:position w:val="0"/>
          <w:sz w:val="32"/>
          <w:szCs w:val="32"/>
          <w:highlight w:val="none"/>
          <w:lang w:val="zh-CN" w:eastAsia="zh-CN" w:bidi="ar-SA"/>
        </w:rPr>
        <w:t>实地勘察法：赴选点县</w:t>
      </w:r>
      <w:r>
        <w:rPr>
          <w:rFonts w:hint="eastAsia" w:eastAsia="仿宋_GB2312" w:cs="仿宋_GB2312"/>
          <w:b w:val="0"/>
          <w:bCs w:val="0"/>
          <w:kern w:val="0"/>
          <w:position w:val="0"/>
          <w:sz w:val="32"/>
          <w:szCs w:val="32"/>
          <w:highlight w:val="none"/>
          <w:lang w:val="zh-CN" w:eastAsia="zh-CN" w:bidi="ar-SA"/>
        </w:rPr>
        <w:t>区</w:t>
      </w:r>
      <w:r>
        <w:rPr>
          <w:rFonts w:hint="eastAsia" w:ascii="Times New Roman" w:hAnsi="Times New Roman" w:eastAsia="仿宋_GB2312" w:cs="仿宋_GB2312"/>
          <w:b w:val="0"/>
          <w:bCs w:val="0"/>
          <w:kern w:val="0"/>
          <w:position w:val="0"/>
          <w:sz w:val="32"/>
          <w:szCs w:val="32"/>
          <w:highlight w:val="none"/>
          <w:lang w:val="zh-CN" w:eastAsia="zh-CN" w:bidi="ar-SA"/>
        </w:rPr>
        <w:t>查看帮扶慰问记录、财务凭证，走访部分受助职工和劳模家庭。</w:t>
      </w:r>
    </w:p>
    <w:p w14:paraId="03F0B37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问卷调查法：面向受助困难职工和受慰问劳模发放满意度问卷。</w:t>
      </w:r>
    </w:p>
    <w:p w14:paraId="6DB78E4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eastAsia="仿宋_GB2312" w:cs="仿宋_GB2312"/>
          <w:b w:val="0"/>
          <w:bCs w:val="0"/>
          <w:kern w:val="0"/>
          <w:position w:val="0"/>
          <w:sz w:val="32"/>
          <w:szCs w:val="32"/>
          <w:highlight w:val="none"/>
          <w:lang w:val="en-US" w:eastAsia="zh-CN" w:bidi="ar-SA"/>
        </w:rPr>
        <w:t>5.</w:t>
      </w:r>
      <w:r>
        <w:rPr>
          <w:rFonts w:hint="eastAsia" w:ascii="Times New Roman" w:hAnsi="Times New Roman" w:eastAsia="仿宋_GB2312" w:cs="仿宋_GB2312"/>
          <w:b w:val="0"/>
          <w:bCs w:val="0"/>
          <w:kern w:val="0"/>
          <w:position w:val="0"/>
          <w:sz w:val="32"/>
          <w:szCs w:val="32"/>
          <w:highlight w:val="none"/>
          <w:lang w:val="zh-CN" w:eastAsia="zh-CN" w:bidi="ar-SA"/>
        </w:rPr>
        <w:t>座谈调研法：与市县</w:t>
      </w:r>
      <w:r>
        <w:rPr>
          <w:rFonts w:hint="eastAsia" w:eastAsia="仿宋_GB2312" w:cs="仿宋_GB2312"/>
          <w:b w:val="0"/>
          <w:bCs w:val="0"/>
          <w:kern w:val="0"/>
          <w:position w:val="0"/>
          <w:sz w:val="32"/>
          <w:szCs w:val="32"/>
          <w:highlight w:val="none"/>
          <w:lang w:val="zh-CN" w:eastAsia="zh-CN" w:bidi="ar-SA"/>
        </w:rPr>
        <w:t>区</w:t>
      </w:r>
      <w:r>
        <w:rPr>
          <w:rFonts w:hint="eastAsia" w:ascii="Times New Roman" w:hAnsi="Times New Roman" w:eastAsia="仿宋_GB2312" w:cs="仿宋_GB2312"/>
          <w:b w:val="0"/>
          <w:bCs w:val="0"/>
          <w:kern w:val="0"/>
          <w:position w:val="0"/>
          <w:sz w:val="32"/>
          <w:szCs w:val="32"/>
          <w:highlight w:val="none"/>
          <w:lang w:val="zh-CN" w:eastAsia="zh-CN" w:bidi="ar-SA"/>
        </w:rPr>
        <w:t>工会干部、基层工作人员、职工代表进行座谈，了解实际情况和意见建议</w:t>
      </w:r>
      <w:r>
        <w:rPr>
          <w:rFonts w:hint="eastAsia" w:eastAsia="仿宋_GB2312" w:cs="仿宋_GB2312"/>
          <w:b w:val="0"/>
          <w:bCs w:val="0"/>
          <w:kern w:val="0"/>
          <w:position w:val="0"/>
          <w:sz w:val="32"/>
          <w:szCs w:val="32"/>
          <w:highlight w:val="none"/>
          <w:lang w:val="zh-CN" w:eastAsia="zh-CN" w:bidi="ar-SA"/>
        </w:rPr>
        <w:t>。</w:t>
      </w:r>
    </w:p>
    <w:p w14:paraId="1BB5D5B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（五）评价组织。</w:t>
      </w:r>
    </w:p>
    <w:p w14:paraId="42251A1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仿宋_GB2312" w:cs="仿宋_GB2312"/>
          <w:b w:val="0"/>
          <w:bCs w:val="0"/>
          <w:color w:val="auto"/>
          <w:kern w:val="0"/>
          <w:position w:val="0"/>
          <w:sz w:val="32"/>
          <w:szCs w:val="32"/>
          <w:highlight w:val="none"/>
          <w:lang w:val="zh-CN" w:eastAsia="zh-CN" w:bidi="ar-SA"/>
        </w:rPr>
        <w:t>成立项目绩效自评工作组：</w:t>
      </w:r>
    </w:p>
    <w:p w14:paraId="4A3D19E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仿宋_GB2312" w:cs="仿宋_GB2312"/>
          <w:b w:val="0"/>
          <w:bCs w:val="0"/>
          <w:color w:val="auto"/>
          <w:kern w:val="0"/>
          <w:position w:val="0"/>
          <w:sz w:val="32"/>
          <w:szCs w:val="32"/>
          <w:highlight w:val="none"/>
          <w:lang w:val="zh-CN" w:eastAsia="zh-CN" w:bidi="ar-SA"/>
        </w:rPr>
        <w:t>组长：</w:t>
      </w:r>
      <w:r>
        <w:rPr>
          <w:rFonts w:hint="eastAsia" w:eastAsia="仿宋_GB2312" w:cs="仿宋_GB2312"/>
          <w:b w:val="0"/>
          <w:bCs w:val="0"/>
          <w:color w:val="auto"/>
          <w:kern w:val="0"/>
          <w:position w:val="0"/>
          <w:sz w:val="32"/>
          <w:szCs w:val="32"/>
          <w:highlight w:val="none"/>
          <w:lang w:val="zh-CN" w:eastAsia="zh-CN" w:bidi="ar-SA"/>
        </w:rPr>
        <w:t>市</w:t>
      </w:r>
      <w:r>
        <w:rPr>
          <w:rFonts w:hint="eastAsia" w:ascii="Times New Roman" w:hAnsi="Times New Roman" w:eastAsia="仿宋_GB2312" w:cs="仿宋_GB2312"/>
          <w:b w:val="0"/>
          <w:bCs w:val="0"/>
          <w:color w:val="auto"/>
          <w:kern w:val="0"/>
          <w:position w:val="0"/>
          <w:sz w:val="32"/>
          <w:szCs w:val="32"/>
          <w:highlight w:val="none"/>
          <w:lang w:val="zh-CN" w:eastAsia="zh-CN" w:bidi="ar-SA"/>
        </w:rPr>
        <w:t>总工会财务部部长</w:t>
      </w:r>
    </w:p>
    <w:p w14:paraId="31FD324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仿宋_GB2312" w:cs="仿宋_GB2312"/>
          <w:b w:val="0"/>
          <w:bCs w:val="0"/>
          <w:color w:val="auto"/>
          <w:kern w:val="0"/>
          <w:position w:val="0"/>
          <w:sz w:val="32"/>
          <w:szCs w:val="32"/>
          <w:highlight w:val="none"/>
          <w:lang w:val="zh-CN" w:eastAsia="zh-CN" w:bidi="ar-SA"/>
        </w:rPr>
        <w:t>副组长：</w:t>
      </w:r>
      <w:r>
        <w:rPr>
          <w:rFonts w:hint="eastAsia" w:eastAsia="仿宋_GB2312" w:cs="仿宋_GB2312"/>
          <w:b w:val="0"/>
          <w:bCs w:val="0"/>
          <w:color w:val="auto"/>
          <w:kern w:val="0"/>
          <w:position w:val="0"/>
          <w:sz w:val="32"/>
          <w:szCs w:val="32"/>
          <w:highlight w:val="none"/>
          <w:lang w:val="zh-CN" w:eastAsia="zh-CN" w:bidi="ar-SA"/>
        </w:rPr>
        <w:t>市</w:t>
      </w:r>
      <w:r>
        <w:rPr>
          <w:rFonts w:hint="eastAsia" w:ascii="Times New Roman" w:hAnsi="Times New Roman" w:eastAsia="仿宋_GB2312" w:cs="仿宋_GB2312"/>
          <w:b w:val="0"/>
          <w:bCs w:val="0"/>
          <w:color w:val="auto"/>
          <w:kern w:val="0"/>
          <w:position w:val="0"/>
          <w:sz w:val="32"/>
          <w:szCs w:val="32"/>
          <w:highlight w:val="none"/>
          <w:lang w:val="zh-CN" w:eastAsia="zh-CN" w:bidi="ar-SA"/>
        </w:rPr>
        <w:t>总工会保障部部长</w:t>
      </w:r>
    </w:p>
    <w:p w14:paraId="4DB2A5B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仿宋_GB2312" w:cs="仿宋_GB2312"/>
          <w:b w:val="0"/>
          <w:bCs w:val="0"/>
          <w:color w:val="auto"/>
          <w:kern w:val="0"/>
          <w:position w:val="0"/>
          <w:sz w:val="32"/>
          <w:szCs w:val="32"/>
          <w:highlight w:val="none"/>
          <w:lang w:val="zh-CN" w:eastAsia="zh-CN" w:bidi="ar-SA"/>
        </w:rPr>
        <w:t>成员：由省总工会财务部、保障部、经济</w:t>
      </w:r>
      <w:r>
        <w:rPr>
          <w:rFonts w:hint="eastAsia" w:eastAsia="仿宋_GB2312" w:cs="仿宋_GB2312"/>
          <w:b w:val="0"/>
          <w:bCs w:val="0"/>
          <w:color w:val="auto"/>
          <w:kern w:val="0"/>
          <w:position w:val="0"/>
          <w:sz w:val="32"/>
          <w:szCs w:val="32"/>
          <w:highlight w:val="none"/>
          <w:lang w:val="zh-CN" w:eastAsia="zh-CN" w:bidi="ar-SA"/>
        </w:rPr>
        <w:t>技术</w:t>
      </w:r>
      <w:r>
        <w:rPr>
          <w:rFonts w:hint="eastAsia" w:ascii="Times New Roman" w:hAnsi="Times New Roman" w:eastAsia="仿宋_GB2312" w:cs="仿宋_GB2312"/>
          <w:b w:val="0"/>
          <w:bCs w:val="0"/>
          <w:color w:val="auto"/>
          <w:kern w:val="0"/>
          <w:position w:val="0"/>
          <w:sz w:val="32"/>
          <w:szCs w:val="32"/>
          <w:highlight w:val="none"/>
          <w:lang w:val="zh-CN" w:eastAsia="zh-CN" w:bidi="ar-SA"/>
        </w:rPr>
        <w:t>部及第三方机构专家组成。</w:t>
      </w:r>
    </w:p>
    <w:p w14:paraId="41EB8B2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Cs/>
          <w:color w:val="auto"/>
          <w:lang w:eastAsia="zh-CN"/>
        </w:rPr>
      </w:pPr>
      <w:r>
        <w:rPr>
          <w:rFonts w:hint="eastAsia" w:ascii="Times New Roman" w:hAnsi="Times New Roman" w:eastAsia="仿宋_GB2312" w:cs="仿宋_GB2312"/>
          <w:b w:val="0"/>
          <w:bCs w:val="0"/>
          <w:color w:val="auto"/>
          <w:kern w:val="0"/>
          <w:position w:val="0"/>
          <w:sz w:val="32"/>
          <w:szCs w:val="32"/>
          <w:highlight w:val="none"/>
          <w:lang w:val="zh-CN" w:eastAsia="zh-CN" w:bidi="ar-SA"/>
        </w:rPr>
        <w:t>职责分工：组长负责总协调；财务部成员负责资金管理、预算执行方面评价；业务部门成员负责项目实施、效果实现方面评价；第三方专家提供专业技术支持。</w:t>
      </w:r>
    </w:p>
    <w:p w14:paraId="25AF97A2">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77B127B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7C967AE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w:t>
      </w:r>
      <w:r>
        <w:rPr>
          <w:rFonts w:hint="eastAsia" w:eastAsia="仿宋_GB2312" w:cs="仿宋_GB2312"/>
          <w:b w:val="0"/>
          <w:bCs w:val="0"/>
          <w:kern w:val="0"/>
          <w:position w:val="0"/>
          <w:sz w:val="32"/>
          <w:szCs w:val="32"/>
          <w:highlight w:val="none"/>
          <w:lang w:val="zh-CN" w:eastAsia="zh-CN" w:bidi="ar-SA"/>
        </w:rPr>
        <w:t>（得分：</w:t>
      </w:r>
      <w:r>
        <w:rPr>
          <w:rFonts w:hint="eastAsia" w:eastAsia="仿宋_GB2312" w:cs="仿宋_GB2312"/>
          <w:b w:val="0"/>
          <w:bCs w:val="0"/>
          <w:kern w:val="0"/>
          <w:position w:val="0"/>
          <w:sz w:val="32"/>
          <w:szCs w:val="32"/>
          <w:highlight w:val="none"/>
          <w:lang w:val="en-US" w:eastAsia="zh-CN" w:bidi="ar-SA"/>
        </w:rPr>
        <w:t>15</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。项目设立依据充分，符合政策方向和部门职责。决策程序规范，经过必要论证。资金投向明确，聚焦主责主业。</w:t>
      </w:r>
    </w:p>
    <w:p w14:paraId="3BF2DF1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w:t>
      </w:r>
      <w:r>
        <w:rPr>
          <w:rFonts w:hint="eastAsia" w:eastAsia="仿宋_GB2312" w:cs="仿宋_GB2312"/>
          <w:b w:val="0"/>
          <w:bCs w:val="0"/>
          <w:kern w:val="0"/>
          <w:position w:val="0"/>
          <w:sz w:val="32"/>
          <w:szCs w:val="32"/>
          <w:highlight w:val="none"/>
          <w:lang w:val="zh-CN" w:eastAsia="zh-CN" w:bidi="ar-SA"/>
        </w:rPr>
        <w:t>（得分：</w:t>
      </w:r>
      <w:r>
        <w:rPr>
          <w:rFonts w:hint="eastAsia" w:eastAsia="仿宋_GB2312" w:cs="仿宋_GB2312"/>
          <w:b w:val="0"/>
          <w:bCs w:val="0"/>
          <w:kern w:val="0"/>
          <w:position w:val="0"/>
          <w:sz w:val="32"/>
          <w:szCs w:val="32"/>
          <w:highlight w:val="none"/>
          <w:lang w:val="en-US" w:eastAsia="zh-CN" w:bidi="ar-SA"/>
        </w:rPr>
        <w:t>15</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。资金管理办法健全，内控流程清晰。分配过程相对规范，考虑了关键因素。绩效目标设置基本合理，开展了绩效监控。</w:t>
      </w:r>
    </w:p>
    <w:p w14:paraId="1494BFC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3.项目实施（得分：1</w:t>
      </w:r>
      <w:r>
        <w:rPr>
          <w:rFonts w:hint="eastAsia" w:eastAsia="仿宋_GB2312" w:cs="仿宋_GB2312"/>
          <w:b w:val="0"/>
          <w:bCs w:val="0"/>
          <w:kern w:val="0"/>
          <w:position w:val="0"/>
          <w:sz w:val="32"/>
          <w:szCs w:val="32"/>
          <w:highlight w:val="none"/>
          <w:lang w:val="en-US" w:eastAsia="zh-CN" w:bidi="ar-SA"/>
        </w:rPr>
        <w:t>5</w:t>
      </w:r>
      <w:r>
        <w:rPr>
          <w:rFonts w:hint="eastAsia" w:ascii="Times New Roman" w:hAnsi="Times New Roman"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预算执行进度</w:t>
      </w:r>
      <w:r>
        <w:rPr>
          <w:rFonts w:hint="eastAsia" w:eastAsia="仿宋_GB2312" w:cs="仿宋_GB2312"/>
          <w:b w:val="0"/>
          <w:bCs w:val="0"/>
          <w:kern w:val="0"/>
          <w:position w:val="0"/>
          <w:sz w:val="32"/>
          <w:szCs w:val="32"/>
          <w:highlight w:val="none"/>
          <w:lang w:val="zh-CN" w:eastAsia="zh-CN" w:bidi="ar-SA"/>
        </w:rPr>
        <w:t>良好</w:t>
      </w:r>
      <w:r>
        <w:rPr>
          <w:rFonts w:hint="eastAsia" w:ascii="Times New Roman" w:hAnsi="Times New Roman" w:eastAsia="仿宋_GB2312" w:cs="仿宋_GB2312"/>
          <w:b w:val="0"/>
          <w:bCs w:val="0"/>
          <w:kern w:val="0"/>
          <w:position w:val="0"/>
          <w:sz w:val="32"/>
          <w:szCs w:val="32"/>
          <w:highlight w:val="none"/>
          <w:lang w:val="zh-CN" w:eastAsia="zh-CN" w:bidi="ar-SA"/>
        </w:rPr>
        <w:t>，资金拨付及时。资金使用符合规定用途，未发现重大违规情况。</w:t>
      </w:r>
    </w:p>
    <w:p w14:paraId="73A635B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4.项目结果（得分：15）。</w:t>
      </w:r>
      <w:r>
        <w:rPr>
          <w:rFonts w:hint="eastAsia" w:ascii="Times New Roman" w:hAnsi="Times New Roman" w:eastAsia="仿宋_GB2312" w:cs="仿宋_GB2312"/>
          <w:b w:val="0"/>
          <w:bCs w:val="0"/>
          <w:kern w:val="0"/>
          <w:position w:val="0"/>
          <w:sz w:val="32"/>
          <w:szCs w:val="32"/>
          <w:highlight w:val="none"/>
          <w:lang w:val="zh-CN" w:eastAsia="zh-CN" w:bidi="ar-SA"/>
        </w:rPr>
        <w:t>年度帮扶和慰问人次目标已完成。各项活动均按计划时间节点开展。</w:t>
      </w:r>
    </w:p>
    <w:p w14:paraId="0E0D2E5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07443EE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lang w:val="en-US" w:eastAsia="zh-CN"/>
        </w:rPr>
      </w:pPr>
      <w:r>
        <w:rPr>
          <w:rFonts w:hint="eastAsia" w:ascii="Times New Roman" w:hAnsi="Times New Roman" w:eastAsia="仿宋_GB2312" w:cs="仿宋_GB2312"/>
          <w:b w:val="0"/>
          <w:bCs w:val="0"/>
          <w:kern w:val="0"/>
          <w:position w:val="0"/>
          <w:sz w:val="32"/>
          <w:szCs w:val="32"/>
          <w:highlight w:val="none"/>
          <w:lang w:val="zh-CN" w:eastAsia="zh-CN" w:bidi="ar-SA"/>
        </w:rPr>
        <w:t>民生保障</w:t>
      </w:r>
      <w:r>
        <w:rPr>
          <w:rFonts w:hint="eastAsia" w:eastAsia="仿宋_GB2312" w:cs="仿宋_GB2312"/>
          <w:b w:val="0"/>
          <w:bCs w:val="0"/>
          <w:kern w:val="0"/>
          <w:position w:val="0"/>
          <w:sz w:val="32"/>
          <w:szCs w:val="32"/>
          <w:highlight w:val="none"/>
          <w:lang w:val="zh-CN" w:eastAsia="zh-CN" w:bidi="ar-SA"/>
        </w:rPr>
        <w:t>（得分：</w:t>
      </w:r>
      <w:r>
        <w:rPr>
          <w:rFonts w:hint="eastAsia" w:eastAsia="仿宋_GB2312" w:cs="仿宋_GB2312"/>
          <w:b w:val="0"/>
          <w:bCs w:val="0"/>
          <w:kern w:val="0"/>
          <w:position w:val="0"/>
          <w:sz w:val="32"/>
          <w:szCs w:val="32"/>
          <w:highlight w:val="none"/>
          <w:lang w:val="en-US" w:eastAsia="zh-CN" w:bidi="ar-SA"/>
        </w:rPr>
        <w:t>19</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。资金分配考虑了地区差异，一定程度上促进了区域均衡</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大部分地区能做到精准识别，但个别地区动态调整机制有待加强</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帮扶和慰问标准基本合理，与经济社会发展水平相适应</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受助职工和劳模总体满意度较高。</w:t>
      </w:r>
    </w:p>
    <w:p w14:paraId="13CBD98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62E4DC7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1.帮扶措施针对性指数（得分：10）。考察针对不同致困原因采取差异化帮扶措施的比率和适用性。</w:t>
      </w:r>
    </w:p>
    <w:p w14:paraId="1440713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2.劳模荣誉感提升度（得分：10）。慰问活动有效增强了劳模的荣誉感和归属感。</w:t>
      </w:r>
    </w:p>
    <w:p w14:paraId="6CD9474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39A0514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本项目绩效自评总体得分为</w:t>
      </w:r>
      <w:r>
        <w:rPr>
          <w:rFonts w:hint="eastAsia" w:eastAsia="仿宋_GB2312" w:cs="仿宋_GB2312"/>
          <w:b w:val="0"/>
          <w:bCs w:val="0"/>
          <w:kern w:val="0"/>
          <w:position w:val="0"/>
          <w:sz w:val="32"/>
          <w:szCs w:val="32"/>
          <w:highlight w:val="none"/>
          <w:lang w:val="en-US" w:eastAsia="zh-CN" w:bidi="ar-SA"/>
        </w:rPr>
        <w:t>99</w:t>
      </w:r>
      <w:r>
        <w:rPr>
          <w:rFonts w:hint="eastAsia" w:ascii="Times New Roman" w:hAnsi="Times New Roman" w:eastAsia="仿宋_GB2312" w:cs="仿宋_GB2312"/>
          <w:b w:val="0"/>
          <w:bCs w:val="0"/>
          <w:kern w:val="0"/>
          <w:position w:val="0"/>
          <w:sz w:val="32"/>
          <w:szCs w:val="32"/>
          <w:highlight w:val="none"/>
          <w:lang w:val="zh-CN" w:eastAsia="zh-CN" w:bidi="ar-SA"/>
        </w:rPr>
        <w:t>分，绩效等级为</w:t>
      </w:r>
      <w:r>
        <w:rPr>
          <w:rFonts w:hint="eastAsia" w:eastAsia="仿宋_GB2312" w:cs="仿宋_GB2312"/>
          <w:b w:val="0"/>
          <w:bCs w:val="0"/>
          <w:kern w:val="0"/>
          <w:position w:val="0"/>
          <w:sz w:val="32"/>
          <w:szCs w:val="32"/>
          <w:highlight w:val="none"/>
          <w:lang w:val="zh-CN" w:eastAsia="zh-CN" w:bidi="ar-SA"/>
        </w:rPr>
        <w:t>“优”</w:t>
      </w:r>
      <w:r>
        <w:rPr>
          <w:rFonts w:hint="eastAsia" w:ascii="Times New Roman" w:hAnsi="Times New Roman" w:eastAsia="仿宋_GB2312" w:cs="仿宋_GB2312"/>
          <w:b w:val="0"/>
          <w:bCs w:val="0"/>
          <w:kern w:val="0"/>
          <w:position w:val="0"/>
          <w:sz w:val="32"/>
          <w:szCs w:val="32"/>
          <w:highlight w:val="none"/>
          <w:lang w:val="zh-CN" w:eastAsia="zh-CN" w:bidi="ar-SA"/>
        </w:rPr>
        <w:t>。评价认为，省级困难职工帮扶和劳模慰问专项资金立项依据充分，管理较为规范，资金使用方向正确，基本实现了预设绩效目标，在保障基本民生、弘扬正能量方面取得了积极成效。</w:t>
      </w:r>
    </w:p>
    <w:p w14:paraId="682812B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10A9858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en-US" w:eastAsia="zh-CN" w:bidi="ar-SA"/>
        </w:rPr>
        <w:t>对象动态管理需加强：部分市县困难职工档案更新不及时，存在信息滞后现象，影响帮扶精准性。</w:t>
      </w:r>
    </w:p>
    <w:p w14:paraId="4036E17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en-US" w:eastAsia="zh-CN" w:bidi="ar-SA"/>
        </w:rPr>
        <w:t>资金执行进度不均衡：部分地区资金发放集中在年底，前期执行进度偏慢。</w:t>
      </w:r>
    </w:p>
    <w:p w14:paraId="603A8C7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3.</w:t>
      </w:r>
      <w:r>
        <w:rPr>
          <w:rFonts w:hint="eastAsia" w:ascii="Times New Roman" w:hAnsi="Times New Roman" w:eastAsia="仿宋_GB2312" w:cs="仿宋_GB2312"/>
          <w:b w:val="0"/>
          <w:bCs w:val="0"/>
          <w:kern w:val="0"/>
          <w:position w:val="0"/>
          <w:sz w:val="32"/>
          <w:szCs w:val="32"/>
          <w:highlight w:val="none"/>
          <w:lang w:val="en-US" w:eastAsia="zh-CN" w:bidi="ar-SA"/>
        </w:rPr>
        <w:t>政策宣传覆盖面有待扩大：部分边缘困难职工对帮扶政策知晓度不高，申请积极性有待提升。</w:t>
      </w:r>
    </w:p>
    <w:p w14:paraId="4382C17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en-US" w:eastAsia="zh-CN" w:bidi="ar-SA"/>
        </w:rPr>
        <w:t>绩效评价结果运用不足：评价结果与下年度预算安排、政策调整的挂钩机制不够紧密。</w:t>
      </w:r>
    </w:p>
    <w:p w14:paraId="75705E6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65096BD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en-US" w:eastAsia="zh-CN" w:bidi="ar-SA"/>
        </w:rPr>
        <w:t>针对对象管理问题：建议完善全省统一的困难职工信息化管理系统，建立常态化摸排和动态调整机制，确保帮扶对象精准识别。</w:t>
      </w:r>
    </w:p>
    <w:p w14:paraId="26A6BAC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en-US" w:eastAsia="zh-CN" w:bidi="ar-SA"/>
        </w:rPr>
        <w:t>针对执行进度问题：建议优化资金拨付流程，加强预算执行进度通报和督导，督促市县提前谋划，按时间节点推进工作。</w:t>
      </w:r>
    </w:p>
    <w:p w14:paraId="152A2EB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3.</w:t>
      </w:r>
      <w:r>
        <w:rPr>
          <w:rFonts w:hint="eastAsia" w:ascii="Times New Roman" w:hAnsi="Times New Roman" w:eastAsia="仿宋_GB2312" w:cs="仿宋_GB2312"/>
          <w:b w:val="0"/>
          <w:bCs w:val="0"/>
          <w:kern w:val="0"/>
          <w:position w:val="0"/>
          <w:sz w:val="32"/>
          <w:szCs w:val="32"/>
          <w:highlight w:val="none"/>
          <w:lang w:val="en-US" w:eastAsia="zh-CN" w:bidi="ar-SA"/>
        </w:rPr>
        <w:t>针对政策宣传问题：建议通过多种渠道加大政策宣传力度，提高政策透明度和知晓率。</w:t>
      </w:r>
    </w:p>
    <w:p w14:paraId="114B6E3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en-US" w:eastAsia="zh-CN" w:bidi="ar-SA"/>
        </w:rPr>
        <w:t>针对结果运用问题：建议强化绩效评价结果的运用，将评价结果作为改进管理、调整政策和预算安排的重要依据，建立奖优罚劣的机制。</w:t>
      </w:r>
    </w:p>
    <w:p w14:paraId="52FD37F4">
      <w:pPr>
        <w:pStyle w:val="2"/>
        <w:rPr>
          <w:rFonts w:hint="eastAsia"/>
          <w:lang w:val="en-US" w:eastAsia="zh-CN"/>
        </w:rPr>
      </w:pPr>
    </w:p>
    <w:p w14:paraId="4E55857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0AB763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71"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4FDF5C4A">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66"/>
      <w:bookmarkEnd w:id="71"/>
      <w:bookmarkStart w:id="72" w:name="_Toc15396619"/>
    </w:p>
    <w:p w14:paraId="035E6E2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9CAF3E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72"/>
    </w:p>
    <w:p w14:paraId="726B52C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20"/>
      <w:r>
        <w:rPr>
          <w:rFonts w:hint="eastAsia" w:ascii="Times New Roman" w:hAnsi="Times New Roman" w:eastAsia="仿宋_GB2312" w:cs="仿宋_GB2312"/>
          <w:color w:val="auto"/>
          <w:sz w:val="32"/>
          <w:szCs w:val="32"/>
          <w:highlight w:val="none"/>
        </w:rPr>
        <w:t>二、收入决算表</w:t>
      </w:r>
      <w:bookmarkEnd w:id="73"/>
    </w:p>
    <w:p w14:paraId="0D3E973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1"/>
      <w:r>
        <w:rPr>
          <w:rFonts w:hint="eastAsia" w:ascii="Times New Roman" w:hAnsi="Times New Roman" w:eastAsia="仿宋_GB2312" w:cs="仿宋_GB2312"/>
          <w:color w:val="auto"/>
          <w:sz w:val="32"/>
          <w:szCs w:val="32"/>
          <w:highlight w:val="none"/>
        </w:rPr>
        <w:t>三、支出决算表</w:t>
      </w:r>
      <w:bookmarkEnd w:id="74"/>
    </w:p>
    <w:p w14:paraId="4ED0995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5" w:name="_Toc15396622"/>
      <w:r>
        <w:rPr>
          <w:rFonts w:hint="eastAsia" w:ascii="Times New Roman" w:hAnsi="Times New Roman" w:eastAsia="仿宋_GB2312" w:cs="仿宋_GB2312"/>
          <w:color w:val="auto"/>
          <w:sz w:val="32"/>
          <w:szCs w:val="32"/>
          <w:highlight w:val="none"/>
        </w:rPr>
        <w:t>四、财政拨款收入支出决算总表</w:t>
      </w:r>
      <w:bookmarkEnd w:id="75"/>
    </w:p>
    <w:p w14:paraId="334149B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23"/>
      <w:r>
        <w:rPr>
          <w:rFonts w:hint="eastAsia" w:ascii="Times New Roman" w:hAnsi="Times New Roman" w:eastAsia="仿宋_GB2312" w:cs="仿宋_GB2312"/>
          <w:color w:val="auto"/>
          <w:sz w:val="32"/>
          <w:szCs w:val="32"/>
          <w:highlight w:val="none"/>
        </w:rPr>
        <w:t>五、财政拨款支出决算明细表</w:t>
      </w:r>
      <w:bookmarkEnd w:id="76"/>
      <w:bookmarkStart w:id="77" w:name="_Toc15396624"/>
    </w:p>
    <w:p w14:paraId="0CCFF07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7"/>
    </w:p>
    <w:p w14:paraId="7861007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5"/>
      <w:r>
        <w:rPr>
          <w:rFonts w:hint="eastAsia" w:ascii="Times New Roman" w:hAnsi="Times New Roman" w:eastAsia="仿宋_GB2312" w:cs="仿宋_GB2312"/>
          <w:color w:val="auto"/>
          <w:sz w:val="32"/>
          <w:szCs w:val="32"/>
          <w:highlight w:val="none"/>
        </w:rPr>
        <w:t>七、一般公共预算财政拨款支出决算明细表</w:t>
      </w:r>
      <w:bookmarkEnd w:id="78"/>
    </w:p>
    <w:p w14:paraId="5BAE3DB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26"/>
      <w:r>
        <w:rPr>
          <w:rFonts w:hint="eastAsia" w:ascii="Times New Roman" w:hAnsi="Times New Roman" w:eastAsia="仿宋_GB2312" w:cs="仿宋_GB2312"/>
          <w:color w:val="auto"/>
          <w:sz w:val="32"/>
          <w:szCs w:val="32"/>
          <w:highlight w:val="none"/>
        </w:rPr>
        <w:t>八、一般公共预算财政拨款基本支出决算表</w:t>
      </w:r>
      <w:bookmarkEnd w:id="79"/>
    </w:p>
    <w:p w14:paraId="239DA15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0" w:name="_Toc15396627"/>
      <w:r>
        <w:rPr>
          <w:rFonts w:hint="eastAsia" w:ascii="Times New Roman" w:hAnsi="Times New Roman" w:eastAsia="仿宋_GB2312" w:cs="仿宋_GB2312"/>
          <w:color w:val="auto"/>
          <w:sz w:val="32"/>
          <w:szCs w:val="32"/>
          <w:highlight w:val="none"/>
        </w:rPr>
        <w:t>九、一般公共预算财政拨款项目支出决算表</w:t>
      </w:r>
      <w:bookmarkEnd w:id="80"/>
    </w:p>
    <w:p w14:paraId="5ECDD9A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1" w:name="_Toc15396628"/>
      <w:r>
        <w:rPr>
          <w:rFonts w:hint="eastAsia" w:ascii="Times New Roman" w:hAnsi="Times New Roman" w:eastAsia="仿宋_GB2312" w:cs="仿宋_GB2312"/>
          <w:color w:val="auto"/>
          <w:sz w:val="32"/>
          <w:szCs w:val="32"/>
          <w:highlight w:val="none"/>
        </w:rPr>
        <w:t>十、</w:t>
      </w:r>
      <w:bookmarkEnd w:id="81"/>
      <w:r>
        <w:rPr>
          <w:rFonts w:hint="eastAsia" w:ascii="Times New Roman" w:hAnsi="Times New Roman" w:eastAsia="仿宋_GB2312" w:cs="仿宋_GB2312"/>
          <w:color w:val="auto"/>
          <w:sz w:val="32"/>
          <w:szCs w:val="32"/>
          <w:highlight w:val="none"/>
        </w:rPr>
        <w:t>政府性基金预算财政拨款收入支出决算表</w:t>
      </w:r>
      <w:r>
        <w:rPr>
          <w:rFonts w:hint="eastAsia" w:eastAsia="仿宋_GB2312" w:cs="仿宋_GB2312"/>
          <w:color w:val="auto"/>
          <w:sz w:val="32"/>
          <w:szCs w:val="32"/>
          <w:highlight w:val="none"/>
          <w:lang w:eastAsia="zh-CN"/>
        </w:rPr>
        <w:t>（此表无数据）</w:t>
      </w:r>
    </w:p>
    <w:p w14:paraId="2ECE730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2" w:name="_Toc15396629"/>
      <w:r>
        <w:rPr>
          <w:rFonts w:hint="eastAsia" w:ascii="Times New Roman" w:hAnsi="Times New Roman" w:eastAsia="仿宋_GB2312" w:cs="仿宋_GB2312"/>
          <w:color w:val="auto"/>
          <w:sz w:val="32"/>
          <w:szCs w:val="32"/>
          <w:highlight w:val="none"/>
        </w:rPr>
        <w:t>十一、</w:t>
      </w:r>
      <w:bookmarkEnd w:id="82"/>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支出决算表（此表无数据）</w:t>
      </w:r>
    </w:p>
    <w:p w14:paraId="17F6B6D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3" w:name="_Toc15396630"/>
      <w:r>
        <w:rPr>
          <w:rFonts w:hint="eastAsia" w:ascii="Times New Roman" w:hAnsi="Times New Roman" w:eastAsia="仿宋_GB2312" w:cs="仿宋_GB2312"/>
          <w:color w:val="auto"/>
          <w:sz w:val="32"/>
          <w:szCs w:val="32"/>
          <w:highlight w:val="none"/>
        </w:rPr>
        <w:t>十二、</w:t>
      </w:r>
      <w:bookmarkEnd w:id="83"/>
      <w:r>
        <w:rPr>
          <w:rFonts w:hint="eastAsia" w:ascii="Times New Roman" w:hAnsi="Times New Roman" w:eastAsia="仿宋_GB2312" w:cs="仿宋_GB2312"/>
          <w:color w:val="auto"/>
          <w:sz w:val="32"/>
          <w:szCs w:val="32"/>
          <w:highlight w:val="none"/>
          <w:lang w:eastAsia="zh-CN"/>
        </w:rPr>
        <w:t>国有资本经营预算财政拨款支出决算表（此表无数据）</w:t>
      </w:r>
    </w:p>
    <w:p w14:paraId="552DDB5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4" w:name="_Toc15396631"/>
      <w:r>
        <w:rPr>
          <w:rFonts w:hint="eastAsia" w:ascii="Times New Roman" w:hAnsi="Times New Roman" w:eastAsia="仿宋_GB2312" w:cs="仿宋_GB2312"/>
          <w:color w:val="auto"/>
          <w:sz w:val="32"/>
          <w:szCs w:val="32"/>
          <w:highlight w:val="none"/>
        </w:rPr>
        <w:t>十三、</w:t>
      </w:r>
      <w:bookmarkEnd w:id="84"/>
      <w:r>
        <w:rPr>
          <w:rFonts w:hint="eastAsia" w:ascii="Times New Roman" w:hAnsi="Times New Roman" w:eastAsia="仿宋_GB2312" w:cs="仿宋_GB2312"/>
          <w:color w:val="auto"/>
          <w:sz w:val="32"/>
          <w:szCs w:val="32"/>
          <w:highlight w:val="none"/>
          <w:lang w:eastAsia="zh-CN"/>
        </w:rPr>
        <w:t>财政拨款“三公”经费支出决算表（此表无数据）</w:t>
      </w:r>
    </w:p>
    <w:p w14:paraId="207847F0">
      <w:pPr>
        <w:rPr>
          <w:rFonts w:hint="eastAsia" w:ascii="Times New Roman" w:hAnsi="Times New Roman"/>
          <w:lang w:eastAsia="zh-CN"/>
        </w:rPr>
      </w:pPr>
    </w:p>
    <w:sectPr>
      <w:footerReference r:id="rId10" w:type="first"/>
      <w:footerReference r:id="rId9"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A40B7">
    <w:pPr>
      <w:pStyle w:val="11"/>
      <w:jc w:val="center"/>
    </w:pPr>
  </w:p>
  <w:p w14:paraId="4E118E8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E83EB">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F1D5E">
    <w:pPr>
      <w:pStyle w:val="11"/>
      <w:jc w:val="both"/>
    </w:pPr>
  </w:p>
  <w:p w14:paraId="1289AB9E">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037D4">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A90D5">
    <w:pPr>
      <w:pStyle w:val="11"/>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BD0C4">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A0BD0C4">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6FD015A2">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2BCA2">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9125E">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DA33B">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A7C9CD"/>
    <w:multiLevelType w:val="singleLevel"/>
    <w:tmpl w:val="E9A7C9CD"/>
    <w:lvl w:ilvl="0" w:tentative="0">
      <w:start w:val="2"/>
      <w:numFmt w:val="chineseCounting"/>
      <w:suff w:val="nothing"/>
      <w:lvlText w:val="（%1）"/>
      <w:lvlJc w:val="left"/>
      <w:rPr>
        <w:rFonts w:hint="eastAsia"/>
      </w:rPr>
    </w:lvl>
  </w:abstractNum>
  <w:abstractNum w:abstractNumId="1">
    <w:nsid w:val="013C67C6"/>
    <w:multiLevelType w:val="singleLevel"/>
    <w:tmpl w:val="013C67C6"/>
    <w:lvl w:ilvl="0" w:tentative="0">
      <w:start w:val="1"/>
      <w:numFmt w:val="chineseCounting"/>
      <w:suff w:val="nothing"/>
      <w:lvlText w:val="%1、"/>
      <w:lvlJc w:val="left"/>
      <w:rPr>
        <w:rFonts w:hint="eastAsia"/>
      </w:rPr>
    </w:lvl>
  </w:abstractNum>
  <w:abstractNum w:abstractNumId="2">
    <w:nsid w:val="4EF66FAC"/>
    <w:multiLevelType w:val="singleLevel"/>
    <w:tmpl w:val="4EF66FAC"/>
    <w:lvl w:ilvl="0" w:tentative="0">
      <w:start w:val="1"/>
      <w:numFmt w:val="chineseCounting"/>
      <w:suff w:val="nothing"/>
      <w:lvlText w:val="（%1）"/>
      <w:lvlJc w:val="left"/>
      <w:rPr>
        <w:rFonts w:hint="eastAsia"/>
      </w:rPr>
    </w:lvl>
  </w:abstractNum>
  <w:abstractNum w:abstractNumId="3">
    <w:nsid w:val="6CD3062A"/>
    <w:multiLevelType w:val="singleLevel"/>
    <w:tmpl w:val="6CD3062A"/>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820CEF"/>
    <w:rsid w:val="02FEBE30"/>
    <w:rsid w:val="03E77005"/>
    <w:rsid w:val="04916F1E"/>
    <w:rsid w:val="04CE22CC"/>
    <w:rsid w:val="061E35DE"/>
    <w:rsid w:val="066E0107"/>
    <w:rsid w:val="07996F6E"/>
    <w:rsid w:val="07DFD8BA"/>
    <w:rsid w:val="07E00A7E"/>
    <w:rsid w:val="085A2C71"/>
    <w:rsid w:val="09867E8F"/>
    <w:rsid w:val="0A2032A3"/>
    <w:rsid w:val="0A633C97"/>
    <w:rsid w:val="0CA8290A"/>
    <w:rsid w:val="0D110C4F"/>
    <w:rsid w:val="0D35B1ED"/>
    <w:rsid w:val="0E254B6B"/>
    <w:rsid w:val="0EF21A00"/>
    <w:rsid w:val="0F98263C"/>
    <w:rsid w:val="101860EC"/>
    <w:rsid w:val="101F47CC"/>
    <w:rsid w:val="10C055FF"/>
    <w:rsid w:val="110727F2"/>
    <w:rsid w:val="11694EBD"/>
    <w:rsid w:val="11772AA4"/>
    <w:rsid w:val="118107EC"/>
    <w:rsid w:val="12E24EE2"/>
    <w:rsid w:val="134F4A53"/>
    <w:rsid w:val="13D50BC4"/>
    <w:rsid w:val="14B17F78"/>
    <w:rsid w:val="165E0673"/>
    <w:rsid w:val="16B831D5"/>
    <w:rsid w:val="16BB723D"/>
    <w:rsid w:val="1712246D"/>
    <w:rsid w:val="17E50567"/>
    <w:rsid w:val="186504BB"/>
    <w:rsid w:val="18733E84"/>
    <w:rsid w:val="190A7209"/>
    <w:rsid w:val="19A445FC"/>
    <w:rsid w:val="1BE8440E"/>
    <w:rsid w:val="1BF41B7A"/>
    <w:rsid w:val="1CB60611"/>
    <w:rsid w:val="1D155CEE"/>
    <w:rsid w:val="1D1638FE"/>
    <w:rsid w:val="1E312DEB"/>
    <w:rsid w:val="1E740ACF"/>
    <w:rsid w:val="1FCC08C6"/>
    <w:rsid w:val="1FF35744"/>
    <w:rsid w:val="1FF6BC77"/>
    <w:rsid w:val="207D1B7A"/>
    <w:rsid w:val="20D9162C"/>
    <w:rsid w:val="2186353C"/>
    <w:rsid w:val="23860B96"/>
    <w:rsid w:val="240371BF"/>
    <w:rsid w:val="244F3473"/>
    <w:rsid w:val="24C97D99"/>
    <w:rsid w:val="256B13EC"/>
    <w:rsid w:val="25A718F0"/>
    <w:rsid w:val="25BB59F6"/>
    <w:rsid w:val="260F557C"/>
    <w:rsid w:val="26970054"/>
    <w:rsid w:val="27A31FB7"/>
    <w:rsid w:val="281408E2"/>
    <w:rsid w:val="28E72B1C"/>
    <w:rsid w:val="29F756A2"/>
    <w:rsid w:val="29FD04D3"/>
    <w:rsid w:val="2AA467D8"/>
    <w:rsid w:val="2AD0185D"/>
    <w:rsid w:val="2B3B360F"/>
    <w:rsid w:val="2BFF7BC6"/>
    <w:rsid w:val="2C8A61B5"/>
    <w:rsid w:val="2D1D4A17"/>
    <w:rsid w:val="2DF04E50"/>
    <w:rsid w:val="2E586DFA"/>
    <w:rsid w:val="2F040D46"/>
    <w:rsid w:val="2F6B035B"/>
    <w:rsid w:val="2FAE5751"/>
    <w:rsid w:val="2FB1A395"/>
    <w:rsid w:val="2FD9A7D8"/>
    <w:rsid w:val="2FDBF714"/>
    <w:rsid w:val="30AB6865"/>
    <w:rsid w:val="319F7F4E"/>
    <w:rsid w:val="32BD1EF1"/>
    <w:rsid w:val="3304709D"/>
    <w:rsid w:val="33A773CB"/>
    <w:rsid w:val="349D6851"/>
    <w:rsid w:val="34F07218"/>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9A77B3"/>
    <w:rsid w:val="3DEE7CF3"/>
    <w:rsid w:val="3E166C6B"/>
    <w:rsid w:val="3E740A63"/>
    <w:rsid w:val="3E78745D"/>
    <w:rsid w:val="3EE17838"/>
    <w:rsid w:val="3F55381A"/>
    <w:rsid w:val="3F7F7599"/>
    <w:rsid w:val="3FF4CAE0"/>
    <w:rsid w:val="3FF7B227"/>
    <w:rsid w:val="40181D19"/>
    <w:rsid w:val="40F053F7"/>
    <w:rsid w:val="417920A2"/>
    <w:rsid w:val="44E268DA"/>
    <w:rsid w:val="450D13D7"/>
    <w:rsid w:val="45506656"/>
    <w:rsid w:val="468B6BD0"/>
    <w:rsid w:val="476833B2"/>
    <w:rsid w:val="48684EBF"/>
    <w:rsid w:val="486A6C7A"/>
    <w:rsid w:val="496E5B8B"/>
    <w:rsid w:val="4A627F82"/>
    <w:rsid w:val="4B0E749A"/>
    <w:rsid w:val="4B2477C4"/>
    <w:rsid w:val="4B4F25DA"/>
    <w:rsid w:val="4B500246"/>
    <w:rsid w:val="4BE068DB"/>
    <w:rsid w:val="4C2548E4"/>
    <w:rsid w:val="4CC64F56"/>
    <w:rsid w:val="4CC75F3F"/>
    <w:rsid w:val="4D577224"/>
    <w:rsid w:val="4DBF1CEB"/>
    <w:rsid w:val="4DF0007C"/>
    <w:rsid w:val="4EAB630A"/>
    <w:rsid w:val="4EC34792"/>
    <w:rsid w:val="4ECE2238"/>
    <w:rsid w:val="4F833267"/>
    <w:rsid w:val="4FE9BD67"/>
    <w:rsid w:val="4FFB052F"/>
    <w:rsid w:val="51842E46"/>
    <w:rsid w:val="52497B10"/>
    <w:rsid w:val="52631564"/>
    <w:rsid w:val="533D4C00"/>
    <w:rsid w:val="537E6D0A"/>
    <w:rsid w:val="53F74C96"/>
    <w:rsid w:val="54BC0090"/>
    <w:rsid w:val="55170BA8"/>
    <w:rsid w:val="553218C9"/>
    <w:rsid w:val="567E1AA5"/>
    <w:rsid w:val="56E47B74"/>
    <w:rsid w:val="57175D52"/>
    <w:rsid w:val="57BA1646"/>
    <w:rsid w:val="57BD3DD4"/>
    <w:rsid w:val="57F164E0"/>
    <w:rsid w:val="5AF92295"/>
    <w:rsid w:val="5B250254"/>
    <w:rsid w:val="5BDD79E6"/>
    <w:rsid w:val="5BF561CA"/>
    <w:rsid w:val="5BFF5DFC"/>
    <w:rsid w:val="5CBD248D"/>
    <w:rsid w:val="5CC66EF0"/>
    <w:rsid w:val="5CD71FC4"/>
    <w:rsid w:val="5D1F11B5"/>
    <w:rsid w:val="5D695134"/>
    <w:rsid w:val="5DAE1B18"/>
    <w:rsid w:val="5DE7D9E5"/>
    <w:rsid w:val="5ECEC941"/>
    <w:rsid w:val="5FBF9FF3"/>
    <w:rsid w:val="5FCD4E2C"/>
    <w:rsid w:val="5FEF394A"/>
    <w:rsid w:val="5FF67715"/>
    <w:rsid w:val="60975DE2"/>
    <w:rsid w:val="60A800F7"/>
    <w:rsid w:val="62BF3928"/>
    <w:rsid w:val="63B3701E"/>
    <w:rsid w:val="647F5392"/>
    <w:rsid w:val="65E66580"/>
    <w:rsid w:val="664B1D71"/>
    <w:rsid w:val="664B4E8E"/>
    <w:rsid w:val="668636D4"/>
    <w:rsid w:val="67277B67"/>
    <w:rsid w:val="67AA3209"/>
    <w:rsid w:val="698D0931"/>
    <w:rsid w:val="6A5F268D"/>
    <w:rsid w:val="6A7FE5F3"/>
    <w:rsid w:val="6B053271"/>
    <w:rsid w:val="6BDD78B3"/>
    <w:rsid w:val="6C4A05C8"/>
    <w:rsid w:val="6C8742B8"/>
    <w:rsid w:val="6CBA14E3"/>
    <w:rsid w:val="6DBF5E93"/>
    <w:rsid w:val="6DC164CD"/>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7376FB"/>
    <w:rsid w:val="712A28F1"/>
    <w:rsid w:val="715C0E4B"/>
    <w:rsid w:val="71992E7C"/>
    <w:rsid w:val="72233669"/>
    <w:rsid w:val="72734D90"/>
    <w:rsid w:val="73160E6D"/>
    <w:rsid w:val="732D1B74"/>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7ED700C"/>
    <w:rsid w:val="783E271A"/>
    <w:rsid w:val="78616DE9"/>
    <w:rsid w:val="78E84DF7"/>
    <w:rsid w:val="78E875D7"/>
    <w:rsid w:val="79086DAD"/>
    <w:rsid w:val="791E7A43"/>
    <w:rsid w:val="799D2FE5"/>
    <w:rsid w:val="79D7FD79"/>
    <w:rsid w:val="79EE5BA4"/>
    <w:rsid w:val="7A894339"/>
    <w:rsid w:val="7AA55FA4"/>
    <w:rsid w:val="7AD284E8"/>
    <w:rsid w:val="7AFF7572"/>
    <w:rsid w:val="7B6C7DFB"/>
    <w:rsid w:val="7BBFBED0"/>
    <w:rsid w:val="7BC3E394"/>
    <w:rsid w:val="7C1F3737"/>
    <w:rsid w:val="7CBFC87B"/>
    <w:rsid w:val="7CFE0F48"/>
    <w:rsid w:val="7D272ABC"/>
    <w:rsid w:val="7D3F758A"/>
    <w:rsid w:val="7D7EC23E"/>
    <w:rsid w:val="7DE15854"/>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7FFB590F"/>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3"/>
    <w:qFormat/>
    <w:uiPriority w:val="9"/>
    <w:rPr>
      <w:rFonts w:ascii="Times New Roman" w:hAnsi="Times New Roman"/>
      <w:b/>
      <w:bCs/>
      <w:kern w:val="44"/>
      <w:sz w:val="44"/>
      <w:szCs w:val="44"/>
    </w:rPr>
  </w:style>
  <w:style w:type="character" w:customStyle="1" w:styleId="30">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10"/>
    <w:semiHidden/>
    <w:qFormat/>
    <w:uiPriority w:val="99"/>
    <w:rPr>
      <w:rFonts w:ascii="Times New Roman" w:hAnsi="Times New Roman"/>
      <w:kern w:val="2"/>
      <w:sz w:val="18"/>
      <w:szCs w:val="18"/>
    </w:rPr>
  </w:style>
  <w:style w:type="character" w:customStyle="1" w:styleId="33">
    <w:name w:val="标题 3 Char"/>
    <w:basedOn w:val="18"/>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收、支决算总计变动情况</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Sheet1!$B$2:$B$3</c:f>
              <c:numCache>
                <c:formatCode>General</c:formatCode>
                <c:ptCount val="2"/>
                <c:pt idx="0">
                  <c:v>1177.7</c:v>
                </c:pt>
                <c:pt idx="1">
                  <c:v>1177.7</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Sheet1!$C$2:$C$3</c:f>
              <c:numCache>
                <c:formatCode>General</c:formatCode>
                <c:ptCount val="2"/>
                <c:pt idx="0">
                  <c:v>965.33</c:v>
                </c:pt>
                <c:pt idx="1">
                  <c:v>965.33</c:v>
                </c:pt>
              </c:numCache>
            </c:numRef>
          </c:val>
        </c:ser>
        <c:dLbls>
          <c:showLegendKey val="0"/>
          <c:showVal val="1"/>
          <c:showCatName val="0"/>
          <c:showSerName val="0"/>
          <c:showPercent val="0"/>
          <c:showBubbleSize val="0"/>
        </c:dLbls>
        <c:gapWidth val="219"/>
        <c:overlap val="-27"/>
        <c:axId val="758069340"/>
        <c:axId val="386128868"/>
      </c:barChart>
      <c:catAx>
        <c:axId val="7580693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6128868"/>
        <c:crosses val="autoZero"/>
        <c:auto val="1"/>
        <c:lblAlgn val="ctr"/>
        <c:lblOffset val="100"/>
        <c:noMultiLvlLbl val="0"/>
      </c:catAx>
      <c:valAx>
        <c:axId val="3861288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80693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360c035-1be7-4774-bfb9-46c0566c057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Sheet1!$A$2</c:f>
              <c:strCache>
                <c:ptCount val="1"/>
                <c:pt idx="0">
                  <c:v>本年收入</c:v>
                </c:pt>
              </c:strCache>
            </c:strRef>
          </c:tx>
          <c:spPr/>
          <c:explosion val="0"/>
          <c:dPt>
            <c:idx val="0"/>
            <c:bubble3D val="0"/>
            <c:spPr>
              <a:solidFill>
                <a:schemeClr val="accent1"/>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f>
              <c:strCache>
                <c:ptCount val="1"/>
                <c:pt idx="0">
                  <c:v>一般公共预算财政拨款收入</c:v>
                </c:pt>
              </c:strCache>
            </c:strRef>
          </c:cat>
          <c:val>
            <c:numRef>
              <c:f>Sheet1!$B$2</c:f>
              <c:numCache>
                <c:formatCode>General</c:formatCode>
                <c:ptCount val="1"/>
                <c:pt idx="0">
                  <c:v>273.86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045164417486242"/>
          <c:y val="0.79897497741086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237fa25-b64c-4e86-9202-09780c67d10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265.54</c:v>
                </c:pt>
                <c:pt idx="1">
                  <c:v>699.8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93a44dc-7789-4136-ab56-169a8836ce6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manualLayout>
          <c:layoutTarget val="inner"/>
          <c:xMode val="edge"/>
          <c:yMode val="edge"/>
          <c:x val="0.0722951680672269"/>
          <c:y val="0.147463625639009"/>
          <c:w val="0.900393907563025"/>
          <c:h val="0.666024380652772"/>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财政拨款总收入</c:v>
                </c:pt>
                <c:pt idx="1">
                  <c:v>财政拨款总支出</c:v>
                </c:pt>
              </c:strCache>
            </c:strRef>
          </c:cat>
          <c:val>
            <c:numRef>
              <c:f>Sheet1!$B$2:$B$3</c:f>
              <c:numCache>
                <c:formatCode>General</c:formatCode>
                <c:ptCount val="2"/>
                <c:pt idx="0">
                  <c:v>1177.7</c:v>
                </c:pt>
                <c:pt idx="1">
                  <c:v>1177.7</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财政拨款总收入</c:v>
                </c:pt>
                <c:pt idx="1">
                  <c:v>财政拨款总支出</c:v>
                </c:pt>
              </c:strCache>
            </c:strRef>
          </c:cat>
          <c:val>
            <c:numRef>
              <c:f>Sheet1!$C$2:$C$3</c:f>
              <c:numCache>
                <c:formatCode>General</c:formatCode>
                <c:ptCount val="2"/>
                <c:pt idx="0">
                  <c:v>965.33</c:v>
                </c:pt>
                <c:pt idx="1">
                  <c:v>965.33</c:v>
                </c:pt>
              </c:numCache>
            </c:numRef>
          </c:val>
        </c:ser>
        <c:dLbls>
          <c:showLegendKey val="0"/>
          <c:showVal val="1"/>
          <c:showCatName val="0"/>
          <c:showSerName val="0"/>
          <c:showPercent val="0"/>
          <c:showBubbleSize val="0"/>
        </c:dLbls>
        <c:gapWidth val="219"/>
        <c:overlap val="-27"/>
        <c:axId val="758069340"/>
        <c:axId val="386128868"/>
      </c:barChart>
      <c:catAx>
        <c:axId val="7580693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6128868"/>
        <c:crosses val="autoZero"/>
        <c:auto val="1"/>
        <c:lblAlgn val="ctr"/>
        <c:lblOffset val="100"/>
        <c:noMultiLvlLbl val="0"/>
      </c:catAx>
      <c:valAx>
        <c:axId val="3861288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80693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bd90303-6f40-4768-a0df-30a44f5157d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manualLayout>
          <c:layoutTarget val="inner"/>
          <c:xMode val="edge"/>
          <c:yMode val="edge"/>
          <c:x val="0.076847020049437"/>
          <c:y val="0.21613436123348"/>
          <c:w val="0.894589398516891"/>
          <c:h val="0.590693832599119"/>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c:f>
              <c:strCache>
                <c:ptCount val="1"/>
                <c:pt idx="0">
                  <c:v>一般公共预算财政拨款支出</c:v>
                </c:pt>
              </c:strCache>
            </c:strRef>
          </c:cat>
          <c:val>
            <c:numRef>
              <c:f>Sheet1!$B$2</c:f>
              <c:numCache>
                <c:formatCode>General</c:formatCode>
                <c:ptCount val="1"/>
                <c:pt idx="0">
                  <c:v>1177.7</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c:f>
              <c:strCache>
                <c:ptCount val="1"/>
                <c:pt idx="0">
                  <c:v>一般公共预算财政拨款支出</c:v>
                </c:pt>
              </c:strCache>
            </c:strRef>
          </c:cat>
          <c:val>
            <c:numRef>
              <c:f>Sheet1!$C$2</c:f>
              <c:numCache>
                <c:formatCode>General</c:formatCode>
                <c:ptCount val="1"/>
                <c:pt idx="0">
                  <c:v>965.33</c:v>
                </c:pt>
              </c:numCache>
            </c:numRef>
          </c:val>
        </c:ser>
        <c:dLbls>
          <c:showLegendKey val="0"/>
          <c:showVal val="0"/>
          <c:showCatName val="0"/>
          <c:showSerName val="0"/>
          <c:showPercent val="0"/>
          <c:showBubbleSize val="0"/>
        </c:dLbls>
        <c:gapWidth val="219"/>
        <c:overlap val="-27"/>
        <c:axId val="817357738"/>
        <c:axId val="871935091"/>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c15:sqref>
                        </c15:formulaRef>
                      </c:ext>
                    </c:extLst>
                    <c:strCache>
                      <c:ptCount val="1"/>
                      <c:pt idx="0">
                        <c:v>一般公共预算财政拨款支出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81735773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1935091"/>
        <c:crosses val="autoZero"/>
        <c:auto val="1"/>
        <c:lblAlgn val="ctr"/>
        <c:lblOffset val="100"/>
        <c:noMultiLvlLbl val="0"/>
      </c:catAx>
      <c:valAx>
        <c:axId val="8719350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35773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4cecc21-78b0-46e1-a80f-b5f4a9c9697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一般公共服务支出</c:v>
                </c:pt>
                <c:pt idx="2">
                  <c:v>卫生健康支出</c:v>
                </c:pt>
              </c:strCache>
            </c:strRef>
          </c:cat>
          <c:val>
            <c:numRef>
              <c:f>Sheet1!$B$2:$B$4</c:f>
              <c:numCache>
                <c:formatCode>General</c:formatCode>
                <c:ptCount val="3"/>
                <c:pt idx="0">
                  <c:v>259.77</c:v>
                </c:pt>
                <c:pt idx="1">
                  <c:v>704.69</c:v>
                </c:pt>
                <c:pt idx="2">
                  <c:v>0.87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89bea12-5840-4f34-981f-b1236546ea6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9128</Words>
  <Characters>9694</Characters>
  <Lines>61</Lines>
  <Paragraphs>17</Paragraphs>
  <TotalTime>55</TotalTime>
  <ScaleCrop>false</ScaleCrop>
  <LinksUpToDate>false</LinksUpToDate>
  <CharactersWithSpaces>9765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夏琳稀</cp:lastModifiedBy>
  <cp:lastPrinted>2025-08-06T17:34:00Z</cp:lastPrinted>
  <dcterms:modified xsi:type="dcterms:W3CDTF">2025-09-15T00:49:15Z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eyJoZGlkIjoiOGM1OWMxMDNjN2VjMGI4NjkyZTgyZjNhOGZkNGQ3MzgiLCJ1c2VySWQiOiIxNDQyNTg2NzE4In0=</vt:lpwstr>
  </property>
</Properties>
</file>