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161B8">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597"/>
      <w:bookmarkStart w:id="2" w:name="_Toc15396475"/>
      <w:bookmarkStart w:id="3" w:name="_Toc15377193"/>
      <w:bookmarkStart w:id="4" w:name="_Toc15306267"/>
      <w:bookmarkStart w:id="5" w:name="_Toc15378441"/>
    </w:p>
    <w:p w14:paraId="2A71F9F3">
      <w:pPr>
        <w:pStyle w:val="8"/>
        <w:rPr>
          <w:rFonts w:hint="eastAsia" w:ascii="Times New Roman" w:hAnsi="Times New Roman" w:eastAsia="方正小标宋简体" w:cs="Times New Roman"/>
          <w:color w:val="auto"/>
          <w:kern w:val="2"/>
          <w:sz w:val="72"/>
          <w:szCs w:val="72"/>
          <w:highlight w:val="none"/>
          <w:lang w:val="en-US" w:eastAsia="zh-CN" w:bidi="ar-SA"/>
        </w:rPr>
      </w:pPr>
    </w:p>
    <w:p w14:paraId="56407C83">
      <w:pPr>
        <w:pStyle w:val="8"/>
        <w:rPr>
          <w:rFonts w:hint="eastAsia" w:ascii="Times New Roman" w:hAnsi="Times New Roman" w:eastAsia="方正小标宋简体" w:cs="Times New Roman"/>
          <w:color w:val="auto"/>
          <w:kern w:val="2"/>
          <w:sz w:val="72"/>
          <w:szCs w:val="72"/>
          <w:highlight w:val="none"/>
          <w:lang w:val="en-US" w:eastAsia="zh-CN" w:bidi="ar-SA"/>
        </w:rPr>
      </w:pPr>
    </w:p>
    <w:p w14:paraId="2D89E7B3">
      <w:pPr>
        <w:pStyle w:val="8"/>
        <w:jc w:val="center"/>
        <w:rPr>
          <w:rFonts w:hint="eastAsia" w:ascii="方正小标宋简体" w:hAnsi="宋体" w:eastAsia="方正小标宋简体" w:cs="Times New Roman"/>
          <w:color w:val="auto"/>
          <w:kern w:val="2"/>
          <w:sz w:val="72"/>
          <w:szCs w:val="72"/>
          <w:highlight w:val="none"/>
          <w:lang w:val="en-US" w:eastAsia="zh-CN" w:bidi="ar-SA"/>
        </w:rPr>
      </w:pPr>
      <w:r>
        <w:rPr>
          <w:rFonts w:hint="default" w:ascii="Times New Roman" w:hAnsi="Times New Roman" w:eastAsia="方正小标宋简体" w:cs="Times New Roman"/>
          <w:color w:val="auto"/>
          <w:kern w:val="2"/>
          <w:sz w:val="72"/>
          <w:szCs w:val="72"/>
          <w:highlight w:val="none"/>
          <w:lang w:val="en-US" w:eastAsia="zh-CN" w:bidi="ar-SA"/>
        </w:rPr>
        <w:t>2024</w:t>
      </w:r>
      <w:r>
        <w:rPr>
          <w:rFonts w:hint="eastAsia" w:ascii="方正小标宋简体" w:hAnsi="宋体" w:eastAsia="方正小标宋简体" w:cs="Times New Roman"/>
          <w:color w:val="auto"/>
          <w:kern w:val="2"/>
          <w:sz w:val="72"/>
          <w:szCs w:val="72"/>
          <w:highlight w:val="none"/>
          <w:lang w:val="en-US" w:eastAsia="zh-CN" w:bidi="ar-SA"/>
        </w:rPr>
        <w:t>年度</w:t>
      </w:r>
    </w:p>
    <w:p w14:paraId="4710A4BD">
      <w:pPr>
        <w:pStyle w:val="8"/>
        <w:jc w:val="center"/>
        <w:rPr>
          <w:rFonts w:hint="eastAsia" w:ascii="方正小标宋简体" w:hAnsi="宋体" w:eastAsia="方正小标宋简体" w:cs="Times New Roman"/>
          <w:color w:val="auto"/>
          <w:kern w:val="2"/>
          <w:sz w:val="72"/>
          <w:szCs w:val="72"/>
          <w:highlight w:val="none"/>
          <w:lang w:val="en-US" w:eastAsia="zh-CN" w:bidi="ar-SA"/>
        </w:rPr>
      </w:pPr>
      <w:r>
        <w:rPr>
          <w:rFonts w:hint="eastAsia" w:ascii="方正小标宋简体" w:hAnsi="宋体" w:eastAsia="方正小标宋简体" w:cs="Times New Roman"/>
          <w:color w:val="auto"/>
          <w:kern w:val="2"/>
          <w:sz w:val="72"/>
          <w:szCs w:val="72"/>
          <w:highlight w:val="none"/>
          <w:lang w:val="en-US" w:eastAsia="zh-CN" w:bidi="ar-SA"/>
        </w:rPr>
        <w:t>四川省攀枝花市人民政府驻成都办事处</w:t>
      </w:r>
    </w:p>
    <w:p w14:paraId="04590209">
      <w:pPr>
        <w:pStyle w:val="8"/>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宋体" w:eastAsia="方正小标宋简体" w:cs="Times New Roman"/>
          <w:color w:val="auto"/>
          <w:kern w:val="2"/>
          <w:sz w:val="72"/>
          <w:szCs w:val="72"/>
          <w:highlight w:val="none"/>
          <w:lang w:val="en-US" w:eastAsia="zh-CN" w:bidi="ar-SA"/>
        </w:rPr>
        <w:t>部门决算</w:t>
      </w:r>
    </w:p>
    <w:bookmarkEnd w:id="0"/>
    <w:bookmarkEnd w:id="1"/>
    <w:bookmarkEnd w:id="2"/>
    <w:bookmarkEnd w:id="3"/>
    <w:bookmarkEnd w:id="4"/>
    <w:bookmarkEnd w:id="5"/>
    <w:p w14:paraId="7D335596">
      <w:pPr>
        <w:pStyle w:val="15"/>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color w:val="auto"/>
          <w:sz w:val="32"/>
          <w:szCs w:val="32"/>
          <w:highlight w:val="none"/>
          <w:lang w:val="en-US" w:eastAsia="zh-CN"/>
        </w:rPr>
      </w:pPr>
    </w:p>
    <w:p w14:paraId="7961CB12">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537321B">
      <w:pPr>
        <w:widowControl/>
        <w:jc w:val="center"/>
        <w:rPr>
          <w:rFonts w:ascii="Times New Roman" w:hAnsi="Times New Roman" w:eastAsia="黑体" w:cstheme="minorBidi"/>
          <w:color w:val="auto"/>
          <w:sz w:val="28"/>
          <w:szCs w:val="28"/>
          <w:highlight w:val="none"/>
        </w:rPr>
      </w:pPr>
    </w:p>
    <w:p w14:paraId="73F4165B">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日</w:t>
      </w:r>
    </w:p>
    <w:p w14:paraId="5837B126">
      <w:pPr>
        <w:rPr>
          <w:rFonts w:ascii="Times New Roman" w:hAnsi="Times New Roman"/>
          <w:color w:val="auto"/>
          <w:highlight w:val="none"/>
        </w:rPr>
      </w:pPr>
    </w:p>
    <w:p w14:paraId="1493A2CB">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..................................................................1</w:t>
      </w:r>
    </w:p>
    <w:p w14:paraId="6A24B4C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Times New Roman" w:hAnsi="Times New Roman" w:eastAsia="黑体" w:cs="黑体"/>
          <w:color w:val="auto"/>
          <w:sz w:val="32"/>
          <w:szCs w:val="32"/>
          <w:highlight w:val="none"/>
          <w:lang w:val="en-US" w:eastAsia="zh-CN"/>
        </w:rPr>
        <w:t>....................................................................1</w:t>
      </w:r>
    </w:p>
    <w:p w14:paraId="56CAE54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黑体" w:cs="黑体"/>
          <w:color w:val="auto"/>
          <w:sz w:val="32"/>
          <w:szCs w:val="32"/>
          <w:highlight w:val="none"/>
          <w:lang w:val="en-US" w:eastAsia="zh-CN"/>
        </w:rPr>
        <w:t>....................................................................2</w:t>
      </w:r>
    </w:p>
    <w:p w14:paraId="29CCA76F">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.................................4</w:t>
      </w:r>
    </w:p>
    <w:p w14:paraId="504E487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黑体" w:cs="黑体"/>
          <w:color w:val="auto"/>
          <w:sz w:val="32"/>
          <w:szCs w:val="32"/>
          <w:highlight w:val="none"/>
          <w:lang w:val="en-US" w:eastAsia="zh-CN"/>
        </w:rPr>
        <w:t>....................................4</w:t>
      </w:r>
    </w:p>
    <w:p w14:paraId="41C196A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黑体" w:cs="黑体"/>
          <w:color w:val="auto"/>
          <w:sz w:val="32"/>
          <w:szCs w:val="32"/>
          <w:highlight w:val="none"/>
          <w:lang w:val="en-US" w:eastAsia="zh-CN"/>
        </w:rPr>
        <w:t>....................................................4</w:t>
      </w:r>
    </w:p>
    <w:p w14:paraId="2B12BBA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黑体" w:cs="黑体"/>
          <w:color w:val="auto"/>
          <w:sz w:val="32"/>
          <w:szCs w:val="32"/>
          <w:highlight w:val="none"/>
          <w:lang w:val="en-US" w:eastAsia="zh-CN"/>
        </w:rPr>
        <w:t>....................................................5</w:t>
      </w:r>
    </w:p>
    <w:p w14:paraId="6F1FE66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黑体" w:cs="黑体"/>
          <w:color w:val="auto"/>
          <w:sz w:val="32"/>
          <w:szCs w:val="32"/>
          <w:highlight w:val="none"/>
          <w:lang w:val="en-US" w:eastAsia="zh-CN"/>
        </w:rPr>
        <w:t>....................6</w:t>
      </w:r>
    </w:p>
    <w:p w14:paraId="1E17FFD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黑体" w:cs="黑体"/>
          <w:color w:val="auto"/>
          <w:sz w:val="32"/>
          <w:szCs w:val="32"/>
          <w:highlight w:val="none"/>
          <w:lang w:val="en-US" w:eastAsia="zh-CN"/>
        </w:rPr>
        <w:t>............7</w:t>
      </w:r>
    </w:p>
    <w:p w14:paraId="7E3055D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黑体" w:cs="黑体"/>
          <w:color w:val="auto"/>
          <w:sz w:val="32"/>
          <w:szCs w:val="32"/>
          <w:highlight w:val="none"/>
          <w:lang w:val="en-US" w:eastAsia="zh-CN"/>
        </w:rPr>
        <w:t>..10</w:t>
      </w:r>
    </w:p>
    <w:p w14:paraId="24C9871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Times New Roman" w:hAnsi="Times New Roman" w:eastAsia="黑体" w:cs="黑体"/>
          <w:color w:val="auto"/>
          <w:sz w:val="32"/>
          <w:szCs w:val="32"/>
          <w:highlight w:val="none"/>
          <w:lang w:val="en-US" w:eastAsia="zh-CN"/>
        </w:rPr>
        <w:t>..........11</w:t>
      </w:r>
    </w:p>
    <w:p w14:paraId="4438136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黑体" w:cs="黑体"/>
          <w:color w:val="auto"/>
          <w:sz w:val="32"/>
          <w:szCs w:val="32"/>
          <w:highlight w:val="none"/>
          <w:lang w:val="en-US" w:eastAsia="zh-CN"/>
        </w:rPr>
        <w:t>......................13</w:t>
      </w:r>
    </w:p>
    <w:p w14:paraId="1BD1EBC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Times New Roman" w:hAnsi="Times New Roman" w:eastAsia="黑体" w:cs="黑体"/>
          <w:color w:val="auto"/>
          <w:sz w:val="32"/>
          <w:szCs w:val="32"/>
          <w:highlight w:val="none"/>
          <w:lang w:val="en-US" w:eastAsia="zh-CN"/>
        </w:rPr>
        <w:t>..................13</w:t>
      </w:r>
    </w:p>
    <w:p w14:paraId="2DF8729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黑体" w:cs="黑体"/>
          <w:color w:val="auto"/>
          <w:sz w:val="32"/>
          <w:szCs w:val="32"/>
          <w:highlight w:val="none"/>
          <w:lang w:val="en-US" w:eastAsia="zh-CN"/>
        </w:rPr>
        <w:t>......................................13</w:t>
      </w:r>
    </w:p>
    <w:p w14:paraId="0B7895F6">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................................................................16</w:t>
      </w:r>
    </w:p>
    <w:p w14:paraId="63F200F3">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........................................................................20</w:t>
      </w:r>
    </w:p>
    <w:p w14:paraId="1625ADA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........................................................................34</w:t>
      </w:r>
    </w:p>
    <w:p w14:paraId="0AB94FA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155C3B2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467790D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p>
    <w:p w14:paraId="78E5873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2CFF34E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52D74D6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57E9F09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0FEEA69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238C78B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5D453E7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6E846B3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047CAC3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4D95210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07EAE90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方正小标宋简体" w:cs="方正小标宋简体"/>
          <w:b w:val="0"/>
          <w:color w:val="auto"/>
          <w:highlight w:val="none"/>
        </w:rPr>
      </w:pPr>
      <w:r>
        <w:rPr>
          <w:rFonts w:hint="eastAsia" w:ascii="Times New Roman" w:hAnsi="Times New Roman" w:eastAsia="仿宋_GB2312" w:cs="仿宋_GB2312"/>
          <w:color w:val="auto"/>
          <w:sz w:val="32"/>
          <w:szCs w:val="32"/>
          <w:highlight w:val="none"/>
        </w:rPr>
        <w:t>十三、财政拨款“三公”经费支出决算表</w:t>
      </w:r>
      <w:bookmarkStart w:id="6" w:name="_Toc15377196"/>
      <w:bookmarkStart w:id="7" w:name="_Toc15396599"/>
      <w:r>
        <w:rPr>
          <w:rFonts w:hint="eastAsia" w:ascii="Times New Roman" w:hAnsi="Times New Roman" w:eastAsia="黑体" w:cs="黑体"/>
          <w:color w:val="auto"/>
          <w:sz w:val="32"/>
          <w:szCs w:val="32"/>
          <w:highlight w:val="none"/>
          <w:lang w:val="en-US" w:eastAsia="zh-CN"/>
        </w:rPr>
        <w:t>..................3</w:t>
      </w:r>
      <w:r>
        <w:rPr>
          <w:rFonts w:hint="eastAsia" w:eastAsia="黑体" w:cs="黑体"/>
          <w:color w:val="auto"/>
          <w:sz w:val="32"/>
          <w:szCs w:val="32"/>
          <w:highlight w:val="none"/>
          <w:lang w:val="en-US" w:eastAsia="zh-CN"/>
        </w:rPr>
        <w:t>4</w:t>
      </w:r>
    </w:p>
    <w:p w14:paraId="131D93BE">
      <w:pPr>
        <w:pStyle w:val="5"/>
        <w:jc w:val="center"/>
        <w:rPr>
          <w:rFonts w:hint="eastAsia" w:ascii="Times New Roman" w:hAnsi="Times New Roman" w:eastAsia="方正小标宋简体" w:cs="方正小标宋简体"/>
          <w:b w:val="0"/>
          <w:color w:val="auto"/>
          <w:highlight w:val="none"/>
        </w:rPr>
      </w:pPr>
    </w:p>
    <w:p w14:paraId="00664C8F">
      <w:pPr>
        <w:pStyle w:val="5"/>
        <w:jc w:val="both"/>
        <w:rPr>
          <w:rFonts w:hint="eastAsia" w:ascii="Times New Roman" w:hAnsi="Times New Roman" w:eastAsia="方正小标宋简体" w:cs="方正小标宋简体"/>
          <w:b w:val="0"/>
          <w:color w:val="auto"/>
          <w:highlight w:val="none"/>
        </w:rPr>
      </w:pPr>
    </w:p>
    <w:p w14:paraId="0FDCCF6B">
      <w:pPr>
        <w:rPr>
          <w:rFonts w:hint="eastAsia" w:ascii="Times New Roman" w:hAnsi="Times New Roman" w:eastAsia="方正小标宋简体" w:cs="方正小标宋简体"/>
          <w:b w:val="0"/>
          <w:color w:val="auto"/>
          <w:highlight w:val="none"/>
        </w:rPr>
      </w:pPr>
    </w:p>
    <w:p w14:paraId="201BA6D6">
      <w:pPr>
        <w:pStyle w:val="8"/>
        <w:rPr>
          <w:rFonts w:hint="eastAsia"/>
        </w:rPr>
      </w:pPr>
    </w:p>
    <w:p w14:paraId="7DE8CDB9">
      <w:pPr>
        <w:rPr>
          <w:rFonts w:hint="eastAsia"/>
        </w:rPr>
      </w:pPr>
    </w:p>
    <w:p w14:paraId="2BCC7A03">
      <w:pPr>
        <w:pStyle w:val="5"/>
        <w:jc w:val="center"/>
        <w:rPr>
          <w:rFonts w:hint="eastAsia" w:ascii="Times New Roman" w:hAnsi="Times New Roman" w:eastAsia="方正小标宋简体" w:cs="方正小标宋简体"/>
          <w:b w:val="0"/>
          <w:color w:val="auto"/>
          <w:highlight w:val="none"/>
        </w:rPr>
        <w:sectPr>
          <w:footerReference r:id="rId9" w:type="first"/>
          <w:footerReference r:id="rId8" w:type="default"/>
          <w:pgSz w:w="11906" w:h="16838"/>
          <w:pgMar w:top="1440" w:right="1800" w:bottom="1440" w:left="1800" w:header="851" w:footer="992" w:gutter="0"/>
          <w:pgNumType w:fmt="numberInDash" w:start="1"/>
          <w:cols w:space="425" w:num="1"/>
          <w:docGrid w:type="lines" w:linePitch="312" w:charSpace="0"/>
        </w:sectPr>
      </w:pPr>
    </w:p>
    <w:p w14:paraId="1021A2DE">
      <w:pPr>
        <w:pStyle w:val="5"/>
        <w:jc w:val="center"/>
        <w:rPr>
          <w:rFonts w:hint="default" w:ascii="Times New Roman" w:hAnsi="Times New Roman" w:eastAsia="黑体" w:cs="Times New Roman"/>
          <w:color w:val="auto"/>
          <w:sz w:val="32"/>
          <w:szCs w:val="32"/>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30"/>
          <w:rFonts w:hint="default" w:ascii="Times New Roman" w:hAnsi="Times New Roman" w:eastAsia="方正小标宋简体" w:cs="Times New Roman"/>
          <w:b w:val="0"/>
          <w:bCs w:val="0"/>
          <w:color w:val="auto"/>
          <w:highlight w:val="none"/>
        </w:rPr>
        <w:t>部门概况</w:t>
      </w:r>
      <w:bookmarkEnd w:id="6"/>
      <w:bookmarkEnd w:id="7"/>
    </w:p>
    <w:p w14:paraId="353F51F0">
      <w:pPr>
        <w:pStyle w:val="6"/>
        <w:rPr>
          <w:rFonts w:hint="default" w:ascii="Times New Roman" w:hAnsi="Times New Roman" w:eastAsia="黑体"/>
          <w:b w:val="0"/>
          <w:color w:val="auto"/>
          <w:highlight w:val="none"/>
          <w:lang w:eastAsia="zh-CN"/>
        </w:rPr>
      </w:pPr>
      <w:bookmarkStart w:id="8" w:name="_Toc15377197"/>
      <w:bookmarkStart w:id="9" w:name="_Toc15396600"/>
      <w:r>
        <w:rPr>
          <w:rFonts w:hint="default" w:ascii="Times New Roman" w:hAnsi="Times New Roman" w:eastAsia="黑体"/>
          <w:b w:val="0"/>
          <w:color w:val="auto"/>
          <w:highlight w:val="none"/>
        </w:rPr>
        <w:t>一、</w:t>
      </w:r>
      <w:bookmarkEnd w:id="8"/>
      <w:bookmarkEnd w:id="9"/>
      <w:r>
        <w:rPr>
          <w:rFonts w:hint="default" w:ascii="Times New Roman" w:hAnsi="Times New Roman" w:eastAsia="黑体"/>
          <w:b w:val="0"/>
          <w:color w:val="auto"/>
          <w:highlight w:val="none"/>
          <w:lang w:eastAsia="zh-CN"/>
        </w:rPr>
        <w:t>部门职责</w:t>
      </w:r>
    </w:p>
    <w:p w14:paraId="6DAF3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一）负责川、渝地区的联络。</w:t>
      </w:r>
    </w:p>
    <w:p w14:paraId="10C3B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负责与省级机关、重庆市、成都市的联系；积极向上争取政策、项目、资金；宣传介绍攀枝花的政治、经济和社会发展情况，促进城市间的相互了解和友好往来；参与我市在成都、重庆进</w:t>
      </w:r>
      <w:bookmarkStart w:id="67" w:name="_GoBack"/>
      <w:bookmarkEnd w:id="67"/>
      <w:r>
        <w:rPr>
          <w:rFonts w:hint="default" w:ascii="Times New Roman" w:hAnsi="Times New Roman" w:eastAsia="仿宋_GB2312" w:cs="Times New Roman"/>
          <w:b w:val="0"/>
          <w:bCs w:val="0"/>
          <w:kern w:val="0"/>
          <w:sz w:val="32"/>
          <w:szCs w:val="32"/>
        </w:rPr>
        <w:t>行的有关重大活动的组织协调和服务工作。</w:t>
      </w:r>
    </w:p>
    <w:p w14:paraId="484ED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二）</w:t>
      </w:r>
      <w:r>
        <w:rPr>
          <w:rFonts w:hint="default" w:ascii="Times New Roman" w:hAnsi="Times New Roman" w:eastAsia="仿宋_GB2312" w:cs="Times New Roman"/>
          <w:b w:val="0"/>
          <w:bCs w:val="0"/>
          <w:kern w:val="0"/>
          <w:sz w:val="32"/>
          <w:szCs w:val="32"/>
        </w:rPr>
        <w:t>提供信息咨询服务</w:t>
      </w:r>
      <w:r>
        <w:rPr>
          <w:rFonts w:hint="default" w:ascii="Times New Roman" w:hAnsi="Times New Roman" w:eastAsia="仿宋_GB2312" w:cs="Times New Roman"/>
          <w:b w:val="0"/>
          <w:bCs w:val="0"/>
          <w:kern w:val="0"/>
          <w:sz w:val="32"/>
          <w:szCs w:val="32"/>
          <w:lang w:eastAsia="zh-CN"/>
        </w:rPr>
        <w:t>。</w:t>
      </w:r>
    </w:p>
    <w:p w14:paraId="4CF70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加强调查研究，收集、整理和传递重要的政务、经济信息，为市委、市政府决策提供参考依据，为市</w:t>
      </w:r>
      <w:r>
        <w:rPr>
          <w:rFonts w:hint="default" w:ascii="Times New Roman" w:hAnsi="Times New Roman" w:eastAsia="仿宋_GB2312" w:cs="Times New Roman"/>
          <w:b w:val="0"/>
          <w:bCs w:val="0"/>
          <w:kern w:val="0"/>
          <w:sz w:val="32"/>
          <w:szCs w:val="32"/>
          <w:lang w:eastAsia="zh-CN"/>
        </w:rPr>
        <w:t>级</w:t>
      </w:r>
      <w:r>
        <w:rPr>
          <w:rFonts w:hint="default" w:ascii="Times New Roman" w:hAnsi="Times New Roman" w:eastAsia="仿宋_GB2312" w:cs="Times New Roman"/>
          <w:b w:val="0"/>
          <w:bCs w:val="0"/>
          <w:kern w:val="0"/>
          <w:sz w:val="32"/>
          <w:szCs w:val="32"/>
        </w:rPr>
        <w:t>部门、县（区）和企业提供信息咨询服务。</w:t>
      </w:r>
    </w:p>
    <w:p w14:paraId="34447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三）协助开展招商引资各项活动。</w:t>
      </w:r>
    </w:p>
    <w:p w14:paraId="50F271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开展招商引资和区域间经济、技术、人才、文化的交流与合作；围绕我市经济发展的支柱产业和重点项目，积极开展招商引资活动，着力引进技术和资金，同时协助市内企业拓展市外市场。</w:t>
      </w:r>
    </w:p>
    <w:p w14:paraId="69F7E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四）负责协调业务指导工作。</w:t>
      </w:r>
    </w:p>
    <w:p w14:paraId="6E4EA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协调县（区）驻蓉办事处（联络处）的关系和</w:t>
      </w:r>
      <w:r>
        <w:rPr>
          <w:rFonts w:hint="default" w:ascii="Times New Roman" w:hAnsi="Times New Roman" w:eastAsia="仿宋_GB2312" w:cs="Times New Roman"/>
          <w:b w:val="0"/>
          <w:bCs w:val="0"/>
          <w:kern w:val="0"/>
          <w:sz w:val="32"/>
          <w:szCs w:val="32"/>
          <w:lang w:eastAsia="zh-CN"/>
        </w:rPr>
        <w:t>进行相应的</w:t>
      </w:r>
      <w:r>
        <w:rPr>
          <w:rFonts w:hint="default" w:ascii="Times New Roman" w:hAnsi="Times New Roman" w:eastAsia="仿宋_GB2312" w:cs="Times New Roman"/>
          <w:b w:val="0"/>
          <w:bCs w:val="0"/>
          <w:kern w:val="0"/>
          <w:sz w:val="32"/>
          <w:szCs w:val="32"/>
        </w:rPr>
        <w:t>业务指导。</w:t>
      </w:r>
    </w:p>
    <w:p w14:paraId="10179E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五）接待保障工作。</w:t>
      </w:r>
    </w:p>
    <w:p w14:paraId="6BEFB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负责市级领导赴蓉及途经成都的接待工作，为市级各部门、县（区）和企事业单位在成都开展业务活动提供咨询服务和工作方便。</w:t>
      </w:r>
    </w:p>
    <w:p w14:paraId="2046D8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六）在蓉离退休人员的服务管理工作。</w:t>
      </w:r>
    </w:p>
    <w:p w14:paraId="0253CA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负责与攀枝花调到成都和离退休后到成都定居的领导和干部的联系，为我市的经济建设和社会发展服务。</w:t>
      </w:r>
    </w:p>
    <w:p w14:paraId="6C568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七）信访维稳工作。</w:t>
      </w:r>
    </w:p>
    <w:p w14:paraId="647D08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协助市级有关部门做好本市人员到蓉上访的处置工作。</w:t>
      </w:r>
    </w:p>
    <w:p w14:paraId="3A0B7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八）国有资产的</w:t>
      </w:r>
      <w:r>
        <w:rPr>
          <w:rFonts w:hint="default" w:ascii="Times New Roman" w:hAnsi="Times New Roman" w:eastAsia="仿宋_GB2312" w:cs="Times New Roman"/>
          <w:b w:val="0"/>
          <w:bCs w:val="0"/>
          <w:kern w:val="0"/>
          <w:sz w:val="32"/>
          <w:szCs w:val="32"/>
        </w:rPr>
        <w:t>监督管理</w:t>
      </w:r>
      <w:r>
        <w:rPr>
          <w:rFonts w:hint="default" w:ascii="Times New Roman" w:hAnsi="Times New Roman" w:eastAsia="仿宋_GB2312" w:cs="Times New Roman"/>
          <w:b w:val="0"/>
          <w:bCs w:val="0"/>
          <w:kern w:val="0"/>
          <w:sz w:val="32"/>
          <w:szCs w:val="32"/>
          <w:lang w:eastAsia="zh-CN"/>
        </w:rPr>
        <w:t>。</w:t>
      </w:r>
    </w:p>
    <w:p w14:paraId="5F303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负责对办事处及所属单位的财产进行监督管理，保证国有资产保值增值。</w:t>
      </w:r>
    </w:p>
    <w:p w14:paraId="3068E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九）</w:t>
      </w:r>
      <w:r>
        <w:rPr>
          <w:rFonts w:hint="default" w:ascii="Times New Roman" w:hAnsi="Times New Roman" w:eastAsia="仿宋_GB2312" w:cs="Times New Roman"/>
          <w:b w:val="0"/>
          <w:bCs w:val="0"/>
          <w:kern w:val="0"/>
          <w:sz w:val="32"/>
          <w:szCs w:val="32"/>
        </w:rPr>
        <w:t>承办市委、市政府和主管部门交办的其它事宜。</w:t>
      </w:r>
    </w:p>
    <w:p w14:paraId="0D7F2FE0">
      <w:pPr>
        <w:pStyle w:val="6"/>
        <w:rPr>
          <w:rFonts w:hint="default" w:ascii="Times New Roman" w:hAnsi="Times New Roman" w:eastAsia="黑体"/>
          <w:b w:val="0"/>
          <w:color w:val="auto"/>
          <w:highlight w:val="none"/>
        </w:rPr>
      </w:pPr>
      <w:bookmarkStart w:id="10" w:name="_Toc15396601"/>
      <w:bookmarkStart w:id="11" w:name="_Toc15377200"/>
      <w:r>
        <w:rPr>
          <w:rFonts w:hint="default" w:ascii="Times New Roman" w:hAnsi="Times New Roman" w:eastAsia="黑体"/>
          <w:b w:val="0"/>
          <w:color w:val="auto"/>
          <w:highlight w:val="none"/>
        </w:rPr>
        <w:t>二、机构设置</w:t>
      </w:r>
      <w:bookmarkEnd w:id="10"/>
      <w:bookmarkEnd w:id="11"/>
    </w:p>
    <w:p w14:paraId="41B6B07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攀枝花市人民政府驻成都办事处下属二级单位3个，其中行政单位1个，参照公务员法管理的事业单位1个，其他事业单位1个。</w:t>
      </w:r>
    </w:p>
    <w:p w14:paraId="4AFCE165">
      <w:pPr>
        <w:pStyle w:val="8"/>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仿宋_GB2312" w:cs="Times New Roman"/>
          <w:color w:val="000000"/>
          <w:sz w:val="32"/>
          <w:szCs w:val="32"/>
        </w:rPr>
        <w:t>纳入</w:t>
      </w:r>
      <w:r>
        <w:rPr>
          <w:rFonts w:hint="default" w:ascii="Times New Roman" w:hAnsi="Times New Roman" w:eastAsia="仿宋_GB2312" w:cs="Times New Roman"/>
          <w:sz w:val="32"/>
          <w:szCs w:val="32"/>
        </w:rPr>
        <w:t>攀枝花市人民政府驻成都办事处</w:t>
      </w:r>
      <w:r>
        <w:rPr>
          <w:rFonts w:hint="default" w:ascii="Times New Roman" w:hAnsi="Times New Roman" w:eastAsia="仿宋_GB2312" w:cs="Times New Roman"/>
          <w:color w:val="000000"/>
          <w:sz w:val="32"/>
          <w:szCs w:val="32"/>
        </w:rPr>
        <w:t>202</w:t>
      </w:r>
      <w:r>
        <w:rPr>
          <w:rFonts w:hint="default" w:ascii="Times New Roman" w:hAnsi="Times New Roman" w:cs="Times New Roman"/>
          <w:color w:val="000000"/>
          <w:sz w:val="32"/>
          <w:szCs w:val="32"/>
          <w:lang w:val="en-US" w:eastAsia="zh-CN"/>
        </w:rPr>
        <w:t>4</w:t>
      </w:r>
      <w:r>
        <w:rPr>
          <w:rFonts w:hint="default" w:ascii="Times New Roman" w:hAnsi="Times New Roman" w:eastAsia="仿宋_GB2312" w:cs="Times New Roman"/>
          <w:color w:val="000000"/>
          <w:sz w:val="32"/>
          <w:szCs w:val="32"/>
        </w:rPr>
        <w:t>年度部门决算编制范围的二级预算单位包括：</w:t>
      </w:r>
    </w:p>
    <w:p w14:paraId="639888EB">
      <w:pPr>
        <w:pStyle w:val="8"/>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outlineLvl w:val="2"/>
        <w:rPr>
          <w:rFonts w:hint="default" w:ascii="Times New Roman" w:hAnsi="Times New Roman" w:eastAsia="楷体_GB2312" w:cs="Times New Roman"/>
          <w:b/>
          <w:bCs/>
          <w:sz w:val="32"/>
          <w:szCs w:val="32"/>
        </w:rPr>
      </w:pPr>
      <w:bookmarkStart w:id="12" w:name="_Toc15378449"/>
      <w:bookmarkStart w:id="13" w:name="_Toc15377433"/>
      <w:bookmarkStart w:id="14" w:name="_Toc15306276"/>
      <w:bookmarkStart w:id="15" w:name="_Toc15377202"/>
      <w:r>
        <w:rPr>
          <w:rFonts w:hint="default" w:ascii="Times New Roman" w:hAnsi="Times New Roman" w:eastAsia="楷体_GB2312" w:cs="Times New Roman"/>
          <w:b w:val="0"/>
          <w:bCs w:val="0"/>
          <w:sz w:val="32"/>
          <w:szCs w:val="32"/>
        </w:rPr>
        <w:t>（一）攀枝花市人民政府驻成都办事处</w:t>
      </w:r>
      <w:bookmarkEnd w:id="12"/>
      <w:bookmarkEnd w:id="13"/>
      <w:bookmarkEnd w:id="14"/>
      <w:bookmarkEnd w:id="15"/>
      <w:r>
        <w:rPr>
          <w:rFonts w:hint="default" w:ascii="Times New Roman" w:hAnsi="Times New Roman" w:eastAsia="楷体_GB2312" w:cs="Times New Roman"/>
          <w:b w:val="0"/>
          <w:bCs w:val="0"/>
          <w:sz w:val="32"/>
          <w:szCs w:val="32"/>
        </w:rPr>
        <w:t>（行政单位</w:t>
      </w:r>
      <w:r>
        <w:rPr>
          <w:rFonts w:hint="default" w:ascii="Times New Roman" w:hAnsi="Times New Roman" w:eastAsia="楷体_GB2312" w:cs="Times New Roman"/>
          <w:b w:val="0"/>
          <w:bCs w:val="0"/>
          <w:sz w:val="32"/>
          <w:szCs w:val="32"/>
          <w:lang w:eastAsia="zh-CN"/>
        </w:rPr>
        <w:t>，以下</w:t>
      </w:r>
      <w:r>
        <w:rPr>
          <w:rFonts w:hint="default" w:ascii="Times New Roman" w:hAnsi="Times New Roman" w:eastAsia="楷体_GB2312" w:cs="Times New Roman"/>
          <w:b w:val="0"/>
          <w:color w:val="000000"/>
          <w:sz w:val="32"/>
          <w:szCs w:val="32"/>
          <w:lang w:eastAsia="zh-CN"/>
        </w:rPr>
        <w:t>简称：</w:t>
      </w:r>
      <w:r>
        <w:rPr>
          <w:rFonts w:hint="default" w:ascii="Times New Roman" w:hAnsi="Times New Roman" w:eastAsia="楷体_GB2312" w:cs="Times New Roman"/>
          <w:sz w:val="32"/>
          <w:szCs w:val="32"/>
          <w:lang w:eastAsia="zh-CN"/>
        </w:rPr>
        <w:t>成</w:t>
      </w:r>
      <w:r>
        <w:rPr>
          <w:rFonts w:hint="default" w:ascii="Times New Roman" w:hAnsi="Times New Roman" w:eastAsia="楷体_GB2312" w:cs="Times New Roman"/>
          <w:sz w:val="32"/>
          <w:szCs w:val="32"/>
        </w:rPr>
        <w:t>办</w:t>
      </w:r>
      <w:r>
        <w:rPr>
          <w:rFonts w:hint="default" w:ascii="Times New Roman" w:hAnsi="Times New Roman" w:eastAsia="楷体_GB2312" w:cs="Times New Roman"/>
          <w:b w:val="0"/>
          <w:bCs w:val="0"/>
          <w:sz w:val="32"/>
          <w:szCs w:val="32"/>
        </w:rPr>
        <w:t>）</w:t>
      </w:r>
    </w:p>
    <w:p w14:paraId="204D831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成办除内设处室“三科一办”，即</w:t>
      </w:r>
      <w:r>
        <w:rPr>
          <w:rFonts w:hint="default" w:ascii="Times New Roman" w:hAnsi="Times New Roman" w:eastAsia="仿宋_GB2312" w:cs="Times New Roman"/>
          <w:kern w:val="0"/>
          <w:sz w:val="32"/>
          <w:szCs w:val="32"/>
        </w:rPr>
        <w:t>党委办公室、综合科、经济联络信息科、接待管理科外，</w:t>
      </w:r>
      <w:r>
        <w:rPr>
          <w:rFonts w:hint="default" w:ascii="Times New Roman" w:hAnsi="Times New Roman" w:eastAsia="仿宋_GB2312" w:cs="Times New Roman"/>
          <w:sz w:val="32"/>
          <w:szCs w:val="32"/>
        </w:rPr>
        <w:t>还挂有“中共攀枝花市委组织部驻成都流动党员服务站”、“共青团攀枝花市委驻成都工作委员会”和“攀枝花市驻成都群众工作站”等三个牌子。</w:t>
      </w:r>
    </w:p>
    <w:p w14:paraId="21B0DE5D">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rPr>
        <w:t>截至202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年12月31日</w:t>
      </w:r>
      <w:r>
        <w:rPr>
          <w:rFonts w:hint="default" w:ascii="Times New Roman" w:hAnsi="Times New Roman" w:eastAsia="仿宋_GB2312" w:cs="Times New Roman"/>
          <w:sz w:val="32"/>
          <w:szCs w:val="32"/>
        </w:rPr>
        <w:t>实有人数：公务员</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原主任调回市人大工作后其工资关系未动，编制不纳入</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2024年本年退休3人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机关工勤</w:t>
      </w:r>
      <w:r>
        <w:rPr>
          <w:rFonts w:hint="default" w:ascii="Times New Roman" w:hAnsi="Times New Roman" w:eastAsia="仿宋_GB2312" w:cs="Times New Roman"/>
          <w:sz w:val="32"/>
          <w:szCs w:val="32"/>
          <w:lang w:val="en-US" w:eastAsia="zh-CN"/>
        </w:rPr>
        <w:t>4人、</w:t>
      </w:r>
      <w:r>
        <w:rPr>
          <w:rFonts w:hint="default" w:ascii="Times New Roman" w:hAnsi="Times New Roman" w:eastAsia="仿宋_GB2312" w:cs="Times New Roman"/>
          <w:sz w:val="32"/>
          <w:szCs w:val="32"/>
        </w:rPr>
        <w:t>按照攀委办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86号文管理</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聘用人员2人</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lang w:val="en-US" w:eastAsia="zh-CN"/>
        </w:rPr>
        <w:t>13人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退休人员已全部纳入社保统筹管理。</w:t>
      </w:r>
    </w:p>
    <w:p w14:paraId="0FA2680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（二）攀枝花市成都干部休养所（参照公务员法管理的事业单位</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val="0"/>
          <w:sz w:val="32"/>
          <w:szCs w:val="32"/>
          <w:lang w:eastAsia="zh-CN"/>
        </w:rPr>
        <w:t>以下</w:t>
      </w:r>
      <w:r>
        <w:rPr>
          <w:rFonts w:hint="default" w:ascii="Times New Roman" w:hAnsi="Times New Roman" w:eastAsia="楷体_GB2312" w:cs="Times New Roman"/>
          <w:b w:val="0"/>
          <w:color w:val="000000"/>
          <w:sz w:val="32"/>
          <w:szCs w:val="32"/>
          <w:lang w:eastAsia="zh-CN"/>
        </w:rPr>
        <w:t>简称：</w:t>
      </w:r>
      <w:r>
        <w:rPr>
          <w:rFonts w:hint="default" w:ascii="Times New Roman" w:hAnsi="Times New Roman" w:eastAsia="楷体_GB2312" w:cs="Times New Roman"/>
          <w:sz w:val="32"/>
          <w:szCs w:val="32"/>
          <w:lang w:eastAsia="zh-CN"/>
        </w:rPr>
        <w:t>干休所</w:t>
      </w:r>
      <w:r>
        <w:rPr>
          <w:rFonts w:hint="default" w:ascii="Times New Roman" w:hAnsi="Times New Roman" w:eastAsia="楷体_GB2312" w:cs="Times New Roman"/>
          <w:b w:val="0"/>
          <w:bCs/>
          <w:sz w:val="32"/>
          <w:szCs w:val="32"/>
        </w:rPr>
        <w:t>）</w:t>
      </w:r>
    </w:p>
    <w:p w14:paraId="63C60EE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干休所</w:t>
      </w:r>
      <w:r>
        <w:rPr>
          <w:rFonts w:hint="default" w:ascii="Times New Roman" w:hAnsi="Times New Roman" w:eastAsia="仿宋_GB2312" w:cs="Times New Roman"/>
          <w:kern w:val="0"/>
          <w:sz w:val="32"/>
          <w:szCs w:val="32"/>
        </w:rPr>
        <w:t>内设机构有办公室、财务室和医务室。</w:t>
      </w:r>
      <w:r>
        <w:rPr>
          <w:rFonts w:hint="default" w:ascii="Times New Roman" w:hAnsi="Times New Roman" w:eastAsia="仿宋_GB2312" w:cs="Times New Roman"/>
          <w:sz w:val="32"/>
          <w:szCs w:val="32"/>
        </w:rPr>
        <w:t>截止20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年12月31日</w:t>
      </w:r>
      <w:r>
        <w:rPr>
          <w:rFonts w:hint="default" w:ascii="Times New Roman" w:hAnsi="Times New Roman" w:eastAsia="仿宋_GB2312" w:cs="Times New Roman"/>
          <w:b w:val="0"/>
          <w:bCs/>
          <w:sz w:val="32"/>
          <w:szCs w:val="32"/>
        </w:rPr>
        <w:t>有</w:t>
      </w:r>
      <w:r>
        <w:rPr>
          <w:rFonts w:hint="default" w:ascii="Times New Roman" w:hAnsi="Times New Roman" w:eastAsia="仿宋_GB2312" w:cs="Times New Roman"/>
          <w:b w:val="0"/>
          <w:bCs/>
          <w:sz w:val="32"/>
          <w:szCs w:val="32"/>
          <w:lang w:eastAsia="zh-CN"/>
        </w:rPr>
        <w:t>参公管理事业人员</w:t>
      </w:r>
      <w:r>
        <w:rPr>
          <w:rFonts w:hint="default" w:ascii="Times New Roman" w:hAnsi="Times New Roman" w:eastAsia="仿宋_GB2312" w:cs="Times New Roman"/>
          <w:b w:val="0"/>
          <w:bCs/>
          <w:sz w:val="32"/>
          <w:szCs w:val="32"/>
          <w:lang w:val="en-US" w:eastAsia="zh-CN"/>
        </w:rPr>
        <w:t>3人、</w:t>
      </w:r>
      <w:r>
        <w:rPr>
          <w:rFonts w:hint="default" w:ascii="Times New Roman" w:hAnsi="Times New Roman" w:eastAsia="仿宋_GB2312" w:cs="Times New Roman"/>
          <w:sz w:val="32"/>
          <w:szCs w:val="32"/>
        </w:rPr>
        <w:t>按照攀委办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86号文管理</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b w:val="0"/>
          <w:bCs/>
          <w:sz w:val="32"/>
          <w:szCs w:val="32"/>
        </w:rPr>
        <w:t>聘用驾驶员1人</w:t>
      </w:r>
      <w:r>
        <w:rPr>
          <w:rFonts w:hint="default" w:ascii="Times New Roman" w:hAnsi="Times New Roman" w:eastAsia="仿宋_GB2312" w:cs="Times New Roman"/>
          <w:b w:val="0"/>
          <w:bCs/>
          <w:sz w:val="32"/>
          <w:szCs w:val="32"/>
          <w:lang w:eastAsia="zh-CN"/>
        </w:rPr>
        <w:t>共</w:t>
      </w:r>
      <w:r>
        <w:rPr>
          <w:rFonts w:hint="default" w:ascii="Times New Roman" w:hAnsi="Times New Roman" w:eastAsia="仿宋_GB2312" w:cs="Times New Roman"/>
          <w:b w:val="0"/>
          <w:bCs/>
          <w:sz w:val="32"/>
          <w:szCs w:val="32"/>
          <w:lang w:val="en-US" w:eastAsia="zh-CN"/>
        </w:rPr>
        <w:t>4人</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eastAsia="zh-CN"/>
        </w:rPr>
        <w:t>退休人员</w:t>
      </w:r>
      <w:r>
        <w:rPr>
          <w:rFonts w:hint="default" w:ascii="Times New Roman" w:hAnsi="Times New Roman" w:eastAsia="仿宋_GB2312" w:cs="Times New Roman"/>
          <w:b w:val="0"/>
          <w:bCs/>
          <w:sz w:val="32"/>
          <w:szCs w:val="32"/>
          <w:lang w:val="en-US" w:eastAsia="zh-CN"/>
        </w:rPr>
        <w:t>8人</w:t>
      </w:r>
      <w:r>
        <w:rPr>
          <w:rFonts w:hint="default" w:ascii="Times New Roman" w:hAnsi="Times New Roman" w:eastAsia="仿宋_GB2312" w:cs="Times New Roman"/>
          <w:sz w:val="32"/>
          <w:szCs w:val="32"/>
        </w:rPr>
        <w:t>已纳入社保统筹管理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退休返聘人员2</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b w:val="0"/>
          <w:bCs/>
          <w:sz w:val="32"/>
          <w:szCs w:val="32"/>
        </w:rPr>
        <w:t>会计1人、医生1人</w:t>
      </w:r>
      <w:r>
        <w:rPr>
          <w:rFonts w:hint="default"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rPr>
        <w:t>长期聘用</w:t>
      </w:r>
      <w:r>
        <w:rPr>
          <w:rFonts w:hint="default" w:ascii="Times New Roman" w:hAnsi="Times New Roman" w:eastAsia="仿宋_GB2312" w:cs="Times New Roman"/>
          <w:b w:val="0"/>
          <w:bCs/>
          <w:sz w:val="32"/>
          <w:szCs w:val="32"/>
          <w:lang w:eastAsia="zh-CN"/>
        </w:rPr>
        <w:t>临时人员</w:t>
      </w:r>
      <w:r>
        <w:rPr>
          <w:rFonts w:hint="default" w:ascii="Times New Roman" w:hAnsi="Times New Roman" w:eastAsia="仿宋_GB2312" w:cs="Times New Roman"/>
          <w:b w:val="0"/>
          <w:bCs/>
          <w:sz w:val="32"/>
          <w:szCs w:val="32"/>
          <w:lang w:val="en-US" w:eastAsia="zh-CN"/>
        </w:rPr>
        <w:t>4人：</w:t>
      </w:r>
      <w:r>
        <w:rPr>
          <w:rFonts w:hint="default" w:ascii="Times New Roman" w:hAnsi="Times New Roman" w:eastAsia="仿宋_GB2312" w:cs="Times New Roman"/>
          <w:b w:val="0"/>
          <w:bCs/>
          <w:sz w:val="32"/>
          <w:szCs w:val="32"/>
        </w:rPr>
        <w:t>门卫2人</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因离休干部身体的原因，一直临聘了有护理经验的护工2人。</w:t>
      </w:r>
    </w:p>
    <w:p w14:paraId="04416E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（三）攀枝花市成都干部服务中心（其他事业单位</w:t>
      </w:r>
      <w:r>
        <w:rPr>
          <w:rFonts w:hint="default" w:ascii="Times New Roman" w:hAnsi="Times New Roman" w:eastAsia="楷体_GB2312" w:cs="Times New Roman"/>
          <w:b w:val="0"/>
          <w:bCs w:val="0"/>
          <w:sz w:val="32"/>
          <w:szCs w:val="32"/>
          <w:lang w:eastAsia="zh-CN"/>
        </w:rPr>
        <w:t>，以下</w:t>
      </w:r>
      <w:r>
        <w:rPr>
          <w:rFonts w:hint="default" w:ascii="Times New Roman" w:hAnsi="Times New Roman" w:eastAsia="楷体_GB2312" w:cs="Times New Roman"/>
          <w:b w:val="0"/>
          <w:color w:val="000000"/>
          <w:sz w:val="32"/>
          <w:szCs w:val="32"/>
          <w:lang w:eastAsia="zh-CN"/>
        </w:rPr>
        <w:t>简称：</w:t>
      </w:r>
      <w:r>
        <w:rPr>
          <w:rFonts w:hint="default" w:ascii="Times New Roman" w:hAnsi="Times New Roman" w:eastAsia="楷体_GB2312" w:cs="Times New Roman"/>
          <w:sz w:val="32"/>
          <w:szCs w:val="32"/>
          <w:lang w:eastAsia="zh-CN"/>
        </w:rPr>
        <w:t>服务中心</w:t>
      </w:r>
      <w:r>
        <w:rPr>
          <w:rFonts w:hint="default" w:ascii="Times New Roman" w:hAnsi="Times New Roman" w:eastAsia="楷体_GB2312" w:cs="Times New Roman"/>
          <w:b w:val="0"/>
          <w:bCs w:val="0"/>
          <w:sz w:val="32"/>
          <w:szCs w:val="32"/>
        </w:rPr>
        <w:t>）</w:t>
      </w:r>
    </w:p>
    <w:p w14:paraId="39C74C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color w:val="000000"/>
          <w:sz w:val="32"/>
          <w:szCs w:val="32"/>
        </w:rPr>
        <w:t>服务中心内设机构有办公室、财务室、业务宣传室。</w:t>
      </w:r>
      <w:r>
        <w:rPr>
          <w:rFonts w:hint="default" w:ascii="Times New Roman" w:hAnsi="Times New Roman" w:eastAsia="仿宋_GB2312" w:cs="Times New Roman"/>
          <w:kern w:val="2"/>
          <w:sz w:val="32"/>
          <w:szCs w:val="32"/>
        </w:rPr>
        <w:t>截止202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年12月31日</w:t>
      </w:r>
      <w:r>
        <w:rPr>
          <w:rFonts w:hint="default" w:ascii="Times New Roman" w:hAnsi="Times New Roman" w:eastAsia="仿宋_GB2312" w:cs="Times New Roman"/>
          <w:kern w:val="2"/>
          <w:sz w:val="32"/>
          <w:szCs w:val="32"/>
          <w:lang w:eastAsia="zh-CN"/>
        </w:rPr>
        <w:t>有事业管理人员</w:t>
      </w:r>
      <w:r>
        <w:rPr>
          <w:rFonts w:hint="default" w:ascii="Times New Roman" w:hAnsi="Times New Roman" w:eastAsia="仿宋_GB2312" w:cs="Times New Roman"/>
          <w:kern w:val="2"/>
          <w:sz w:val="32"/>
          <w:szCs w:val="32"/>
        </w:rPr>
        <w:t>1人、专业技术人员</w:t>
      </w: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人</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事业工勤人员</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人</w:t>
      </w:r>
      <w:r>
        <w:rPr>
          <w:rFonts w:hint="default" w:ascii="Times New Roman" w:hAnsi="Times New Roman" w:eastAsia="仿宋_GB2312" w:cs="Times New Roman"/>
          <w:kern w:val="2"/>
          <w:sz w:val="32"/>
          <w:szCs w:val="32"/>
          <w:lang w:eastAsia="zh-CN"/>
        </w:rPr>
        <w:t>共</w:t>
      </w:r>
      <w:r>
        <w:rPr>
          <w:rFonts w:hint="default" w:ascii="Times New Roman" w:hAnsi="Times New Roman" w:eastAsia="仿宋_GB2312" w:cs="Times New Roman"/>
          <w:kern w:val="2"/>
          <w:sz w:val="32"/>
          <w:szCs w:val="32"/>
          <w:lang w:val="en-US" w:eastAsia="zh-CN"/>
        </w:rPr>
        <w:t>6人</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退休人员</w:t>
      </w: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人已纳入社保统筹管理</w:t>
      </w:r>
      <w:r>
        <w:rPr>
          <w:rFonts w:hint="default" w:ascii="Times New Roman" w:hAnsi="Times New Roman" w:eastAsia="仿宋_GB2312" w:cs="Times New Roman"/>
          <w:kern w:val="2"/>
          <w:sz w:val="32"/>
          <w:szCs w:val="32"/>
          <w:lang w:eastAsia="zh-CN"/>
        </w:rPr>
        <w:t>。</w:t>
      </w:r>
    </w:p>
    <w:p w14:paraId="7D2DCD82">
      <w:pPr>
        <w:widowControl/>
        <w:jc w:val="left"/>
        <w:rPr>
          <w:rFonts w:hint="default" w:ascii="Times New Roman" w:hAnsi="Times New Roman" w:eastAsia="仿宋" w:cs="Times New Roman"/>
          <w:color w:val="auto"/>
          <w:kern w:val="0"/>
          <w:sz w:val="32"/>
          <w:szCs w:val="32"/>
          <w:highlight w:val="none"/>
        </w:rPr>
      </w:pPr>
    </w:p>
    <w:p w14:paraId="59AC1458">
      <w:pPr>
        <w:pStyle w:val="8"/>
        <w:rPr>
          <w:rFonts w:hint="default" w:ascii="Times New Roman" w:hAnsi="Times New Roman" w:eastAsia="仿宋" w:cs="Times New Roman"/>
          <w:color w:val="auto"/>
          <w:kern w:val="0"/>
          <w:sz w:val="32"/>
          <w:szCs w:val="32"/>
          <w:highlight w:val="none"/>
        </w:rPr>
      </w:pPr>
    </w:p>
    <w:p w14:paraId="260D11DC">
      <w:pPr>
        <w:pStyle w:val="8"/>
        <w:rPr>
          <w:rFonts w:hint="default" w:ascii="Times New Roman" w:hAnsi="Times New Roman" w:eastAsia="仿宋" w:cs="Times New Roman"/>
          <w:color w:val="auto"/>
          <w:kern w:val="0"/>
          <w:sz w:val="32"/>
          <w:szCs w:val="32"/>
          <w:highlight w:val="none"/>
        </w:rPr>
      </w:pPr>
    </w:p>
    <w:p w14:paraId="41D05CD9">
      <w:pPr>
        <w:pStyle w:val="8"/>
        <w:rPr>
          <w:rFonts w:hint="default" w:ascii="Times New Roman" w:hAnsi="Times New Roman" w:eastAsia="仿宋" w:cs="Times New Roman"/>
          <w:color w:val="auto"/>
          <w:kern w:val="0"/>
          <w:sz w:val="32"/>
          <w:szCs w:val="32"/>
          <w:highlight w:val="none"/>
        </w:rPr>
      </w:pPr>
    </w:p>
    <w:p w14:paraId="6C910124">
      <w:pPr>
        <w:pStyle w:val="5"/>
        <w:jc w:val="center"/>
        <w:rPr>
          <w:rFonts w:hint="default" w:ascii="Times New Roman" w:hAnsi="Times New Roman" w:eastAsia="方正小标宋简体" w:cs="Times New Roman"/>
          <w:b w:val="0"/>
          <w:color w:val="auto"/>
          <w:highlight w:val="none"/>
        </w:rPr>
      </w:pPr>
      <w:bookmarkStart w:id="16" w:name="_Toc15396602"/>
      <w:bookmarkStart w:id="17" w:name="_Toc15377204"/>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16"/>
      <w:bookmarkEnd w:id="17"/>
    </w:p>
    <w:p w14:paraId="7A90E0EE">
      <w:pPr>
        <w:rPr>
          <w:rFonts w:hint="default" w:ascii="Times New Roman" w:hAnsi="Times New Roman" w:cs="Times New Roman"/>
          <w:color w:val="auto"/>
          <w:highlight w:val="none"/>
        </w:rPr>
      </w:pPr>
    </w:p>
    <w:p w14:paraId="70E0B05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18" w:name="_Toc15396603"/>
      <w:bookmarkStart w:id="19" w:name="_Toc15377205"/>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入支出决算总体情况说明</w:t>
      </w:r>
      <w:bookmarkEnd w:id="18"/>
      <w:bookmarkEnd w:id="19"/>
    </w:p>
    <w:p w14:paraId="3385B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年度收、支总计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color w:val="auto"/>
          <w:sz w:val="32"/>
          <w:szCs w:val="32"/>
          <w:highlight w:val="none"/>
          <w:lang w:val="en-US" w:eastAsia="zh-CN"/>
        </w:rPr>
        <w:t>817.16</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相比，收、支总计各</w:t>
      </w:r>
      <w:r>
        <w:rPr>
          <w:rFonts w:hint="default" w:ascii="Times New Roman" w:hAnsi="Times New Roman" w:eastAsia="仿宋_GB2312" w:cs="Times New Roman"/>
          <w:color w:val="auto"/>
          <w:sz w:val="32"/>
          <w:szCs w:val="32"/>
          <w:highlight w:val="none"/>
          <w:lang w:eastAsia="zh-CN"/>
        </w:rPr>
        <w:t>减少</w:t>
      </w:r>
      <w:r>
        <w:rPr>
          <w:rFonts w:hint="default" w:ascii="Times New Roman" w:hAnsi="Times New Roman" w:eastAsia="仿宋_GB2312" w:cs="Times New Roman"/>
          <w:color w:val="auto"/>
          <w:sz w:val="32"/>
          <w:szCs w:val="32"/>
          <w:highlight w:val="none"/>
          <w:lang w:val="en-US" w:eastAsia="zh-CN"/>
        </w:rPr>
        <w:t>67.67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降低</w:t>
      </w:r>
      <w:r>
        <w:rPr>
          <w:rFonts w:hint="default" w:ascii="Times New Roman" w:hAnsi="Times New Roman" w:eastAsia="仿宋_GB2312" w:cs="Times New Roman"/>
          <w:color w:val="auto"/>
          <w:sz w:val="32"/>
          <w:szCs w:val="32"/>
          <w:highlight w:val="none"/>
          <w:lang w:val="en-US" w:eastAsia="zh-CN"/>
        </w:rPr>
        <w:t>7.65</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eastAsia="zh-CN"/>
        </w:rPr>
        <w:t>基本支出减少</w:t>
      </w:r>
      <w:r>
        <w:rPr>
          <w:rFonts w:hint="default" w:ascii="Times New Roman" w:hAnsi="Times New Roman" w:eastAsia="仿宋_GB2312" w:cs="Times New Roman"/>
          <w:color w:val="auto"/>
          <w:sz w:val="32"/>
          <w:szCs w:val="32"/>
          <w:highlight w:val="none"/>
          <w:lang w:val="en-US" w:eastAsia="zh-CN"/>
        </w:rPr>
        <w:t>56.92万元，项目支出减少15.08万元。</w:t>
      </w:r>
    </w:p>
    <w:p w14:paraId="0EDC06E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drawing>
          <wp:inline distT="0" distB="0" distL="114300" distR="114300">
            <wp:extent cx="5157470" cy="3076575"/>
            <wp:effectExtent l="0" t="0" r="5080" b="9525"/>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2"/>
                    <a:stretch>
                      <a:fillRect/>
                    </a:stretch>
                  </pic:blipFill>
                  <pic:spPr>
                    <a:xfrm>
                      <a:off x="0" y="0"/>
                      <a:ext cx="5157470" cy="3076575"/>
                    </a:xfrm>
                    <a:prstGeom prst="rect">
                      <a:avLst/>
                    </a:prstGeom>
                    <a:noFill/>
                    <a:ln>
                      <a:noFill/>
                    </a:ln>
                  </pic:spPr>
                </pic:pic>
              </a:graphicData>
            </a:graphic>
          </wp:inline>
        </w:drawing>
      </w:r>
    </w:p>
    <w:p w14:paraId="157B723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14:paraId="0E92ECE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0" w:name="_Toc15377206"/>
      <w:bookmarkStart w:id="21" w:name="_Toc15396604"/>
      <w:r>
        <w:rPr>
          <w:rFonts w:hint="default" w:ascii="Times New Roman" w:hAnsi="Times New Roman" w:eastAsia="黑体" w:cs="Times New Roman"/>
          <w:color w:val="auto"/>
          <w:sz w:val="32"/>
          <w:szCs w:val="32"/>
          <w:highlight w:val="none"/>
          <w:lang w:eastAsia="zh-CN"/>
        </w:rPr>
        <w:t>二、收入决算情况说明</w:t>
      </w:r>
      <w:bookmarkEnd w:id="20"/>
      <w:bookmarkEnd w:id="21"/>
    </w:p>
    <w:p w14:paraId="07A9335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817.16万元，其中：一般公共预算财政拨款收入817.16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%；政府性基金预算财政拨款收入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%；国有资本经营预算财政拨款收入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%；上级补助收入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%；事业收入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%；附属单位上缴收入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%；其他收入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w:t>
      </w:r>
    </w:p>
    <w:p w14:paraId="2E741E7B">
      <w:pPr>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826000" cy="2743200"/>
            <wp:effectExtent l="4445" t="4445" r="8255" b="52705"/>
            <wp:docPr id="6" name="图表 5" descr="7b0a202020202263686172745265734964223a202232303436383439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F7E04B">
      <w:pPr>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14:paraId="0696143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22" w:name="_Toc15396605"/>
      <w:bookmarkStart w:id="23" w:name="_Toc15377207"/>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1"/>
          <w:rFonts w:hint="default" w:ascii="Times New Roman" w:hAnsi="Times New Roman" w:eastAsia="黑体" w:cs="Times New Roman"/>
          <w:b w:val="0"/>
          <w:color w:val="auto"/>
          <w:highlight w:val="none"/>
        </w:rPr>
        <w:t>出决算情况说明</w:t>
      </w:r>
      <w:bookmarkEnd w:id="22"/>
      <w:bookmarkEnd w:id="23"/>
    </w:p>
    <w:p w14:paraId="276449D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817.16</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778.36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95.25</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38.8</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4.74</w:t>
      </w:r>
      <w:r>
        <w:rPr>
          <w:rFonts w:hint="default" w:ascii="Times New Roman" w:hAnsi="Times New Roman" w:eastAsia="仿宋_GB2312" w:cs="Times New Roman"/>
          <w:color w:val="auto"/>
          <w:sz w:val="32"/>
          <w:szCs w:val="32"/>
          <w:highlight w:val="none"/>
          <w:lang w:eastAsia="zh-CN"/>
        </w:rPr>
        <w:t>%；上缴上级支出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%；对附属单位补助支出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w:t>
      </w:r>
    </w:p>
    <w:p w14:paraId="6C806BC3">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838700" cy="2838450"/>
            <wp:effectExtent l="0" t="0" r="0" b="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4838700" cy="2838450"/>
                    </a:xfrm>
                    <a:prstGeom prst="rect">
                      <a:avLst/>
                    </a:prstGeom>
                  </pic:spPr>
                </pic:pic>
              </a:graphicData>
            </a:graphic>
          </wp:inline>
        </w:drawing>
      </w:r>
    </w:p>
    <w:p w14:paraId="27059DF1">
      <w:pPr>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p>
    <w:p w14:paraId="10EA7C88">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24" w:name="_Toc15377208"/>
      <w:bookmarkStart w:id="25" w:name="_Toc15396606"/>
      <w:r>
        <w:rPr>
          <w:rFonts w:hint="default" w:ascii="Times New Roman" w:hAnsi="Times New Roman" w:eastAsia="黑体" w:cs="Times New Roman"/>
          <w:color w:val="auto"/>
          <w:sz w:val="32"/>
          <w:szCs w:val="32"/>
          <w:highlight w:val="none"/>
        </w:rPr>
        <w:t>四、财</w:t>
      </w:r>
      <w:r>
        <w:rPr>
          <w:rStyle w:val="31"/>
          <w:rFonts w:hint="default" w:ascii="Times New Roman" w:hAnsi="Times New Roman" w:eastAsia="黑体" w:cs="Times New Roman"/>
          <w:b w:val="0"/>
          <w:color w:val="auto"/>
          <w:highlight w:val="none"/>
        </w:rPr>
        <w:t>政拨款收入支出决算总体情况说明</w:t>
      </w:r>
      <w:bookmarkEnd w:id="24"/>
      <w:bookmarkEnd w:id="25"/>
    </w:p>
    <w:p w14:paraId="7B603FF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817.16</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万元。与2023年度相比，财政拨款收入总计、支出总计各减少67.67万元，下降7.65%。主要变动原因是</w:t>
      </w:r>
    </w:p>
    <w:p w14:paraId="5EF8430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社会保障和就业支出中2023年人员经费中有退休人员死亡抚恤金36.74万元，2024年无该笔款项。</w:t>
      </w:r>
    </w:p>
    <w:p w14:paraId="10C7D3E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社会保障和就业支出中机关事业单位基本养老保险缴费支出项目减少5.49万元，是因为2024年成办有新增3名退休人员，相应的养老保险缴费支出减少。</w:t>
      </w:r>
    </w:p>
    <w:p w14:paraId="0C49477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卫生健康支出中其他行政事业单位医疗支出减少7.22万元，原因是2023年拨付2022年、2023年两年县干体检费，2024年仅拨付当年体检费，导致该项目经费减少。</w:t>
      </w:r>
    </w:p>
    <w:p w14:paraId="4C24723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一般公共服务支出中的一般行政管理事务减少14.8万元，原因是干休所的项目经费减少。</w:t>
      </w:r>
    </w:p>
    <w:p w14:paraId="52E6BD7D">
      <w:pPr>
        <w:spacing w:line="240" w:lineRule="auto"/>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inline distT="0" distB="0" distL="114300" distR="114300">
            <wp:extent cx="4826000" cy="2743200"/>
            <wp:effectExtent l="4445" t="4445" r="8255" b="52705"/>
            <wp:docPr id="7" name="图表 6" descr="7b0a202020202263686172745265734964223a202232303437323232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6F6041">
      <w:pPr>
        <w:spacing w:line="600" w:lineRule="exact"/>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14:paraId="3C4AB845">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26" w:name="_Toc15377209"/>
      <w:bookmarkStart w:id="27"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般公共预算财政拨款支出决算情况说明</w:t>
      </w:r>
      <w:bookmarkEnd w:id="26"/>
      <w:bookmarkEnd w:id="27"/>
    </w:p>
    <w:p w14:paraId="196E4444">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28"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28"/>
    </w:p>
    <w:p w14:paraId="4A69D41B">
      <w:pPr>
        <w:numPr>
          <w:ilvl w:val="0"/>
          <w:numId w:val="0"/>
        </w:numPr>
        <w:snapToGrid w:val="0"/>
        <w:spacing w:line="52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817.16</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%。与2023年度相比，一般公共预算财政拨款支出减少67.67万元，下降7.65%。主要变动原因是</w:t>
      </w:r>
    </w:p>
    <w:p w14:paraId="5D7CF7E8">
      <w:pPr>
        <w:numPr>
          <w:ilvl w:val="0"/>
          <w:numId w:val="0"/>
        </w:numPr>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一般公共服务支出515.61万元，占决算总收入的63.62%,与2023年末决算一般公共服务支出收入525.4万元相比，减少9.79万元，降低1.86%；社会保障和就业支出212.53</w:t>
      </w:r>
    </w:p>
    <w:p w14:paraId="7F44D4E5">
      <w:pPr>
        <w:numPr>
          <w:ilvl w:val="0"/>
          <w:numId w:val="0"/>
        </w:numPr>
        <w:snapToGrid w:val="0"/>
        <w:spacing w:line="520"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万元，占决算总收入的25.68%，与2023年末决算社会保障和就业支出收入262.88万元相比，减少50.35万元，降低19.15%；卫生健康支出45.93万元，占决算总收入5.28%，与2023年末决算卫生健康支出54.36万元相比，减少8.43万元，降低15.51%；住房保障支出43.08万元，占决算总收入的5.42%，与2023年末决算住房保障支出收入42.19万元相比，增加0.89万元，增长2.11%。</w:t>
      </w:r>
    </w:p>
    <w:p w14:paraId="7B2BDEA7">
      <w:pPr>
        <w:pStyle w:val="8"/>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826000" cy="2743200"/>
            <wp:effectExtent l="4445" t="4445" r="8255" b="52705"/>
            <wp:docPr id="11" name="图表 6" descr="7b0a202020202263686172745265734964223a202232303437323232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E14C92">
      <w:pPr>
        <w:spacing w:line="600" w:lineRule="exact"/>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42255EB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29" w:name="_Toc15377211"/>
    </w:p>
    <w:p w14:paraId="54F1FFE1">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bookmarkEnd w:id="29"/>
    </w:p>
    <w:p w14:paraId="5F53D5D4">
      <w:pPr>
        <w:numPr>
          <w:ilvl w:val="0"/>
          <w:numId w:val="0"/>
        </w:numPr>
        <w:snapToGrid w:val="0"/>
        <w:spacing w:line="52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817.16</w:t>
      </w:r>
      <w:r>
        <w:rPr>
          <w:rFonts w:hint="default" w:ascii="Times New Roman" w:hAnsi="Times New Roman" w:eastAsia="仿宋_GB2312" w:cs="Times New Roman"/>
          <w:color w:val="auto"/>
          <w:kern w:val="2"/>
          <w:sz w:val="32"/>
          <w:szCs w:val="32"/>
          <w:highlight w:val="none"/>
          <w:lang w:val="en-US" w:eastAsia="zh-CN" w:bidi="ar-SA"/>
        </w:rPr>
        <w:t>万元，主要用于以下方面：</w:t>
      </w:r>
      <w:r>
        <w:rPr>
          <w:rFonts w:hint="default" w:ascii="Times New Roman" w:hAnsi="Times New Roman" w:eastAsia="仿宋_GB2312" w:cs="Times New Roman"/>
          <w:sz w:val="32"/>
          <w:szCs w:val="32"/>
          <w:lang w:val="en-US" w:eastAsia="zh-CN"/>
        </w:rPr>
        <w:t>一般公共服务支出515.61万元，占总收入63.1%；社会保障和就业支出212.53万元，占总收入26.01%；卫生健康支出45.93万元，占总收入5.62%；住房保障支出43.08万元，占总收入5.27%。</w:t>
      </w:r>
    </w:p>
    <w:p w14:paraId="699A7B09">
      <w:pPr>
        <w:numPr>
          <w:ilvl w:val="0"/>
          <w:numId w:val="0"/>
        </w:numPr>
        <w:snapToGrid w:val="0"/>
        <w:spacing w:line="24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838700" cy="2838450"/>
            <wp:effectExtent l="0" t="0" r="0" b="0"/>
            <wp:docPr id="13" name="图片 1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
                    <pic:cNvPicPr>
                      <a:picLocks noChangeAspect="1"/>
                    </pic:cNvPicPr>
                  </pic:nvPicPr>
                  <pic:blipFill>
                    <a:blip r:embed="rId17"/>
                    <a:stretch>
                      <a:fillRect/>
                    </a:stretch>
                  </pic:blipFill>
                  <pic:spPr>
                    <a:xfrm>
                      <a:off x="0" y="0"/>
                      <a:ext cx="4838700" cy="2838450"/>
                    </a:xfrm>
                    <a:prstGeom prst="rect">
                      <a:avLst/>
                    </a:prstGeom>
                  </pic:spPr>
                </pic:pic>
              </a:graphicData>
            </a:graphic>
          </wp:inline>
        </w:drawing>
      </w:r>
    </w:p>
    <w:p w14:paraId="380CA53F">
      <w:pPr>
        <w:numPr>
          <w:ilvl w:val="0"/>
          <w:numId w:val="0"/>
        </w:numPr>
        <w:snapToGrid w:val="0"/>
        <w:spacing w:line="240" w:lineRule="auto"/>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p>
    <w:p w14:paraId="58FC7429">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0"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0"/>
    </w:p>
    <w:p w14:paraId="1E20B33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31" w:name="_Toc15377444"/>
      <w:bookmarkStart w:id="32" w:name="_Toc15377213"/>
      <w:bookmarkStart w:id="33" w:name="_Toc15378460"/>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817.16</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31"/>
      <w:bookmarkEnd w:id="32"/>
      <w:bookmarkEnd w:id="33"/>
    </w:p>
    <w:p w14:paraId="2D389D2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1</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一般公共服务（类）支出-政府办公厅（室）及相关机构（款）-行政运行（项）</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 xml:space="preserve"> 支出决算为</w:t>
      </w:r>
      <w:r>
        <w:rPr>
          <w:rStyle w:val="19"/>
          <w:rFonts w:hint="default" w:ascii="Times New Roman" w:hAnsi="Times New Roman" w:eastAsia="仿宋_GB2312" w:cs="Times New Roman"/>
          <w:b w:val="0"/>
          <w:bCs/>
          <w:color w:val="000000"/>
          <w:sz w:val="32"/>
          <w:szCs w:val="32"/>
          <w:lang w:val="en-US" w:eastAsia="zh-CN"/>
        </w:rPr>
        <w:t>396.55</w:t>
      </w:r>
      <w:r>
        <w:rPr>
          <w:rStyle w:val="19"/>
          <w:rFonts w:hint="default" w:ascii="Times New Roman" w:hAnsi="Times New Roman" w:eastAsia="仿宋_GB2312" w:cs="Times New Roman"/>
          <w:b w:val="0"/>
          <w:bCs/>
          <w:color w:val="000000"/>
          <w:sz w:val="32"/>
          <w:szCs w:val="32"/>
        </w:rPr>
        <w:t>万元，完成预算100%，决算数与预算数持平。</w:t>
      </w:r>
    </w:p>
    <w:p w14:paraId="741CF9D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2</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一般公共服务（类）支出-政府办公厅（室）及相关机构（款）-一般行政管理事务（项）</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 xml:space="preserve"> 支出决算为</w:t>
      </w:r>
      <w:r>
        <w:rPr>
          <w:rStyle w:val="19"/>
          <w:rFonts w:hint="default" w:ascii="Times New Roman" w:hAnsi="Times New Roman" w:eastAsia="仿宋_GB2312" w:cs="Times New Roman"/>
          <w:b w:val="0"/>
          <w:bCs/>
          <w:color w:val="000000"/>
          <w:sz w:val="32"/>
          <w:szCs w:val="32"/>
          <w:lang w:val="en-US" w:eastAsia="zh-CN"/>
        </w:rPr>
        <w:t>35.8</w:t>
      </w:r>
      <w:r>
        <w:rPr>
          <w:rStyle w:val="19"/>
          <w:rFonts w:hint="default" w:ascii="Times New Roman" w:hAnsi="Times New Roman" w:eastAsia="仿宋_GB2312" w:cs="Times New Roman"/>
          <w:b w:val="0"/>
          <w:bCs/>
          <w:color w:val="000000"/>
          <w:sz w:val="32"/>
          <w:szCs w:val="32"/>
        </w:rPr>
        <w:t>万元，完成预算100%，决算数与预算数持平。</w:t>
      </w:r>
    </w:p>
    <w:p w14:paraId="13B5E065">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 w:val="0"/>
          <w:bCs/>
          <w:color w:val="auto"/>
          <w:sz w:val="32"/>
          <w:szCs w:val="32"/>
          <w:highlight w:val="none"/>
        </w:rPr>
        <w:t>3.</w:t>
      </w:r>
      <w:r>
        <w:rPr>
          <w:rStyle w:val="19"/>
          <w:rFonts w:hint="default" w:ascii="Times New Roman" w:hAnsi="Times New Roman" w:eastAsia="仿宋_GB2312" w:cs="Times New Roman"/>
          <w:b w:val="0"/>
          <w:bCs/>
          <w:color w:val="000000"/>
          <w:sz w:val="32"/>
          <w:szCs w:val="32"/>
        </w:rPr>
        <w:t>一般公共服务（类）支出-政府办公厅（室）及相关机构（款）-专项业务及机关事务管理（项）</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 xml:space="preserve"> 支出决算为</w:t>
      </w:r>
      <w:r>
        <w:rPr>
          <w:rStyle w:val="19"/>
          <w:rFonts w:hint="default" w:ascii="Times New Roman" w:hAnsi="Times New Roman" w:eastAsia="仿宋_GB2312" w:cs="Times New Roman"/>
          <w:b w:val="0"/>
          <w:bCs/>
          <w:color w:val="000000"/>
          <w:sz w:val="32"/>
          <w:szCs w:val="32"/>
          <w:lang w:val="en-US" w:eastAsia="zh-CN"/>
        </w:rPr>
        <w:t>3</w:t>
      </w:r>
      <w:r>
        <w:rPr>
          <w:rStyle w:val="19"/>
          <w:rFonts w:hint="default" w:ascii="Times New Roman" w:hAnsi="Times New Roman" w:eastAsia="仿宋_GB2312" w:cs="Times New Roman"/>
          <w:b w:val="0"/>
          <w:bCs/>
          <w:color w:val="000000"/>
          <w:sz w:val="32"/>
          <w:szCs w:val="32"/>
        </w:rPr>
        <w:t>万元，完成预算100%，决算数与预算数持平。</w:t>
      </w:r>
    </w:p>
    <w:p w14:paraId="07C9F983">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 w:val="0"/>
          <w:bCs/>
          <w:color w:val="auto"/>
          <w:sz w:val="32"/>
          <w:szCs w:val="32"/>
          <w:highlight w:val="none"/>
        </w:rPr>
        <w:t>4.</w:t>
      </w:r>
      <w:r>
        <w:rPr>
          <w:rStyle w:val="19"/>
          <w:rFonts w:hint="default" w:ascii="Times New Roman" w:hAnsi="Times New Roman" w:eastAsia="仿宋_GB2312" w:cs="Times New Roman"/>
          <w:b w:val="0"/>
          <w:bCs/>
          <w:color w:val="000000"/>
          <w:sz w:val="32"/>
          <w:szCs w:val="32"/>
        </w:rPr>
        <w:t>一般公共服务（类）支出-政府办公厅（室）及相关机构（款）-事业运行（项）</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 xml:space="preserve"> 支出决算为</w:t>
      </w:r>
      <w:r>
        <w:rPr>
          <w:rStyle w:val="19"/>
          <w:rFonts w:hint="default" w:ascii="Times New Roman" w:hAnsi="Times New Roman" w:eastAsia="仿宋_GB2312" w:cs="Times New Roman"/>
          <w:b w:val="0"/>
          <w:bCs/>
          <w:color w:val="000000"/>
          <w:sz w:val="32"/>
          <w:szCs w:val="32"/>
          <w:lang w:val="en-US" w:eastAsia="zh-CN"/>
        </w:rPr>
        <w:t>80.27</w:t>
      </w:r>
      <w:r>
        <w:rPr>
          <w:rStyle w:val="19"/>
          <w:rFonts w:hint="default" w:ascii="Times New Roman" w:hAnsi="Times New Roman" w:eastAsia="仿宋_GB2312" w:cs="Times New Roman"/>
          <w:b w:val="0"/>
          <w:bCs/>
          <w:color w:val="000000"/>
          <w:sz w:val="32"/>
          <w:szCs w:val="32"/>
        </w:rPr>
        <w:t>万元，完成预算100%，决算数与预算数持平。</w:t>
      </w:r>
    </w:p>
    <w:p w14:paraId="074F1874">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 w:val="0"/>
          <w:bCs/>
          <w:color w:val="auto"/>
          <w:sz w:val="32"/>
          <w:szCs w:val="32"/>
          <w:highlight w:val="none"/>
        </w:rPr>
        <w:t>5.</w:t>
      </w:r>
      <w:r>
        <w:rPr>
          <w:rStyle w:val="19"/>
          <w:rFonts w:hint="default" w:ascii="Times New Roman" w:hAnsi="Times New Roman" w:eastAsia="仿宋_GB2312" w:cs="Times New Roman"/>
          <w:b w:val="0"/>
          <w:bCs/>
          <w:color w:val="000000"/>
          <w:sz w:val="32"/>
          <w:szCs w:val="32"/>
        </w:rPr>
        <w:t>社会保障和就业（类）支出-</w:t>
      </w:r>
      <w:r>
        <w:rPr>
          <w:rStyle w:val="19"/>
          <w:rFonts w:hint="default" w:ascii="Times New Roman" w:hAnsi="Times New Roman" w:eastAsia="仿宋_GB2312" w:cs="Times New Roman"/>
          <w:b w:val="0"/>
          <w:bCs/>
          <w:color w:val="000000"/>
          <w:sz w:val="32"/>
          <w:szCs w:val="32"/>
          <w:lang w:eastAsia="zh-CN"/>
        </w:rPr>
        <w:t>行政事业单位养老支出</w:t>
      </w:r>
      <w:r>
        <w:rPr>
          <w:rStyle w:val="19"/>
          <w:rFonts w:hint="default" w:ascii="Times New Roman" w:hAnsi="Times New Roman" w:eastAsia="仿宋_GB2312" w:cs="Times New Roman"/>
          <w:b w:val="0"/>
          <w:bCs/>
          <w:color w:val="000000"/>
          <w:sz w:val="32"/>
          <w:szCs w:val="32"/>
        </w:rPr>
        <w:t>（款）-行政单位离退休（项）</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 xml:space="preserve"> 支出决算为</w:t>
      </w:r>
      <w:r>
        <w:rPr>
          <w:rStyle w:val="19"/>
          <w:rFonts w:hint="default" w:ascii="Times New Roman" w:hAnsi="Times New Roman" w:eastAsia="仿宋_GB2312" w:cs="Times New Roman"/>
          <w:b w:val="0"/>
          <w:bCs/>
          <w:color w:val="000000"/>
          <w:sz w:val="32"/>
          <w:szCs w:val="32"/>
          <w:lang w:val="en-US" w:eastAsia="zh-CN"/>
        </w:rPr>
        <w:t>136.91</w:t>
      </w:r>
      <w:r>
        <w:rPr>
          <w:rStyle w:val="19"/>
          <w:rFonts w:hint="default" w:ascii="Times New Roman" w:hAnsi="Times New Roman" w:eastAsia="仿宋_GB2312" w:cs="Times New Roman"/>
          <w:b w:val="0"/>
          <w:bCs/>
          <w:color w:val="000000"/>
          <w:sz w:val="32"/>
          <w:szCs w:val="32"/>
        </w:rPr>
        <w:t>万元，完成预算100%，决算数与预算数持平。</w:t>
      </w:r>
    </w:p>
    <w:p w14:paraId="7286F835">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 w:val="0"/>
          <w:bCs/>
          <w:color w:val="auto"/>
          <w:sz w:val="32"/>
          <w:szCs w:val="32"/>
          <w:highlight w:val="none"/>
        </w:rPr>
        <w:t>6.</w:t>
      </w:r>
      <w:r>
        <w:rPr>
          <w:rStyle w:val="19"/>
          <w:rFonts w:hint="default" w:ascii="Times New Roman" w:hAnsi="Times New Roman" w:eastAsia="仿宋_GB2312" w:cs="Times New Roman"/>
          <w:b w:val="0"/>
          <w:bCs/>
          <w:color w:val="000000"/>
          <w:sz w:val="32"/>
          <w:szCs w:val="32"/>
        </w:rPr>
        <w:t>社会保障和就业（类）支出-</w:t>
      </w:r>
      <w:r>
        <w:rPr>
          <w:rStyle w:val="19"/>
          <w:rFonts w:hint="default" w:ascii="Times New Roman" w:hAnsi="Times New Roman" w:eastAsia="仿宋_GB2312" w:cs="Times New Roman"/>
          <w:b w:val="0"/>
          <w:bCs/>
          <w:color w:val="000000"/>
          <w:sz w:val="32"/>
          <w:szCs w:val="32"/>
          <w:lang w:eastAsia="zh-CN"/>
        </w:rPr>
        <w:t>行政事业单位养老支出</w:t>
      </w:r>
      <w:r>
        <w:rPr>
          <w:rStyle w:val="19"/>
          <w:rFonts w:hint="default" w:ascii="Times New Roman" w:hAnsi="Times New Roman" w:eastAsia="仿宋_GB2312" w:cs="Times New Roman"/>
          <w:b w:val="0"/>
          <w:bCs/>
          <w:color w:val="000000"/>
          <w:sz w:val="32"/>
          <w:szCs w:val="32"/>
        </w:rPr>
        <w:t>（款）-</w:t>
      </w:r>
      <w:r>
        <w:rPr>
          <w:rStyle w:val="19"/>
          <w:rFonts w:hint="default" w:ascii="Times New Roman" w:hAnsi="Times New Roman" w:eastAsia="仿宋_GB2312" w:cs="Times New Roman"/>
          <w:b w:val="0"/>
          <w:bCs/>
          <w:color w:val="000000"/>
          <w:sz w:val="32"/>
          <w:szCs w:val="32"/>
          <w:lang w:eastAsia="zh-CN"/>
        </w:rPr>
        <w:t>事业</w:t>
      </w:r>
      <w:r>
        <w:rPr>
          <w:rStyle w:val="19"/>
          <w:rFonts w:hint="default" w:ascii="Times New Roman" w:hAnsi="Times New Roman" w:eastAsia="仿宋_GB2312" w:cs="Times New Roman"/>
          <w:b w:val="0"/>
          <w:bCs/>
          <w:color w:val="000000"/>
          <w:sz w:val="32"/>
          <w:szCs w:val="32"/>
        </w:rPr>
        <w:t>单位离退休（项）</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 xml:space="preserve"> 支出决算为</w:t>
      </w:r>
      <w:r>
        <w:rPr>
          <w:rStyle w:val="19"/>
          <w:rFonts w:hint="default" w:ascii="Times New Roman" w:hAnsi="Times New Roman" w:eastAsia="仿宋_GB2312" w:cs="Times New Roman"/>
          <w:b w:val="0"/>
          <w:bCs/>
          <w:color w:val="000000"/>
          <w:sz w:val="32"/>
          <w:szCs w:val="32"/>
          <w:lang w:val="en-US" w:eastAsia="zh-CN"/>
        </w:rPr>
        <w:t>14.5</w:t>
      </w:r>
      <w:r>
        <w:rPr>
          <w:rStyle w:val="19"/>
          <w:rFonts w:hint="default" w:ascii="Times New Roman" w:hAnsi="Times New Roman" w:eastAsia="仿宋_GB2312" w:cs="Times New Roman"/>
          <w:b w:val="0"/>
          <w:bCs/>
          <w:color w:val="000000"/>
          <w:sz w:val="32"/>
          <w:szCs w:val="32"/>
        </w:rPr>
        <w:t>万元，完成预算100%，决算数与预算数持平。</w:t>
      </w:r>
    </w:p>
    <w:p w14:paraId="01DC85E4">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Style w:val="19"/>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auto"/>
          <w:sz w:val="32"/>
          <w:szCs w:val="32"/>
          <w:highlight w:val="none"/>
          <w:lang w:val="en-US" w:eastAsia="zh-CN"/>
        </w:rPr>
        <w:t>7.</w:t>
      </w:r>
      <w:r>
        <w:rPr>
          <w:rStyle w:val="19"/>
          <w:rFonts w:hint="default" w:ascii="Times New Roman" w:hAnsi="Times New Roman" w:eastAsia="仿宋_GB2312" w:cs="Times New Roman"/>
          <w:b w:val="0"/>
          <w:bCs/>
          <w:color w:val="000000"/>
          <w:sz w:val="32"/>
          <w:szCs w:val="32"/>
        </w:rPr>
        <w:t>社会保障和就业（类）支出-</w:t>
      </w:r>
      <w:r>
        <w:rPr>
          <w:rStyle w:val="19"/>
          <w:rFonts w:hint="default" w:ascii="Times New Roman" w:hAnsi="Times New Roman" w:eastAsia="仿宋_GB2312" w:cs="Times New Roman"/>
          <w:b w:val="0"/>
          <w:bCs/>
          <w:color w:val="000000"/>
          <w:sz w:val="32"/>
          <w:szCs w:val="32"/>
          <w:lang w:eastAsia="zh-CN"/>
        </w:rPr>
        <w:t>行政事业单位养老支出</w:t>
      </w:r>
      <w:r>
        <w:rPr>
          <w:rStyle w:val="19"/>
          <w:rFonts w:hint="default" w:ascii="Times New Roman" w:hAnsi="Times New Roman" w:eastAsia="仿宋_GB2312" w:cs="Times New Roman"/>
          <w:b w:val="0"/>
          <w:bCs/>
          <w:color w:val="000000"/>
          <w:sz w:val="32"/>
          <w:szCs w:val="32"/>
        </w:rPr>
        <w:t>（款）-机关事业单位基本养老保险缴费支出（项）</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 xml:space="preserve"> 支出决算为</w:t>
      </w:r>
      <w:r>
        <w:rPr>
          <w:rStyle w:val="19"/>
          <w:rFonts w:hint="default" w:ascii="Times New Roman" w:hAnsi="Times New Roman" w:eastAsia="仿宋_GB2312" w:cs="Times New Roman"/>
          <w:b w:val="0"/>
          <w:bCs/>
          <w:color w:val="000000"/>
          <w:sz w:val="32"/>
          <w:szCs w:val="32"/>
          <w:lang w:val="en-US" w:eastAsia="zh-CN"/>
        </w:rPr>
        <w:t>53.85</w:t>
      </w:r>
      <w:r>
        <w:rPr>
          <w:rStyle w:val="19"/>
          <w:rFonts w:hint="default" w:ascii="Times New Roman" w:hAnsi="Times New Roman" w:eastAsia="仿宋_GB2312" w:cs="Times New Roman"/>
          <w:b w:val="0"/>
          <w:bCs/>
          <w:color w:val="000000"/>
          <w:sz w:val="32"/>
          <w:szCs w:val="32"/>
        </w:rPr>
        <w:t>万元，完成预算100%，决算数与预算数持平。</w:t>
      </w:r>
    </w:p>
    <w:p w14:paraId="04AD966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bCs/>
          <w:color w:val="000000"/>
          <w:sz w:val="32"/>
          <w:szCs w:val="32"/>
        </w:rPr>
      </w:pPr>
      <w:r>
        <w:rPr>
          <w:rStyle w:val="19"/>
          <w:rFonts w:hint="default" w:ascii="Times New Roman" w:hAnsi="Times New Roman" w:eastAsia="仿宋_GB2312" w:cs="Times New Roman"/>
          <w:b w:val="0"/>
          <w:bCs/>
          <w:color w:val="000000"/>
          <w:sz w:val="32"/>
          <w:szCs w:val="32"/>
          <w:lang w:val="en-US" w:eastAsia="zh-CN"/>
        </w:rPr>
        <w:t>8.</w:t>
      </w:r>
      <w:r>
        <w:rPr>
          <w:rStyle w:val="19"/>
          <w:rFonts w:hint="default" w:ascii="Times New Roman" w:hAnsi="Times New Roman" w:eastAsia="仿宋_GB2312" w:cs="Times New Roman"/>
          <w:b w:val="0"/>
          <w:bCs/>
          <w:color w:val="000000"/>
          <w:sz w:val="32"/>
          <w:szCs w:val="32"/>
        </w:rPr>
        <w:t>社会保障和就业（类）支出-</w:t>
      </w:r>
      <w:r>
        <w:rPr>
          <w:rStyle w:val="19"/>
          <w:rFonts w:hint="default" w:ascii="Times New Roman" w:hAnsi="Times New Roman" w:eastAsia="仿宋_GB2312" w:cs="Times New Roman"/>
          <w:b w:val="0"/>
          <w:bCs/>
          <w:color w:val="000000"/>
          <w:sz w:val="32"/>
          <w:szCs w:val="32"/>
          <w:lang w:eastAsia="zh-CN"/>
        </w:rPr>
        <w:t>行政事业单位养老支出</w:t>
      </w:r>
      <w:r>
        <w:rPr>
          <w:rStyle w:val="19"/>
          <w:rFonts w:hint="default" w:ascii="Times New Roman" w:hAnsi="Times New Roman" w:eastAsia="仿宋_GB2312" w:cs="Times New Roman"/>
          <w:b w:val="0"/>
          <w:bCs/>
          <w:color w:val="000000"/>
          <w:sz w:val="32"/>
          <w:szCs w:val="32"/>
        </w:rPr>
        <w:t>（款）-机关事业单位</w:t>
      </w:r>
      <w:r>
        <w:rPr>
          <w:rStyle w:val="19"/>
          <w:rFonts w:hint="default" w:ascii="Times New Roman" w:hAnsi="Times New Roman" w:eastAsia="仿宋_GB2312" w:cs="Times New Roman"/>
          <w:b w:val="0"/>
          <w:bCs/>
          <w:color w:val="000000"/>
          <w:sz w:val="32"/>
          <w:szCs w:val="32"/>
          <w:lang w:eastAsia="zh-CN"/>
        </w:rPr>
        <w:t>职业年金缴费支出</w:t>
      </w:r>
      <w:r>
        <w:rPr>
          <w:rStyle w:val="19"/>
          <w:rFonts w:hint="default" w:ascii="Times New Roman" w:hAnsi="Times New Roman" w:eastAsia="仿宋_GB2312" w:cs="Times New Roman"/>
          <w:b w:val="0"/>
          <w:bCs/>
          <w:color w:val="000000"/>
          <w:sz w:val="32"/>
          <w:szCs w:val="32"/>
        </w:rPr>
        <w:t>（项）</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6.36</w:t>
      </w:r>
      <w:r>
        <w:rPr>
          <w:rStyle w:val="19"/>
          <w:rFonts w:hint="default" w:ascii="Times New Roman" w:hAnsi="Times New Roman" w:eastAsia="仿宋_GB2312" w:cs="Times New Roman"/>
          <w:b w:val="0"/>
          <w:bCs/>
          <w:color w:val="000000"/>
          <w:sz w:val="32"/>
          <w:szCs w:val="32"/>
        </w:rPr>
        <w:t>万元，完成预算100%，决算数与预算数持平。</w:t>
      </w:r>
    </w:p>
    <w:p w14:paraId="665415FD">
      <w:pPr>
        <w:pStyle w:val="8"/>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lang w:val="en-US" w:eastAsia="zh-CN"/>
        </w:rPr>
        <w:t>9.</w:t>
      </w:r>
      <w:r>
        <w:rPr>
          <w:rStyle w:val="19"/>
          <w:rFonts w:hint="default" w:ascii="Times New Roman" w:hAnsi="Times New Roman" w:eastAsia="仿宋_GB2312" w:cs="Times New Roman"/>
          <w:b w:val="0"/>
          <w:bCs/>
          <w:color w:val="auto"/>
          <w:sz w:val="32"/>
          <w:szCs w:val="32"/>
          <w:highlight w:val="none"/>
        </w:rPr>
        <w:t>社会保障和就业（类）</w:t>
      </w:r>
      <w:r>
        <w:rPr>
          <w:rStyle w:val="19"/>
          <w:rFonts w:hint="default" w:ascii="Times New Roman" w:hAnsi="Times New Roman" w:eastAsia="仿宋_GB2312" w:cs="Times New Roman"/>
          <w:b w:val="0"/>
          <w:bCs/>
          <w:color w:val="000000"/>
          <w:sz w:val="32"/>
          <w:szCs w:val="32"/>
        </w:rPr>
        <w:t>支出-其他社会保障和就业支出</w:t>
      </w:r>
      <w:r>
        <w:rPr>
          <w:rStyle w:val="19"/>
          <w:rFonts w:hint="default" w:ascii="Times New Roman" w:hAnsi="Times New Roman" w:eastAsia="仿宋_GB2312" w:cs="Times New Roman"/>
          <w:b w:val="0"/>
          <w:bCs/>
          <w:color w:val="auto"/>
          <w:sz w:val="32"/>
          <w:szCs w:val="32"/>
          <w:highlight w:val="none"/>
        </w:rPr>
        <w:t>（款）</w:t>
      </w:r>
      <w:r>
        <w:rPr>
          <w:rStyle w:val="19"/>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auto"/>
          <w:sz w:val="32"/>
          <w:szCs w:val="32"/>
          <w:highlight w:val="none"/>
        </w:rPr>
        <w:t>其他社会保障和就业支出（项）</w:t>
      </w:r>
      <w:r>
        <w:rPr>
          <w:rStyle w:val="19"/>
          <w:rFonts w:hint="default" w:ascii="Times New Roman" w:hAnsi="Times New Roman" w:cs="Times New Roman"/>
          <w:b w:val="0"/>
          <w:bCs/>
          <w:color w:val="auto"/>
          <w:sz w:val="32"/>
          <w:szCs w:val="32"/>
          <w:highlight w:val="none"/>
          <w:lang w:eastAsia="zh-CN"/>
        </w:rPr>
        <w:t>：</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cs="Times New Roman"/>
          <w:b w:val="0"/>
          <w:bCs/>
          <w:color w:val="auto"/>
          <w:sz w:val="32"/>
          <w:szCs w:val="32"/>
          <w:highlight w:val="none"/>
          <w:lang w:val="en-US" w:eastAsia="zh-CN"/>
        </w:rPr>
        <w:t>0.92</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w:t>
      </w:r>
      <w:r>
        <w:rPr>
          <w:rStyle w:val="19"/>
          <w:rFonts w:hint="default" w:ascii="Times New Roman" w:hAnsi="Times New Roman" w:eastAsia="仿宋_GB2312" w:cs="Times New Roman"/>
          <w:b w:val="0"/>
          <w:bCs/>
          <w:color w:val="000000"/>
          <w:sz w:val="32"/>
          <w:szCs w:val="32"/>
        </w:rPr>
        <w:t>决算数与预算数持平。</w:t>
      </w:r>
    </w:p>
    <w:p w14:paraId="6293C3BB">
      <w:pPr>
        <w:pStyle w:val="8"/>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Style w:val="19"/>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auto"/>
          <w:sz w:val="32"/>
          <w:szCs w:val="32"/>
          <w:highlight w:val="none"/>
          <w:lang w:val="en-US" w:eastAsia="zh-CN"/>
        </w:rPr>
        <w:t>10.</w:t>
      </w:r>
      <w:r>
        <w:rPr>
          <w:rStyle w:val="19"/>
          <w:rFonts w:hint="default" w:ascii="Times New Roman" w:hAnsi="Times New Roman" w:eastAsia="仿宋_GB2312" w:cs="Times New Roman"/>
          <w:b w:val="0"/>
          <w:bCs/>
          <w:color w:val="000000"/>
          <w:sz w:val="32"/>
          <w:szCs w:val="32"/>
          <w:lang w:val="en-US" w:eastAsia="zh-CN"/>
        </w:rPr>
        <w:t>卫生健康（类）支出</w:t>
      </w:r>
      <w:r>
        <w:rPr>
          <w:rStyle w:val="19"/>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000000"/>
          <w:sz w:val="32"/>
          <w:szCs w:val="32"/>
          <w:lang w:val="en-US" w:eastAsia="zh-CN"/>
        </w:rPr>
        <w:t>行政事业单位医疗（款）</w:t>
      </w:r>
      <w:r>
        <w:rPr>
          <w:rStyle w:val="19"/>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000000"/>
          <w:sz w:val="32"/>
          <w:szCs w:val="32"/>
          <w:lang w:val="en-US" w:eastAsia="zh-CN"/>
        </w:rPr>
        <w:t>行政单位医疗</w:t>
      </w:r>
      <w:r>
        <w:rPr>
          <w:rStyle w:val="19"/>
          <w:rFonts w:hint="default" w:ascii="Times New Roman" w:hAnsi="Times New Roman" w:eastAsia="仿宋_GB2312" w:cs="Times New Roman"/>
          <w:b w:val="0"/>
          <w:bCs/>
          <w:color w:val="000000"/>
          <w:sz w:val="32"/>
          <w:szCs w:val="32"/>
        </w:rPr>
        <w:t>（项）</w:t>
      </w:r>
      <w:r>
        <w:rPr>
          <w:rStyle w:val="19"/>
          <w:rFonts w:hint="default" w:ascii="Times New Roman" w:hAnsi="Times New Roman" w:eastAsia="仿宋_GB2312" w:cs="Times New Roman"/>
          <w:b w:val="0"/>
          <w:bCs/>
          <w:color w:val="000000"/>
          <w:sz w:val="32"/>
          <w:szCs w:val="32"/>
          <w:lang w:val="en-US" w:eastAsia="zh-CN"/>
        </w:rPr>
        <w:t>：</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22.</w:t>
      </w:r>
      <w:r>
        <w:rPr>
          <w:rStyle w:val="19"/>
          <w:rFonts w:hint="default" w:ascii="Times New Roman" w:hAnsi="Times New Roman" w:cs="Times New Roman"/>
          <w:b w:val="0"/>
          <w:bCs/>
          <w:color w:val="000000"/>
          <w:sz w:val="32"/>
          <w:szCs w:val="32"/>
          <w:lang w:val="en-US" w:eastAsia="zh-CN"/>
        </w:rPr>
        <w:t>29</w:t>
      </w:r>
      <w:r>
        <w:rPr>
          <w:rStyle w:val="19"/>
          <w:rFonts w:hint="default" w:ascii="Times New Roman" w:hAnsi="Times New Roman" w:eastAsia="仿宋_GB2312" w:cs="Times New Roman"/>
          <w:b w:val="0"/>
          <w:bCs/>
          <w:color w:val="000000"/>
          <w:sz w:val="32"/>
          <w:szCs w:val="32"/>
        </w:rPr>
        <w:t>万元，完成预算100%，决算数与预算数持平。</w:t>
      </w:r>
    </w:p>
    <w:p w14:paraId="30BA7F42">
      <w:pPr>
        <w:pStyle w:val="8"/>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lang w:val="en-US" w:eastAsia="zh-CN"/>
        </w:rPr>
        <w:t>11.卫生健康（类）支出</w:t>
      </w:r>
      <w:r>
        <w:rPr>
          <w:rStyle w:val="19"/>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000000"/>
          <w:sz w:val="32"/>
          <w:szCs w:val="32"/>
          <w:lang w:val="en-US" w:eastAsia="zh-CN"/>
        </w:rPr>
        <w:t>行政事业单位医疗（款）</w:t>
      </w:r>
      <w:r>
        <w:rPr>
          <w:rStyle w:val="19"/>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000000"/>
          <w:sz w:val="32"/>
          <w:szCs w:val="32"/>
          <w:lang w:val="en-US" w:eastAsia="zh-CN"/>
        </w:rPr>
        <w:t>事业单位医疗</w:t>
      </w:r>
      <w:r>
        <w:rPr>
          <w:rStyle w:val="19"/>
          <w:rFonts w:hint="default" w:ascii="Times New Roman" w:hAnsi="Times New Roman" w:eastAsia="仿宋_GB2312" w:cs="Times New Roman"/>
          <w:b w:val="0"/>
          <w:bCs/>
          <w:color w:val="000000"/>
          <w:sz w:val="32"/>
          <w:szCs w:val="32"/>
        </w:rPr>
        <w:t>（项）</w:t>
      </w:r>
      <w:r>
        <w:rPr>
          <w:rStyle w:val="19"/>
          <w:rFonts w:hint="default" w:ascii="Times New Roman" w:hAnsi="Times New Roman" w:eastAsia="仿宋_GB2312" w:cs="Times New Roman"/>
          <w:b w:val="0"/>
          <w:bCs/>
          <w:color w:val="000000"/>
          <w:sz w:val="32"/>
          <w:szCs w:val="32"/>
          <w:lang w:val="en-US" w:eastAsia="zh-CN"/>
        </w:rPr>
        <w:t>：</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cs="Times New Roman"/>
          <w:b w:val="0"/>
          <w:bCs/>
          <w:color w:val="000000"/>
          <w:sz w:val="32"/>
          <w:szCs w:val="32"/>
          <w:lang w:val="en-US" w:eastAsia="zh-CN"/>
        </w:rPr>
        <w:t>5.35</w:t>
      </w:r>
      <w:r>
        <w:rPr>
          <w:rStyle w:val="19"/>
          <w:rFonts w:hint="default" w:ascii="Times New Roman" w:hAnsi="Times New Roman" w:eastAsia="仿宋_GB2312" w:cs="Times New Roman"/>
          <w:b w:val="0"/>
          <w:bCs/>
          <w:color w:val="000000"/>
          <w:sz w:val="32"/>
          <w:szCs w:val="32"/>
        </w:rPr>
        <w:t>万元，完成预算100%，决算数与预算数持平。</w:t>
      </w:r>
    </w:p>
    <w:p w14:paraId="34FE5E8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 w:val="0"/>
          <w:bCs/>
          <w:color w:val="000000"/>
          <w:sz w:val="32"/>
          <w:szCs w:val="32"/>
          <w:lang w:val="en-US" w:eastAsia="zh-CN"/>
        </w:rPr>
        <w:t>12.卫生健康（类）支出</w:t>
      </w:r>
      <w:r>
        <w:rPr>
          <w:rStyle w:val="19"/>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000000"/>
          <w:sz w:val="32"/>
          <w:szCs w:val="32"/>
          <w:lang w:val="en-US" w:eastAsia="zh-CN"/>
        </w:rPr>
        <w:t>行政事业单位医疗（款）</w:t>
      </w:r>
      <w:r>
        <w:rPr>
          <w:rStyle w:val="19"/>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000000"/>
          <w:sz w:val="32"/>
          <w:szCs w:val="32"/>
          <w:lang w:val="en-US" w:eastAsia="zh-CN"/>
        </w:rPr>
        <w:t>公务员医疗补助</w:t>
      </w:r>
      <w:r>
        <w:rPr>
          <w:rStyle w:val="19"/>
          <w:rFonts w:hint="default" w:ascii="Times New Roman" w:hAnsi="Times New Roman" w:eastAsia="仿宋_GB2312" w:cs="Times New Roman"/>
          <w:b w:val="0"/>
          <w:bCs/>
          <w:color w:val="000000"/>
          <w:sz w:val="32"/>
          <w:szCs w:val="32"/>
        </w:rPr>
        <w:t>（项）</w:t>
      </w:r>
      <w:r>
        <w:rPr>
          <w:rStyle w:val="19"/>
          <w:rFonts w:hint="default" w:ascii="Times New Roman" w:hAnsi="Times New Roman" w:eastAsia="仿宋_GB2312" w:cs="Times New Roman"/>
          <w:b w:val="0"/>
          <w:bCs/>
          <w:color w:val="000000"/>
          <w:sz w:val="32"/>
          <w:szCs w:val="32"/>
          <w:lang w:val="en-US" w:eastAsia="zh-CN"/>
        </w:rPr>
        <w:t>：</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7.2</w:t>
      </w:r>
      <w:r>
        <w:rPr>
          <w:rStyle w:val="19"/>
          <w:rFonts w:hint="default" w:ascii="Times New Roman" w:hAnsi="Times New Roman" w:eastAsia="仿宋_GB2312" w:cs="Times New Roman"/>
          <w:b w:val="0"/>
          <w:bCs/>
          <w:color w:val="000000"/>
          <w:sz w:val="32"/>
          <w:szCs w:val="32"/>
        </w:rPr>
        <w:t>万元，完成预算100%，决算数与预算数持平。</w:t>
      </w:r>
    </w:p>
    <w:p w14:paraId="2C45711B">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firstLine="640" w:firstLineChars="200"/>
        <w:textAlignment w:val="auto"/>
        <w:outlineLvl w:val="1"/>
        <w:rPr>
          <w:rStyle w:val="19"/>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auto"/>
          <w:sz w:val="32"/>
          <w:szCs w:val="32"/>
          <w:highlight w:val="none"/>
          <w:lang w:val="en-US" w:eastAsia="zh-CN"/>
        </w:rPr>
        <w:t>13.</w:t>
      </w:r>
      <w:r>
        <w:rPr>
          <w:rStyle w:val="19"/>
          <w:rFonts w:hint="default" w:ascii="Times New Roman" w:hAnsi="Times New Roman" w:eastAsia="仿宋_GB2312" w:cs="Times New Roman"/>
          <w:b w:val="0"/>
          <w:bCs/>
          <w:color w:val="000000"/>
          <w:sz w:val="32"/>
          <w:szCs w:val="32"/>
          <w:lang w:val="en-US" w:eastAsia="zh-CN"/>
        </w:rPr>
        <w:t>卫生健康（类）支出</w:t>
      </w:r>
      <w:r>
        <w:rPr>
          <w:rStyle w:val="19"/>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000000"/>
          <w:sz w:val="32"/>
          <w:szCs w:val="32"/>
          <w:lang w:val="en-US" w:eastAsia="zh-CN"/>
        </w:rPr>
        <w:t>行政事业单位医疗（款）</w:t>
      </w:r>
      <w:r>
        <w:rPr>
          <w:rStyle w:val="19"/>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000000"/>
          <w:sz w:val="32"/>
          <w:szCs w:val="32"/>
          <w:lang w:val="en-US" w:eastAsia="zh-CN"/>
        </w:rPr>
        <w:t>其他行政事业单位医疗支出</w:t>
      </w:r>
      <w:r>
        <w:rPr>
          <w:rStyle w:val="19"/>
          <w:rFonts w:hint="default" w:ascii="Times New Roman" w:hAnsi="Times New Roman" w:eastAsia="仿宋_GB2312" w:cs="Times New Roman"/>
          <w:b w:val="0"/>
          <w:bCs/>
          <w:color w:val="000000"/>
          <w:sz w:val="32"/>
          <w:szCs w:val="32"/>
        </w:rPr>
        <w:t>（项）</w:t>
      </w:r>
      <w:r>
        <w:rPr>
          <w:rStyle w:val="19"/>
          <w:rFonts w:hint="default" w:ascii="Times New Roman" w:hAnsi="Times New Roman" w:eastAsia="仿宋_GB2312" w:cs="Times New Roman"/>
          <w:b w:val="0"/>
          <w:bCs/>
          <w:color w:val="000000"/>
          <w:sz w:val="32"/>
          <w:szCs w:val="32"/>
          <w:lang w:val="en-US" w:eastAsia="zh-CN"/>
        </w:rPr>
        <w:t>：</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7.16</w:t>
      </w:r>
      <w:r>
        <w:rPr>
          <w:rStyle w:val="19"/>
          <w:rFonts w:hint="default" w:ascii="Times New Roman" w:hAnsi="Times New Roman" w:eastAsia="仿宋_GB2312" w:cs="Times New Roman"/>
          <w:b w:val="0"/>
          <w:bCs/>
          <w:color w:val="000000"/>
          <w:sz w:val="32"/>
          <w:szCs w:val="32"/>
        </w:rPr>
        <w:t>万元，完成预算100%，决算数与预算数持平。</w:t>
      </w:r>
    </w:p>
    <w:p w14:paraId="48B6200E">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firstLine="640" w:firstLineChars="200"/>
        <w:textAlignment w:val="auto"/>
        <w:outlineLvl w:val="1"/>
        <w:rPr>
          <w:rStyle w:val="19"/>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auto"/>
          <w:sz w:val="32"/>
          <w:szCs w:val="32"/>
          <w:highlight w:val="none"/>
          <w:lang w:val="en-US" w:eastAsia="zh-CN"/>
        </w:rPr>
        <w:t>14.</w:t>
      </w:r>
      <w:r>
        <w:rPr>
          <w:rStyle w:val="19"/>
          <w:rFonts w:hint="default" w:ascii="Times New Roman" w:hAnsi="Times New Roman" w:eastAsia="仿宋_GB2312" w:cs="Times New Roman"/>
          <w:b w:val="0"/>
          <w:bCs/>
          <w:color w:val="000000"/>
          <w:sz w:val="32"/>
          <w:szCs w:val="32"/>
          <w:lang w:val="en-US" w:eastAsia="zh-CN"/>
        </w:rPr>
        <w:t>卫生健康（类）支出</w:t>
      </w:r>
      <w:r>
        <w:rPr>
          <w:rStyle w:val="19"/>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000000"/>
          <w:sz w:val="32"/>
          <w:szCs w:val="32"/>
          <w:lang w:val="en-US" w:eastAsia="zh-CN"/>
        </w:rPr>
        <w:t>其他卫生健康支出（款）</w:t>
      </w:r>
      <w:r>
        <w:rPr>
          <w:rStyle w:val="19"/>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000000"/>
          <w:sz w:val="32"/>
          <w:szCs w:val="32"/>
          <w:lang w:val="en-US" w:eastAsia="zh-CN"/>
        </w:rPr>
        <w:t>其他卫生健康支出</w:t>
      </w:r>
      <w:r>
        <w:rPr>
          <w:rStyle w:val="19"/>
          <w:rFonts w:hint="default" w:ascii="Times New Roman" w:hAnsi="Times New Roman" w:eastAsia="仿宋_GB2312" w:cs="Times New Roman"/>
          <w:b w:val="0"/>
          <w:bCs/>
          <w:color w:val="000000"/>
          <w:sz w:val="32"/>
          <w:szCs w:val="32"/>
        </w:rPr>
        <w:t>（项）</w:t>
      </w:r>
      <w:r>
        <w:rPr>
          <w:rStyle w:val="19"/>
          <w:rFonts w:hint="default" w:ascii="Times New Roman" w:hAnsi="Times New Roman" w:eastAsia="仿宋_GB2312" w:cs="Times New Roman"/>
          <w:b w:val="0"/>
          <w:bCs/>
          <w:color w:val="000000"/>
          <w:sz w:val="32"/>
          <w:szCs w:val="32"/>
          <w:lang w:val="en-US" w:eastAsia="zh-CN"/>
        </w:rPr>
        <w:t>：</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3.92</w:t>
      </w:r>
      <w:r>
        <w:rPr>
          <w:rStyle w:val="19"/>
          <w:rFonts w:hint="default" w:ascii="Times New Roman" w:hAnsi="Times New Roman" w:eastAsia="仿宋_GB2312" w:cs="Times New Roman"/>
          <w:b w:val="0"/>
          <w:bCs/>
          <w:color w:val="000000"/>
          <w:sz w:val="32"/>
          <w:szCs w:val="32"/>
        </w:rPr>
        <w:t>万元，完成预算100%，决算数与预算数持平。</w:t>
      </w:r>
    </w:p>
    <w:p w14:paraId="7076F24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Style w:val="19"/>
          <w:rFonts w:hint="default" w:ascii="Times New Roman" w:hAnsi="Times New Roman" w:eastAsia="仿宋_GB2312" w:cs="Times New Roman"/>
          <w:b w:val="0"/>
          <w:bCs/>
          <w:color w:val="000000"/>
          <w:sz w:val="32"/>
          <w:szCs w:val="32"/>
          <w:lang w:val="en-US" w:eastAsia="zh-CN"/>
        </w:rPr>
        <w:t>15.</w:t>
      </w:r>
      <w:r>
        <w:rPr>
          <w:rStyle w:val="19"/>
          <w:rFonts w:hint="default" w:ascii="Times New Roman" w:hAnsi="Times New Roman" w:eastAsia="仿宋_GB2312" w:cs="Times New Roman"/>
          <w:b w:val="0"/>
          <w:bCs/>
          <w:color w:val="000000"/>
          <w:sz w:val="32"/>
          <w:szCs w:val="32"/>
        </w:rPr>
        <w:t>住房保障（类）支出-住房改革支出（款）-住房公积金（项）</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43.08</w:t>
      </w:r>
      <w:r>
        <w:rPr>
          <w:rStyle w:val="19"/>
          <w:rFonts w:hint="default" w:ascii="Times New Roman" w:hAnsi="Times New Roman" w:eastAsia="仿宋_GB2312" w:cs="Times New Roman"/>
          <w:b w:val="0"/>
          <w:bCs/>
          <w:color w:val="000000"/>
          <w:sz w:val="32"/>
          <w:szCs w:val="32"/>
        </w:rPr>
        <w:t>万元，完成预算100%，决算数与预算数持平。</w:t>
      </w:r>
    </w:p>
    <w:p w14:paraId="24C3456C">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仿宋_GB2312" w:cs="Times New Roman"/>
          <w:color w:val="auto"/>
          <w:kern w:val="2"/>
          <w:sz w:val="32"/>
          <w:szCs w:val="32"/>
          <w:highlight w:val="none"/>
          <w:lang w:val="en-US" w:eastAsia="zh-CN" w:bidi="ar-SA"/>
        </w:rPr>
      </w:pPr>
    </w:p>
    <w:p w14:paraId="104CC5D1">
      <w:pPr>
        <w:tabs>
          <w:tab w:val="right" w:pos="8306"/>
        </w:tabs>
        <w:spacing w:line="600" w:lineRule="exact"/>
        <w:ind w:firstLine="640"/>
        <w:outlineLvl w:val="1"/>
        <w:rPr>
          <w:rStyle w:val="31"/>
          <w:rFonts w:hint="default" w:ascii="Times New Roman" w:hAnsi="Times New Roman" w:cs="Times New Roman"/>
          <w:color w:val="auto"/>
          <w:highlight w:val="none"/>
        </w:rPr>
      </w:pPr>
      <w:bookmarkStart w:id="34" w:name="_Toc15396608"/>
      <w:bookmarkStart w:id="35"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般公共预算财政拨款基本支出决算情况说明</w:t>
      </w:r>
      <w:bookmarkEnd w:id="34"/>
      <w:bookmarkEnd w:id="35"/>
      <w:r>
        <w:rPr>
          <w:rStyle w:val="31"/>
          <w:rFonts w:hint="default" w:ascii="Times New Roman" w:hAnsi="Times New Roman" w:eastAsia="黑体" w:cs="Times New Roman"/>
          <w:b w:val="0"/>
          <w:color w:val="auto"/>
          <w:highlight w:val="none"/>
        </w:rPr>
        <w:tab/>
      </w:r>
    </w:p>
    <w:p w14:paraId="13B024D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778.36</w:t>
      </w:r>
      <w:r>
        <w:rPr>
          <w:rFonts w:hint="default" w:ascii="Times New Roman" w:hAnsi="Times New Roman" w:eastAsia="仿宋_GB2312" w:cs="Times New Roman"/>
          <w:color w:val="auto"/>
          <w:kern w:val="2"/>
          <w:sz w:val="32"/>
          <w:szCs w:val="32"/>
          <w:highlight w:val="none"/>
          <w:lang w:val="en-US" w:eastAsia="zh-CN" w:bidi="ar-SA"/>
        </w:rPr>
        <w:t>万元，其中：</w:t>
      </w:r>
    </w:p>
    <w:p w14:paraId="018F221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656.51</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b w:val="0"/>
          <w:bCs w:val="0"/>
          <w:color w:val="auto"/>
          <w:sz w:val="32"/>
          <w:szCs w:val="32"/>
          <w:highlight w:val="none"/>
        </w:rPr>
        <w:t>主要包括：</w:t>
      </w:r>
      <w:r>
        <w:rPr>
          <w:rFonts w:hint="default" w:ascii="Times New Roman" w:hAnsi="Times New Roman" w:eastAsia="仿宋_GB2312" w:cs="Times New Roman"/>
          <w:color w:val="000000"/>
          <w:sz w:val="32"/>
          <w:szCs w:val="32"/>
        </w:rPr>
        <w:t>基本工资、津贴补贴、奖金、绩效工资、机关事业单位基本养老保险缴费、</w:t>
      </w:r>
      <w:r>
        <w:rPr>
          <w:rFonts w:hint="default" w:ascii="Times New Roman" w:hAnsi="Times New Roman" w:eastAsia="仿宋_GB2312" w:cs="Times New Roman"/>
          <w:color w:val="000000"/>
          <w:sz w:val="32"/>
          <w:szCs w:val="32"/>
          <w:lang w:eastAsia="zh-CN"/>
        </w:rPr>
        <w:t>职工基本医疗保险缴费</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公务员医疗补助缴费、</w:t>
      </w:r>
      <w:r>
        <w:rPr>
          <w:rFonts w:hint="default" w:ascii="Times New Roman" w:hAnsi="Times New Roman" w:eastAsia="仿宋_GB2312" w:cs="Times New Roman"/>
          <w:color w:val="000000"/>
          <w:sz w:val="32"/>
          <w:szCs w:val="32"/>
        </w:rPr>
        <w:t>其他社会保障缴费、住房公积金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其他工资福利支出、</w:t>
      </w:r>
      <w:r>
        <w:rPr>
          <w:rFonts w:hint="default" w:ascii="Times New Roman" w:hAnsi="Times New Roman" w:eastAsia="仿宋_GB2312" w:cs="Times New Roman"/>
          <w:color w:val="000000"/>
          <w:sz w:val="32"/>
          <w:szCs w:val="32"/>
          <w:lang w:val="en-US" w:eastAsia="zh-CN"/>
        </w:rPr>
        <w:t>抚恤金、</w:t>
      </w:r>
      <w:r>
        <w:rPr>
          <w:rFonts w:hint="default" w:ascii="Times New Roman" w:hAnsi="Times New Roman" w:eastAsia="仿宋_GB2312" w:cs="Times New Roman"/>
          <w:color w:val="000000"/>
          <w:sz w:val="32"/>
          <w:szCs w:val="32"/>
        </w:rPr>
        <w:t>生活补助、医疗费补助等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121.85</w:t>
      </w:r>
      <w:r>
        <w:rPr>
          <w:rFonts w:hint="default" w:ascii="Times New Roman" w:hAnsi="Times New Roman" w:eastAsia="仿宋_GB2312" w:cs="Times New Roman"/>
          <w:color w:val="auto"/>
          <w:kern w:val="2"/>
          <w:sz w:val="32"/>
          <w:szCs w:val="32"/>
          <w:highlight w:val="none"/>
          <w:lang w:val="en-US" w:eastAsia="zh-CN" w:bidi="ar-SA"/>
        </w:rPr>
        <w:t>万元，主要包括：</w:t>
      </w:r>
      <w:r>
        <w:rPr>
          <w:rFonts w:hint="default" w:ascii="Times New Roman" w:hAnsi="Times New Roman" w:eastAsia="仿宋_GB2312" w:cs="Times New Roman"/>
          <w:color w:val="auto"/>
          <w:sz w:val="32"/>
          <w:szCs w:val="32"/>
          <w:highlight w:val="none"/>
        </w:rPr>
        <w:t>办公费、水费、电费、邮电费、差旅费、租赁费、公务接待费、委托业务费、工会经费、福利费、公务用车运行维护费、其他交通费、其他商品和服务支出等</w:t>
      </w:r>
      <w:r>
        <w:rPr>
          <w:rFonts w:hint="default" w:ascii="Times New Roman" w:hAnsi="Times New Roman" w:eastAsia="仿宋_GB2312" w:cs="Times New Roman"/>
          <w:b w:val="0"/>
          <w:bCs w:val="0"/>
          <w:color w:val="auto"/>
          <w:sz w:val="32"/>
          <w:szCs w:val="32"/>
          <w:highlight w:val="none"/>
        </w:rPr>
        <w:t>。</w:t>
      </w:r>
    </w:p>
    <w:p w14:paraId="3DFDC9E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p>
    <w:p w14:paraId="4036A95D">
      <w:pPr>
        <w:spacing w:line="600" w:lineRule="exact"/>
        <w:ind w:firstLine="640"/>
        <w:outlineLvl w:val="1"/>
        <w:rPr>
          <w:rStyle w:val="31"/>
          <w:rFonts w:hint="default" w:ascii="Times New Roman" w:hAnsi="Times New Roman" w:eastAsia="黑体" w:cs="Times New Roman"/>
          <w:b w:val="0"/>
          <w:color w:val="auto"/>
          <w:highlight w:val="none"/>
        </w:rPr>
      </w:pPr>
      <w:bookmarkStart w:id="36" w:name="_Toc15396609"/>
      <w:bookmarkStart w:id="37" w:name="_Toc15377215"/>
      <w:r>
        <w:rPr>
          <w:rFonts w:hint="default" w:ascii="Times New Roman" w:hAnsi="Times New Roman" w:eastAsia="黑体" w:cs="Times New Roman"/>
          <w:color w:val="auto"/>
          <w:sz w:val="32"/>
          <w:szCs w:val="32"/>
          <w:highlight w:val="none"/>
        </w:rPr>
        <w:t>七、</w:t>
      </w:r>
      <w:r>
        <w:rPr>
          <w:rStyle w:val="31"/>
          <w:rFonts w:hint="default" w:ascii="Times New Roman" w:hAnsi="Times New Roman" w:eastAsia="黑体" w:cs="Times New Roman"/>
          <w:b w:val="0"/>
          <w:color w:val="auto"/>
          <w:highlight w:val="none"/>
        </w:rPr>
        <w:t>财政拨款</w:t>
      </w:r>
      <w:r>
        <w:rPr>
          <w:rStyle w:val="31"/>
          <w:rFonts w:hint="default" w:ascii="Times New Roman" w:hAnsi="Times New Roman" w:eastAsia="黑体" w:cs="Times New Roman"/>
          <w:color w:val="auto"/>
          <w:highlight w:val="none"/>
        </w:rPr>
        <w:t>“</w:t>
      </w:r>
      <w:r>
        <w:rPr>
          <w:rStyle w:val="31"/>
          <w:rFonts w:hint="default" w:ascii="Times New Roman" w:hAnsi="Times New Roman" w:eastAsia="黑体" w:cs="Times New Roman"/>
          <w:b w:val="0"/>
          <w:color w:val="auto"/>
          <w:highlight w:val="none"/>
        </w:rPr>
        <w:t>三公”经费支出决算情况说明</w:t>
      </w:r>
      <w:bookmarkEnd w:id="36"/>
      <w:bookmarkEnd w:id="37"/>
    </w:p>
    <w:p w14:paraId="3778F3C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8"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38"/>
    </w:p>
    <w:p w14:paraId="64C805A2">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26.12</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%，较上年度减少0.38万元，下降1.43%。决算数与预算数持平。</w:t>
      </w:r>
    </w:p>
    <w:p w14:paraId="507BC802">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9"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39"/>
    </w:p>
    <w:p w14:paraId="661C8C2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8.51</w:t>
      </w:r>
      <w:r>
        <w:rPr>
          <w:rFonts w:hint="default" w:ascii="Times New Roman" w:hAnsi="Times New Roman" w:eastAsia="仿宋_GB2312" w:cs="Times New Roman"/>
          <w:color w:val="auto"/>
          <w:kern w:val="2"/>
          <w:sz w:val="32"/>
          <w:szCs w:val="32"/>
          <w:highlight w:val="none"/>
          <w:lang w:val="en-US" w:eastAsia="zh-CN" w:bidi="ar-SA"/>
        </w:rPr>
        <w:t>万元，占32.58%；公务接待费支出决算</w:t>
      </w:r>
      <w:r>
        <w:rPr>
          <w:rFonts w:hint="default" w:ascii="Times New Roman" w:hAnsi="Times New Roman" w:eastAsia="仿宋_GB2312" w:cs="Times New Roman"/>
          <w:sz w:val="32"/>
          <w:szCs w:val="32"/>
        </w:rPr>
        <w:t>17.61</w:t>
      </w:r>
      <w:r>
        <w:rPr>
          <w:rFonts w:hint="default" w:ascii="Times New Roman" w:hAnsi="Times New Roman" w:eastAsia="仿宋_GB2312" w:cs="Times New Roman"/>
          <w:color w:val="auto"/>
          <w:kern w:val="2"/>
          <w:sz w:val="32"/>
          <w:szCs w:val="32"/>
          <w:highlight w:val="none"/>
          <w:lang w:val="en-US" w:eastAsia="zh-CN" w:bidi="ar-SA"/>
        </w:rPr>
        <w:t>万元，占67.42%。具体情况如下：</w:t>
      </w:r>
    </w:p>
    <w:p w14:paraId="40B04035">
      <w:pPr>
        <w:pStyle w:val="8"/>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826000" cy="2743200"/>
            <wp:effectExtent l="4445" t="4445" r="8255" b="52705"/>
            <wp:docPr id="8" name="图表 7" descr="7b0a202020202263686172745265734964223a202232303436383439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C38BC1">
      <w:pPr>
        <w:spacing w:line="600" w:lineRule="exact"/>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p>
    <w:p w14:paraId="7D88EFA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w:t>
      </w:r>
      <w:r>
        <w:rPr>
          <w:rFonts w:hint="default" w:ascii="Times New Roman" w:hAnsi="Times New Roman" w:eastAsia="仿宋_GB2312" w:cs="Times New Roman"/>
          <w:b w:val="0"/>
          <w:bCs/>
          <w:color w:val="000000"/>
          <w:sz w:val="32"/>
          <w:szCs w:val="32"/>
          <w:lang w:eastAsia="zh-CN"/>
        </w:rPr>
        <w:t>与</w:t>
      </w:r>
      <w:r>
        <w:rPr>
          <w:rFonts w:hint="default" w:ascii="Times New Roman" w:hAnsi="Times New Roman" w:eastAsia="仿宋_GB2312" w:cs="Times New Roman"/>
          <w:b w:val="0"/>
          <w:bCs/>
          <w:color w:val="000000"/>
          <w:sz w:val="32"/>
          <w:szCs w:val="32"/>
        </w:rPr>
        <w:t>20</w:t>
      </w:r>
      <w:r>
        <w:rPr>
          <w:rFonts w:hint="default" w:ascii="Times New Roman" w:hAnsi="Times New Roman" w:eastAsia="仿宋_GB2312" w:cs="Times New Roman"/>
          <w:b w:val="0"/>
          <w:bCs/>
          <w:color w:val="000000"/>
          <w:sz w:val="32"/>
          <w:szCs w:val="32"/>
          <w:lang w:val="en-US" w:eastAsia="zh-CN"/>
        </w:rPr>
        <w:t>23</w:t>
      </w:r>
      <w:r>
        <w:rPr>
          <w:rFonts w:hint="default" w:ascii="Times New Roman" w:hAnsi="Times New Roman" w:eastAsia="仿宋_GB2312" w:cs="Times New Roman"/>
          <w:b w:val="0"/>
          <w:bCs/>
          <w:color w:val="000000"/>
          <w:sz w:val="32"/>
          <w:szCs w:val="32"/>
        </w:rPr>
        <w:t>年</w:t>
      </w:r>
      <w:r>
        <w:rPr>
          <w:rFonts w:hint="default" w:ascii="Times New Roman" w:hAnsi="Times New Roman" w:eastAsia="仿宋_GB2312" w:cs="Times New Roman"/>
          <w:b w:val="0"/>
          <w:bCs/>
          <w:color w:val="000000"/>
          <w:sz w:val="32"/>
          <w:szCs w:val="32"/>
          <w:lang w:eastAsia="zh-CN"/>
        </w:rPr>
        <w:t>持平</w:t>
      </w:r>
      <w:r>
        <w:rPr>
          <w:rFonts w:hint="default" w:ascii="Times New Roman" w:hAnsi="Times New Roman" w:eastAsia="仿宋_GB2312" w:cs="Times New Roman"/>
          <w:color w:val="auto"/>
          <w:kern w:val="2"/>
          <w:sz w:val="32"/>
          <w:szCs w:val="32"/>
          <w:highlight w:val="none"/>
          <w:lang w:val="en-US" w:eastAsia="zh-CN" w:bidi="ar-SA"/>
        </w:rPr>
        <w:t>。</w:t>
      </w:r>
    </w:p>
    <w:p w14:paraId="7AEF853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2.公务用车购置及运行维护费支出8.51万元，完成预算100%。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公务用车购置及运行维护费支出决算比2023年度减少0.24万元，下降2.74%。主要原因是</w:t>
      </w:r>
      <w:r>
        <w:rPr>
          <w:rFonts w:hint="default" w:ascii="Times New Roman" w:hAnsi="Times New Roman" w:eastAsia="仿宋_GB2312" w:cs="Times New Roman"/>
          <w:b w:val="0"/>
          <w:bCs w:val="0"/>
          <w:color w:val="auto"/>
          <w:sz w:val="32"/>
          <w:szCs w:val="32"/>
          <w:highlight w:val="none"/>
          <w:lang w:val="en-US" w:eastAsia="zh-CN"/>
        </w:rPr>
        <w:t>2024年财政压缩了干休所预算经费</w:t>
      </w:r>
      <w:r>
        <w:rPr>
          <w:rFonts w:hint="default" w:ascii="Times New Roman" w:hAnsi="Times New Roman" w:eastAsia="仿宋_GB2312" w:cs="Times New Roman"/>
          <w:b w:val="0"/>
          <w:bCs w:val="0"/>
          <w:color w:val="auto"/>
          <w:sz w:val="32"/>
          <w:szCs w:val="32"/>
          <w:highlight w:val="none"/>
        </w:rPr>
        <w:t>。</w:t>
      </w:r>
    </w:p>
    <w:p w14:paraId="670D69F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rPr>
        <w:t>其中：公务用车购置支出</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万元。全年按规定更新购置公务用车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辆，其中：轿车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万元，越野车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万元，载客汽车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万元。截至</w:t>
      </w:r>
      <w:r>
        <w:rPr>
          <w:rFonts w:hint="default" w:ascii="Times New Roman" w:hAnsi="Times New Roman" w:eastAsia="仿宋_GB2312" w:cs="Times New Roman"/>
          <w:b w:val="0"/>
          <w:bCs w:val="0"/>
          <w:color w:val="auto"/>
          <w:sz w:val="32"/>
          <w:szCs w:val="32"/>
          <w:highlight w:val="none"/>
          <w:lang w:eastAsia="zh-CN"/>
        </w:rPr>
        <w:t>2023</w:t>
      </w:r>
      <w:r>
        <w:rPr>
          <w:rFonts w:hint="default" w:ascii="Times New Roman" w:hAnsi="Times New Roman" w:eastAsia="仿宋_GB2312" w:cs="Times New Roman"/>
          <w:b w:val="0"/>
          <w:bCs w:val="0"/>
          <w:color w:val="auto"/>
          <w:sz w:val="32"/>
          <w:szCs w:val="32"/>
          <w:highlight w:val="none"/>
        </w:rPr>
        <w:t>年12月</w:t>
      </w:r>
      <w:r>
        <w:rPr>
          <w:rFonts w:hint="default" w:ascii="Times New Roman" w:hAnsi="Times New Roman" w:eastAsia="仿宋_GB2312" w:cs="Times New Roman"/>
          <w:b w:val="0"/>
          <w:bCs w:val="0"/>
          <w:color w:val="auto"/>
          <w:sz w:val="32"/>
          <w:szCs w:val="32"/>
          <w:highlight w:val="none"/>
          <w:lang w:val="en-US" w:eastAsia="zh-CN"/>
        </w:rPr>
        <w:t>31日</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Cs/>
          <w:color w:val="000000"/>
          <w:sz w:val="32"/>
          <w:szCs w:val="32"/>
        </w:rPr>
        <w:t>单位账面共有其他用车7车辆，但实有公务用车为6辆（</w:t>
      </w:r>
      <w:r>
        <w:rPr>
          <w:rFonts w:hint="default" w:ascii="Times New Roman" w:hAnsi="Times New Roman" w:eastAsia="仿宋_GB2312" w:cs="Times New Roman"/>
          <w:sz w:val="32"/>
          <w:szCs w:val="32"/>
        </w:rPr>
        <w:t>2016年7月公车改革时攀枝花市机关事务管理局将车辆调回进行拍卖处置</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成办</w:t>
      </w:r>
      <w:r>
        <w:rPr>
          <w:rFonts w:hint="default" w:ascii="Times New Roman" w:hAnsi="Times New Roman" w:eastAsia="仿宋_GB2312" w:cs="Times New Roman"/>
          <w:sz w:val="32"/>
          <w:szCs w:val="32"/>
        </w:rPr>
        <w:t>仍有1辆轿车因资料</w:t>
      </w:r>
      <w:r>
        <w:rPr>
          <w:rFonts w:hint="default" w:ascii="Times New Roman" w:hAnsi="Times New Roman" w:eastAsia="仿宋_GB2312" w:cs="Times New Roman"/>
          <w:sz w:val="32"/>
          <w:szCs w:val="32"/>
          <w:lang w:eastAsia="zh-CN"/>
        </w:rPr>
        <w:t>不全，财政暂</w:t>
      </w:r>
      <w:r>
        <w:rPr>
          <w:rFonts w:hint="default" w:ascii="Times New Roman" w:hAnsi="Times New Roman" w:eastAsia="仿宋_GB2312" w:cs="Times New Roman"/>
          <w:sz w:val="32"/>
          <w:szCs w:val="32"/>
        </w:rPr>
        <w:t>无法批复核销），</w:t>
      </w:r>
      <w:r>
        <w:rPr>
          <w:rFonts w:hint="default" w:ascii="Times New Roman" w:hAnsi="Times New Roman" w:eastAsia="仿宋_GB2312" w:cs="Times New Roman"/>
          <w:bCs/>
          <w:color w:val="000000"/>
          <w:sz w:val="32"/>
          <w:szCs w:val="32"/>
        </w:rPr>
        <w:t>其中：轿车及商务车5辆、越野车1辆、载客汽车0辆。</w:t>
      </w:r>
    </w:p>
    <w:p w14:paraId="5744E9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8.51</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b w:val="0"/>
          <w:bCs w:val="0"/>
          <w:color w:val="auto"/>
          <w:sz w:val="32"/>
          <w:szCs w:val="32"/>
          <w:highlight w:val="none"/>
        </w:rPr>
        <w:t>主要用于</w:t>
      </w:r>
      <w:r>
        <w:rPr>
          <w:rFonts w:hint="default" w:ascii="Times New Roman" w:hAnsi="Times New Roman" w:eastAsia="仿宋_GB2312" w:cs="Times New Roman"/>
          <w:sz w:val="32"/>
          <w:szCs w:val="32"/>
        </w:rPr>
        <w:t>接待、招商引资、信息联络、离</w:t>
      </w:r>
      <w:r>
        <w:rPr>
          <w:rFonts w:hint="default" w:ascii="Times New Roman" w:hAnsi="Times New Roman" w:eastAsia="仿宋_GB2312" w:cs="Times New Roman"/>
          <w:sz w:val="32"/>
          <w:szCs w:val="32"/>
          <w:lang w:eastAsia="zh-CN"/>
        </w:rPr>
        <w:t>退</w:t>
      </w:r>
      <w:r>
        <w:rPr>
          <w:rFonts w:hint="default" w:ascii="Times New Roman" w:hAnsi="Times New Roman" w:eastAsia="仿宋_GB2312" w:cs="Times New Roman"/>
          <w:sz w:val="32"/>
          <w:szCs w:val="32"/>
        </w:rPr>
        <w:t>休老干部服务工作及单位日常工作正常运行</w:t>
      </w:r>
      <w:r>
        <w:rPr>
          <w:rFonts w:hint="default" w:ascii="Times New Roman" w:hAnsi="Times New Roman" w:eastAsia="仿宋_GB2312" w:cs="Times New Roman"/>
          <w:color w:val="000000"/>
          <w:sz w:val="32"/>
          <w:szCs w:val="32"/>
        </w:rPr>
        <w:t>等所需的</w:t>
      </w:r>
      <w:r>
        <w:rPr>
          <w:rFonts w:hint="default" w:ascii="Times New Roman" w:hAnsi="Times New Roman" w:eastAsia="仿宋_GB2312" w:cs="Times New Roman"/>
          <w:bCs/>
          <w:color w:val="000000"/>
          <w:sz w:val="32"/>
          <w:szCs w:val="32"/>
        </w:rPr>
        <w:t>公务用车燃料费、维修费、过路过桥费、保险费等支出</w:t>
      </w:r>
      <w:r>
        <w:rPr>
          <w:rFonts w:hint="default" w:ascii="Times New Roman" w:hAnsi="Times New Roman" w:eastAsia="仿宋_GB2312" w:cs="Times New Roman"/>
          <w:b w:val="0"/>
          <w:bCs w:val="0"/>
          <w:color w:val="auto"/>
          <w:sz w:val="32"/>
          <w:szCs w:val="32"/>
          <w:highlight w:val="none"/>
        </w:rPr>
        <w:t>。</w:t>
      </w:r>
    </w:p>
    <w:p w14:paraId="0BF8F2F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3.公务接待费支出17.61万元，完成预算100%。</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公务接待费支出决算比2023年度减少0.14万元，下降0.79%。主要原因是2024年服务中心公务接待费支出减少0.14万元。其中：</w:t>
      </w:r>
    </w:p>
    <w:p w14:paraId="01122AB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17.61</w:t>
      </w:r>
      <w:r>
        <w:rPr>
          <w:rFonts w:hint="default" w:ascii="Times New Roman" w:hAnsi="Times New Roman" w:eastAsia="仿宋_GB2312" w:cs="Times New Roman"/>
          <w:color w:val="auto"/>
          <w:kern w:val="2"/>
          <w:sz w:val="32"/>
          <w:szCs w:val="32"/>
          <w:highlight w:val="none"/>
          <w:lang w:val="en-US" w:eastAsia="zh-CN" w:bidi="ar-SA"/>
        </w:rPr>
        <w:t>万元，主要用于执行公务、开展业务活动开支的交通费、住宿费、用餐费等。国内公务接待</w:t>
      </w:r>
      <w:r>
        <w:rPr>
          <w:rFonts w:hint="default" w:ascii="Times New Roman" w:hAnsi="Times New Roman" w:eastAsia="仿宋_GB2312" w:cs="Times New Roman"/>
          <w:sz w:val="32"/>
          <w:szCs w:val="32"/>
        </w:rPr>
        <w:t>1051</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1738</w:t>
      </w:r>
      <w:r>
        <w:rPr>
          <w:rFonts w:hint="default" w:ascii="Times New Roman" w:hAnsi="Times New Roman" w:eastAsia="仿宋_GB2312" w:cs="Times New Roman"/>
          <w:color w:val="auto"/>
          <w:kern w:val="2"/>
          <w:sz w:val="32"/>
          <w:szCs w:val="32"/>
          <w:highlight w:val="none"/>
          <w:lang w:val="en-US" w:eastAsia="zh-CN" w:bidi="ar-SA"/>
        </w:rPr>
        <w:t>人次（不包括陪同人员）。</w:t>
      </w:r>
    </w:p>
    <w:p w14:paraId="78C9F58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bookmarkStart w:id="40" w:name="_Toc15377218"/>
      <w:bookmarkStart w:id="41" w:name="_Toc15396610"/>
    </w:p>
    <w:p w14:paraId="676352F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6B260852">
      <w:pPr>
        <w:spacing w:line="600" w:lineRule="exact"/>
        <w:ind w:firstLine="640"/>
        <w:outlineLvl w:val="1"/>
        <w:rPr>
          <w:rStyle w:val="31"/>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40"/>
      <w:bookmarkEnd w:id="41"/>
    </w:p>
    <w:p w14:paraId="5F65919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%。与2023年度持平。</w:t>
      </w:r>
      <w:bookmarkStart w:id="42" w:name="_Toc15396611"/>
      <w:bookmarkStart w:id="43" w:name="_Toc15377219"/>
    </w:p>
    <w:p w14:paraId="4FACD90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BA9AB6E">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r>
        <w:rPr>
          <w:rStyle w:val="31"/>
          <w:rFonts w:hint="default" w:ascii="Times New Roman" w:hAnsi="Times New Roman" w:eastAsia="黑体" w:cs="Times New Roman"/>
          <w:b w:val="0"/>
          <w:color w:val="auto"/>
          <w:highlight w:val="none"/>
          <w:lang w:eastAsia="zh-CN"/>
        </w:rPr>
        <w:t>九、</w:t>
      </w:r>
      <w:r>
        <w:rPr>
          <w:rStyle w:val="31"/>
          <w:rFonts w:hint="default" w:ascii="Times New Roman" w:hAnsi="Times New Roman" w:eastAsia="黑体" w:cs="Times New Roman"/>
          <w:b w:val="0"/>
          <w:color w:val="auto"/>
          <w:highlight w:val="none"/>
        </w:rPr>
        <w:t>国有资本经营预算支出决算情况说明</w:t>
      </w:r>
      <w:bookmarkEnd w:id="42"/>
      <w:bookmarkEnd w:id="43"/>
    </w:p>
    <w:p w14:paraId="3089E80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%。与2023年度持平。</w:t>
      </w:r>
      <w:bookmarkStart w:id="44" w:name="_Toc15396612"/>
      <w:bookmarkStart w:id="45" w:name="_Toc15377221"/>
    </w:p>
    <w:p w14:paraId="08401EF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DE2C5DF">
      <w:pPr>
        <w:spacing w:line="600" w:lineRule="exact"/>
        <w:ind w:firstLine="640"/>
        <w:rPr>
          <w:rStyle w:val="31"/>
          <w:rFonts w:hint="default" w:ascii="Times New Roman" w:hAnsi="Times New Roman" w:eastAsia="黑体" w:cs="Times New Roman"/>
          <w:b w:val="0"/>
          <w:color w:val="auto"/>
          <w:highlight w:val="none"/>
        </w:rPr>
      </w:pPr>
      <w:r>
        <w:rPr>
          <w:rStyle w:val="31"/>
          <w:rFonts w:hint="default" w:ascii="Times New Roman" w:hAnsi="Times New Roman" w:eastAsia="黑体" w:cs="Times New Roman"/>
          <w:b w:val="0"/>
          <w:color w:val="auto"/>
          <w:highlight w:val="none"/>
          <w:lang w:eastAsia="zh-CN"/>
        </w:rPr>
        <w:t>十、</w:t>
      </w:r>
      <w:r>
        <w:rPr>
          <w:rStyle w:val="31"/>
          <w:rFonts w:hint="default" w:ascii="Times New Roman" w:hAnsi="Times New Roman" w:eastAsia="黑体" w:cs="Times New Roman"/>
          <w:b w:val="0"/>
          <w:color w:val="auto"/>
          <w:highlight w:val="none"/>
        </w:rPr>
        <w:t>其他重要事项的情况说明</w:t>
      </w:r>
      <w:bookmarkEnd w:id="44"/>
      <w:bookmarkEnd w:id="45"/>
    </w:p>
    <w:p w14:paraId="7963C535">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6" w:name="_Toc15377222"/>
      <w:r>
        <w:rPr>
          <w:rFonts w:hint="default" w:ascii="Times New Roman" w:hAnsi="Times New Roman" w:eastAsia="楷体_GB2312" w:cs="Times New Roman"/>
          <w:b/>
          <w:color w:val="auto"/>
          <w:sz w:val="32"/>
          <w:szCs w:val="32"/>
          <w:highlight w:val="none"/>
        </w:rPr>
        <w:t>（一）机关运行经费支出情况</w:t>
      </w:r>
      <w:bookmarkEnd w:id="46"/>
    </w:p>
    <w:p w14:paraId="6F7A584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攀枝花市人民政府驻成都办事处</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112.19</w:t>
      </w:r>
      <w:r>
        <w:rPr>
          <w:rFonts w:hint="default" w:ascii="Times New Roman" w:hAnsi="Times New Roman" w:eastAsia="仿宋_GB2312" w:cs="Times New Roman"/>
          <w:color w:val="auto"/>
          <w:kern w:val="2"/>
          <w:sz w:val="32"/>
          <w:szCs w:val="32"/>
          <w:highlight w:val="none"/>
          <w:lang w:val="en-US" w:eastAsia="zh-CN" w:bidi="ar-SA"/>
        </w:rPr>
        <w:t>万元，比2023年度减少10.74万元，下降8.74%主要原因是本年预算未全部到位，党建经费、工会经费、福利费等减少。</w:t>
      </w:r>
    </w:p>
    <w:p w14:paraId="25EBA95F">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7" w:name="_Toc15377223"/>
      <w:r>
        <w:rPr>
          <w:rFonts w:hint="default" w:ascii="Times New Roman" w:hAnsi="Times New Roman" w:eastAsia="楷体_GB2312" w:cs="Times New Roman"/>
          <w:b/>
          <w:color w:val="auto"/>
          <w:sz w:val="32"/>
          <w:szCs w:val="32"/>
          <w:highlight w:val="none"/>
        </w:rPr>
        <w:t>（二）政府采购支出情况</w:t>
      </w:r>
      <w:bookmarkEnd w:id="47"/>
    </w:p>
    <w:p w14:paraId="33C36C5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攀枝花市人民政府驻成都办事处</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万元。授予中小企业合同金额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w:t>
      </w:r>
    </w:p>
    <w:p w14:paraId="1E501F57">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8" w:name="_Toc15377224"/>
      <w:r>
        <w:rPr>
          <w:rFonts w:hint="default" w:ascii="Times New Roman" w:hAnsi="Times New Roman" w:eastAsia="楷体_GB2312" w:cs="Times New Roman"/>
          <w:b/>
          <w:color w:val="auto"/>
          <w:sz w:val="32"/>
          <w:szCs w:val="32"/>
          <w:highlight w:val="none"/>
        </w:rPr>
        <w:t>（三）国有资产占有使用情况</w:t>
      </w:r>
      <w:bookmarkEnd w:id="48"/>
    </w:p>
    <w:p w14:paraId="7AA9397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攀枝花市人民政府驻成都办事处</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7</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color w:val="auto"/>
          <w:kern w:val="2"/>
          <w:sz w:val="32"/>
          <w:szCs w:val="32"/>
          <w:highlight w:val="none"/>
          <w:lang w:val="en-US" w:eastAsia="zh-CN" w:bidi="ar-SA"/>
        </w:rPr>
        <w:t>辆，</w:t>
      </w:r>
      <w:r>
        <w:rPr>
          <w:rFonts w:hint="default" w:ascii="Times New Roman" w:hAnsi="Times New Roman" w:eastAsia="仿宋_GB2312" w:cs="Times New Roman"/>
          <w:color w:val="auto"/>
          <w:sz w:val="32"/>
          <w:szCs w:val="32"/>
          <w:highlight w:val="none"/>
        </w:rPr>
        <w:t>其他用车主要是用于</w:t>
      </w:r>
      <w:r>
        <w:rPr>
          <w:rFonts w:hint="default" w:ascii="Times New Roman" w:hAnsi="Times New Roman" w:eastAsia="仿宋_GB2312" w:cs="Times New Roman"/>
          <w:color w:val="000000"/>
          <w:sz w:val="32"/>
          <w:szCs w:val="32"/>
        </w:rPr>
        <w:t>用于</w:t>
      </w:r>
      <w:r>
        <w:rPr>
          <w:rFonts w:hint="default" w:ascii="Times New Roman" w:hAnsi="Times New Roman" w:eastAsia="仿宋_GB2312" w:cs="Times New Roman"/>
          <w:bCs/>
          <w:color w:val="000000"/>
          <w:sz w:val="32"/>
          <w:szCs w:val="32"/>
          <w:lang w:eastAsia="zh-CN"/>
        </w:rPr>
        <w:t>公务</w:t>
      </w:r>
      <w:r>
        <w:rPr>
          <w:rFonts w:hint="default" w:ascii="Times New Roman" w:hAnsi="Times New Roman" w:eastAsia="仿宋_GB2312" w:cs="Times New Roman"/>
          <w:color w:val="000000"/>
          <w:sz w:val="32"/>
          <w:szCs w:val="32"/>
        </w:rPr>
        <w:t>接待、招商引资、信息联络、离</w:t>
      </w:r>
      <w:r>
        <w:rPr>
          <w:rFonts w:hint="default" w:ascii="Times New Roman" w:hAnsi="Times New Roman" w:eastAsia="仿宋_GB2312" w:cs="Times New Roman"/>
          <w:color w:val="000000"/>
          <w:sz w:val="32"/>
          <w:szCs w:val="32"/>
          <w:lang w:eastAsia="zh-CN"/>
        </w:rPr>
        <w:t>退</w:t>
      </w:r>
      <w:r>
        <w:rPr>
          <w:rFonts w:hint="default" w:ascii="Times New Roman" w:hAnsi="Times New Roman" w:eastAsia="仿宋_GB2312" w:cs="Times New Roman"/>
          <w:color w:val="000000"/>
          <w:sz w:val="32"/>
          <w:szCs w:val="32"/>
        </w:rPr>
        <w:t>休老干部服务工作及单位日常工作正常运</w:t>
      </w:r>
      <w:r>
        <w:rPr>
          <w:rFonts w:hint="default" w:ascii="Times New Roman" w:hAnsi="Times New Roman" w:eastAsia="仿宋_GB2312" w:cs="Times New Roman"/>
          <w:color w:val="000000"/>
          <w:sz w:val="32"/>
          <w:szCs w:val="32"/>
          <w:lang w:eastAsia="zh-CN"/>
        </w:rPr>
        <w:t>转</w:t>
      </w:r>
      <w:r>
        <w:rPr>
          <w:rFonts w:hint="default" w:ascii="Times New Roman" w:hAnsi="Times New Roman" w:eastAsia="仿宋_GB2312" w:cs="Times New Roman"/>
          <w:color w:val="000000"/>
          <w:sz w:val="32"/>
          <w:szCs w:val="32"/>
        </w:rPr>
        <w:t>等所需的</w:t>
      </w:r>
      <w:r>
        <w:rPr>
          <w:rFonts w:hint="default" w:ascii="Times New Roman" w:hAnsi="Times New Roman" w:eastAsia="仿宋_GB2312" w:cs="Times New Roman"/>
          <w:bCs/>
          <w:color w:val="000000"/>
          <w:sz w:val="32"/>
          <w:szCs w:val="32"/>
        </w:rPr>
        <w:t>公务用车，但实有车辆为6辆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color w:val="000000"/>
          <w:sz w:val="32"/>
          <w:szCs w:val="32"/>
        </w:rPr>
        <w:t>2016年7月公车改革时攀枝花市机关事务管理局将</w:t>
      </w:r>
      <w:r>
        <w:rPr>
          <w:rFonts w:hint="default" w:ascii="Times New Roman" w:hAnsi="Times New Roman" w:eastAsia="仿宋_GB2312" w:cs="Times New Roman"/>
          <w:b w:val="0"/>
          <w:bCs/>
          <w:color w:val="000000"/>
          <w:sz w:val="32"/>
          <w:szCs w:val="32"/>
          <w:lang w:eastAsia="zh-CN"/>
        </w:rPr>
        <w:t>成办</w:t>
      </w:r>
      <w:r>
        <w:rPr>
          <w:rFonts w:hint="default" w:ascii="Times New Roman" w:hAnsi="Times New Roman" w:eastAsia="仿宋_GB2312" w:cs="Times New Roman"/>
          <w:b w:val="0"/>
          <w:bCs/>
          <w:color w:val="000000"/>
          <w:sz w:val="32"/>
          <w:szCs w:val="32"/>
        </w:rPr>
        <w:t>车辆调回进行拍卖处置，2019年攀枝花市机关事务管理局完善拍卖处置核销手续后，根据攀财资管</w:t>
      </w:r>
      <w:r>
        <w:rPr>
          <w:rFonts w:hint="default" w:ascii="Times New Roman" w:hAnsi="Times New Roman" w:eastAsia="仿宋_GB2312" w:cs="Times New Roman"/>
          <w:b w:val="0"/>
          <w:bCs w:val="0"/>
          <w:color w:val="000000"/>
          <w:sz w:val="32"/>
          <w:szCs w:val="32"/>
          <w:lang w:val="en-US" w:eastAsia="zh-CN"/>
        </w:rPr>
        <w:t>〔2019〕</w:t>
      </w:r>
      <w:r>
        <w:rPr>
          <w:rFonts w:hint="default" w:ascii="Times New Roman" w:hAnsi="Times New Roman" w:eastAsia="仿宋_GB2312" w:cs="Times New Roman"/>
          <w:b w:val="0"/>
          <w:bCs/>
          <w:color w:val="000000"/>
          <w:sz w:val="32"/>
          <w:szCs w:val="32"/>
        </w:rPr>
        <w:t>115号文批复核销了2辆别克轿车的资产，</w:t>
      </w:r>
      <w:r>
        <w:rPr>
          <w:rFonts w:hint="default" w:ascii="Times New Roman" w:hAnsi="Times New Roman" w:eastAsia="仿宋_GB2312" w:cs="Times New Roman"/>
          <w:b w:val="0"/>
          <w:bCs/>
          <w:sz w:val="32"/>
          <w:szCs w:val="32"/>
        </w:rPr>
        <w:t>轿车相差1辆的原因是2005年11月通过财政无偿划拨（攀财统</w:t>
      </w:r>
      <w:r>
        <w:rPr>
          <w:rFonts w:hint="default" w:ascii="Times New Roman" w:hAnsi="Times New Roman" w:eastAsia="仿宋_GB2312" w:cs="Times New Roman"/>
          <w:b w:val="0"/>
          <w:bCs w:val="0"/>
          <w:color w:val="000000"/>
          <w:sz w:val="32"/>
          <w:szCs w:val="32"/>
          <w:lang w:val="en-US" w:eastAsia="zh-CN"/>
        </w:rPr>
        <w:t>〔2005〕</w:t>
      </w:r>
      <w:r>
        <w:rPr>
          <w:rFonts w:hint="default" w:ascii="Times New Roman" w:hAnsi="Times New Roman" w:eastAsia="仿宋_GB2312" w:cs="Times New Roman"/>
          <w:b w:val="0"/>
          <w:bCs/>
          <w:sz w:val="32"/>
          <w:szCs w:val="32"/>
        </w:rPr>
        <w:t>61号）的形式，将市政府接待办的一辆S600型奔驰轿车（型号：BENZ600SEL、排气量：6.0、价值：1</w:t>
      </w:r>
      <w:r>
        <w:rPr>
          <w:rFonts w:hint="default" w:ascii="Times New Roman" w:hAnsi="Times New Roman" w:eastAsia="仿宋_GB2312" w:cs="Times New Roman"/>
          <w:b w:val="0"/>
          <w:bCs/>
          <w:sz w:val="32"/>
          <w:szCs w:val="32"/>
          <w:lang w:val="en-US" w:eastAsia="zh-CN"/>
        </w:rPr>
        <w:t>58万元</w:t>
      </w:r>
      <w:r>
        <w:rPr>
          <w:rFonts w:hint="default" w:ascii="Times New Roman" w:hAnsi="Times New Roman" w:eastAsia="仿宋_GB2312" w:cs="Times New Roman"/>
          <w:b w:val="0"/>
          <w:bCs/>
          <w:sz w:val="32"/>
          <w:szCs w:val="32"/>
        </w:rPr>
        <w:t>）转入</w:t>
      </w:r>
      <w:r>
        <w:rPr>
          <w:rFonts w:hint="default" w:ascii="Times New Roman" w:hAnsi="Times New Roman" w:eastAsia="仿宋_GB2312" w:cs="Times New Roman"/>
          <w:b w:val="0"/>
          <w:bCs/>
          <w:sz w:val="32"/>
          <w:szCs w:val="32"/>
          <w:lang w:eastAsia="zh-CN"/>
        </w:rPr>
        <w:t>成办</w:t>
      </w:r>
      <w:r>
        <w:rPr>
          <w:rFonts w:hint="default" w:ascii="Times New Roman" w:hAnsi="Times New Roman" w:eastAsia="仿宋_GB2312" w:cs="Times New Roman"/>
          <w:b w:val="0"/>
          <w:bCs/>
          <w:sz w:val="32"/>
          <w:szCs w:val="32"/>
        </w:rPr>
        <w:t>使用，但因为此车车况存在问题，加之维修使用费过高。经报市政府和市机关事务管理局同意后与成都仁信担保公司协商，用该车置换3.0别克君威新车一辆（型号：别克牌SGM7302GL、车架号：LSGWK52C75S201421、发动机号：55310456、排气量：3.0），置换后只变更使用权，资产所有权仍由原单位管理，但新车的汽车购置税</w:t>
      </w:r>
      <w:r>
        <w:rPr>
          <w:rFonts w:hint="default" w:ascii="Times New Roman" w:hAnsi="Times New Roman" w:eastAsia="仿宋_GB2312" w:cs="Times New Roman"/>
          <w:b w:val="0"/>
          <w:bCs/>
          <w:sz w:val="32"/>
          <w:szCs w:val="32"/>
          <w:lang w:val="en-US" w:eastAsia="zh-CN"/>
        </w:rPr>
        <w:t>2.02万元</w:t>
      </w:r>
      <w:r>
        <w:rPr>
          <w:rFonts w:hint="default" w:ascii="Times New Roman" w:hAnsi="Times New Roman" w:eastAsia="仿宋_GB2312" w:cs="Times New Roman"/>
          <w:b w:val="0"/>
          <w:bCs/>
          <w:sz w:val="32"/>
          <w:szCs w:val="32"/>
        </w:rPr>
        <w:t>由</w:t>
      </w:r>
      <w:r>
        <w:rPr>
          <w:rFonts w:hint="default" w:ascii="Times New Roman" w:hAnsi="Times New Roman" w:eastAsia="仿宋_GB2312" w:cs="Times New Roman"/>
          <w:b w:val="0"/>
          <w:bCs/>
          <w:sz w:val="32"/>
          <w:szCs w:val="32"/>
          <w:lang w:eastAsia="zh-CN"/>
        </w:rPr>
        <w:t>成</w:t>
      </w:r>
      <w:r>
        <w:rPr>
          <w:rFonts w:hint="default" w:ascii="Times New Roman" w:hAnsi="Times New Roman" w:eastAsia="仿宋_GB2312" w:cs="Times New Roman"/>
          <w:b w:val="0"/>
          <w:bCs/>
          <w:sz w:val="32"/>
          <w:szCs w:val="32"/>
        </w:rPr>
        <w:t>办交纳，因此S600型奔驰轿车的原资产和新车的汽车购置税共</w:t>
      </w:r>
      <w:r>
        <w:rPr>
          <w:rFonts w:hint="default" w:ascii="Times New Roman" w:hAnsi="Times New Roman" w:eastAsia="仿宋_GB2312" w:cs="Times New Roman"/>
          <w:b w:val="0"/>
          <w:bCs/>
          <w:sz w:val="32"/>
          <w:szCs w:val="32"/>
          <w:lang w:val="en-US" w:eastAsia="zh-CN"/>
        </w:rPr>
        <w:t>160.02万元</w:t>
      </w:r>
      <w:r>
        <w:rPr>
          <w:rFonts w:hint="default" w:ascii="Times New Roman" w:hAnsi="Times New Roman" w:eastAsia="仿宋_GB2312" w:cs="Times New Roman"/>
          <w:b w:val="0"/>
          <w:bCs/>
          <w:sz w:val="32"/>
          <w:szCs w:val="32"/>
        </w:rPr>
        <w:t>列入了奔驰轿车的资产价值。2016年7月公车改革时，置换的3.0别克君威交回攀枝花市原机关事务管理局已经拍卖处置，但由于此车在账面价值过高，而当时的置换协议</w:t>
      </w:r>
      <w:r>
        <w:rPr>
          <w:rFonts w:hint="default" w:ascii="Times New Roman" w:hAnsi="Times New Roman" w:eastAsia="仿宋_GB2312" w:cs="Times New Roman"/>
          <w:b w:val="0"/>
          <w:bCs/>
          <w:sz w:val="32"/>
          <w:szCs w:val="32"/>
          <w:lang w:eastAsia="zh-CN"/>
        </w:rPr>
        <w:t>又</w:t>
      </w:r>
      <w:r>
        <w:rPr>
          <w:rFonts w:hint="default" w:ascii="Times New Roman" w:hAnsi="Times New Roman" w:eastAsia="仿宋_GB2312" w:cs="Times New Roman"/>
          <w:b w:val="0"/>
          <w:bCs/>
          <w:sz w:val="32"/>
          <w:szCs w:val="32"/>
        </w:rPr>
        <w:t>遗失，</w:t>
      </w:r>
      <w:r>
        <w:rPr>
          <w:rFonts w:hint="default" w:ascii="Times New Roman" w:hAnsi="Times New Roman" w:eastAsia="仿宋_GB2312" w:cs="Times New Roman"/>
          <w:b w:val="0"/>
          <w:bCs/>
          <w:sz w:val="32"/>
          <w:szCs w:val="32"/>
          <w:lang w:eastAsia="zh-CN"/>
        </w:rPr>
        <w:t>目前查找的资料还不全，</w:t>
      </w:r>
      <w:r>
        <w:rPr>
          <w:rFonts w:hint="default" w:ascii="Times New Roman" w:hAnsi="Times New Roman" w:eastAsia="仿宋_GB2312" w:cs="Times New Roman"/>
          <w:b w:val="0"/>
          <w:bCs/>
          <w:sz w:val="32"/>
          <w:szCs w:val="32"/>
        </w:rPr>
        <w:t>所以财政</w:t>
      </w:r>
      <w:r>
        <w:rPr>
          <w:rFonts w:hint="default" w:ascii="Times New Roman" w:hAnsi="Times New Roman" w:eastAsia="仿宋_GB2312" w:cs="Times New Roman"/>
          <w:b w:val="0"/>
          <w:bCs/>
          <w:sz w:val="32"/>
          <w:szCs w:val="32"/>
          <w:lang w:eastAsia="zh-CN"/>
        </w:rPr>
        <w:t>暂</w:t>
      </w:r>
      <w:r>
        <w:rPr>
          <w:rFonts w:hint="default" w:ascii="Times New Roman" w:hAnsi="Times New Roman" w:eastAsia="仿宋_GB2312" w:cs="Times New Roman"/>
          <w:b w:val="0"/>
          <w:bCs/>
          <w:sz w:val="32"/>
          <w:szCs w:val="32"/>
        </w:rPr>
        <w:t>无法批复该车的核销文件</w:t>
      </w:r>
      <w:r>
        <w:rPr>
          <w:rFonts w:hint="default" w:ascii="Times New Roman" w:hAnsi="Times New Roman" w:eastAsia="仿宋_GB2312" w:cs="Times New Roman"/>
          <w:b w:val="0"/>
          <w:bCs/>
          <w:sz w:val="32"/>
          <w:szCs w:val="32"/>
          <w:lang w:eastAsia="zh-CN"/>
        </w:rPr>
        <w:t>。</w:t>
      </w:r>
    </w:p>
    <w:p w14:paraId="697C1517">
      <w:pPr>
        <w:pageBreakBefore w:val="0"/>
        <w:kinsoku/>
        <w:wordWrap/>
        <w:overflowPunct/>
        <w:topLinePunct w:val="0"/>
        <w:autoSpaceDE w:val="0"/>
        <w:autoSpaceDN w:val="0"/>
        <w:bidi w:val="0"/>
        <w:adjustRightInd w:val="0"/>
        <w:spacing w:line="560" w:lineRule="exact"/>
        <w:ind w:left="0" w:firstLine="640" w:firstLineChars="200"/>
        <w:jc w:val="left"/>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单价100万元以上设备</w:t>
      </w:r>
      <w:r>
        <w:rPr>
          <w:rFonts w:hint="default" w:ascii="Times New Roman" w:hAnsi="Times New Roman" w:eastAsia="仿宋_GB2312" w:cs="Times New Roman"/>
          <w:color w:val="auto"/>
          <w:sz w:val="32"/>
          <w:szCs w:val="32"/>
          <w:highlight w:val="none"/>
          <w:lang w:eastAsia="zh-CN"/>
        </w:rPr>
        <w:t>（不含车辆）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22459A2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5F94C36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根据预算绩效管理要求，本部门在2024年度预算编制阶段，组织对</w:t>
      </w:r>
      <w:r>
        <w:rPr>
          <w:rFonts w:hint="default" w:ascii="Times New Roman" w:hAnsi="Times New Roman" w:eastAsia="仿宋_GB2312" w:cs="Times New Roman"/>
          <w:color w:val="auto"/>
          <w:sz w:val="32"/>
          <w:szCs w:val="32"/>
          <w:highlight w:val="none"/>
          <w:lang w:eastAsia="zh-CN"/>
        </w:rPr>
        <w:t>招商引资活动经费、</w:t>
      </w:r>
      <w:r>
        <w:rPr>
          <w:rFonts w:hint="default" w:ascii="Times New Roman" w:hAnsi="Times New Roman" w:eastAsia="仿宋_GB2312" w:cs="Times New Roman"/>
          <w:sz w:val="32"/>
          <w:szCs w:val="32"/>
          <w:lang w:val="en-US" w:eastAsia="zh-CN"/>
        </w:rPr>
        <w:t>机关运转项目经费、维修维护费</w:t>
      </w:r>
      <w:r>
        <w:rPr>
          <w:rFonts w:hint="default" w:ascii="Times New Roman" w:hAnsi="Times New Roman" w:eastAsia="仿宋_GB2312" w:cs="Times New Roman"/>
          <w:color w:val="auto"/>
          <w:kern w:val="2"/>
          <w:sz w:val="32"/>
          <w:szCs w:val="32"/>
          <w:highlight w:val="none"/>
          <w:lang w:val="en-US" w:eastAsia="zh-CN" w:bidi="ar-SA"/>
        </w:rPr>
        <w:t>等3个项目开展了预算事前绩效评估，对3个项目编制了绩效目标，预算执行过程中，选取3个项目开展绩效监控。</w:t>
      </w:r>
    </w:p>
    <w:p w14:paraId="453723B7">
      <w:pPr>
        <w:pageBreakBefore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组织对2024年度</w:t>
      </w:r>
      <w:r>
        <w:rPr>
          <w:rFonts w:hint="default" w:ascii="Times New Roman" w:hAnsi="Times New Roman" w:eastAsia="仿宋_GB2312" w:cs="Times New Roman"/>
          <w:color w:val="auto"/>
          <w:sz w:val="32"/>
          <w:szCs w:val="32"/>
          <w:highlight w:val="none"/>
          <w:lang w:val="en-US" w:eastAsia="zh-CN"/>
        </w:rPr>
        <w:t>一般公共预算、</w:t>
      </w:r>
      <w:r>
        <w:rPr>
          <w:rFonts w:hint="default" w:ascii="Times New Roman" w:hAnsi="Times New Roman" w:eastAsia="仿宋_GB2312" w:cs="Times New Roman"/>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color w:val="auto"/>
          <w:sz w:val="32"/>
          <w:szCs w:val="32"/>
          <w:highlight w:val="none"/>
          <w:lang w:val="en-US" w:eastAsia="zh-CN"/>
        </w:rPr>
        <w:t>全面开展绩效自评，形成本</w:t>
      </w:r>
      <w:r>
        <w:rPr>
          <w:rFonts w:hint="default" w:ascii="Times New Roman" w:hAnsi="Times New Roman" w:eastAsia="仿宋_GB2312" w:cs="Times New Roman"/>
          <w:color w:val="auto"/>
          <w:sz w:val="32"/>
          <w:szCs w:val="32"/>
          <w:highlight w:val="none"/>
          <w:lang w:eastAsia="zh-CN"/>
        </w:rPr>
        <w:t>部门整体（含部门预算项目）</w:t>
      </w:r>
      <w:r>
        <w:rPr>
          <w:rFonts w:hint="default" w:ascii="Times New Roman" w:hAnsi="Times New Roman" w:eastAsia="仿宋_GB2312" w:cs="Times New Roman"/>
          <w:color w:val="auto"/>
          <w:sz w:val="32"/>
          <w:szCs w:val="32"/>
          <w:highlight w:val="none"/>
          <w:lang w:val="en-US" w:eastAsia="zh-CN"/>
        </w:rPr>
        <w:t>绩效自评报告，其中，本部门整体</w:t>
      </w:r>
      <w:r>
        <w:rPr>
          <w:rFonts w:hint="default" w:ascii="Times New Roman" w:hAnsi="Times New Roman" w:eastAsia="仿宋_GB2312" w:cs="Times New Roman"/>
          <w:color w:val="auto"/>
          <w:sz w:val="32"/>
          <w:szCs w:val="32"/>
          <w:highlight w:val="none"/>
          <w:lang w:eastAsia="zh-CN"/>
        </w:rPr>
        <w:t>（含部门预算项目）</w:t>
      </w:r>
      <w:r>
        <w:rPr>
          <w:rFonts w:hint="default" w:ascii="Times New Roman" w:hAnsi="Times New Roman" w:eastAsia="仿宋_GB2312" w:cs="Times New Roman"/>
          <w:color w:val="auto"/>
          <w:sz w:val="32"/>
          <w:szCs w:val="32"/>
          <w:highlight w:val="none"/>
          <w:lang w:val="en-US" w:eastAsia="zh-CN"/>
        </w:rPr>
        <w:t>绩效自评得分为100分，绩效自评综述：</w:t>
      </w:r>
      <w:r>
        <w:rPr>
          <w:rFonts w:hint="default" w:ascii="Times New Roman" w:hAnsi="Times New Roman" w:eastAsia="仿宋_GB2312" w:cs="Times New Roman"/>
          <w:b w:val="0"/>
          <w:bCs w:val="0"/>
          <w:sz w:val="32"/>
          <w:szCs w:val="32"/>
        </w:rPr>
        <w:t>圆满完成了市委、市政府赋予的各项工作任务</w:t>
      </w:r>
      <w:r>
        <w:rPr>
          <w:rFonts w:hint="default" w:ascii="Times New Roman" w:hAnsi="Times New Roman" w:eastAsia="仿宋_GB2312" w:cs="Times New Roman"/>
          <w:color w:val="auto"/>
          <w:sz w:val="32"/>
          <w:szCs w:val="32"/>
          <w:highlight w:val="none"/>
          <w:lang w:val="en-US" w:eastAsia="zh-CN"/>
        </w:rPr>
        <w:t>，为攀枝花在蓉的政务活动保驾护航。绩效自评报告详见附件</w:t>
      </w:r>
      <w:r>
        <w:rPr>
          <w:rFonts w:hint="default" w:ascii="Times New Roman" w:hAnsi="Times New Roman" w:eastAsia="仿宋_GB2312" w:cs="Times New Roman"/>
          <w:sz w:val="32"/>
          <w:szCs w:val="32"/>
        </w:rPr>
        <w:t>（第四部分）</w:t>
      </w:r>
      <w:r>
        <w:rPr>
          <w:rFonts w:hint="default" w:ascii="Times New Roman" w:hAnsi="Times New Roman" w:eastAsia="仿宋_GB2312" w:cs="Times New Roman"/>
          <w:color w:val="auto"/>
          <w:sz w:val="32"/>
          <w:szCs w:val="32"/>
          <w:highlight w:val="none"/>
          <w:lang w:val="en-US" w:eastAsia="zh-CN"/>
        </w:rPr>
        <w:t>。</w:t>
      </w:r>
    </w:p>
    <w:p w14:paraId="4360612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54DE0FDE">
      <w:pPr>
        <w:pStyle w:val="8"/>
        <w:rPr>
          <w:rFonts w:hint="default" w:ascii="Times New Roman" w:hAnsi="Times New Roman" w:eastAsia="仿宋_GB2312" w:cs="Times New Roman"/>
          <w:color w:val="auto"/>
          <w:kern w:val="2"/>
          <w:sz w:val="32"/>
          <w:szCs w:val="32"/>
          <w:highlight w:val="none"/>
          <w:lang w:val="en-US" w:eastAsia="zh-CN" w:bidi="ar-SA"/>
        </w:rPr>
      </w:pPr>
    </w:p>
    <w:p w14:paraId="1330B3A2">
      <w:pPr>
        <w:pStyle w:val="8"/>
        <w:rPr>
          <w:rFonts w:hint="default" w:ascii="Times New Roman" w:hAnsi="Times New Roman" w:eastAsia="仿宋_GB2312" w:cs="Times New Roman"/>
          <w:color w:val="auto"/>
          <w:kern w:val="2"/>
          <w:sz w:val="32"/>
          <w:szCs w:val="32"/>
          <w:highlight w:val="none"/>
          <w:lang w:val="en-US" w:eastAsia="zh-CN" w:bidi="ar-SA"/>
        </w:rPr>
      </w:pPr>
    </w:p>
    <w:p w14:paraId="10F7BC21">
      <w:pPr>
        <w:pStyle w:val="8"/>
        <w:rPr>
          <w:rFonts w:hint="default" w:ascii="Times New Roman" w:hAnsi="Times New Roman" w:eastAsia="仿宋_GB2312" w:cs="Times New Roman"/>
          <w:color w:val="auto"/>
          <w:kern w:val="2"/>
          <w:sz w:val="32"/>
          <w:szCs w:val="32"/>
          <w:highlight w:val="none"/>
          <w:lang w:val="en-US" w:eastAsia="zh-CN" w:bidi="ar-SA"/>
        </w:rPr>
      </w:pPr>
    </w:p>
    <w:p w14:paraId="28D96E84">
      <w:pPr>
        <w:pStyle w:val="8"/>
        <w:rPr>
          <w:rFonts w:hint="default" w:ascii="Times New Roman" w:hAnsi="Times New Roman" w:eastAsia="仿宋_GB2312" w:cs="Times New Roman"/>
          <w:color w:val="auto"/>
          <w:kern w:val="2"/>
          <w:sz w:val="32"/>
          <w:szCs w:val="32"/>
          <w:highlight w:val="none"/>
          <w:lang w:val="en-US" w:eastAsia="zh-CN" w:bidi="ar-SA"/>
        </w:rPr>
      </w:pPr>
    </w:p>
    <w:p w14:paraId="67FF2644">
      <w:pPr>
        <w:numPr>
          <w:ilvl w:val="0"/>
          <w:numId w:val="0"/>
        </w:numPr>
        <w:spacing w:line="600" w:lineRule="exact"/>
        <w:jc w:val="both"/>
        <w:outlineLvl w:val="0"/>
        <w:rPr>
          <w:rFonts w:hint="default" w:ascii="Times New Roman" w:hAnsi="Times New Roman" w:eastAsia="黑体" w:cs="Times New Roman"/>
          <w:color w:val="auto"/>
          <w:sz w:val="44"/>
          <w:szCs w:val="44"/>
          <w:highlight w:val="none"/>
        </w:rPr>
      </w:pPr>
      <w:bookmarkStart w:id="49" w:name="_Toc15377225"/>
      <w:bookmarkStart w:id="50" w:name="_Toc15396613"/>
    </w:p>
    <w:p w14:paraId="59328AC7">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49"/>
      <w:bookmarkEnd w:id="50"/>
    </w:p>
    <w:p w14:paraId="5E39D925">
      <w:pPr>
        <w:spacing w:line="600" w:lineRule="exact"/>
        <w:jc w:val="left"/>
        <w:rPr>
          <w:rFonts w:hint="default" w:ascii="Times New Roman" w:hAnsi="Times New Roman" w:cs="Times New Roman"/>
          <w:b/>
          <w:color w:val="auto"/>
          <w:sz w:val="44"/>
          <w:szCs w:val="44"/>
          <w:highlight w:val="none"/>
        </w:rPr>
      </w:pPr>
    </w:p>
    <w:p w14:paraId="743FF59B">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bookmarkStart w:id="51" w:name="_Toc15396614"/>
      <w:bookmarkStart w:id="52" w:name="_Toc15377226"/>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财政拨款收入：指单位从同级财政部门取得的财政预算资金。</w:t>
      </w:r>
    </w:p>
    <w:p w14:paraId="4978BC09">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年初结转和结余：指以前年度尚未完成、结转到本年按有关规定继续使用的资金。 </w:t>
      </w:r>
    </w:p>
    <w:p w14:paraId="128DEF56">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年末结转和结余：指单位按有关规定结转到下年或以后年度继续使用的资金。</w:t>
      </w:r>
    </w:p>
    <w:p w14:paraId="62F7503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一般公共服务（类）政府办公厅（室）及相关机构事务（款）行政运行（项）：指反映行政单位（包括实行公务员管理的事业单位）的基本支出。</w:t>
      </w:r>
    </w:p>
    <w:p w14:paraId="7FB1EF5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一般公共服务（类）政府办公厅（室）及相关机构事务（款）一般行政管理事务（项）：指反映行政单位（包括实行公务员管理的事业单位）未单独设置项级科目的其他项目支出。</w:t>
      </w:r>
    </w:p>
    <w:p w14:paraId="38D1A4FE">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000000"/>
          <w:sz w:val="32"/>
          <w:szCs w:val="32"/>
        </w:rPr>
        <w:t>一般公共服务（类）政府办公厅（室）及相关机构事务（款）</w:t>
      </w:r>
      <w:r>
        <w:rPr>
          <w:rFonts w:hint="default" w:ascii="Times New Roman" w:hAnsi="Times New Roman" w:eastAsia="仿宋_GB2312" w:cs="Times New Roman"/>
          <w:color w:val="000000"/>
          <w:sz w:val="32"/>
          <w:szCs w:val="32"/>
          <w:lang w:eastAsia="zh-CN"/>
        </w:rPr>
        <w:t>专项业务及机关事务管理</w:t>
      </w:r>
      <w:r>
        <w:rPr>
          <w:rFonts w:hint="default" w:ascii="Times New Roman" w:hAnsi="Times New Roman" w:eastAsia="仿宋_GB2312" w:cs="Times New Roman"/>
          <w:color w:val="000000"/>
          <w:sz w:val="32"/>
          <w:szCs w:val="32"/>
        </w:rPr>
        <w:t>（项）：指反映</w:t>
      </w:r>
      <w:r>
        <w:rPr>
          <w:rFonts w:hint="default" w:ascii="Times New Roman" w:hAnsi="Times New Roman" w:eastAsia="仿宋_GB2312" w:cs="Times New Roman"/>
          <w:color w:val="000000"/>
          <w:sz w:val="32"/>
          <w:szCs w:val="32"/>
          <w:lang w:eastAsia="zh-CN"/>
        </w:rPr>
        <w:t>各级政府举行各类重大活动、召开重要会议（如国务院一类会议、国庆招待会、全国劳模大会）的支出，政府机关房地产管理、公务用车管理等方面的支出。</w:t>
      </w:r>
    </w:p>
    <w:p w14:paraId="5E59D5D2">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一般公共服务（类）政府办公厅（室）及相关机构事务（款）</w:t>
      </w:r>
      <w:r>
        <w:rPr>
          <w:rFonts w:hint="default" w:ascii="Times New Roman" w:hAnsi="Times New Roman" w:eastAsia="仿宋_GB2312" w:cs="Times New Roman"/>
          <w:color w:val="000000"/>
          <w:sz w:val="32"/>
          <w:szCs w:val="32"/>
          <w:lang w:eastAsia="zh-CN"/>
        </w:rPr>
        <w:t>事业</w:t>
      </w:r>
      <w:r>
        <w:rPr>
          <w:rFonts w:hint="default" w:ascii="Times New Roman" w:hAnsi="Times New Roman" w:eastAsia="仿宋_GB2312" w:cs="Times New Roman"/>
          <w:color w:val="000000"/>
          <w:sz w:val="32"/>
          <w:szCs w:val="32"/>
        </w:rPr>
        <w:t>运行（项）：指反映</w:t>
      </w:r>
      <w:r>
        <w:rPr>
          <w:rFonts w:hint="default" w:ascii="Times New Roman" w:hAnsi="Times New Roman" w:eastAsia="仿宋_GB2312" w:cs="Times New Roman"/>
          <w:color w:val="000000"/>
          <w:sz w:val="32"/>
          <w:szCs w:val="32"/>
          <w:lang w:eastAsia="zh-CN"/>
        </w:rPr>
        <w:t>事业单位的基本支出，不包括</w:t>
      </w:r>
      <w:r>
        <w:rPr>
          <w:rFonts w:hint="default" w:ascii="Times New Roman" w:hAnsi="Times New Roman" w:eastAsia="仿宋_GB2312" w:cs="Times New Roman"/>
          <w:color w:val="000000"/>
          <w:sz w:val="32"/>
          <w:szCs w:val="32"/>
        </w:rPr>
        <w:t>行政单位（包括实行公务员管理的事业单位）</w:t>
      </w:r>
      <w:r>
        <w:rPr>
          <w:rFonts w:hint="default" w:ascii="Times New Roman" w:hAnsi="Times New Roman" w:eastAsia="仿宋_GB2312" w:cs="Times New Roman"/>
          <w:color w:val="000000"/>
          <w:sz w:val="32"/>
          <w:szCs w:val="32"/>
          <w:lang w:eastAsia="zh-CN"/>
        </w:rPr>
        <w:t>后勤服务中心、医务室等附属事业单位。</w:t>
      </w:r>
    </w:p>
    <w:p w14:paraId="57FC26C6">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社会保障和就业（类）行政事业单位</w:t>
      </w:r>
      <w:r>
        <w:rPr>
          <w:rFonts w:hint="default" w:ascii="Times New Roman" w:hAnsi="Times New Roman" w:eastAsia="仿宋_GB2312" w:cs="Times New Roman"/>
          <w:color w:val="000000"/>
          <w:sz w:val="32"/>
          <w:szCs w:val="32"/>
          <w:lang w:eastAsia="zh-CN"/>
        </w:rPr>
        <w:t>养老支出</w:t>
      </w:r>
      <w:r>
        <w:rPr>
          <w:rFonts w:hint="default" w:ascii="Times New Roman" w:hAnsi="Times New Roman" w:eastAsia="仿宋_GB2312" w:cs="Times New Roman"/>
          <w:color w:val="000000"/>
          <w:sz w:val="32"/>
          <w:szCs w:val="32"/>
        </w:rPr>
        <w:t>（款）行政单位离退休（项）：指反映行政单位（包括实行公务员管理的事业单位）开支的离退休</w:t>
      </w:r>
      <w:r>
        <w:rPr>
          <w:rFonts w:hint="default" w:ascii="Times New Roman" w:hAnsi="Times New Roman" w:eastAsia="仿宋_GB2312" w:cs="Times New Roman"/>
          <w:color w:val="000000"/>
          <w:sz w:val="32"/>
          <w:szCs w:val="32"/>
          <w:lang w:eastAsia="zh-CN"/>
        </w:rPr>
        <w:t>经费</w:t>
      </w:r>
      <w:r>
        <w:rPr>
          <w:rFonts w:hint="default" w:ascii="Times New Roman" w:hAnsi="Times New Roman" w:eastAsia="仿宋_GB2312" w:cs="Times New Roman"/>
          <w:color w:val="000000"/>
          <w:sz w:val="32"/>
          <w:szCs w:val="32"/>
        </w:rPr>
        <w:t>。</w:t>
      </w:r>
    </w:p>
    <w:p w14:paraId="362B4C65">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社会保障和就业（类）行政事业单位</w:t>
      </w:r>
      <w:r>
        <w:rPr>
          <w:rFonts w:hint="default" w:ascii="Times New Roman" w:hAnsi="Times New Roman" w:eastAsia="仿宋_GB2312" w:cs="Times New Roman"/>
          <w:color w:val="000000"/>
          <w:sz w:val="32"/>
          <w:szCs w:val="32"/>
          <w:lang w:eastAsia="zh-CN"/>
        </w:rPr>
        <w:t>养老支出</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lang w:eastAsia="zh-CN"/>
        </w:rPr>
        <w:t>事业</w:t>
      </w:r>
      <w:r>
        <w:rPr>
          <w:rFonts w:hint="default" w:ascii="Times New Roman" w:hAnsi="Times New Roman" w:eastAsia="仿宋_GB2312" w:cs="Times New Roman"/>
          <w:color w:val="000000"/>
          <w:sz w:val="32"/>
          <w:szCs w:val="32"/>
        </w:rPr>
        <w:t>单位离退休（项）：指反映</w:t>
      </w:r>
      <w:r>
        <w:rPr>
          <w:rFonts w:hint="default" w:ascii="Times New Roman" w:hAnsi="Times New Roman" w:eastAsia="仿宋_GB2312" w:cs="Times New Roman"/>
          <w:color w:val="000000"/>
          <w:sz w:val="32"/>
          <w:szCs w:val="32"/>
          <w:lang w:eastAsia="zh-CN"/>
        </w:rPr>
        <w:t>事业</w:t>
      </w:r>
      <w:r>
        <w:rPr>
          <w:rFonts w:hint="default" w:ascii="Times New Roman" w:hAnsi="Times New Roman" w:eastAsia="仿宋_GB2312" w:cs="Times New Roman"/>
          <w:color w:val="000000"/>
          <w:sz w:val="32"/>
          <w:szCs w:val="32"/>
        </w:rPr>
        <w:t>单位开支的离退休</w:t>
      </w:r>
      <w:r>
        <w:rPr>
          <w:rFonts w:hint="default" w:ascii="Times New Roman" w:hAnsi="Times New Roman" w:eastAsia="仿宋_GB2312" w:cs="Times New Roman"/>
          <w:color w:val="000000"/>
          <w:sz w:val="32"/>
          <w:szCs w:val="32"/>
          <w:lang w:eastAsia="zh-CN"/>
        </w:rPr>
        <w:t>经费。</w:t>
      </w:r>
    </w:p>
    <w:p w14:paraId="6E6BE0C1">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sz w:val="32"/>
          <w:szCs w:val="32"/>
        </w:rPr>
        <w:t>社会保障和就业（类）行政事业单位</w:t>
      </w:r>
      <w:r>
        <w:rPr>
          <w:rFonts w:hint="default" w:ascii="Times New Roman" w:hAnsi="Times New Roman" w:eastAsia="仿宋_GB2312" w:cs="Times New Roman"/>
          <w:color w:val="000000"/>
          <w:sz w:val="32"/>
          <w:szCs w:val="32"/>
          <w:lang w:eastAsia="zh-CN"/>
        </w:rPr>
        <w:t>养老支出</w:t>
      </w:r>
      <w:r>
        <w:rPr>
          <w:rFonts w:hint="default" w:ascii="Times New Roman" w:hAnsi="Times New Roman" w:eastAsia="仿宋_GB2312" w:cs="Times New Roman"/>
          <w:color w:val="000000"/>
          <w:sz w:val="32"/>
          <w:szCs w:val="32"/>
        </w:rPr>
        <w:t>（款）机关事业单位基本养老保险缴费支出（项）：指反映机关事业单位实施养老保险制度由单位缴纳的基本养老保险费支出。</w:t>
      </w:r>
    </w:p>
    <w:p w14:paraId="29DD9EF4">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11.</w:t>
      </w:r>
      <w:r>
        <w:rPr>
          <w:rStyle w:val="19"/>
          <w:rFonts w:hint="default" w:ascii="Times New Roman" w:hAnsi="Times New Roman" w:eastAsia="仿宋_GB2312" w:cs="Times New Roman"/>
          <w:b w:val="0"/>
          <w:bCs/>
          <w:color w:val="000000"/>
          <w:sz w:val="32"/>
          <w:szCs w:val="32"/>
        </w:rPr>
        <w:t>社会保障和就业（类）抚恤（款）死亡抚恤（项）</w:t>
      </w:r>
      <w:r>
        <w:rPr>
          <w:rStyle w:val="19"/>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color w:val="000000"/>
          <w:sz w:val="32"/>
          <w:szCs w:val="32"/>
        </w:rPr>
        <w:t>指反映</w:t>
      </w:r>
      <w:r>
        <w:rPr>
          <w:rFonts w:hint="default" w:ascii="Times New Roman" w:hAnsi="Times New Roman" w:eastAsia="仿宋_GB2312" w:cs="Times New Roman"/>
          <w:color w:val="000000"/>
          <w:sz w:val="32"/>
          <w:szCs w:val="32"/>
          <w:lang w:eastAsia="zh-CN"/>
        </w:rPr>
        <w:t>按规定用于烈士和牺牲、病故人员家属的</w:t>
      </w:r>
      <w:r>
        <w:rPr>
          <w:rFonts w:hint="default" w:ascii="Times New Roman" w:hAnsi="Times New Roman" w:eastAsia="仿宋_GB2312" w:cs="Times New Roman"/>
          <w:color w:val="000000"/>
          <w:sz w:val="32"/>
          <w:szCs w:val="32"/>
        </w:rPr>
        <w:t>一次性</w:t>
      </w:r>
      <w:r>
        <w:rPr>
          <w:rFonts w:hint="default" w:ascii="Times New Roman" w:hAnsi="Times New Roman" w:eastAsia="仿宋_GB2312" w:cs="Times New Roman"/>
          <w:color w:val="000000"/>
          <w:sz w:val="32"/>
          <w:szCs w:val="32"/>
          <w:lang w:eastAsia="zh-CN"/>
        </w:rPr>
        <w:t>和定期</w:t>
      </w:r>
      <w:r>
        <w:rPr>
          <w:rFonts w:hint="default" w:ascii="Times New Roman" w:hAnsi="Times New Roman" w:eastAsia="仿宋_GB2312" w:cs="Times New Roman"/>
          <w:color w:val="000000"/>
          <w:sz w:val="32"/>
          <w:szCs w:val="32"/>
        </w:rPr>
        <w:t>抚恤金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丧葬</w:t>
      </w:r>
      <w:r>
        <w:rPr>
          <w:rFonts w:hint="default" w:ascii="Times New Roman" w:hAnsi="Times New Roman" w:eastAsia="仿宋_GB2312" w:cs="Times New Roman"/>
          <w:color w:val="000000"/>
          <w:sz w:val="32"/>
          <w:szCs w:val="32"/>
          <w:lang w:eastAsia="zh-CN"/>
        </w:rPr>
        <w:t>补助费以及烈士褒扬金</w:t>
      </w:r>
      <w:r>
        <w:rPr>
          <w:rFonts w:hint="default" w:ascii="Times New Roman" w:hAnsi="Times New Roman" w:eastAsia="仿宋_GB2312" w:cs="Times New Roman"/>
          <w:color w:val="000000"/>
          <w:sz w:val="32"/>
          <w:szCs w:val="32"/>
        </w:rPr>
        <w:t>。</w:t>
      </w:r>
    </w:p>
    <w:p w14:paraId="7483396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w:t>
      </w:r>
      <w:r>
        <w:rPr>
          <w:rStyle w:val="19"/>
          <w:rFonts w:hint="default" w:ascii="Times New Roman" w:hAnsi="Times New Roman" w:eastAsia="仿宋_GB2312" w:cs="Times New Roman"/>
          <w:b w:val="0"/>
          <w:bCs/>
          <w:color w:val="000000"/>
          <w:sz w:val="32"/>
          <w:szCs w:val="32"/>
        </w:rPr>
        <w:t>社会保障和就业（类）其他社会保障和就业支出（款）其他社会保障和就业支出（项）</w:t>
      </w:r>
      <w:r>
        <w:rPr>
          <w:rStyle w:val="19"/>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color w:val="000000"/>
          <w:sz w:val="32"/>
          <w:szCs w:val="32"/>
        </w:rPr>
        <w:t>指反映</w:t>
      </w:r>
      <w:r>
        <w:rPr>
          <w:rFonts w:hint="default" w:ascii="Times New Roman" w:hAnsi="Times New Roman" w:eastAsia="仿宋_GB2312" w:cs="Times New Roman"/>
          <w:color w:val="000000"/>
          <w:sz w:val="32"/>
          <w:szCs w:val="32"/>
          <w:lang w:eastAsia="zh-CN"/>
        </w:rPr>
        <w:t>除上述项目以外其他用于社会保障和就业方面的支出</w:t>
      </w:r>
      <w:r>
        <w:rPr>
          <w:rFonts w:hint="default" w:ascii="Times New Roman" w:hAnsi="Times New Roman" w:eastAsia="仿宋_GB2312" w:cs="Times New Roman"/>
          <w:color w:val="auto"/>
          <w:sz w:val="32"/>
          <w:szCs w:val="32"/>
          <w:highlight w:val="none"/>
        </w:rPr>
        <w:t>。</w:t>
      </w:r>
    </w:p>
    <w:p w14:paraId="5ADD8F6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（类）行政事业单位医疗（款）行政单位医疗（项）：指</w:t>
      </w:r>
      <w:r>
        <w:rPr>
          <w:rFonts w:hint="default" w:ascii="Times New Roman" w:hAnsi="Times New Roman" w:eastAsia="仿宋_GB2312" w:cs="Times New Roman"/>
          <w:color w:val="000000"/>
          <w:sz w:val="32"/>
          <w:szCs w:val="32"/>
        </w:rPr>
        <w:t>反映</w:t>
      </w:r>
      <w:r>
        <w:rPr>
          <w:rFonts w:hint="default" w:ascii="Times New Roman" w:hAnsi="Times New Roman" w:eastAsia="仿宋_GB2312" w:cs="Times New Roman"/>
          <w:color w:val="000000"/>
          <w:sz w:val="32"/>
          <w:szCs w:val="32"/>
          <w:lang w:eastAsia="zh-CN"/>
        </w:rPr>
        <w:t>财政部门安排的行政单位</w:t>
      </w:r>
      <w:r>
        <w:rPr>
          <w:rFonts w:hint="default" w:ascii="Times New Roman" w:hAnsi="Times New Roman" w:eastAsia="仿宋_GB2312" w:cs="Times New Roman"/>
          <w:color w:val="000000"/>
          <w:sz w:val="32"/>
          <w:szCs w:val="32"/>
        </w:rPr>
        <w:t>包括实行公务员管理的事业单位）</w:t>
      </w:r>
      <w:r>
        <w:rPr>
          <w:rFonts w:hint="default" w:ascii="Times New Roman" w:hAnsi="Times New Roman" w:eastAsia="仿宋_GB2312" w:cs="Times New Roman"/>
          <w:color w:val="000000"/>
          <w:sz w:val="32"/>
          <w:szCs w:val="32"/>
          <w:lang w:eastAsia="zh-CN"/>
        </w:rPr>
        <w:t>基本医疗保险缴费经费，未参加医疗保险的行政单位的公费医疗经费，按国家规定享受离休人员、红军老战士待遇人员的医疗经费</w:t>
      </w:r>
      <w:r>
        <w:rPr>
          <w:rFonts w:hint="default" w:ascii="Times New Roman" w:hAnsi="Times New Roman" w:eastAsia="仿宋_GB2312" w:cs="Times New Roman"/>
          <w:color w:val="auto"/>
          <w:sz w:val="32"/>
          <w:szCs w:val="32"/>
          <w:highlight w:val="none"/>
        </w:rPr>
        <w:t>。</w:t>
      </w:r>
    </w:p>
    <w:p w14:paraId="492FE0F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（类）行政事业单位医疗（款）</w:t>
      </w:r>
      <w:r>
        <w:rPr>
          <w:rFonts w:hint="default" w:ascii="Times New Roman" w:hAnsi="Times New Roman" w:eastAsia="仿宋_GB2312" w:cs="Times New Roman"/>
          <w:color w:val="auto"/>
          <w:sz w:val="32"/>
          <w:szCs w:val="32"/>
          <w:highlight w:val="none"/>
          <w:lang w:eastAsia="zh-CN"/>
        </w:rPr>
        <w:t>事业</w:t>
      </w:r>
      <w:r>
        <w:rPr>
          <w:rFonts w:hint="default" w:ascii="Times New Roman" w:hAnsi="Times New Roman" w:eastAsia="仿宋_GB2312" w:cs="Times New Roman"/>
          <w:color w:val="auto"/>
          <w:sz w:val="32"/>
          <w:szCs w:val="32"/>
          <w:highlight w:val="none"/>
        </w:rPr>
        <w:t>单位医疗（项）：指</w:t>
      </w:r>
      <w:r>
        <w:rPr>
          <w:rFonts w:hint="default" w:ascii="Times New Roman" w:hAnsi="Times New Roman" w:eastAsia="仿宋_GB2312" w:cs="Times New Roman"/>
          <w:color w:val="000000"/>
          <w:sz w:val="32"/>
          <w:szCs w:val="32"/>
        </w:rPr>
        <w:t>反映</w:t>
      </w:r>
      <w:r>
        <w:rPr>
          <w:rFonts w:hint="default" w:ascii="Times New Roman" w:hAnsi="Times New Roman" w:eastAsia="仿宋_GB2312" w:cs="Times New Roman"/>
          <w:color w:val="000000"/>
          <w:sz w:val="32"/>
          <w:szCs w:val="32"/>
          <w:lang w:eastAsia="zh-CN"/>
        </w:rPr>
        <w:t>财政部门安排的事业单位基本医疗保险缴费经费，未参加医疗保险的事业单位的公费医疗经费，按国家规定享受离休人员待遇的医疗经费。</w:t>
      </w:r>
    </w:p>
    <w:p w14:paraId="1F8DD5F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（类）行政事业单位医疗（款）公务员医疗补助（项）：指</w:t>
      </w:r>
      <w:r>
        <w:rPr>
          <w:rFonts w:hint="default" w:ascii="Times New Roman" w:hAnsi="Times New Roman" w:eastAsia="仿宋_GB2312" w:cs="Times New Roman"/>
          <w:color w:val="000000"/>
          <w:sz w:val="32"/>
          <w:szCs w:val="32"/>
        </w:rPr>
        <w:t>反映</w:t>
      </w:r>
      <w:r>
        <w:rPr>
          <w:rFonts w:hint="default" w:ascii="Times New Roman" w:hAnsi="Times New Roman" w:eastAsia="仿宋_GB2312" w:cs="Times New Roman"/>
          <w:color w:val="000000"/>
          <w:sz w:val="32"/>
          <w:szCs w:val="32"/>
          <w:lang w:eastAsia="zh-CN"/>
        </w:rPr>
        <w:t>财政部门安排的公务员医疗补助经费</w:t>
      </w:r>
      <w:r>
        <w:rPr>
          <w:rFonts w:hint="default" w:ascii="Times New Roman" w:hAnsi="Times New Roman" w:eastAsia="仿宋_GB2312" w:cs="Times New Roman"/>
          <w:color w:val="auto"/>
          <w:sz w:val="32"/>
          <w:szCs w:val="32"/>
          <w:highlight w:val="none"/>
        </w:rPr>
        <w:t>。</w:t>
      </w:r>
    </w:p>
    <w:p w14:paraId="13A13DE7">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（类）行政事业单位医疗（款）其他行政事业单位医疗支出（项）：指</w:t>
      </w:r>
      <w:r>
        <w:rPr>
          <w:rFonts w:hint="default" w:ascii="Times New Roman" w:hAnsi="Times New Roman" w:eastAsia="仿宋_GB2312" w:cs="Times New Roman"/>
          <w:color w:val="000000"/>
          <w:sz w:val="32"/>
          <w:szCs w:val="32"/>
        </w:rPr>
        <w:t>反映</w:t>
      </w:r>
      <w:r>
        <w:rPr>
          <w:rFonts w:hint="default" w:ascii="Times New Roman" w:hAnsi="Times New Roman" w:eastAsia="仿宋_GB2312" w:cs="Times New Roman"/>
          <w:color w:val="000000"/>
          <w:sz w:val="32"/>
          <w:szCs w:val="32"/>
          <w:lang w:eastAsia="zh-CN"/>
        </w:rPr>
        <w:t>除上述项目以外的其他用于行政事业单位医疗方面的支出</w:t>
      </w:r>
      <w:r>
        <w:rPr>
          <w:rFonts w:hint="default" w:ascii="Times New Roman" w:hAnsi="Times New Roman" w:eastAsia="仿宋_GB2312" w:cs="Times New Roman"/>
          <w:color w:val="auto"/>
          <w:sz w:val="32"/>
          <w:szCs w:val="32"/>
          <w:highlight w:val="none"/>
        </w:rPr>
        <w:t>。</w:t>
      </w:r>
    </w:p>
    <w:p w14:paraId="297930F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（类）其他卫生健康支出（款）其他卫生健康支出（项）：指</w:t>
      </w:r>
      <w:r>
        <w:rPr>
          <w:rFonts w:hint="default" w:ascii="Times New Roman" w:hAnsi="Times New Roman" w:eastAsia="仿宋_GB2312" w:cs="Times New Roman"/>
          <w:color w:val="000000"/>
          <w:sz w:val="32"/>
          <w:szCs w:val="32"/>
        </w:rPr>
        <w:t>反映</w:t>
      </w:r>
      <w:r>
        <w:rPr>
          <w:rFonts w:hint="default" w:ascii="Times New Roman" w:hAnsi="Times New Roman" w:eastAsia="仿宋_GB2312" w:cs="Times New Roman"/>
          <w:color w:val="000000"/>
          <w:sz w:val="32"/>
          <w:szCs w:val="32"/>
          <w:lang w:eastAsia="zh-CN"/>
        </w:rPr>
        <w:t>除上述项目以外其他用于卫生健康方面的支出</w:t>
      </w:r>
      <w:r>
        <w:rPr>
          <w:rFonts w:hint="default" w:ascii="Times New Roman" w:hAnsi="Times New Roman" w:eastAsia="仿宋_GB2312" w:cs="Times New Roman"/>
          <w:color w:val="auto"/>
          <w:sz w:val="32"/>
          <w:szCs w:val="32"/>
          <w:highlight w:val="none"/>
        </w:rPr>
        <w:t>。</w:t>
      </w:r>
    </w:p>
    <w:p w14:paraId="2506754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sz w:val="32"/>
          <w:szCs w:val="32"/>
        </w:rPr>
        <w:t>住房保障支出（类）</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住房改革支出（款）</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住房公积金（项）：指反映行政事业单位按人力资源和社会保障部、财政部规定的基本工资和津贴补贴以及规定比例为职工缴纳的住房公积金。</w:t>
      </w:r>
    </w:p>
    <w:p w14:paraId="64038725">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14:paraId="0F7638B2">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14:paraId="3E84D0F7">
      <w:pPr>
        <w:pStyle w:val="2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4374DC4">
      <w:pPr>
        <w:pStyle w:val="2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C932D8">
      <w:pPr>
        <w:spacing w:line="600" w:lineRule="exact"/>
        <w:jc w:val="center"/>
        <w:rPr>
          <w:rFonts w:hint="default" w:ascii="Times New Roman" w:hAnsi="Times New Roman" w:eastAsia="黑体" w:cs="Times New Roman"/>
          <w:color w:val="auto"/>
          <w:sz w:val="44"/>
          <w:szCs w:val="44"/>
          <w:highlight w:val="none"/>
        </w:rPr>
      </w:pPr>
    </w:p>
    <w:p w14:paraId="369E1486">
      <w:pPr>
        <w:spacing w:line="600" w:lineRule="exact"/>
        <w:jc w:val="center"/>
        <w:rPr>
          <w:rFonts w:hint="default" w:ascii="Times New Roman" w:hAnsi="Times New Roman" w:eastAsia="黑体" w:cs="Times New Roman"/>
          <w:color w:val="auto"/>
          <w:sz w:val="44"/>
          <w:szCs w:val="44"/>
          <w:highlight w:val="none"/>
        </w:rPr>
      </w:pPr>
    </w:p>
    <w:p w14:paraId="65EAE06A">
      <w:pPr>
        <w:spacing w:line="600" w:lineRule="exact"/>
        <w:jc w:val="center"/>
        <w:rPr>
          <w:rFonts w:hint="default" w:ascii="Times New Roman" w:hAnsi="Times New Roman" w:eastAsia="黑体" w:cs="Times New Roman"/>
          <w:color w:val="auto"/>
          <w:sz w:val="44"/>
          <w:szCs w:val="44"/>
          <w:highlight w:val="none"/>
        </w:rPr>
      </w:pPr>
    </w:p>
    <w:p w14:paraId="458931F7">
      <w:pPr>
        <w:spacing w:line="600" w:lineRule="exact"/>
        <w:jc w:val="center"/>
        <w:rPr>
          <w:rFonts w:hint="default" w:ascii="Times New Roman" w:hAnsi="Times New Roman" w:eastAsia="黑体" w:cs="Times New Roman"/>
          <w:color w:val="auto"/>
          <w:sz w:val="44"/>
          <w:szCs w:val="44"/>
          <w:highlight w:val="none"/>
        </w:rPr>
      </w:pPr>
    </w:p>
    <w:p w14:paraId="42DE19C2">
      <w:pPr>
        <w:spacing w:line="600" w:lineRule="exact"/>
        <w:jc w:val="center"/>
        <w:rPr>
          <w:rFonts w:hint="default" w:ascii="Times New Roman" w:hAnsi="Times New Roman" w:eastAsia="黑体" w:cs="Times New Roman"/>
          <w:color w:val="auto"/>
          <w:sz w:val="44"/>
          <w:szCs w:val="44"/>
          <w:highlight w:val="none"/>
        </w:rPr>
      </w:pPr>
    </w:p>
    <w:p w14:paraId="1F5AC351">
      <w:pPr>
        <w:spacing w:line="600" w:lineRule="exact"/>
        <w:jc w:val="center"/>
        <w:rPr>
          <w:rFonts w:hint="default" w:ascii="Times New Roman" w:hAnsi="Times New Roman" w:eastAsia="黑体" w:cs="Times New Roman"/>
          <w:color w:val="auto"/>
          <w:sz w:val="44"/>
          <w:szCs w:val="44"/>
          <w:highlight w:val="none"/>
        </w:rPr>
      </w:pPr>
    </w:p>
    <w:p w14:paraId="55CB25AB">
      <w:pPr>
        <w:spacing w:line="600" w:lineRule="exact"/>
        <w:jc w:val="center"/>
        <w:rPr>
          <w:rFonts w:hint="default" w:ascii="Times New Roman" w:hAnsi="Times New Roman" w:eastAsia="黑体" w:cs="Times New Roman"/>
          <w:color w:val="auto"/>
          <w:sz w:val="44"/>
          <w:szCs w:val="44"/>
          <w:highlight w:val="none"/>
        </w:rPr>
      </w:pPr>
    </w:p>
    <w:p w14:paraId="7690EB5B">
      <w:pPr>
        <w:spacing w:line="600" w:lineRule="exact"/>
        <w:jc w:val="center"/>
        <w:rPr>
          <w:rFonts w:hint="default" w:ascii="Times New Roman" w:hAnsi="Times New Roman" w:eastAsia="黑体" w:cs="Times New Roman"/>
          <w:color w:val="auto"/>
          <w:sz w:val="44"/>
          <w:szCs w:val="44"/>
          <w:highlight w:val="none"/>
        </w:rPr>
      </w:pPr>
    </w:p>
    <w:p w14:paraId="21418F05">
      <w:pPr>
        <w:spacing w:line="600" w:lineRule="exact"/>
        <w:jc w:val="center"/>
        <w:rPr>
          <w:rFonts w:hint="default" w:ascii="Times New Roman" w:hAnsi="Times New Roman" w:eastAsia="黑体" w:cs="Times New Roman"/>
          <w:color w:val="auto"/>
          <w:sz w:val="44"/>
          <w:szCs w:val="44"/>
          <w:highlight w:val="none"/>
        </w:rPr>
      </w:pPr>
    </w:p>
    <w:p w14:paraId="0FD68B4A">
      <w:pPr>
        <w:spacing w:line="600" w:lineRule="exact"/>
        <w:jc w:val="center"/>
        <w:rPr>
          <w:rFonts w:hint="default" w:ascii="Times New Roman" w:hAnsi="Times New Roman" w:eastAsia="黑体" w:cs="Times New Roman"/>
          <w:color w:val="auto"/>
          <w:sz w:val="44"/>
          <w:szCs w:val="44"/>
          <w:highlight w:val="none"/>
        </w:rPr>
      </w:pPr>
    </w:p>
    <w:p w14:paraId="47E1D46B">
      <w:pPr>
        <w:spacing w:line="600" w:lineRule="exact"/>
        <w:jc w:val="center"/>
        <w:rPr>
          <w:rFonts w:hint="default" w:ascii="Times New Roman" w:hAnsi="Times New Roman" w:eastAsia="黑体" w:cs="Times New Roman"/>
          <w:color w:val="auto"/>
          <w:sz w:val="44"/>
          <w:szCs w:val="44"/>
          <w:highlight w:val="none"/>
        </w:rPr>
      </w:pPr>
    </w:p>
    <w:p w14:paraId="58505857">
      <w:pPr>
        <w:spacing w:line="600" w:lineRule="exact"/>
        <w:jc w:val="center"/>
        <w:rPr>
          <w:rFonts w:hint="default" w:ascii="Times New Roman" w:hAnsi="Times New Roman" w:eastAsia="黑体" w:cs="Times New Roman"/>
          <w:color w:val="auto"/>
          <w:sz w:val="44"/>
          <w:szCs w:val="44"/>
          <w:highlight w:val="none"/>
        </w:rPr>
      </w:pPr>
    </w:p>
    <w:p w14:paraId="69D2D342">
      <w:pPr>
        <w:spacing w:line="600" w:lineRule="exact"/>
        <w:jc w:val="center"/>
        <w:rPr>
          <w:rFonts w:hint="default" w:ascii="Times New Roman" w:hAnsi="Times New Roman" w:eastAsia="黑体" w:cs="Times New Roman"/>
          <w:color w:val="auto"/>
          <w:sz w:val="44"/>
          <w:szCs w:val="44"/>
          <w:highlight w:val="none"/>
        </w:rPr>
      </w:pPr>
    </w:p>
    <w:p w14:paraId="69BC5BB9">
      <w:pPr>
        <w:spacing w:line="600" w:lineRule="exact"/>
        <w:jc w:val="center"/>
        <w:rPr>
          <w:rFonts w:hint="default" w:ascii="Times New Roman" w:hAnsi="Times New Roman" w:eastAsia="黑体" w:cs="Times New Roman"/>
          <w:color w:val="auto"/>
          <w:sz w:val="44"/>
          <w:szCs w:val="44"/>
          <w:highlight w:val="none"/>
        </w:rPr>
      </w:pPr>
    </w:p>
    <w:p w14:paraId="52535CB6">
      <w:pPr>
        <w:spacing w:line="600" w:lineRule="exact"/>
        <w:jc w:val="center"/>
        <w:rPr>
          <w:rFonts w:hint="default" w:ascii="Times New Roman" w:hAnsi="Times New Roman" w:eastAsia="黑体" w:cs="Times New Roman"/>
          <w:color w:val="auto"/>
          <w:sz w:val="44"/>
          <w:szCs w:val="44"/>
          <w:highlight w:val="none"/>
        </w:rPr>
      </w:pPr>
    </w:p>
    <w:p w14:paraId="643ECA28">
      <w:pPr>
        <w:spacing w:line="600" w:lineRule="exact"/>
        <w:jc w:val="center"/>
        <w:rPr>
          <w:rFonts w:hint="default" w:ascii="Times New Roman" w:hAnsi="Times New Roman" w:eastAsia="黑体" w:cs="Times New Roman"/>
          <w:color w:val="auto"/>
          <w:sz w:val="44"/>
          <w:szCs w:val="44"/>
          <w:highlight w:val="none"/>
        </w:rPr>
      </w:pPr>
    </w:p>
    <w:p w14:paraId="63D084BF">
      <w:pPr>
        <w:spacing w:line="600" w:lineRule="exact"/>
        <w:jc w:val="center"/>
        <w:rPr>
          <w:rFonts w:hint="default" w:ascii="Times New Roman" w:hAnsi="Times New Roman" w:eastAsia="黑体" w:cs="Times New Roman"/>
          <w:color w:val="auto"/>
          <w:sz w:val="44"/>
          <w:szCs w:val="44"/>
          <w:highlight w:val="none"/>
        </w:rPr>
      </w:pPr>
    </w:p>
    <w:p w14:paraId="69D1D5FD">
      <w:pPr>
        <w:spacing w:line="600" w:lineRule="exact"/>
        <w:jc w:val="center"/>
        <w:rPr>
          <w:rStyle w:val="30"/>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51"/>
    </w:p>
    <w:p w14:paraId="01CA369F">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14:paraId="491A2AB3">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01DC0A9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D4C967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default"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15553C4">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62635B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14:paraId="4A64FA5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本部门所属机构数：行政机关单位1个（攀枝花市人民政府驻成都办事处，以下简称：成办）、参照公务员法管理的事业单位1个（攀枝花市成都干部休养所，以下简称：干休所）、其他事业单位1个（攀枝花市成都干部服务中心，以下简称：服务中心）。</w:t>
      </w:r>
    </w:p>
    <w:p w14:paraId="663F4CB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成办除内设科室“三科一办”，即党委办公室、综合科、经济联络信息科、接待管理科外，还挂有“中共攀枝花市委组织部驻成都流动党员服务站”、“共青团攀枝花市委驻成都工作委员会”和“攀枝花市驻成都群众工作站”等三个牌子。</w:t>
      </w:r>
    </w:p>
    <w:p w14:paraId="3A119AF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2.干休所内设有办公室、财务室和医务室。</w:t>
      </w:r>
    </w:p>
    <w:p w14:paraId="01DFE3A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3.服务中心内设有办公室、财务室、业务宣传室。</w:t>
      </w:r>
    </w:p>
    <w:p w14:paraId="6F70F3A6">
      <w:pPr>
        <w:spacing w:line="600" w:lineRule="exact"/>
        <w:ind w:firstLine="643" w:firstLineChars="200"/>
        <w:outlineLvl w:val="2"/>
        <w:rPr>
          <w:rFonts w:hint="default"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w:t>
      </w: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）机构职能</w:t>
      </w:r>
    </w:p>
    <w:p w14:paraId="2E1BDC5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1.成办</w:t>
      </w:r>
    </w:p>
    <w:p w14:paraId="2E2981D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负责川、渝地区的联络。负责与省级机关、重庆市、成都市的联系；积极向上争取政策、项目、资金；宣传介绍攀枝花的政治、经济和社会发展情况，促进城市间的相互了解和友好往来；参与我市在成都、重庆进行的有关重大活动的组织协调和服务工作。</w:t>
      </w:r>
    </w:p>
    <w:p w14:paraId="4F20BB6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（2）加强调查研究，收集、整理和传递重要的政务、经济信息，为市委、市政府决策提供参考依据，为市级部门、县（区）和企业提供信息咨询服务。</w:t>
      </w:r>
    </w:p>
    <w:p w14:paraId="3F09666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（3）开展招商引资和区域间经济、技术、人才、文化的交流与合作；围绕我市经济发展的支柱产业和重点项目，积极开展招商引资活动，着力引进技术和资金，同时协助市内企业拓展市外市场。</w:t>
      </w:r>
    </w:p>
    <w:p w14:paraId="5F106BD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（4）负责协调县（区）驻蓉办事处（联络处）的关系和业务指导。</w:t>
      </w:r>
    </w:p>
    <w:p w14:paraId="3F5F48C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（5）负责市级领导赴蓉及途经成都的接待工作，为市级各部门、县（区）和企事业单位在成都开展业务活动提供咨询服务和工作方便。</w:t>
      </w:r>
    </w:p>
    <w:p w14:paraId="670BC91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（6）负责与攀枝花调到成都和离退休后到成都定居的领导和干部的联系，为我市的经济建设和社会发展服务。</w:t>
      </w:r>
    </w:p>
    <w:p w14:paraId="70774AB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（7）协助市级有关部门做好本市人员到蓉上访的处置工作。</w:t>
      </w:r>
    </w:p>
    <w:p w14:paraId="7F863B9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（8）负责对办事处及所属单位的财产进行监督管理，保证国有资产保值增值。</w:t>
      </w:r>
    </w:p>
    <w:p w14:paraId="75874B9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（9）承办市委、市政府和主管部门交办的其它事宜。</w:t>
      </w:r>
    </w:p>
    <w:p w14:paraId="13006BE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2.干休所</w:t>
      </w:r>
    </w:p>
    <w:p w14:paraId="461CE95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（1）落实干休所离休老干部政治、生活待遇。</w:t>
      </w:r>
    </w:p>
    <w:p w14:paraId="3951137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（2）作好离休老同志日常管理服务。</w:t>
      </w:r>
    </w:p>
    <w:p w14:paraId="5331AD6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（3）为方便离休老干部看病就医提供服务。</w:t>
      </w:r>
    </w:p>
    <w:p w14:paraId="2CC4272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（4）开展离休老干部的文化娱乐活动</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组织他们外出参观考察。</w:t>
      </w:r>
    </w:p>
    <w:p w14:paraId="344BB2A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3.服务中心</w:t>
      </w:r>
    </w:p>
    <w:p w14:paraId="1C3FEE6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（1）负责承担在蓉攀籍离退休干部的接待服务及维稳工作。</w:t>
      </w:r>
    </w:p>
    <w:p w14:paraId="7C9AF8F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（2）联络、协调攀枝花市调蓉的在职及离退休干部。</w:t>
      </w:r>
    </w:p>
    <w:p w14:paraId="7B485AA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（3）负责在蓉向曾经在攀工作的干部宣传介绍攀枝花，使之进一步为攀枝花建设和发展服务。</w:t>
      </w:r>
    </w:p>
    <w:p w14:paraId="5736B0A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（4）邀请医院医生为西锦·渡小区离退休干部进行现场健康问题解答。</w:t>
      </w:r>
    </w:p>
    <w:p w14:paraId="790B58D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（5）充分利用服务中心会议室、干部活动室、文体设施设备，为小区住户开展有益身心健康的文体活动。</w:t>
      </w:r>
    </w:p>
    <w:p w14:paraId="50D904A4">
      <w:pPr>
        <w:spacing w:line="600" w:lineRule="exact"/>
        <w:ind w:firstLine="640"/>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（6）协调西锦·渡物业管理部门做好管理及小区房屋、公共设施的维护保养工作。</w:t>
      </w:r>
    </w:p>
    <w:p w14:paraId="0F3909C0">
      <w:pPr>
        <w:spacing w:line="600" w:lineRule="exact"/>
        <w:ind w:firstLine="643" w:firstLineChars="200"/>
        <w:outlineLvl w:val="2"/>
        <w:rPr>
          <w:rFonts w:hint="default"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w:t>
      </w:r>
      <w:r>
        <w:rPr>
          <w:rFonts w:hint="eastAsia" w:ascii="Times New Roman" w:hAnsi="Times New Roman" w:eastAsia="楷体_GB2312" w:cs="楷体_GB2312"/>
          <w:b/>
          <w:color w:val="auto"/>
          <w:sz w:val="32"/>
          <w:szCs w:val="32"/>
          <w:highlight w:val="none"/>
          <w:lang w:val="zh-CN"/>
        </w:rPr>
        <w:t>二</w:t>
      </w:r>
      <w:r>
        <w:rPr>
          <w:rFonts w:hint="default" w:ascii="Times New Roman" w:hAnsi="Times New Roman" w:eastAsia="楷体_GB2312" w:cs="楷体_GB2312"/>
          <w:b/>
          <w:color w:val="auto"/>
          <w:sz w:val="32"/>
          <w:szCs w:val="32"/>
          <w:highlight w:val="none"/>
          <w:lang w:val="zh-CN"/>
        </w:rPr>
        <w:t>）人员概况</w:t>
      </w:r>
    </w:p>
    <w:p w14:paraId="32C6F03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成办截至2024年12月31日，编制人数为：政府机关人员（公务员）8人、机关工勤7人。实有人数为：公务员6人（其中原主任调回市人大工作后其工资关系未动，编制不纳入成办；1、2、11月份公务员个退休1人）、机关工勤4人、按照攀委办〔2012〕86号文管理的聘用人员2人共13人；退休人员已全部纳入社保统筹管理。</w:t>
      </w:r>
    </w:p>
    <w:p w14:paraId="15A8102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2.干休所截止2024年12月31日，编制人数为：参公管理事业人员3人。实有人数为：参公管理事业人员3人、按照攀委办〔2012〕86号文管理的聘用驾驶员1人共4人</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还有退休返聘人员2人（会计1人、医生1人）、长期聘用临时人员4人（门卫2人、因离休干部身体的原因而一直临聘有护理经验的护工2人）；退休人员8人已纳入社保统筹管理。</w:t>
      </w:r>
    </w:p>
    <w:p w14:paraId="01D58983">
      <w:pPr>
        <w:spacing w:line="600" w:lineRule="exact"/>
        <w:ind w:firstLine="640"/>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3.服务中心截止2024年12月31日，编制人数为：事业管理人员1人、专业技术人员4人、事业工勤人员3人。实有人数为：有事业管理人员1人、专业技术人员2人、事业工勤人员3人共6人</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退休人员5人已纳入社保统筹管理。</w:t>
      </w:r>
    </w:p>
    <w:p w14:paraId="45F6BFFC">
      <w:pPr>
        <w:spacing w:line="600" w:lineRule="exact"/>
        <w:ind w:firstLine="640"/>
        <w:rPr>
          <w:rFonts w:hint="default" w:ascii="Times New Roman" w:hAnsi="Times New Roman" w:eastAsia="仿宋_GB2312" w:cs="仿宋_GB2312"/>
          <w:color w:val="auto"/>
          <w:kern w:val="2"/>
          <w:sz w:val="32"/>
          <w:szCs w:val="32"/>
          <w:highlight w:val="none"/>
          <w:lang w:val="zh-CN" w:eastAsia="zh-CN" w:bidi="ar-SA"/>
        </w:rPr>
      </w:pPr>
    </w:p>
    <w:p w14:paraId="028021E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0E860540">
      <w:pPr>
        <w:spacing w:line="600" w:lineRule="exact"/>
        <w:ind w:firstLine="643" w:firstLineChars="200"/>
        <w:outlineLvl w:val="2"/>
        <w:rPr>
          <w:rFonts w:hint="default" w:ascii="Times New Roman" w:hAnsi="Times New Roman" w:eastAsia="楷体_GB2312" w:cs="楷体_GB2312"/>
          <w:b/>
          <w:color w:val="auto"/>
          <w:sz w:val="32"/>
          <w:szCs w:val="32"/>
          <w:highlight w:val="none"/>
          <w:lang w:eastAsia="zh-CN"/>
        </w:rPr>
      </w:pPr>
      <w:r>
        <w:rPr>
          <w:rFonts w:hint="default" w:ascii="Times New Roman" w:hAnsi="Times New Roman" w:eastAsia="楷体_GB2312" w:cs="楷体_GB2312"/>
          <w:b/>
          <w:color w:val="auto"/>
          <w:sz w:val="32"/>
          <w:szCs w:val="32"/>
          <w:highlight w:val="none"/>
          <w:lang w:val="zh-CN"/>
        </w:rPr>
        <w:t>（一）收入、支出情况</w:t>
      </w:r>
    </w:p>
    <w:p w14:paraId="55F8834B">
      <w:pPr>
        <w:spacing w:line="600" w:lineRule="exact"/>
        <w:ind w:firstLine="640"/>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本部门2024年年初预算收入为817.16，决算报表收入为817.16万元，具体如下：</w:t>
      </w:r>
    </w:p>
    <w:tbl>
      <w:tblPr>
        <w:tblStyle w:val="17"/>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350"/>
        <w:gridCol w:w="2055"/>
        <w:gridCol w:w="1995"/>
      </w:tblGrid>
      <w:tr w14:paraId="5A75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4977" w:type="dxa"/>
            <w:gridSpan w:val="2"/>
            <w:noWrap w:val="0"/>
            <w:vAlign w:val="center"/>
          </w:tcPr>
          <w:p w14:paraId="4F2D967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rPr>
            </w:pPr>
            <w:r>
              <w:rPr>
                <w:rFonts w:hint="eastAsia" w:ascii="仿宋_GB2312" w:hAnsi="仿宋_GB2312" w:eastAsia="仿宋_GB2312" w:cs="仿宋_GB2312"/>
                <w:sz w:val="21"/>
                <w:szCs w:val="21"/>
              </w:rPr>
              <w:t>科目名称</w:t>
            </w:r>
          </w:p>
        </w:tc>
        <w:tc>
          <w:tcPr>
            <w:tcW w:w="2055" w:type="dxa"/>
            <w:noWrap w:val="0"/>
            <w:vAlign w:val="center"/>
          </w:tcPr>
          <w:p w14:paraId="03277D3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rPr>
            </w:pPr>
            <w:r>
              <w:rPr>
                <w:rFonts w:hint="eastAsia" w:ascii="仿宋_GB2312" w:hAnsi="宋体" w:eastAsia="仿宋_GB2312"/>
                <w:sz w:val="21"/>
                <w:szCs w:val="21"/>
              </w:rPr>
              <w:t>本年</w:t>
            </w:r>
            <w:r>
              <w:rPr>
                <w:rFonts w:hint="eastAsia" w:ascii="仿宋_GB2312" w:hAnsi="宋体" w:eastAsia="仿宋_GB2312"/>
                <w:sz w:val="21"/>
                <w:szCs w:val="21"/>
                <w:lang w:eastAsia="zh-CN"/>
              </w:rPr>
              <w:t>财政拨款收入</w:t>
            </w:r>
          </w:p>
        </w:tc>
        <w:tc>
          <w:tcPr>
            <w:tcW w:w="1995" w:type="dxa"/>
            <w:noWrap w:val="0"/>
            <w:vAlign w:val="center"/>
          </w:tcPr>
          <w:p w14:paraId="1D5E6AC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rPr>
            </w:pPr>
            <w:r>
              <w:rPr>
                <w:rFonts w:hint="eastAsia" w:ascii="仿宋_GB2312" w:hAnsi="宋体" w:eastAsia="仿宋_GB2312"/>
                <w:sz w:val="21"/>
                <w:szCs w:val="21"/>
              </w:rPr>
              <w:t>本年</w:t>
            </w:r>
            <w:r>
              <w:rPr>
                <w:rFonts w:hint="eastAsia" w:ascii="仿宋_GB2312" w:hAnsi="宋体" w:eastAsia="仿宋_GB2312"/>
                <w:sz w:val="21"/>
                <w:szCs w:val="21"/>
                <w:lang w:eastAsia="zh-CN"/>
              </w:rPr>
              <w:t>支出</w:t>
            </w:r>
            <w:r>
              <w:rPr>
                <w:rFonts w:hint="eastAsia" w:ascii="仿宋_GB2312" w:hAnsi="宋体" w:eastAsia="仿宋_GB2312"/>
                <w:sz w:val="21"/>
                <w:szCs w:val="21"/>
              </w:rPr>
              <w:t>决算数</w:t>
            </w:r>
          </w:p>
        </w:tc>
      </w:tr>
      <w:tr w14:paraId="7E82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627" w:type="dxa"/>
            <w:vMerge w:val="restart"/>
            <w:noWrap w:val="0"/>
            <w:textDirection w:val="tbRlV"/>
            <w:vAlign w:val="center"/>
          </w:tcPr>
          <w:p w14:paraId="50437668">
            <w:pPr>
              <w:keepNext w:val="0"/>
              <w:keepLines w:val="0"/>
              <w:pageBreakBefore w:val="0"/>
              <w:widowControl w:val="0"/>
              <w:kinsoku/>
              <w:wordWrap/>
              <w:overflowPunct/>
              <w:topLinePunct w:val="0"/>
              <w:autoSpaceDE/>
              <w:autoSpaceDN/>
              <w:bidi w:val="0"/>
              <w:adjustRightInd/>
              <w:snapToGrid w:val="0"/>
              <w:spacing w:line="240" w:lineRule="exact"/>
              <w:ind w:left="113" w:leftChars="0" w:right="113" w:rightChars="0"/>
              <w:jc w:val="center"/>
              <w:textAlignment w:val="auto"/>
              <w:rPr>
                <w:rFonts w:hint="default" w:ascii="Times New Roman" w:hAnsi="Times New Roman" w:eastAsia="仿宋_GB2312" w:cs="Times New Roman"/>
                <w:sz w:val="21"/>
                <w:szCs w:val="21"/>
              </w:rPr>
            </w:pPr>
            <w:r>
              <w:rPr>
                <w:rFonts w:hint="eastAsia" w:ascii="仿宋_GB2312" w:hAnsi="仿宋_GB2312" w:eastAsia="仿宋_GB2312" w:cs="仿宋_GB2312"/>
                <w:sz w:val="21"/>
                <w:szCs w:val="21"/>
              </w:rPr>
              <w:t>基</w:t>
            </w:r>
            <w:r>
              <w:rPr>
                <w:rFonts w:hint="eastAsia" w:ascii="仿宋_GB2312" w:hAnsi="仿宋_GB2312" w:eastAsia="仿宋_GB2312" w:cs="仿宋_GB2312"/>
                <w:sz w:val="21"/>
                <w:szCs w:val="21"/>
                <w:lang w:eastAsia="zh-CN"/>
              </w:rPr>
              <w:t>本</w:t>
            </w:r>
            <w:r>
              <w:rPr>
                <w:rFonts w:hint="eastAsia" w:ascii="仿宋_GB2312" w:hAnsi="仿宋_GB2312" w:eastAsia="仿宋_GB2312" w:cs="仿宋_GB2312"/>
                <w:sz w:val="21"/>
                <w:szCs w:val="21"/>
              </w:rPr>
              <w:t>支出</w:t>
            </w:r>
          </w:p>
        </w:tc>
        <w:tc>
          <w:tcPr>
            <w:tcW w:w="4350" w:type="dxa"/>
            <w:noWrap w:val="0"/>
            <w:vAlign w:val="center"/>
          </w:tcPr>
          <w:p w14:paraId="17239B3E">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rPr>
              <w:t>政府办公厅（室）及相关机构事务</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行政运行</w:t>
            </w:r>
          </w:p>
        </w:tc>
        <w:tc>
          <w:tcPr>
            <w:tcW w:w="2055" w:type="dxa"/>
            <w:noWrap w:val="0"/>
            <w:vAlign w:val="center"/>
          </w:tcPr>
          <w:p w14:paraId="68E2F92C">
            <w:pPr>
              <w:keepNext w:val="0"/>
              <w:keepLines w:val="0"/>
              <w:pageBreakBefore w:val="0"/>
              <w:widowControl w:val="0"/>
              <w:kinsoku/>
              <w:wordWrap/>
              <w:overflowPunct/>
              <w:topLinePunct w:val="0"/>
              <w:autoSpaceDE/>
              <w:autoSpaceDN/>
              <w:bidi w:val="0"/>
              <w:adjustRightInd/>
              <w:snapToGrid w:val="0"/>
              <w:spacing w:line="20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396.55</w:t>
            </w:r>
          </w:p>
        </w:tc>
        <w:tc>
          <w:tcPr>
            <w:tcW w:w="1995" w:type="dxa"/>
            <w:noWrap w:val="0"/>
            <w:vAlign w:val="center"/>
          </w:tcPr>
          <w:p w14:paraId="1A365196">
            <w:pPr>
              <w:keepNext w:val="0"/>
              <w:keepLines w:val="0"/>
              <w:pageBreakBefore w:val="0"/>
              <w:widowControl w:val="0"/>
              <w:kinsoku/>
              <w:wordWrap/>
              <w:overflowPunct/>
              <w:topLinePunct w:val="0"/>
              <w:autoSpaceDE/>
              <w:autoSpaceDN/>
              <w:bidi w:val="0"/>
              <w:adjustRightInd/>
              <w:snapToGrid w:val="0"/>
              <w:spacing w:line="20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val="en-US" w:eastAsia="zh-CN"/>
              </w:rPr>
              <w:t>396.55</w:t>
            </w:r>
          </w:p>
        </w:tc>
      </w:tr>
      <w:tr w14:paraId="69C6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627" w:type="dxa"/>
            <w:vMerge w:val="continue"/>
            <w:noWrap w:val="0"/>
            <w:vAlign w:val="top"/>
          </w:tcPr>
          <w:p w14:paraId="55B66B33">
            <w:pPr>
              <w:snapToGrid w:val="0"/>
              <w:spacing w:line="360" w:lineRule="auto"/>
              <w:jc w:val="center"/>
              <w:rPr>
                <w:rFonts w:hint="default" w:ascii="Times New Roman" w:hAnsi="Times New Roman" w:eastAsia="仿宋_GB2312" w:cs="Times New Roman"/>
                <w:sz w:val="21"/>
                <w:szCs w:val="21"/>
              </w:rPr>
            </w:pPr>
          </w:p>
        </w:tc>
        <w:tc>
          <w:tcPr>
            <w:tcW w:w="4350" w:type="dxa"/>
            <w:noWrap w:val="0"/>
            <w:vAlign w:val="center"/>
          </w:tcPr>
          <w:p w14:paraId="6751A7AB">
            <w:pPr>
              <w:keepNext w:val="0"/>
              <w:keepLines w:val="0"/>
              <w:pageBreakBefore w:val="0"/>
              <w:widowControl w:val="0"/>
              <w:kinsoku/>
              <w:wordWrap/>
              <w:overflowPunct/>
              <w:topLinePunct w:val="0"/>
              <w:autoSpaceDE/>
              <w:autoSpaceDN/>
              <w:bidi w:val="0"/>
              <w:adjustRightInd/>
              <w:snapToGrid w:val="0"/>
              <w:spacing w:line="200" w:lineRule="exact"/>
              <w:textAlignment w:val="auto"/>
              <w:rPr>
                <w:rFonts w:hint="default" w:ascii="Times New Roman" w:hAnsi="Times New Roman" w:eastAsia="仿宋_GB2312" w:cs="Times New Roman"/>
                <w:sz w:val="21"/>
                <w:szCs w:val="21"/>
              </w:rPr>
            </w:pPr>
            <w:r>
              <w:rPr>
                <w:rFonts w:hint="eastAsia" w:ascii="仿宋_GB2312" w:hAnsi="仿宋_GB2312" w:eastAsia="仿宋_GB2312" w:cs="仿宋_GB2312"/>
                <w:sz w:val="21"/>
                <w:szCs w:val="21"/>
              </w:rPr>
              <w:t>政府办公厅（室）及相关机构事务</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事业</w:t>
            </w:r>
            <w:r>
              <w:rPr>
                <w:rFonts w:hint="eastAsia" w:ascii="仿宋_GB2312" w:hAnsi="仿宋_GB2312" w:eastAsia="仿宋_GB2312" w:cs="仿宋_GB2312"/>
                <w:sz w:val="21"/>
                <w:szCs w:val="21"/>
              </w:rPr>
              <w:t>运行</w:t>
            </w:r>
          </w:p>
        </w:tc>
        <w:tc>
          <w:tcPr>
            <w:tcW w:w="2055" w:type="dxa"/>
            <w:noWrap w:val="0"/>
            <w:vAlign w:val="center"/>
          </w:tcPr>
          <w:p w14:paraId="097969A0">
            <w:pPr>
              <w:keepNext w:val="0"/>
              <w:keepLines w:val="0"/>
              <w:pageBreakBefore w:val="0"/>
              <w:widowControl w:val="0"/>
              <w:kinsoku/>
              <w:wordWrap/>
              <w:overflowPunct/>
              <w:topLinePunct w:val="0"/>
              <w:autoSpaceDE/>
              <w:autoSpaceDN/>
              <w:bidi w:val="0"/>
              <w:adjustRightInd/>
              <w:snapToGrid w:val="0"/>
              <w:spacing w:line="20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80.27</w:t>
            </w:r>
          </w:p>
        </w:tc>
        <w:tc>
          <w:tcPr>
            <w:tcW w:w="1995" w:type="dxa"/>
            <w:noWrap w:val="0"/>
            <w:vAlign w:val="center"/>
          </w:tcPr>
          <w:p w14:paraId="255EF8B2">
            <w:pPr>
              <w:keepNext w:val="0"/>
              <w:keepLines w:val="0"/>
              <w:pageBreakBefore w:val="0"/>
              <w:widowControl w:val="0"/>
              <w:kinsoku/>
              <w:wordWrap/>
              <w:overflowPunct/>
              <w:topLinePunct w:val="0"/>
              <w:autoSpaceDE/>
              <w:autoSpaceDN/>
              <w:bidi w:val="0"/>
              <w:adjustRightInd/>
              <w:snapToGrid w:val="0"/>
              <w:spacing w:line="20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80.27</w:t>
            </w:r>
          </w:p>
        </w:tc>
      </w:tr>
      <w:tr w14:paraId="3531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627" w:type="dxa"/>
            <w:vMerge w:val="continue"/>
            <w:noWrap w:val="0"/>
            <w:vAlign w:val="top"/>
          </w:tcPr>
          <w:p w14:paraId="7BACF99E">
            <w:pPr>
              <w:snapToGrid w:val="0"/>
              <w:spacing w:line="360" w:lineRule="auto"/>
              <w:jc w:val="center"/>
              <w:rPr>
                <w:rFonts w:hint="default" w:ascii="Times New Roman" w:hAnsi="Times New Roman" w:eastAsia="仿宋_GB2312" w:cs="Times New Roman"/>
                <w:sz w:val="21"/>
                <w:szCs w:val="21"/>
              </w:rPr>
            </w:pPr>
          </w:p>
        </w:tc>
        <w:tc>
          <w:tcPr>
            <w:tcW w:w="4350" w:type="dxa"/>
            <w:noWrap w:val="0"/>
            <w:vAlign w:val="center"/>
          </w:tcPr>
          <w:p w14:paraId="74545284">
            <w:pPr>
              <w:keepNext w:val="0"/>
              <w:keepLines w:val="0"/>
              <w:pageBreakBefore w:val="0"/>
              <w:widowControl w:val="0"/>
              <w:kinsoku/>
              <w:wordWrap/>
              <w:overflowPunct/>
              <w:topLinePunct w:val="0"/>
              <w:autoSpaceDE/>
              <w:autoSpaceDN/>
              <w:bidi w:val="0"/>
              <w:adjustRightInd/>
              <w:snapToGrid w:val="0"/>
              <w:spacing w:line="200" w:lineRule="exac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rPr>
              <w:t>行政单位离退休</w:t>
            </w:r>
          </w:p>
        </w:tc>
        <w:tc>
          <w:tcPr>
            <w:tcW w:w="2055" w:type="dxa"/>
            <w:noWrap w:val="0"/>
            <w:vAlign w:val="center"/>
          </w:tcPr>
          <w:p w14:paraId="0645F141">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136.91</w:t>
            </w:r>
          </w:p>
        </w:tc>
        <w:tc>
          <w:tcPr>
            <w:tcW w:w="1995" w:type="dxa"/>
            <w:noWrap w:val="0"/>
            <w:vAlign w:val="center"/>
          </w:tcPr>
          <w:p w14:paraId="19B94EF5">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136.91</w:t>
            </w:r>
          </w:p>
        </w:tc>
      </w:tr>
      <w:tr w14:paraId="680F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627" w:type="dxa"/>
            <w:vMerge w:val="continue"/>
            <w:noWrap w:val="0"/>
            <w:vAlign w:val="top"/>
          </w:tcPr>
          <w:p w14:paraId="0B7A6728">
            <w:pPr>
              <w:snapToGrid w:val="0"/>
              <w:spacing w:line="360" w:lineRule="auto"/>
              <w:jc w:val="center"/>
              <w:rPr>
                <w:rFonts w:hint="default" w:ascii="Times New Roman" w:hAnsi="Times New Roman" w:eastAsia="仿宋_GB2312" w:cs="Times New Roman"/>
                <w:sz w:val="21"/>
                <w:szCs w:val="21"/>
              </w:rPr>
            </w:pPr>
          </w:p>
        </w:tc>
        <w:tc>
          <w:tcPr>
            <w:tcW w:w="4350" w:type="dxa"/>
            <w:noWrap w:val="0"/>
            <w:vAlign w:val="center"/>
          </w:tcPr>
          <w:p w14:paraId="75850F93">
            <w:pPr>
              <w:keepNext w:val="0"/>
              <w:keepLines w:val="0"/>
              <w:pageBreakBefore w:val="0"/>
              <w:widowControl w:val="0"/>
              <w:kinsoku/>
              <w:wordWrap/>
              <w:overflowPunct/>
              <w:topLinePunct w:val="0"/>
              <w:autoSpaceDE/>
              <w:autoSpaceDN/>
              <w:bidi w:val="0"/>
              <w:adjustRightInd/>
              <w:snapToGrid w:val="0"/>
              <w:spacing w:line="200" w:lineRule="exac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eastAsia="zh-CN"/>
              </w:rPr>
              <w:t>事业</w:t>
            </w:r>
            <w:r>
              <w:rPr>
                <w:rFonts w:hint="eastAsia" w:ascii="仿宋_GB2312" w:hAnsi="仿宋_GB2312" w:eastAsia="仿宋_GB2312" w:cs="仿宋_GB2312"/>
                <w:sz w:val="21"/>
                <w:szCs w:val="21"/>
              </w:rPr>
              <w:t>单位离退休</w:t>
            </w:r>
          </w:p>
        </w:tc>
        <w:tc>
          <w:tcPr>
            <w:tcW w:w="2055" w:type="dxa"/>
            <w:noWrap w:val="0"/>
            <w:vAlign w:val="center"/>
          </w:tcPr>
          <w:p w14:paraId="3CD0717C">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14.5</w:t>
            </w:r>
          </w:p>
        </w:tc>
        <w:tc>
          <w:tcPr>
            <w:tcW w:w="1995" w:type="dxa"/>
            <w:noWrap w:val="0"/>
            <w:vAlign w:val="center"/>
          </w:tcPr>
          <w:p w14:paraId="02B36B7A">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kern w:val="2"/>
                <w:sz w:val="21"/>
                <w:szCs w:val="21"/>
                <w:lang w:val="en-US" w:eastAsia="zh-CN" w:bidi="ar-SA"/>
              </w:rPr>
              <w:t>14.5</w:t>
            </w:r>
          </w:p>
        </w:tc>
      </w:tr>
      <w:tr w14:paraId="7224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627" w:type="dxa"/>
            <w:vMerge w:val="continue"/>
            <w:noWrap w:val="0"/>
            <w:vAlign w:val="top"/>
          </w:tcPr>
          <w:p w14:paraId="0B045B2C">
            <w:pPr>
              <w:snapToGrid w:val="0"/>
              <w:spacing w:line="360" w:lineRule="auto"/>
              <w:jc w:val="center"/>
              <w:rPr>
                <w:rFonts w:hint="default" w:ascii="Times New Roman" w:hAnsi="Times New Roman" w:eastAsia="仿宋_GB2312" w:cs="Times New Roman"/>
                <w:sz w:val="21"/>
                <w:szCs w:val="21"/>
              </w:rPr>
            </w:pPr>
          </w:p>
        </w:tc>
        <w:tc>
          <w:tcPr>
            <w:tcW w:w="4350" w:type="dxa"/>
            <w:noWrap w:val="0"/>
            <w:vAlign w:val="center"/>
          </w:tcPr>
          <w:p w14:paraId="7C494182">
            <w:pPr>
              <w:keepNext w:val="0"/>
              <w:keepLines w:val="0"/>
              <w:pageBreakBefore w:val="0"/>
              <w:widowControl w:val="0"/>
              <w:kinsoku/>
              <w:wordWrap/>
              <w:overflowPunct/>
              <w:topLinePunct w:val="0"/>
              <w:autoSpaceDE/>
              <w:autoSpaceDN/>
              <w:bidi w:val="0"/>
              <w:adjustRightInd/>
              <w:snapToGrid w:val="0"/>
              <w:spacing w:line="200" w:lineRule="exac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eastAsia="zh-CN"/>
              </w:rPr>
              <w:t>机关事业单位基本养老保险缴费支出</w:t>
            </w:r>
          </w:p>
        </w:tc>
        <w:tc>
          <w:tcPr>
            <w:tcW w:w="2055" w:type="dxa"/>
            <w:noWrap w:val="0"/>
            <w:vAlign w:val="center"/>
          </w:tcPr>
          <w:p w14:paraId="4CBB34C1">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53.85</w:t>
            </w:r>
          </w:p>
        </w:tc>
        <w:tc>
          <w:tcPr>
            <w:tcW w:w="1995" w:type="dxa"/>
            <w:noWrap w:val="0"/>
            <w:vAlign w:val="center"/>
          </w:tcPr>
          <w:p w14:paraId="69901E2D">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53.85</w:t>
            </w:r>
          </w:p>
        </w:tc>
      </w:tr>
      <w:tr w14:paraId="5EB7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627" w:type="dxa"/>
            <w:vMerge w:val="continue"/>
            <w:noWrap w:val="0"/>
            <w:vAlign w:val="top"/>
          </w:tcPr>
          <w:p w14:paraId="3DD7A1B1">
            <w:pPr>
              <w:snapToGrid w:val="0"/>
              <w:spacing w:line="360" w:lineRule="auto"/>
              <w:jc w:val="center"/>
              <w:rPr>
                <w:rFonts w:hint="default" w:ascii="Times New Roman" w:hAnsi="Times New Roman" w:eastAsia="仿宋_GB2312" w:cs="Times New Roman"/>
                <w:sz w:val="21"/>
                <w:szCs w:val="21"/>
              </w:rPr>
            </w:pPr>
          </w:p>
        </w:tc>
        <w:tc>
          <w:tcPr>
            <w:tcW w:w="4350" w:type="dxa"/>
            <w:noWrap w:val="0"/>
            <w:vAlign w:val="center"/>
          </w:tcPr>
          <w:p w14:paraId="0133A571">
            <w:pPr>
              <w:keepNext w:val="0"/>
              <w:keepLines w:val="0"/>
              <w:pageBreakBefore w:val="0"/>
              <w:widowControl w:val="0"/>
              <w:kinsoku/>
              <w:wordWrap/>
              <w:overflowPunct/>
              <w:topLinePunct w:val="0"/>
              <w:autoSpaceDE/>
              <w:autoSpaceDN/>
              <w:bidi w:val="0"/>
              <w:adjustRightInd/>
              <w:snapToGrid w:val="0"/>
              <w:spacing w:line="200" w:lineRule="exac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机关事业单位职业年金缴费支出</w:t>
            </w:r>
          </w:p>
        </w:tc>
        <w:tc>
          <w:tcPr>
            <w:tcW w:w="2055" w:type="dxa"/>
            <w:noWrap w:val="0"/>
            <w:vAlign w:val="center"/>
          </w:tcPr>
          <w:p w14:paraId="1089269D">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6.36</w:t>
            </w:r>
          </w:p>
        </w:tc>
        <w:tc>
          <w:tcPr>
            <w:tcW w:w="1995" w:type="dxa"/>
            <w:noWrap w:val="0"/>
            <w:vAlign w:val="center"/>
          </w:tcPr>
          <w:p w14:paraId="10369230">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6.36</w:t>
            </w:r>
          </w:p>
        </w:tc>
      </w:tr>
      <w:tr w14:paraId="654C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627" w:type="dxa"/>
            <w:vMerge w:val="continue"/>
            <w:noWrap w:val="0"/>
            <w:vAlign w:val="top"/>
          </w:tcPr>
          <w:p w14:paraId="18367118">
            <w:pPr>
              <w:snapToGrid w:val="0"/>
              <w:spacing w:line="360" w:lineRule="auto"/>
              <w:jc w:val="center"/>
              <w:rPr>
                <w:rFonts w:hint="default" w:ascii="Times New Roman" w:hAnsi="Times New Roman" w:eastAsia="仿宋_GB2312" w:cs="Times New Roman"/>
                <w:sz w:val="21"/>
                <w:szCs w:val="21"/>
              </w:rPr>
            </w:pPr>
          </w:p>
        </w:tc>
        <w:tc>
          <w:tcPr>
            <w:tcW w:w="4350" w:type="dxa"/>
            <w:noWrap w:val="0"/>
            <w:vAlign w:val="center"/>
          </w:tcPr>
          <w:p w14:paraId="262ED97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小计</w:t>
            </w:r>
          </w:p>
        </w:tc>
        <w:tc>
          <w:tcPr>
            <w:tcW w:w="2055" w:type="dxa"/>
            <w:noWrap w:val="0"/>
            <w:vAlign w:val="center"/>
          </w:tcPr>
          <w:p w14:paraId="1B482979">
            <w:pPr>
              <w:keepNext w:val="0"/>
              <w:keepLines w:val="0"/>
              <w:pageBreakBefore w:val="0"/>
              <w:widowControl w:val="0"/>
              <w:kinsoku/>
              <w:wordWrap/>
              <w:overflowPunct/>
              <w:topLinePunct w:val="0"/>
              <w:autoSpaceDE/>
              <w:autoSpaceDN/>
              <w:bidi w:val="0"/>
              <w:adjustRightInd/>
              <w:snapToGrid w:val="0"/>
              <w:spacing w:line="20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688.44</w:t>
            </w:r>
          </w:p>
        </w:tc>
        <w:tc>
          <w:tcPr>
            <w:tcW w:w="1995" w:type="dxa"/>
            <w:noWrap w:val="0"/>
            <w:vAlign w:val="center"/>
          </w:tcPr>
          <w:p w14:paraId="1088844C">
            <w:pPr>
              <w:keepNext w:val="0"/>
              <w:keepLines w:val="0"/>
              <w:pageBreakBefore w:val="0"/>
              <w:widowControl w:val="0"/>
              <w:kinsoku/>
              <w:wordWrap/>
              <w:overflowPunct/>
              <w:topLinePunct w:val="0"/>
              <w:autoSpaceDE/>
              <w:autoSpaceDN/>
              <w:bidi w:val="0"/>
              <w:adjustRightInd/>
              <w:snapToGrid w:val="0"/>
              <w:spacing w:line="20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val="en-US" w:eastAsia="zh-CN"/>
              </w:rPr>
              <w:t>688.44</w:t>
            </w:r>
          </w:p>
        </w:tc>
      </w:tr>
      <w:tr w14:paraId="5638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4977" w:type="dxa"/>
            <w:gridSpan w:val="2"/>
            <w:noWrap w:val="0"/>
            <w:vAlign w:val="center"/>
          </w:tcPr>
          <w:p w14:paraId="068804F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lang w:eastAsia="zh-CN"/>
              </w:rPr>
            </w:pPr>
            <w:r>
              <w:rPr>
                <w:rFonts w:hint="eastAsia" w:ascii="仿宋_GB2312" w:hAnsi="仿宋_GB2312" w:eastAsia="仿宋_GB2312" w:cs="仿宋_GB2312"/>
                <w:sz w:val="21"/>
                <w:szCs w:val="21"/>
              </w:rPr>
              <w:t>科目名称</w:t>
            </w:r>
          </w:p>
        </w:tc>
        <w:tc>
          <w:tcPr>
            <w:tcW w:w="2055" w:type="dxa"/>
            <w:noWrap w:val="0"/>
            <w:vAlign w:val="center"/>
          </w:tcPr>
          <w:p w14:paraId="4BC395D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lang w:val="en-US" w:eastAsia="zh-CN"/>
              </w:rPr>
            </w:pPr>
            <w:r>
              <w:rPr>
                <w:rFonts w:hint="eastAsia" w:ascii="仿宋_GB2312" w:hAnsi="宋体" w:eastAsia="仿宋_GB2312"/>
                <w:sz w:val="21"/>
                <w:szCs w:val="21"/>
              </w:rPr>
              <w:t>本年</w:t>
            </w:r>
            <w:r>
              <w:rPr>
                <w:rFonts w:hint="eastAsia" w:ascii="仿宋_GB2312" w:hAnsi="宋体" w:eastAsia="仿宋_GB2312"/>
                <w:sz w:val="21"/>
                <w:szCs w:val="21"/>
                <w:lang w:eastAsia="zh-CN"/>
              </w:rPr>
              <w:t>财政拨款收入</w:t>
            </w:r>
          </w:p>
        </w:tc>
        <w:tc>
          <w:tcPr>
            <w:tcW w:w="1995" w:type="dxa"/>
            <w:noWrap w:val="0"/>
            <w:vAlign w:val="center"/>
          </w:tcPr>
          <w:p w14:paraId="3453042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lang w:val="en-US" w:eastAsia="zh-CN"/>
              </w:rPr>
            </w:pPr>
            <w:r>
              <w:rPr>
                <w:rFonts w:hint="eastAsia" w:ascii="仿宋_GB2312" w:hAnsi="宋体" w:eastAsia="仿宋_GB2312"/>
                <w:sz w:val="21"/>
                <w:szCs w:val="21"/>
              </w:rPr>
              <w:t>本年</w:t>
            </w:r>
            <w:r>
              <w:rPr>
                <w:rFonts w:hint="eastAsia" w:ascii="仿宋_GB2312" w:hAnsi="宋体" w:eastAsia="仿宋_GB2312"/>
                <w:sz w:val="21"/>
                <w:szCs w:val="21"/>
                <w:lang w:eastAsia="zh-CN"/>
              </w:rPr>
              <w:t>支出</w:t>
            </w:r>
            <w:r>
              <w:rPr>
                <w:rFonts w:hint="eastAsia" w:ascii="仿宋_GB2312" w:hAnsi="宋体" w:eastAsia="仿宋_GB2312"/>
                <w:sz w:val="21"/>
                <w:szCs w:val="21"/>
              </w:rPr>
              <w:t>决算数</w:t>
            </w:r>
          </w:p>
        </w:tc>
      </w:tr>
      <w:tr w14:paraId="3800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627" w:type="dxa"/>
            <w:vMerge w:val="restart"/>
            <w:noWrap w:val="0"/>
            <w:textDirection w:val="tbRlV"/>
            <w:vAlign w:val="center"/>
          </w:tcPr>
          <w:p w14:paraId="7B42CAC0">
            <w:pPr>
              <w:keepNext w:val="0"/>
              <w:keepLines w:val="0"/>
              <w:pageBreakBefore w:val="0"/>
              <w:widowControl w:val="0"/>
              <w:kinsoku/>
              <w:wordWrap/>
              <w:overflowPunct/>
              <w:topLinePunct w:val="0"/>
              <w:autoSpaceDE/>
              <w:autoSpaceDN/>
              <w:bidi w:val="0"/>
              <w:adjustRightInd/>
              <w:snapToGrid w:val="0"/>
              <w:spacing w:line="240" w:lineRule="exact"/>
              <w:ind w:left="113" w:leftChars="0" w:right="113" w:rightChars="0"/>
              <w:jc w:val="center"/>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eastAsia="zh-CN"/>
              </w:rPr>
              <w:t>基本支出</w:t>
            </w:r>
          </w:p>
        </w:tc>
        <w:tc>
          <w:tcPr>
            <w:tcW w:w="4350" w:type="dxa"/>
            <w:noWrap w:val="0"/>
            <w:vAlign w:val="center"/>
          </w:tcPr>
          <w:p w14:paraId="1E9A32C1">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其他社会保障和就业支出</w:t>
            </w:r>
          </w:p>
        </w:tc>
        <w:tc>
          <w:tcPr>
            <w:tcW w:w="2055" w:type="dxa"/>
            <w:noWrap w:val="0"/>
            <w:vAlign w:val="center"/>
          </w:tcPr>
          <w:p w14:paraId="061DB85D">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kern w:val="2"/>
                <w:sz w:val="21"/>
                <w:szCs w:val="21"/>
                <w:lang w:val="en-US" w:eastAsia="zh-CN" w:bidi="ar-SA"/>
              </w:rPr>
              <w:t>0.92</w:t>
            </w:r>
          </w:p>
        </w:tc>
        <w:tc>
          <w:tcPr>
            <w:tcW w:w="1995" w:type="dxa"/>
            <w:noWrap w:val="0"/>
            <w:vAlign w:val="center"/>
          </w:tcPr>
          <w:p w14:paraId="19025200">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0.92</w:t>
            </w:r>
          </w:p>
        </w:tc>
      </w:tr>
      <w:tr w14:paraId="4DF0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627" w:type="dxa"/>
            <w:vMerge w:val="continue"/>
            <w:noWrap w:val="0"/>
            <w:textDirection w:val="tbRlV"/>
            <w:vAlign w:val="center"/>
          </w:tcPr>
          <w:p w14:paraId="08EDCAAD">
            <w:pPr>
              <w:keepNext w:val="0"/>
              <w:keepLines w:val="0"/>
              <w:pageBreakBefore w:val="0"/>
              <w:widowControl w:val="0"/>
              <w:kinsoku/>
              <w:wordWrap/>
              <w:overflowPunct/>
              <w:topLinePunct w:val="0"/>
              <w:autoSpaceDE/>
              <w:autoSpaceDN/>
              <w:bidi w:val="0"/>
              <w:adjustRightInd/>
              <w:snapToGrid w:val="0"/>
              <w:spacing w:line="240" w:lineRule="exact"/>
              <w:ind w:left="113" w:leftChars="0" w:right="113" w:rightChars="0"/>
              <w:jc w:val="center"/>
              <w:textAlignment w:val="auto"/>
              <w:rPr>
                <w:rFonts w:hint="default" w:ascii="Times New Roman" w:hAnsi="Times New Roman" w:eastAsia="仿宋_GB2312" w:cs="Times New Roman"/>
                <w:sz w:val="21"/>
                <w:szCs w:val="21"/>
              </w:rPr>
            </w:pPr>
          </w:p>
        </w:tc>
        <w:tc>
          <w:tcPr>
            <w:tcW w:w="4350" w:type="dxa"/>
            <w:noWrap w:val="0"/>
            <w:vAlign w:val="center"/>
          </w:tcPr>
          <w:p w14:paraId="231869CC">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行政单位医疗</w:t>
            </w:r>
          </w:p>
        </w:tc>
        <w:tc>
          <w:tcPr>
            <w:tcW w:w="2055" w:type="dxa"/>
            <w:noWrap w:val="0"/>
            <w:vAlign w:val="center"/>
          </w:tcPr>
          <w:p w14:paraId="4D2FCF48">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kern w:val="2"/>
                <w:sz w:val="21"/>
                <w:szCs w:val="21"/>
                <w:lang w:val="en-US" w:eastAsia="zh-CN" w:bidi="ar-SA"/>
              </w:rPr>
              <w:t>22.29</w:t>
            </w:r>
          </w:p>
        </w:tc>
        <w:tc>
          <w:tcPr>
            <w:tcW w:w="1995" w:type="dxa"/>
            <w:noWrap w:val="0"/>
            <w:vAlign w:val="center"/>
          </w:tcPr>
          <w:p w14:paraId="6F555BA4">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22.29</w:t>
            </w:r>
          </w:p>
        </w:tc>
      </w:tr>
      <w:tr w14:paraId="307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627" w:type="dxa"/>
            <w:vMerge w:val="continue"/>
            <w:noWrap w:val="0"/>
            <w:vAlign w:val="top"/>
          </w:tcPr>
          <w:p w14:paraId="441B919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rPr>
            </w:pPr>
          </w:p>
        </w:tc>
        <w:tc>
          <w:tcPr>
            <w:tcW w:w="4350" w:type="dxa"/>
            <w:noWrap w:val="0"/>
            <w:vAlign w:val="center"/>
          </w:tcPr>
          <w:p w14:paraId="3C06E4F0">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kern w:val="2"/>
                <w:sz w:val="21"/>
                <w:szCs w:val="21"/>
                <w:lang w:val="en-US" w:eastAsia="zh-CN" w:bidi="ar-SA"/>
              </w:rPr>
              <w:t>事业单位医疗</w:t>
            </w:r>
          </w:p>
        </w:tc>
        <w:tc>
          <w:tcPr>
            <w:tcW w:w="2055" w:type="dxa"/>
            <w:noWrap w:val="0"/>
            <w:vAlign w:val="center"/>
          </w:tcPr>
          <w:p w14:paraId="23CD8F05">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5.35</w:t>
            </w:r>
          </w:p>
        </w:tc>
        <w:tc>
          <w:tcPr>
            <w:tcW w:w="1995" w:type="dxa"/>
            <w:noWrap w:val="0"/>
            <w:vAlign w:val="center"/>
          </w:tcPr>
          <w:p w14:paraId="7C342843">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val="en-US" w:eastAsia="zh-CN"/>
              </w:rPr>
              <w:t>5.35</w:t>
            </w:r>
          </w:p>
        </w:tc>
      </w:tr>
      <w:tr w14:paraId="40F3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627" w:type="dxa"/>
            <w:vMerge w:val="continue"/>
            <w:noWrap w:val="0"/>
            <w:vAlign w:val="top"/>
          </w:tcPr>
          <w:p w14:paraId="0900BDB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rPr>
            </w:pPr>
          </w:p>
        </w:tc>
        <w:tc>
          <w:tcPr>
            <w:tcW w:w="4350" w:type="dxa"/>
            <w:noWrap w:val="0"/>
            <w:vAlign w:val="center"/>
          </w:tcPr>
          <w:p w14:paraId="4A7B02EE">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21"/>
                <w:lang w:eastAsia="zh-CN"/>
              </w:rPr>
            </w:pPr>
            <w:r>
              <w:rPr>
                <w:rFonts w:hint="eastAsia" w:ascii="仿宋_GB2312" w:hAnsi="仿宋_GB2312" w:eastAsia="仿宋_GB2312" w:cs="仿宋_GB2312"/>
                <w:sz w:val="21"/>
                <w:szCs w:val="21"/>
                <w:lang w:eastAsia="zh-CN"/>
              </w:rPr>
              <w:t>公务员医疗补助</w:t>
            </w:r>
          </w:p>
        </w:tc>
        <w:tc>
          <w:tcPr>
            <w:tcW w:w="2055" w:type="dxa"/>
            <w:noWrap w:val="0"/>
            <w:vAlign w:val="center"/>
          </w:tcPr>
          <w:p w14:paraId="1013CE9D">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7.2</w:t>
            </w:r>
          </w:p>
        </w:tc>
        <w:tc>
          <w:tcPr>
            <w:tcW w:w="1995" w:type="dxa"/>
            <w:noWrap w:val="0"/>
            <w:vAlign w:val="center"/>
          </w:tcPr>
          <w:p w14:paraId="51C99550">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7.2</w:t>
            </w:r>
          </w:p>
        </w:tc>
      </w:tr>
      <w:tr w14:paraId="7C48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627" w:type="dxa"/>
            <w:vMerge w:val="continue"/>
            <w:noWrap w:val="0"/>
            <w:vAlign w:val="top"/>
          </w:tcPr>
          <w:p w14:paraId="0AD8ECF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rPr>
            </w:pPr>
          </w:p>
        </w:tc>
        <w:tc>
          <w:tcPr>
            <w:tcW w:w="4350" w:type="dxa"/>
            <w:noWrap w:val="0"/>
            <w:vAlign w:val="center"/>
          </w:tcPr>
          <w:p w14:paraId="15CC9CCA">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21"/>
                <w:lang w:eastAsia="zh-CN"/>
              </w:rPr>
            </w:pPr>
            <w:r>
              <w:rPr>
                <w:rFonts w:hint="eastAsia" w:ascii="仿宋_GB2312" w:hAnsi="仿宋_GB2312" w:eastAsia="仿宋_GB2312" w:cs="仿宋_GB2312"/>
                <w:sz w:val="21"/>
                <w:szCs w:val="21"/>
                <w:lang w:eastAsia="zh-CN"/>
              </w:rPr>
              <w:t>其他行政事业单位医疗支出</w:t>
            </w:r>
          </w:p>
        </w:tc>
        <w:tc>
          <w:tcPr>
            <w:tcW w:w="2055" w:type="dxa"/>
            <w:noWrap w:val="0"/>
            <w:vAlign w:val="center"/>
          </w:tcPr>
          <w:p w14:paraId="6D564F67">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7.16</w:t>
            </w:r>
          </w:p>
        </w:tc>
        <w:tc>
          <w:tcPr>
            <w:tcW w:w="1995" w:type="dxa"/>
            <w:noWrap w:val="0"/>
            <w:vAlign w:val="center"/>
          </w:tcPr>
          <w:p w14:paraId="733827CB">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7.16</w:t>
            </w:r>
          </w:p>
        </w:tc>
      </w:tr>
      <w:tr w14:paraId="2F47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627" w:type="dxa"/>
            <w:vMerge w:val="continue"/>
            <w:noWrap w:val="0"/>
            <w:vAlign w:val="top"/>
          </w:tcPr>
          <w:p w14:paraId="065DBE2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rPr>
            </w:pPr>
          </w:p>
        </w:tc>
        <w:tc>
          <w:tcPr>
            <w:tcW w:w="4350" w:type="dxa"/>
            <w:noWrap w:val="0"/>
            <w:vAlign w:val="center"/>
          </w:tcPr>
          <w:p w14:paraId="42E1126B">
            <w:pPr>
              <w:keepNext w:val="0"/>
              <w:keepLines w:val="0"/>
              <w:pageBreakBefore w:val="0"/>
              <w:widowControl w:val="0"/>
              <w:kinsoku/>
              <w:wordWrap/>
              <w:overflowPunct/>
              <w:topLinePunct w:val="0"/>
              <w:autoSpaceDE/>
              <w:autoSpaceDN/>
              <w:bidi w:val="0"/>
              <w:adjustRightInd/>
              <w:snapToGrid w:val="0"/>
              <w:spacing w:line="200" w:lineRule="exact"/>
              <w:textAlignment w:val="auto"/>
              <w:rPr>
                <w:rFonts w:hint="default" w:ascii="Times New Roman" w:hAnsi="Times New Roman" w:eastAsia="仿宋_GB2312" w:cs="Times New Roman"/>
                <w:sz w:val="21"/>
                <w:szCs w:val="21"/>
                <w:lang w:eastAsia="zh-CN"/>
              </w:rPr>
            </w:pPr>
            <w:r>
              <w:rPr>
                <w:rFonts w:hint="eastAsia" w:ascii="仿宋_GB2312" w:hAnsi="仿宋_GB2312" w:eastAsia="仿宋_GB2312" w:cs="仿宋_GB2312"/>
                <w:sz w:val="21"/>
                <w:szCs w:val="21"/>
                <w:lang w:eastAsia="zh-CN"/>
              </w:rPr>
              <w:t>其他卫生健康支出</w:t>
            </w:r>
          </w:p>
        </w:tc>
        <w:tc>
          <w:tcPr>
            <w:tcW w:w="2055" w:type="dxa"/>
            <w:noWrap w:val="0"/>
            <w:vAlign w:val="center"/>
          </w:tcPr>
          <w:p w14:paraId="70F76A8A">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3.92</w:t>
            </w:r>
          </w:p>
        </w:tc>
        <w:tc>
          <w:tcPr>
            <w:tcW w:w="1995" w:type="dxa"/>
            <w:noWrap w:val="0"/>
            <w:vAlign w:val="center"/>
          </w:tcPr>
          <w:p w14:paraId="52F8B62C">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val="en-US" w:eastAsia="zh-CN"/>
              </w:rPr>
              <w:t>3.92</w:t>
            </w:r>
          </w:p>
        </w:tc>
      </w:tr>
      <w:tr w14:paraId="54B0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627" w:type="dxa"/>
            <w:vMerge w:val="continue"/>
            <w:noWrap w:val="0"/>
            <w:vAlign w:val="top"/>
          </w:tcPr>
          <w:p w14:paraId="31EAB3C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rPr>
            </w:pPr>
          </w:p>
        </w:tc>
        <w:tc>
          <w:tcPr>
            <w:tcW w:w="4350" w:type="dxa"/>
            <w:noWrap w:val="0"/>
            <w:vAlign w:val="center"/>
          </w:tcPr>
          <w:p w14:paraId="4F7C6D44">
            <w:pPr>
              <w:keepNext w:val="0"/>
              <w:keepLines w:val="0"/>
              <w:pageBreakBefore w:val="0"/>
              <w:widowControl w:val="0"/>
              <w:kinsoku/>
              <w:wordWrap/>
              <w:overflowPunct/>
              <w:topLinePunct w:val="0"/>
              <w:autoSpaceDE/>
              <w:autoSpaceDN/>
              <w:bidi w:val="0"/>
              <w:adjustRightInd/>
              <w:snapToGrid w:val="0"/>
              <w:spacing w:line="200" w:lineRule="exact"/>
              <w:textAlignment w:val="auto"/>
              <w:rPr>
                <w:rFonts w:hint="default" w:ascii="Times New Roman" w:hAnsi="Times New Roman" w:eastAsia="仿宋_GB2312" w:cs="Times New Roman"/>
                <w:sz w:val="21"/>
                <w:szCs w:val="21"/>
              </w:rPr>
            </w:pPr>
            <w:r>
              <w:rPr>
                <w:rFonts w:hint="eastAsia" w:ascii="仿宋_GB2312" w:hAnsi="仿宋_GB2312" w:eastAsia="仿宋_GB2312" w:cs="仿宋_GB2312"/>
                <w:sz w:val="21"/>
                <w:szCs w:val="21"/>
                <w:lang w:eastAsia="zh-CN"/>
              </w:rPr>
              <w:t>住房公积金</w:t>
            </w:r>
          </w:p>
        </w:tc>
        <w:tc>
          <w:tcPr>
            <w:tcW w:w="2055" w:type="dxa"/>
            <w:noWrap w:val="0"/>
            <w:vAlign w:val="center"/>
          </w:tcPr>
          <w:p w14:paraId="1AE827CC">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kern w:val="2"/>
                <w:sz w:val="21"/>
                <w:szCs w:val="21"/>
                <w:lang w:val="en-US" w:eastAsia="zh-CN" w:bidi="ar-SA"/>
              </w:rPr>
              <w:t>43.08</w:t>
            </w:r>
          </w:p>
        </w:tc>
        <w:tc>
          <w:tcPr>
            <w:tcW w:w="1995" w:type="dxa"/>
            <w:noWrap w:val="0"/>
            <w:vAlign w:val="center"/>
          </w:tcPr>
          <w:p w14:paraId="0F5037BC">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2"/>
                <w:sz w:val="21"/>
                <w:szCs w:val="21"/>
                <w:lang w:val="en-US" w:eastAsia="zh-CN" w:bidi="ar-SA"/>
              </w:rPr>
              <w:t>43.08</w:t>
            </w:r>
          </w:p>
        </w:tc>
      </w:tr>
      <w:tr w14:paraId="5F77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627" w:type="dxa"/>
            <w:vMerge w:val="continue"/>
            <w:noWrap w:val="0"/>
            <w:vAlign w:val="top"/>
          </w:tcPr>
          <w:p w14:paraId="66E7FCD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rPr>
            </w:pPr>
          </w:p>
        </w:tc>
        <w:tc>
          <w:tcPr>
            <w:tcW w:w="4350" w:type="dxa"/>
            <w:noWrap w:val="0"/>
            <w:vAlign w:val="center"/>
          </w:tcPr>
          <w:p w14:paraId="32F60CE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lang w:eastAsia="zh-CN"/>
              </w:rPr>
            </w:pPr>
            <w:r>
              <w:rPr>
                <w:rFonts w:hint="eastAsia" w:ascii="仿宋_GB2312" w:hAnsi="仿宋_GB2312" w:eastAsia="仿宋_GB2312" w:cs="仿宋_GB2312"/>
                <w:sz w:val="21"/>
                <w:szCs w:val="21"/>
              </w:rPr>
              <w:t>小计</w:t>
            </w:r>
          </w:p>
        </w:tc>
        <w:tc>
          <w:tcPr>
            <w:tcW w:w="2055" w:type="dxa"/>
            <w:noWrap w:val="0"/>
            <w:vAlign w:val="center"/>
          </w:tcPr>
          <w:p w14:paraId="06E4DF11">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89.92</w:t>
            </w:r>
          </w:p>
        </w:tc>
        <w:tc>
          <w:tcPr>
            <w:tcW w:w="1995" w:type="dxa"/>
            <w:noWrap w:val="0"/>
            <w:vAlign w:val="center"/>
          </w:tcPr>
          <w:p w14:paraId="55474781">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89.92</w:t>
            </w:r>
          </w:p>
        </w:tc>
      </w:tr>
      <w:tr w14:paraId="2845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627" w:type="dxa"/>
            <w:vMerge w:val="continue"/>
            <w:noWrap w:val="0"/>
            <w:textDirection w:val="tbRlV"/>
            <w:vAlign w:val="center"/>
          </w:tcPr>
          <w:p w14:paraId="32FF1A38">
            <w:pPr>
              <w:keepNext w:val="0"/>
              <w:keepLines w:val="0"/>
              <w:pageBreakBefore w:val="0"/>
              <w:widowControl w:val="0"/>
              <w:kinsoku/>
              <w:wordWrap/>
              <w:overflowPunct/>
              <w:topLinePunct w:val="0"/>
              <w:autoSpaceDE/>
              <w:autoSpaceDN/>
              <w:bidi w:val="0"/>
              <w:adjustRightInd/>
              <w:snapToGrid w:val="0"/>
              <w:spacing w:line="240" w:lineRule="exact"/>
              <w:ind w:left="113" w:leftChars="0" w:right="113" w:rightChars="0"/>
              <w:jc w:val="center"/>
              <w:textAlignment w:val="auto"/>
              <w:rPr>
                <w:rFonts w:hint="default" w:ascii="Times New Roman" w:hAnsi="Times New Roman" w:eastAsia="仿宋_GB2312" w:cs="Times New Roman"/>
                <w:sz w:val="21"/>
                <w:szCs w:val="21"/>
              </w:rPr>
            </w:pPr>
          </w:p>
        </w:tc>
        <w:tc>
          <w:tcPr>
            <w:tcW w:w="4350" w:type="dxa"/>
            <w:noWrap w:val="0"/>
            <w:vAlign w:val="center"/>
          </w:tcPr>
          <w:p w14:paraId="034C514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21"/>
                <w:szCs w:val="21"/>
              </w:rPr>
            </w:pPr>
            <w:r>
              <w:rPr>
                <w:rFonts w:hint="eastAsia" w:ascii="仿宋_GB2312" w:hAnsi="仿宋_GB2312" w:eastAsia="仿宋_GB2312" w:cs="仿宋_GB2312"/>
                <w:sz w:val="21"/>
                <w:szCs w:val="21"/>
                <w:lang w:eastAsia="zh-CN"/>
              </w:rPr>
              <w:t>基本支出小计</w:t>
            </w:r>
          </w:p>
        </w:tc>
        <w:tc>
          <w:tcPr>
            <w:tcW w:w="2055" w:type="dxa"/>
            <w:noWrap w:val="0"/>
            <w:vAlign w:val="center"/>
          </w:tcPr>
          <w:p w14:paraId="3C232EFE">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767.24</w:t>
            </w:r>
          </w:p>
        </w:tc>
        <w:tc>
          <w:tcPr>
            <w:tcW w:w="1995" w:type="dxa"/>
            <w:noWrap w:val="0"/>
            <w:vAlign w:val="center"/>
          </w:tcPr>
          <w:p w14:paraId="286A9017">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val="en-US" w:eastAsia="zh-CN"/>
              </w:rPr>
              <w:t>767.24</w:t>
            </w:r>
          </w:p>
        </w:tc>
      </w:tr>
      <w:tr w14:paraId="2555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627" w:type="dxa"/>
            <w:vMerge w:val="restart"/>
            <w:noWrap w:val="0"/>
            <w:textDirection w:val="tbRlV"/>
            <w:vAlign w:val="center"/>
          </w:tcPr>
          <w:p w14:paraId="09A9AF94">
            <w:pPr>
              <w:keepNext w:val="0"/>
              <w:keepLines w:val="0"/>
              <w:pageBreakBefore w:val="0"/>
              <w:widowControl w:val="0"/>
              <w:kinsoku/>
              <w:wordWrap/>
              <w:overflowPunct/>
              <w:topLinePunct w:val="0"/>
              <w:autoSpaceDE/>
              <w:autoSpaceDN/>
              <w:bidi w:val="0"/>
              <w:adjustRightInd/>
              <w:snapToGrid w:val="0"/>
              <w:spacing w:line="240" w:lineRule="exact"/>
              <w:ind w:left="113" w:leftChars="0" w:right="113" w:rightChars="0"/>
              <w:jc w:val="center"/>
              <w:textAlignment w:val="auto"/>
              <w:rPr>
                <w:rFonts w:hint="default" w:ascii="Times New Roman" w:hAnsi="Times New Roman" w:eastAsia="仿宋_GB2312" w:cs="Times New Roman"/>
                <w:sz w:val="21"/>
                <w:szCs w:val="21"/>
              </w:rPr>
            </w:pPr>
            <w:r>
              <w:rPr>
                <w:rFonts w:hint="eastAsia" w:ascii="仿宋_GB2312" w:hAnsi="仿宋_GB2312" w:eastAsia="仿宋_GB2312" w:cs="仿宋_GB2312"/>
                <w:sz w:val="21"/>
                <w:szCs w:val="21"/>
              </w:rPr>
              <w:t>项目支出</w:t>
            </w:r>
          </w:p>
        </w:tc>
        <w:tc>
          <w:tcPr>
            <w:tcW w:w="4350" w:type="dxa"/>
            <w:noWrap w:val="0"/>
            <w:vAlign w:val="center"/>
          </w:tcPr>
          <w:p w14:paraId="3B2B0FB8">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21"/>
              </w:rPr>
            </w:pPr>
            <w:r>
              <w:rPr>
                <w:rFonts w:hint="eastAsia" w:ascii="仿宋_GB2312" w:hAnsi="仿宋_GB2312" w:eastAsia="仿宋_GB2312" w:cs="仿宋_GB2312"/>
                <w:sz w:val="21"/>
                <w:szCs w:val="21"/>
              </w:rPr>
              <w:t>一般行政管理事务</w:t>
            </w:r>
          </w:p>
        </w:tc>
        <w:tc>
          <w:tcPr>
            <w:tcW w:w="2055" w:type="dxa"/>
            <w:noWrap w:val="0"/>
            <w:vAlign w:val="center"/>
          </w:tcPr>
          <w:p w14:paraId="74FE1C45">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35.8</w:t>
            </w:r>
          </w:p>
        </w:tc>
        <w:tc>
          <w:tcPr>
            <w:tcW w:w="1995" w:type="dxa"/>
            <w:noWrap w:val="0"/>
            <w:vAlign w:val="center"/>
          </w:tcPr>
          <w:p w14:paraId="52F67B83">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35.8</w:t>
            </w:r>
          </w:p>
        </w:tc>
      </w:tr>
      <w:tr w14:paraId="298E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627" w:type="dxa"/>
            <w:vMerge w:val="continue"/>
            <w:noWrap w:val="0"/>
            <w:vAlign w:val="center"/>
          </w:tcPr>
          <w:p w14:paraId="2D7BEC56">
            <w:pPr>
              <w:snapToGrid w:val="0"/>
              <w:spacing w:line="360" w:lineRule="auto"/>
              <w:jc w:val="center"/>
              <w:rPr>
                <w:rFonts w:hint="default" w:ascii="Times New Roman" w:hAnsi="Times New Roman" w:eastAsia="仿宋_GB2312" w:cs="Times New Roman"/>
                <w:sz w:val="21"/>
                <w:szCs w:val="21"/>
              </w:rPr>
            </w:pPr>
          </w:p>
        </w:tc>
        <w:tc>
          <w:tcPr>
            <w:tcW w:w="4350" w:type="dxa"/>
            <w:noWrap w:val="0"/>
            <w:vAlign w:val="center"/>
          </w:tcPr>
          <w:p w14:paraId="613A340B">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eastAsia="仿宋_GB2312" w:cs="Times New Roman"/>
                <w:sz w:val="21"/>
                <w:szCs w:val="21"/>
              </w:rPr>
            </w:pPr>
            <w:r>
              <w:rPr>
                <w:rFonts w:hint="eastAsia" w:ascii="仿宋_GB2312" w:hAnsi="仿宋_GB2312" w:eastAsia="仿宋_GB2312" w:cs="仿宋_GB2312"/>
                <w:sz w:val="21"/>
                <w:szCs w:val="21"/>
              </w:rPr>
              <w:t>专项业务及机关事务管理</w:t>
            </w:r>
          </w:p>
        </w:tc>
        <w:tc>
          <w:tcPr>
            <w:tcW w:w="2055" w:type="dxa"/>
            <w:noWrap w:val="0"/>
            <w:vAlign w:val="center"/>
          </w:tcPr>
          <w:p w14:paraId="5FB708F1">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3</w:t>
            </w:r>
          </w:p>
        </w:tc>
        <w:tc>
          <w:tcPr>
            <w:tcW w:w="1995" w:type="dxa"/>
            <w:noWrap w:val="0"/>
            <w:vAlign w:val="center"/>
          </w:tcPr>
          <w:p w14:paraId="311D4F41">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val="en-US" w:eastAsia="zh-CN"/>
              </w:rPr>
              <w:t>3</w:t>
            </w:r>
          </w:p>
        </w:tc>
      </w:tr>
      <w:tr w14:paraId="0129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trPr>
        <w:tc>
          <w:tcPr>
            <w:tcW w:w="627" w:type="dxa"/>
            <w:vMerge w:val="continue"/>
            <w:noWrap w:val="0"/>
            <w:vAlign w:val="center"/>
          </w:tcPr>
          <w:p w14:paraId="3BCD320D">
            <w:pPr>
              <w:snapToGrid w:val="0"/>
              <w:spacing w:line="360" w:lineRule="auto"/>
              <w:jc w:val="center"/>
              <w:rPr>
                <w:rFonts w:hint="default" w:ascii="Times New Roman" w:hAnsi="Times New Roman" w:eastAsia="仿宋_GB2312" w:cs="Times New Roman"/>
                <w:sz w:val="21"/>
                <w:szCs w:val="21"/>
              </w:rPr>
            </w:pPr>
          </w:p>
        </w:tc>
        <w:tc>
          <w:tcPr>
            <w:tcW w:w="4350" w:type="dxa"/>
            <w:noWrap w:val="0"/>
            <w:vAlign w:val="center"/>
          </w:tcPr>
          <w:p w14:paraId="0FDC28A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pPr>
            <w:r>
              <w:rPr>
                <w:rFonts w:hint="eastAsia" w:ascii="仿宋_GB2312" w:hAnsi="仿宋_GB2312" w:eastAsia="仿宋_GB2312" w:cs="仿宋_GB2312"/>
                <w:sz w:val="21"/>
                <w:szCs w:val="21"/>
                <w:lang w:eastAsia="zh-CN"/>
              </w:rPr>
              <w:t>项目支出</w:t>
            </w:r>
            <w:r>
              <w:rPr>
                <w:rFonts w:hint="eastAsia" w:ascii="仿宋_GB2312" w:hAnsi="仿宋_GB2312" w:eastAsia="仿宋_GB2312" w:cs="仿宋_GB2312"/>
                <w:sz w:val="21"/>
                <w:szCs w:val="21"/>
              </w:rPr>
              <w:t>小计</w:t>
            </w:r>
          </w:p>
        </w:tc>
        <w:tc>
          <w:tcPr>
            <w:tcW w:w="2055" w:type="dxa"/>
            <w:noWrap w:val="0"/>
            <w:vAlign w:val="center"/>
          </w:tcPr>
          <w:p w14:paraId="2DF825B4">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38.8</w:t>
            </w:r>
          </w:p>
        </w:tc>
        <w:tc>
          <w:tcPr>
            <w:tcW w:w="1995" w:type="dxa"/>
            <w:noWrap w:val="0"/>
            <w:vAlign w:val="center"/>
          </w:tcPr>
          <w:p w14:paraId="51BEF119">
            <w:pPr>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38.8</w:t>
            </w:r>
          </w:p>
        </w:tc>
      </w:tr>
    </w:tbl>
    <w:p w14:paraId="6EFD453A">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p>
    <w:p w14:paraId="318E807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96B4E00">
      <w:pPr>
        <w:spacing w:line="600" w:lineRule="exact"/>
        <w:ind w:firstLine="643" w:firstLineChars="200"/>
        <w:outlineLvl w:val="2"/>
        <w:rPr>
          <w:rFonts w:hint="default" w:ascii="Times New Roman" w:hAnsi="Times New Roman" w:eastAsia="楷体_GB2312" w:cs="楷体_GB2312"/>
          <w:b/>
          <w:color w:val="auto"/>
          <w:sz w:val="32"/>
          <w:szCs w:val="32"/>
          <w:highlight w:val="none"/>
          <w:lang w:val="zh-CN" w:eastAsia="zh-CN"/>
        </w:rPr>
      </w:pPr>
      <w:r>
        <w:rPr>
          <w:rFonts w:hint="default" w:ascii="Times New Roman" w:hAnsi="Times New Roman" w:eastAsia="楷体_GB2312" w:cs="楷体_GB2312"/>
          <w:b/>
          <w:color w:val="auto"/>
          <w:sz w:val="32"/>
          <w:szCs w:val="32"/>
          <w:highlight w:val="none"/>
          <w:lang w:val="zh-CN"/>
        </w:rPr>
        <w:t>（一）部门预算总体绩效分析</w:t>
      </w:r>
    </w:p>
    <w:p w14:paraId="41B7C72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包括单位绩效目标制定、目标完成、预算编制准确、支出控制、预算动态调整、执行进度、预算完成情况和违规记录等情况。</w:t>
      </w:r>
    </w:p>
    <w:p w14:paraId="64191D8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（1）编制的支出预算，首先保证单位履行基本职能所需要的人员经费和公用经费，然后才支付其他弹性支出和专项支出，但严格控制支出数额和范围。</w:t>
      </w:r>
    </w:p>
    <w:p w14:paraId="7762881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支出预算包括：人员支出、日常公用支出、项目支出。人员支出预算的编制严格按照国家政策规定和标准，逐项核定，没有政策规定的项目，不得列入预算；日常公用支出预算的编制本着节约、从俭的原则编报；项目支出预算的编制紧密结合本单位当年主要职责任务、工作目标及事业发展设想，并充分考虑财政的承受能力，本着实事求是、从严从紧、区别轻重缓急，急事优先的原则按序安排支出事项。</w:t>
      </w:r>
    </w:p>
    <w:p w14:paraId="2FD9302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）预算完成情况。</w:t>
      </w:r>
    </w:p>
    <w:p w14:paraId="4636025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①产出指标完成情况分析。</w:t>
      </w:r>
    </w:p>
    <w:p w14:paraId="110406F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基本支出：2024年全年总额为817.61万元，用于保障成办职工工资福利和日常工作运转的支出。包括行政运行、行政单位离退休、机关事业单位基本养老保险缴费支出、其他社会保障和就业支出、行政单位医疗、公务员医疗补助、其他行政事业单位医疗支出、住房公积金。</w:t>
      </w:r>
    </w:p>
    <w:p w14:paraId="1F9D25A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项目支出：2024年全年总额为5.8万元，用于加强与四川省、成都市各级政府部门的沟通联系，及时了解政策动态和投资信息，努力争取政策、项目、资金等支持，推动实现人才链、资金链、产业链精准对接，为我市的加速发展争取更多的支持和帮助；多渠道收集项目信息，为招商引资牵线搭桥，围绕服务业发展年这一重点，通过走访兄弟市（州）驻蓉办取真经、寻实招，积极参与驻蓉区域协作交流平台等相关活动，加强与外地企业的沟通联系，大力宣传我市资源优势和产业特色，吸引更多企业和投资项目到我市投资发展，为外地客商到我市投资兴业牵线搭桥；加大协调配合力度，积极参与重大招商引资项目在蓉的跟进和服务保障工作，积极参与知名企业四川行、中国西部国际博览会、省级部门支持攀枝花高质量发展共建共同富裕试验区现场签约仪式等活动，为招商引资高质量发展保驾护航。</w:t>
      </w:r>
    </w:p>
    <w:p w14:paraId="3E4B186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②效益指标完成情况分析。</w:t>
      </w:r>
    </w:p>
    <w:p w14:paraId="0D127D9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基本支出：为保障成办的人员工资福利、日常运转及承担的接待、在蓉离退休人员和流动党员的服务管理等工作的支出，完成了市委、市政府交办的任务。</w:t>
      </w:r>
    </w:p>
    <w:p w14:paraId="1AB0D2B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项目支出：为攀枝花市地方经济、人才就业、城市名片、产业升级等起到了多方面的积极推动作用；在引进优秀企业、帮助县（区）项目落地方面取得了实实在在的成效，打好招商引资“人情”牌，做好项目储备工作。</w:t>
      </w:r>
    </w:p>
    <w:p w14:paraId="57A28F1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③满意度指标完成情况分析。</w:t>
      </w:r>
    </w:p>
    <w:p w14:paraId="2AE7E5D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基本支出：满意度指标为≥95%，完成了市委、市政府和主管部门交办的各项工作、任务。</w:t>
      </w:r>
    </w:p>
    <w:p w14:paraId="0EE7849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项目支出：满意度指标为≥95%，积极主动与省级及成都市各部门及各驻蓉机构保持经常性联络和工作互动，为攀枝花对外招商、项目对接搭建合作关系。</w:t>
      </w:r>
    </w:p>
    <w:p w14:paraId="2F48036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（3）结果应用情况。</w:t>
      </w:r>
    </w:p>
    <w:p w14:paraId="39FBD80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①保障机关运转、履行职能职责总体情况</w:t>
      </w:r>
    </w:p>
    <w:p w14:paraId="7B806CF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2024年度机关运行经费为112.19万元，2023年度机关运行经费为122.93万元，本年较上年减少10.73万元，降低了8.73%。</w:t>
      </w:r>
    </w:p>
    <w:p w14:paraId="32F5045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②厉行节约、合理使用项目资金情况</w:t>
      </w:r>
    </w:p>
    <w:p w14:paraId="00065B9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成办2024年预算项目资金有招商引资活动经费5.8万元，用于办公场所的物业服务支出和为我市的经济加速发展争取更多的支持和帮助。</w:t>
      </w:r>
    </w:p>
    <w:p w14:paraId="619B9A7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干休所2023年预算项目资金有机关运转项目经费30万元，用于办公场所的物业服务支出和为离休老干部服务工作。干休所两个院落所管理的两栋楼房、车库、活动室、医务室及附属设施的日常维护维修；清淤，管辖区的市容环境卫生绿化，沟渠清淤疏通，垃圾清运，补充公用支出不足；鉴于其机构设置及编制配置实际情况，为满足离休人员日常管理所需，解决长期聘用人员和临时聘请人员的劳务费；树立一种服务的意识，踏实做事，多做好事,多办实事。认真解决好关系到他们切实利益的具体问题；要让老同志病有所依,老有所养,使老同志真正感受到干休所是一个和谐温馨的大家庭。</w:t>
      </w:r>
    </w:p>
    <w:p w14:paraId="35F21CA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服务中心2024年预算项目资金有维修维护费3万元，用于对小区内为离退休老干部们提供文化娱乐活动场所的固定资产和设备进行维修保养。</w:t>
      </w:r>
    </w:p>
    <w:p w14:paraId="51A499D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③效益指标完成情况分析。</w:t>
      </w:r>
    </w:p>
    <w:p w14:paraId="0E9E9CC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基本支出：为保障单位的人员工资福利、日常运转及承担的接待、在蓉离退休人员和流动党员的服务管理等工作的支出，完成了市委、市政府交办的任务。</w:t>
      </w:r>
    </w:p>
    <w:p w14:paraId="0FE21DA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机关运转项目经费：认真落实中央、省市委离退休老干部服务管理工作要求。切实提高政治站位，用心用情做好离退休干部服务管理工作。</w:t>
      </w:r>
    </w:p>
    <w:p w14:paraId="6755C39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（4）结果应用情况。</w:t>
      </w:r>
    </w:p>
    <w:p w14:paraId="49343D1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①保障机关运转、履行职能职责总体情况</w:t>
      </w:r>
    </w:p>
    <w:p w14:paraId="052D144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2024年度机关运行经费为112.19万元，2023年度机关运行经费122.93万元，本年较上年减少了10.73万元。主要原因是：2024年成办退休3人、相应的公用经费减少。</w:t>
      </w:r>
    </w:p>
    <w:p w14:paraId="7A7A8CE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②厉行节约、合理使用项目资金情况</w:t>
      </w:r>
    </w:p>
    <w:p w14:paraId="30BD678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按照财政部门预算编制的通知和有关要求，按时完成基础工作、项目报送、提交部门预算草案；在财政部门批复日内向社会公开本单位的“三公”经费、机关运行经费的安排、使用情况；本单位的预算执行都达到了执行进度；本单位的财务制度健全，制度执行严格，会计核算符合国家法律法规及相关规定，资金达到了专款专用，开支标准合理、合法。</w:t>
      </w:r>
    </w:p>
    <w:p w14:paraId="0AA5677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（5）支出控制。</w:t>
      </w:r>
    </w:p>
    <w:p w14:paraId="5F6FE64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编制的支出预算，首先保证单位履行基本职能所需要的人员经费和公用经费，然后才支付其他弹性支出和专项支出，但严格控制支出数额和范围。</w:t>
      </w:r>
    </w:p>
    <w:p w14:paraId="2DF6631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支出预算包括：人员支出、日常公用支出、项目支出。人员支出预算的编制严格按照国家政策规定和标准，逐项核定，没有政策规定的项目，不得列入预算；日常公用支出预算的编制本着节约、从俭的原则编报；项目支出预算的编制紧密结合本单位当年主要职责任务、工作目标及事业发展设想，并充分考虑财政的承受能力，本着实事求是、从严从紧、区别轻重缓急，急事优先的原则按序安排支出事项。</w:t>
      </w:r>
    </w:p>
    <w:p w14:paraId="0F82D75E">
      <w:pPr>
        <w:spacing w:line="600" w:lineRule="exact"/>
        <w:ind w:firstLine="643" w:firstLineChars="200"/>
        <w:outlineLvl w:val="2"/>
        <w:rPr>
          <w:rFonts w:hint="default" w:ascii="Times New Roman" w:hAnsi="Times New Roman" w:eastAsia="楷体_GB2312" w:cs="楷体_GB2312"/>
          <w:b/>
          <w:color w:val="auto"/>
          <w:sz w:val="32"/>
          <w:szCs w:val="32"/>
          <w:highlight w:val="none"/>
        </w:rPr>
      </w:pPr>
      <w:r>
        <w:rPr>
          <w:rFonts w:hint="default" w:ascii="Times New Roman" w:hAnsi="Times New Roman" w:eastAsia="楷体_GB2312" w:cs="楷体_GB2312"/>
          <w:b/>
          <w:color w:val="auto"/>
          <w:sz w:val="32"/>
          <w:szCs w:val="32"/>
          <w:highlight w:val="none"/>
          <w:lang w:val="zh-CN"/>
        </w:rPr>
        <w:t>（二）部门预算项目绩效分析</w:t>
      </w:r>
    </w:p>
    <w:tbl>
      <w:tblPr>
        <w:tblStyle w:val="16"/>
        <w:tblW w:w="8979" w:type="dxa"/>
        <w:tblInd w:w="0" w:type="dxa"/>
        <w:tblLayout w:type="fixed"/>
        <w:tblCellMar>
          <w:top w:w="0" w:type="dxa"/>
          <w:left w:w="0" w:type="dxa"/>
          <w:bottom w:w="0" w:type="dxa"/>
          <w:right w:w="0" w:type="dxa"/>
        </w:tblCellMar>
      </w:tblPr>
      <w:tblGrid>
        <w:gridCol w:w="1089"/>
        <w:gridCol w:w="951"/>
        <w:gridCol w:w="999"/>
        <w:gridCol w:w="824"/>
        <w:gridCol w:w="1696"/>
        <w:gridCol w:w="3420"/>
      </w:tblGrid>
      <w:tr w14:paraId="4930C7A2">
        <w:tblPrEx>
          <w:tblCellMar>
            <w:top w:w="0" w:type="dxa"/>
            <w:left w:w="0" w:type="dxa"/>
            <w:bottom w:w="0" w:type="dxa"/>
            <w:right w:w="0" w:type="dxa"/>
          </w:tblCellMar>
        </w:tblPrEx>
        <w:trPr>
          <w:trHeight w:val="460" w:hRule="atLeast"/>
        </w:trPr>
        <w:tc>
          <w:tcPr>
            <w:tcW w:w="8979" w:type="dxa"/>
            <w:gridSpan w:val="6"/>
            <w:tcBorders>
              <w:top w:val="nil"/>
              <w:left w:val="nil"/>
              <w:bottom w:val="nil"/>
              <w:right w:val="nil"/>
            </w:tcBorders>
            <w:noWrap/>
            <w:tcMar>
              <w:top w:w="15" w:type="dxa"/>
              <w:left w:w="15" w:type="dxa"/>
              <w:right w:w="15" w:type="dxa"/>
            </w:tcMar>
            <w:vAlign w:val="center"/>
          </w:tcPr>
          <w:p w14:paraId="4A952A7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(2024年度)</w:t>
            </w:r>
          </w:p>
        </w:tc>
      </w:tr>
      <w:tr w14:paraId="68278B2A">
        <w:tblPrEx>
          <w:tblCellMar>
            <w:top w:w="0" w:type="dxa"/>
            <w:left w:w="0" w:type="dxa"/>
            <w:bottom w:w="0" w:type="dxa"/>
            <w:right w:w="0" w:type="dxa"/>
          </w:tblCellMar>
        </w:tblPrEx>
        <w:trPr>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7B46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项目名称</w:t>
            </w:r>
          </w:p>
        </w:tc>
        <w:tc>
          <w:tcPr>
            <w:tcW w:w="789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9615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招商引资活动经费</w:t>
            </w:r>
          </w:p>
        </w:tc>
      </w:tr>
      <w:tr w14:paraId="774477A1">
        <w:tblPrEx>
          <w:tblCellMar>
            <w:top w:w="0" w:type="dxa"/>
            <w:left w:w="0" w:type="dxa"/>
            <w:bottom w:w="0" w:type="dxa"/>
            <w:right w:w="0" w:type="dxa"/>
          </w:tblCellMar>
        </w:tblPrEx>
        <w:trPr>
          <w:trHeight w:val="365" w:hRule="atLeast"/>
        </w:trPr>
        <w:tc>
          <w:tcPr>
            <w:tcW w:w="108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209C90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部门（单位）</w:t>
            </w:r>
          </w:p>
        </w:tc>
        <w:tc>
          <w:tcPr>
            <w:tcW w:w="789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1EC9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攀枝花市人民政府驻成都办事处</w:t>
            </w:r>
          </w:p>
        </w:tc>
      </w:tr>
      <w:tr w14:paraId="755FF5D0">
        <w:tblPrEx>
          <w:tblCellMar>
            <w:top w:w="0" w:type="dxa"/>
            <w:left w:w="0" w:type="dxa"/>
            <w:bottom w:w="0" w:type="dxa"/>
            <w:right w:w="0" w:type="dxa"/>
          </w:tblCellMar>
        </w:tblPrEx>
        <w:trPr>
          <w:trHeight w:val="345" w:hRule="atLeast"/>
        </w:trPr>
        <w:tc>
          <w:tcPr>
            <w:tcW w:w="10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BC6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项目资金</w:t>
            </w:r>
          </w:p>
        </w:tc>
        <w:tc>
          <w:tcPr>
            <w:tcW w:w="277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99D06">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年度资金总额</w:t>
            </w:r>
          </w:p>
        </w:tc>
        <w:tc>
          <w:tcPr>
            <w:tcW w:w="51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E405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cs="Times New Roman"/>
                <w:i w:val="0"/>
                <w:color w:val="000000"/>
                <w:kern w:val="0"/>
                <w:sz w:val="18"/>
                <w:szCs w:val="18"/>
                <w:u w:val="none"/>
                <w:lang w:val="en-US" w:eastAsia="zh-CN" w:bidi="ar"/>
              </w:rPr>
              <w:t>5.8</w:t>
            </w:r>
            <w:r>
              <w:rPr>
                <w:rFonts w:hint="default" w:ascii="Times New Roman" w:hAnsi="Times New Roman" w:eastAsia="宋体" w:cs="Times New Roman"/>
                <w:i w:val="0"/>
                <w:color w:val="000000"/>
                <w:kern w:val="0"/>
                <w:sz w:val="18"/>
                <w:szCs w:val="18"/>
                <w:u w:val="none"/>
                <w:lang w:val="en-US" w:eastAsia="zh-CN" w:bidi="ar"/>
              </w:rPr>
              <w:t>万元</w:t>
            </w:r>
          </w:p>
        </w:tc>
      </w:tr>
      <w:tr w14:paraId="0D1F8A46">
        <w:tblPrEx>
          <w:tblCellMar>
            <w:top w:w="0" w:type="dxa"/>
            <w:left w:w="0" w:type="dxa"/>
            <w:bottom w:w="0" w:type="dxa"/>
            <w:right w:w="0" w:type="dxa"/>
          </w:tblCellMar>
        </w:tblPrEx>
        <w:trPr>
          <w:trHeight w:val="390" w:hRule="atLeast"/>
        </w:trPr>
        <w:tc>
          <w:tcPr>
            <w:tcW w:w="10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DD43B">
            <w:pPr>
              <w:jc w:val="center"/>
              <w:rPr>
                <w:rFonts w:hint="default" w:ascii="Times New Roman" w:hAnsi="Times New Roman" w:eastAsia="宋体" w:cs="Times New Roman"/>
                <w:i w:val="0"/>
                <w:color w:val="000000"/>
                <w:sz w:val="18"/>
                <w:szCs w:val="18"/>
                <w:u w:val="none"/>
              </w:rPr>
            </w:pPr>
          </w:p>
        </w:tc>
        <w:tc>
          <w:tcPr>
            <w:tcW w:w="277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5706C">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其中：财政拨款</w:t>
            </w:r>
          </w:p>
        </w:tc>
        <w:tc>
          <w:tcPr>
            <w:tcW w:w="51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67AA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cs="Times New Roman"/>
                <w:i w:val="0"/>
                <w:color w:val="000000"/>
                <w:kern w:val="0"/>
                <w:sz w:val="18"/>
                <w:szCs w:val="18"/>
                <w:u w:val="none"/>
                <w:lang w:val="en-US" w:eastAsia="zh-CN" w:bidi="ar"/>
              </w:rPr>
              <w:t>5.8</w:t>
            </w:r>
            <w:r>
              <w:rPr>
                <w:rFonts w:hint="default" w:ascii="Times New Roman" w:hAnsi="Times New Roman" w:eastAsia="宋体" w:cs="Times New Roman"/>
                <w:i w:val="0"/>
                <w:color w:val="000000"/>
                <w:kern w:val="0"/>
                <w:sz w:val="18"/>
                <w:szCs w:val="18"/>
                <w:u w:val="none"/>
                <w:lang w:val="en-US" w:eastAsia="zh-CN" w:bidi="ar"/>
              </w:rPr>
              <w:t>万元</w:t>
            </w:r>
          </w:p>
        </w:tc>
      </w:tr>
      <w:tr w14:paraId="1CB22771">
        <w:tblPrEx>
          <w:tblCellMar>
            <w:top w:w="0" w:type="dxa"/>
            <w:left w:w="0" w:type="dxa"/>
            <w:bottom w:w="0" w:type="dxa"/>
            <w:right w:w="0" w:type="dxa"/>
          </w:tblCellMar>
        </w:tblPrEx>
        <w:trPr>
          <w:trHeight w:val="840" w:hRule="atLeast"/>
        </w:trPr>
        <w:tc>
          <w:tcPr>
            <w:tcW w:w="1089" w:type="dxa"/>
            <w:tcBorders>
              <w:top w:val="nil"/>
              <w:left w:val="single" w:color="000000" w:sz="4" w:space="0"/>
              <w:bottom w:val="single" w:color="000000" w:sz="4" w:space="0"/>
              <w:right w:val="nil"/>
            </w:tcBorders>
            <w:noWrap w:val="0"/>
            <w:tcMar>
              <w:top w:w="15" w:type="dxa"/>
              <w:left w:w="15" w:type="dxa"/>
              <w:right w:w="15" w:type="dxa"/>
            </w:tcMar>
            <w:vAlign w:val="center"/>
          </w:tcPr>
          <w:p w14:paraId="542D7D6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总体目标</w:t>
            </w:r>
          </w:p>
        </w:tc>
        <w:tc>
          <w:tcPr>
            <w:tcW w:w="78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46F3D">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充分利用地处成都的地域优势，主动作为，立足攀枝花实际，积极对外宣传攀枝花，展示攀枝花形象，推介攀枝花发展项目，力争引进优秀企业，帮助区县项目实实在在的落地。同时，大力推广宣传攀枝花特色产品，促进攀枝花地方产品的加工生产、农产品的种植栽培，这样既提高了攀枝花各色工业、农业产品的知名度，也提升攀枝花的城市形象，从而助推攀枝花经济的发展。</w:t>
            </w:r>
          </w:p>
        </w:tc>
      </w:tr>
      <w:tr w14:paraId="59CA1109">
        <w:tblPrEx>
          <w:tblCellMar>
            <w:top w:w="0" w:type="dxa"/>
            <w:left w:w="0" w:type="dxa"/>
            <w:bottom w:w="0" w:type="dxa"/>
            <w:right w:w="0" w:type="dxa"/>
          </w:tblCellMar>
        </w:tblPrEx>
        <w:trPr>
          <w:trHeight w:val="420" w:hRule="atLeast"/>
        </w:trPr>
        <w:tc>
          <w:tcPr>
            <w:tcW w:w="108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02CF1E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绩效指标</w:t>
            </w:r>
          </w:p>
        </w:tc>
        <w:tc>
          <w:tcPr>
            <w:tcW w:w="951"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20097C8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99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0AF73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04D6F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342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B617B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指标值（包含数字及文字描述）</w:t>
            </w:r>
          </w:p>
        </w:tc>
      </w:tr>
      <w:tr w14:paraId="5382BF04">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4D353C84">
            <w:pPr>
              <w:jc w:val="center"/>
              <w:rPr>
                <w:rFonts w:hint="default" w:ascii="Times New Roman" w:hAnsi="Times New Roman" w:eastAsia="宋体" w:cs="Times New Roman"/>
                <w:i w:val="0"/>
                <w:color w:val="000000"/>
                <w:sz w:val="18"/>
                <w:szCs w:val="18"/>
                <w:u w:val="none"/>
              </w:rPr>
            </w:pPr>
          </w:p>
        </w:tc>
        <w:tc>
          <w:tcPr>
            <w:tcW w:w="951"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1C042CD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项目完成</w:t>
            </w:r>
          </w:p>
        </w:tc>
        <w:tc>
          <w:tcPr>
            <w:tcW w:w="999" w:type="dxa"/>
            <w:vMerge w:val="restart"/>
            <w:tcBorders>
              <w:top w:val="nil"/>
              <w:left w:val="single" w:color="auto" w:sz="4" w:space="0"/>
              <w:bottom w:val="nil"/>
              <w:right w:val="single" w:color="000000" w:sz="4" w:space="0"/>
            </w:tcBorders>
            <w:noWrap/>
            <w:tcMar>
              <w:top w:w="15" w:type="dxa"/>
              <w:left w:w="15" w:type="dxa"/>
              <w:right w:w="15" w:type="dxa"/>
            </w:tcMar>
            <w:vAlign w:val="center"/>
          </w:tcPr>
          <w:p w14:paraId="630DF46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数量指标</w:t>
            </w: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36B6D4B">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指标1：招商引资工作经费</w:t>
            </w:r>
          </w:p>
        </w:tc>
        <w:tc>
          <w:tcPr>
            <w:tcW w:w="34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5B6E599">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每年两次及以上组织开展并参与招商工作各项活动，报送有效投资信息。</w:t>
            </w:r>
          </w:p>
        </w:tc>
      </w:tr>
      <w:tr w14:paraId="50DAC63D">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5DC55D92">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46AA8EE8">
            <w:pPr>
              <w:jc w:val="center"/>
              <w:rPr>
                <w:rFonts w:hint="default" w:ascii="Times New Roman" w:hAnsi="Times New Roman" w:eastAsia="宋体" w:cs="Times New Roman"/>
                <w:i w:val="0"/>
                <w:color w:val="000000"/>
                <w:sz w:val="18"/>
                <w:szCs w:val="18"/>
                <w:u w:val="none"/>
              </w:rPr>
            </w:pPr>
          </w:p>
        </w:tc>
        <w:tc>
          <w:tcPr>
            <w:tcW w:w="999" w:type="dxa"/>
            <w:vMerge w:val="continue"/>
            <w:tcBorders>
              <w:top w:val="nil"/>
              <w:left w:val="single" w:color="auto" w:sz="4" w:space="0"/>
              <w:bottom w:val="nil"/>
              <w:right w:val="single" w:color="000000" w:sz="4" w:space="0"/>
            </w:tcBorders>
            <w:noWrap/>
            <w:tcMar>
              <w:top w:w="15" w:type="dxa"/>
              <w:left w:w="15" w:type="dxa"/>
              <w:right w:w="15" w:type="dxa"/>
            </w:tcMar>
            <w:vAlign w:val="center"/>
          </w:tcPr>
          <w:p w14:paraId="2C8A6380">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48AD53">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指标2：特色产品推广费</w:t>
            </w:r>
          </w:p>
        </w:tc>
        <w:tc>
          <w:tcPr>
            <w:tcW w:w="34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7D62978">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按农产品季节推广攀枝花农产品，介绍宣传攀枝花地方产品。</w:t>
            </w:r>
          </w:p>
        </w:tc>
      </w:tr>
      <w:tr w14:paraId="0EB0AE25">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41E13A1A">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5C29D437">
            <w:pPr>
              <w:jc w:val="center"/>
              <w:rPr>
                <w:rFonts w:hint="default" w:ascii="Times New Roman" w:hAnsi="Times New Roman" w:eastAsia="宋体" w:cs="Times New Roman"/>
                <w:i w:val="0"/>
                <w:color w:val="000000"/>
                <w:sz w:val="18"/>
                <w:szCs w:val="18"/>
                <w:u w:val="none"/>
              </w:rPr>
            </w:pPr>
          </w:p>
        </w:tc>
        <w:tc>
          <w:tcPr>
            <w:tcW w:w="99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27AE9A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质量指标</w:t>
            </w: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AEF86E">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指标1：招商引资工作经费</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F7B4C">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促进招商项目签约，提供投资咨询服务，多渠道发挥桥梁和纽带作用。</w:t>
            </w:r>
          </w:p>
        </w:tc>
      </w:tr>
      <w:tr w14:paraId="713D1567">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4340E2EE">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4E60F880">
            <w:pPr>
              <w:jc w:val="center"/>
              <w:rPr>
                <w:rFonts w:hint="default" w:ascii="Times New Roman" w:hAnsi="Times New Roman" w:eastAsia="宋体" w:cs="Times New Roman"/>
                <w:i w:val="0"/>
                <w:color w:val="000000"/>
                <w:sz w:val="18"/>
                <w:szCs w:val="18"/>
                <w:u w:val="none"/>
              </w:rPr>
            </w:pPr>
          </w:p>
        </w:tc>
        <w:tc>
          <w:tcPr>
            <w:tcW w:w="99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DA33CE6">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95E271">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指标2：特色产品推广费</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6EA0E">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推广攀枝花产品的种类、品质、特色，加深人们对其的认识和了解。</w:t>
            </w:r>
          </w:p>
        </w:tc>
      </w:tr>
      <w:tr w14:paraId="5E3B20F2">
        <w:tblPrEx>
          <w:tblCellMar>
            <w:top w:w="0" w:type="dxa"/>
            <w:left w:w="0" w:type="dxa"/>
            <w:bottom w:w="0" w:type="dxa"/>
            <w:right w:w="0" w:type="dxa"/>
          </w:tblCellMar>
        </w:tblPrEx>
        <w:trPr>
          <w:trHeight w:val="385"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51A899BB">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5F108229">
            <w:pPr>
              <w:jc w:val="center"/>
              <w:rPr>
                <w:rFonts w:hint="default" w:ascii="Times New Roman" w:hAnsi="Times New Roman" w:eastAsia="宋体" w:cs="Times New Roman"/>
                <w:i w:val="0"/>
                <w:color w:val="000000"/>
                <w:sz w:val="18"/>
                <w:szCs w:val="18"/>
                <w:u w:val="none"/>
              </w:rPr>
            </w:pPr>
          </w:p>
        </w:tc>
        <w:tc>
          <w:tcPr>
            <w:tcW w:w="99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9B4043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时效指标</w:t>
            </w: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32F516">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指标1：招商引资工作经费</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EA57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w:t>
            </w:r>
          </w:p>
        </w:tc>
      </w:tr>
      <w:tr w14:paraId="156A7590">
        <w:tblPrEx>
          <w:tblCellMar>
            <w:top w:w="0" w:type="dxa"/>
            <w:left w:w="0" w:type="dxa"/>
            <w:bottom w:w="0" w:type="dxa"/>
            <w:right w:w="0" w:type="dxa"/>
          </w:tblCellMar>
        </w:tblPrEx>
        <w:trPr>
          <w:trHeight w:val="43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1259A0BF">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7BB77451">
            <w:pPr>
              <w:jc w:val="center"/>
              <w:rPr>
                <w:rFonts w:hint="default" w:ascii="Times New Roman" w:hAnsi="Times New Roman" w:eastAsia="宋体" w:cs="Times New Roman"/>
                <w:i w:val="0"/>
                <w:color w:val="000000"/>
                <w:sz w:val="18"/>
                <w:szCs w:val="18"/>
                <w:u w:val="none"/>
              </w:rPr>
            </w:pPr>
          </w:p>
        </w:tc>
        <w:tc>
          <w:tcPr>
            <w:tcW w:w="99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5BF936F">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614E534">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指标2：特色产品推广费</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ADDD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w:t>
            </w:r>
          </w:p>
        </w:tc>
      </w:tr>
      <w:tr w14:paraId="3F277539">
        <w:tblPrEx>
          <w:tblCellMar>
            <w:top w:w="0" w:type="dxa"/>
            <w:left w:w="0" w:type="dxa"/>
            <w:bottom w:w="0" w:type="dxa"/>
            <w:right w:w="0" w:type="dxa"/>
          </w:tblCellMar>
        </w:tblPrEx>
        <w:trPr>
          <w:trHeight w:val="4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7DC0FAB3">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5B8E26FE">
            <w:pPr>
              <w:jc w:val="center"/>
              <w:rPr>
                <w:rFonts w:hint="default" w:ascii="Times New Roman" w:hAnsi="Times New Roman" w:eastAsia="宋体" w:cs="Times New Roman"/>
                <w:i w:val="0"/>
                <w:color w:val="000000"/>
                <w:sz w:val="18"/>
                <w:szCs w:val="18"/>
                <w:u w:val="none"/>
              </w:rPr>
            </w:pPr>
          </w:p>
        </w:tc>
        <w:tc>
          <w:tcPr>
            <w:tcW w:w="99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CE98F3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成本指标</w:t>
            </w: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8D3F3F">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指标1：招商引资工作经费</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8150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3万元</w:t>
            </w:r>
          </w:p>
        </w:tc>
      </w:tr>
      <w:tr w14:paraId="5CB7A09B">
        <w:tblPrEx>
          <w:tblCellMar>
            <w:top w:w="0" w:type="dxa"/>
            <w:left w:w="0" w:type="dxa"/>
            <w:bottom w:w="0" w:type="dxa"/>
            <w:right w:w="0" w:type="dxa"/>
          </w:tblCellMar>
        </w:tblPrEx>
        <w:trPr>
          <w:trHeight w:val="425"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645CA04F">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6E63C46A">
            <w:pPr>
              <w:jc w:val="center"/>
              <w:rPr>
                <w:rFonts w:hint="default" w:ascii="Times New Roman" w:hAnsi="Times New Roman" w:eastAsia="宋体" w:cs="Times New Roman"/>
                <w:i w:val="0"/>
                <w:color w:val="000000"/>
                <w:sz w:val="18"/>
                <w:szCs w:val="18"/>
                <w:u w:val="none"/>
              </w:rPr>
            </w:pPr>
          </w:p>
        </w:tc>
        <w:tc>
          <w:tcPr>
            <w:tcW w:w="999" w:type="dxa"/>
            <w:vMerge w:val="continue"/>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6405D64D">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05679638">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指标2：特色产品推广费</w:t>
            </w:r>
          </w:p>
        </w:tc>
        <w:tc>
          <w:tcPr>
            <w:tcW w:w="34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B0744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2.8万元</w:t>
            </w:r>
          </w:p>
        </w:tc>
      </w:tr>
      <w:tr w14:paraId="535358BD">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65C12849">
            <w:pPr>
              <w:jc w:val="center"/>
              <w:rPr>
                <w:rFonts w:hint="default" w:ascii="Times New Roman" w:hAnsi="Times New Roman" w:eastAsia="宋体" w:cs="Times New Roman"/>
                <w:i w:val="0"/>
                <w:color w:val="000000"/>
                <w:sz w:val="18"/>
                <w:szCs w:val="18"/>
                <w:u w:val="none"/>
              </w:rPr>
            </w:pPr>
          </w:p>
        </w:tc>
        <w:tc>
          <w:tcPr>
            <w:tcW w:w="951"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7466A11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项目效益</w:t>
            </w:r>
          </w:p>
        </w:tc>
        <w:tc>
          <w:tcPr>
            <w:tcW w:w="99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0A047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社会效益  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D984F8">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指标1：招商引资工作经费</w:t>
            </w:r>
          </w:p>
        </w:tc>
        <w:tc>
          <w:tcPr>
            <w:tcW w:w="342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DCAD5F9">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为攀枝花市地方经济、人才就业、城市名片、产业升级等多方面起到积极的推动作用。</w:t>
            </w:r>
          </w:p>
        </w:tc>
      </w:tr>
      <w:tr w14:paraId="0391D8CD">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2F80EBF8">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23D72F3D">
            <w:pPr>
              <w:jc w:val="center"/>
              <w:rPr>
                <w:rFonts w:hint="default" w:ascii="Times New Roman" w:hAnsi="Times New Roman" w:eastAsia="宋体" w:cs="Times New Roman"/>
                <w:i w:val="0"/>
                <w:color w:val="000000"/>
                <w:sz w:val="18"/>
                <w:szCs w:val="18"/>
                <w:u w:val="none"/>
              </w:rPr>
            </w:pPr>
          </w:p>
        </w:tc>
        <w:tc>
          <w:tcPr>
            <w:tcW w:w="99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0B911F">
            <w:pPr>
              <w:jc w:val="center"/>
              <w:rPr>
                <w:rFonts w:hint="default" w:ascii="Times New Roman" w:hAnsi="Times New Roman" w:eastAsia="宋体" w:cs="Times New Roman"/>
                <w:i w:val="0"/>
                <w:color w:val="000000"/>
                <w:sz w:val="18"/>
                <w:szCs w:val="18"/>
                <w:u w:val="none"/>
              </w:rPr>
            </w:pP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446C52">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指标2：特色产品推广费</w:t>
            </w:r>
          </w:p>
        </w:tc>
        <w:tc>
          <w:tcPr>
            <w:tcW w:w="3420" w:type="dxa"/>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2EE0AE12">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推广攀枝花特色地方产品，提高其知名度。</w:t>
            </w:r>
          </w:p>
        </w:tc>
      </w:tr>
      <w:tr w14:paraId="0AC25AD2">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5C434840">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40015345">
            <w:pPr>
              <w:jc w:val="center"/>
              <w:rPr>
                <w:rFonts w:hint="default" w:ascii="Times New Roman" w:hAnsi="Times New Roman" w:eastAsia="宋体" w:cs="Times New Roman"/>
                <w:i w:val="0"/>
                <w:color w:val="000000"/>
                <w:sz w:val="18"/>
                <w:szCs w:val="18"/>
                <w:u w:val="none"/>
              </w:rPr>
            </w:pPr>
          </w:p>
        </w:tc>
        <w:tc>
          <w:tcPr>
            <w:tcW w:w="999" w:type="dxa"/>
            <w:vMerge w:val="restart"/>
            <w:tcBorders>
              <w:top w:val="single" w:color="auto" w:sz="4" w:space="0"/>
              <w:left w:val="single" w:color="000000" w:sz="4" w:space="0"/>
              <w:bottom w:val="single" w:color="000000" w:sz="4" w:space="0"/>
              <w:right w:val="nil"/>
            </w:tcBorders>
            <w:noWrap w:val="0"/>
            <w:tcMar>
              <w:top w:w="15" w:type="dxa"/>
              <w:left w:w="15" w:type="dxa"/>
              <w:right w:w="15" w:type="dxa"/>
            </w:tcMar>
            <w:vAlign w:val="center"/>
          </w:tcPr>
          <w:p w14:paraId="3DD1E21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经济效益 指标</w:t>
            </w:r>
          </w:p>
        </w:tc>
        <w:tc>
          <w:tcPr>
            <w:tcW w:w="252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AA4CCE1">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指标1：招商引资工作经费</w:t>
            </w:r>
          </w:p>
        </w:tc>
        <w:tc>
          <w:tcPr>
            <w:tcW w:w="342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F6981A7">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配合市级部门、各县区前往省级相关部门、成都市相关部门对接工作、争取项目资金。</w:t>
            </w:r>
          </w:p>
        </w:tc>
      </w:tr>
      <w:tr w14:paraId="3743C160">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1737079B">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2ABEAB58">
            <w:pPr>
              <w:jc w:val="center"/>
              <w:rPr>
                <w:rFonts w:hint="default" w:ascii="Times New Roman" w:hAnsi="Times New Roman" w:eastAsia="宋体" w:cs="Times New Roman"/>
                <w:i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72A4072">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477D1B0">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指标2：特色产品推广费</w:t>
            </w:r>
          </w:p>
        </w:tc>
        <w:tc>
          <w:tcPr>
            <w:tcW w:w="342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AB42615">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发展攀枝花地方产品的加工生产、农产品的种植栽培，提高其经济效益。</w:t>
            </w:r>
          </w:p>
        </w:tc>
      </w:tr>
      <w:tr w14:paraId="51D7F5F1">
        <w:tblPrEx>
          <w:tblCellMar>
            <w:top w:w="0" w:type="dxa"/>
            <w:left w:w="0" w:type="dxa"/>
            <w:bottom w:w="0" w:type="dxa"/>
            <w:right w:w="0" w:type="dxa"/>
          </w:tblCellMar>
        </w:tblPrEx>
        <w:trPr>
          <w:trHeight w:val="435"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36E0BE38">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18D8E8BD">
            <w:pPr>
              <w:jc w:val="center"/>
              <w:rPr>
                <w:rFonts w:hint="default" w:ascii="Times New Roman" w:hAnsi="Times New Roman" w:eastAsia="宋体" w:cs="Times New Roman"/>
                <w:i w:val="0"/>
                <w:color w:val="000000"/>
                <w:sz w:val="18"/>
                <w:szCs w:val="18"/>
                <w:u w:val="none"/>
              </w:rPr>
            </w:pPr>
          </w:p>
        </w:tc>
        <w:tc>
          <w:tcPr>
            <w:tcW w:w="999" w:type="dxa"/>
            <w:vMerge w:val="restart"/>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14:paraId="5DF8272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生态效益 指标</w:t>
            </w:r>
          </w:p>
        </w:tc>
        <w:tc>
          <w:tcPr>
            <w:tcW w:w="2520" w:type="dxa"/>
            <w:gridSpan w:val="2"/>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5FAA5468">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指标1：招商引资工作经费</w:t>
            </w:r>
          </w:p>
        </w:tc>
        <w:tc>
          <w:tcPr>
            <w:tcW w:w="34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A4AAD4E">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助推攀枝花经济发展。</w:t>
            </w:r>
          </w:p>
        </w:tc>
      </w:tr>
      <w:tr w14:paraId="5E56326A">
        <w:tblPrEx>
          <w:tblCellMar>
            <w:top w:w="0" w:type="dxa"/>
            <w:left w:w="0" w:type="dxa"/>
            <w:bottom w:w="0" w:type="dxa"/>
            <w:right w:w="0" w:type="dxa"/>
          </w:tblCellMar>
        </w:tblPrEx>
        <w:trPr>
          <w:trHeight w:val="500" w:hRule="atLeast"/>
        </w:trPr>
        <w:tc>
          <w:tcPr>
            <w:tcW w:w="1089"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14:paraId="122ACFC7">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0E22A553">
            <w:pPr>
              <w:jc w:val="center"/>
              <w:rPr>
                <w:rFonts w:hint="default" w:ascii="Times New Roman" w:hAnsi="Times New Roman" w:eastAsia="宋体" w:cs="Times New Roman"/>
                <w:i w:val="0"/>
                <w:color w:val="000000"/>
                <w:sz w:val="18"/>
                <w:szCs w:val="18"/>
                <w:u w:val="none"/>
              </w:rPr>
            </w:pPr>
          </w:p>
        </w:tc>
        <w:tc>
          <w:tcPr>
            <w:tcW w:w="99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1398E4">
            <w:pPr>
              <w:jc w:val="center"/>
              <w:rPr>
                <w:rFonts w:hint="default" w:ascii="Times New Roman" w:hAnsi="Times New Roman" w:eastAsia="宋体" w:cs="Times New Roman"/>
                <w:i w:val="0"/>
                <w:color w:val="000000"/>
                <w:sz w:val="18"/>
                <w:szCs w:val="18"/>
                <w:u w:val="none"/>
              </w:rPr>
            </w:pP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6BB218">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指标2：特色产品推广费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5D7DDC">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发展农业、旅游业，减少城市污染，建设生态攀枝花。</w:t>
            </w:r>
          </w:p>
        </w:tc>
      </w:tr>
      <w:tr w14:paraId="5C8F6A02">
        <w:tblPrEx>
          <w:tblCellMar>
            <w:top w:w="0" w:type="dxa"/>
            <w:left w:w="0" w:type="dxa"/>
            <w:bottom w:w="0" w:type="dxa"/>
            <w:right w:w="0" w:type="dxa"/>
          </w:tblCellMar>
        </w:tblPrEx>
        <w:trPr>
          <w:trHeight w:val="535" w:hRule="atLeast"/>
        </w:trPr>
        <w:tc>
          <w:tcPr>
            <w:tcW w:w="1089"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78458281">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绩效指标</w:t>
            </w:r>
          </w:p>
        </w:tc>
        <w:tc>
          <w:tcPr>
            <w:tcW w:w="951" w:type="dxa"/>
            <w:tcBorders>
              <w:top w:val="single" w:color="auto" w:sz="4" w:space="0"/>
              <w:left w:val="nil"/>
              <w:bottom w:val="single" w:color="auto" w:sz="4" w:space="0"/>
              <w:right w:val="nil"/>
            </w:tcBorders>
            <w:noWrap/>
            <w:tcMar>
              <w:top w:w="15" w:type="dxa"/>
              <w:left w:w="15" w:type="dxa"/>
              <w:right w:w="15" w:type="dxa"/>
            </w:tcMar>
            <w:vAlign w:val="center"/>
          </w:tcPr>
          <w:p w14:paraId="0901B39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999" w:type="dxa"/>
            <w:tcBorders>
              <w:top w:val="single" w:color="auto" w:sz="4" w:space="0"/>
              <w:left w:val="single" w:color="000000" w:sz="4" w:space="0"/>
              <w:bottom w:val="single" w:color="000000" w:sz="4" w:space="0"/>
              <w:right w:val="nil"/>
            </w:tcBorders>
            <w:noWrap w:val="0"/>
            <w:tcMar>
              <w:top w:w="15" w:type="dxa"/>
              <w:left w:w="15" w:type="dxa"/>
              <w:right w:w="15" w:type="dxa"/>
            </w:tcMar>
            <w:vAlign w:val="center"/>
          </w:tcPr>
          <w:p w14:paraId="3FE5303E">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252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3424DE1C">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3420"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277F5C38">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指标值（包含数字及文字描述）</w:t>
            </w:r>
          </w:p>
        </w:tc>
      </w:tr>
      <w:tr w14:paraId="7F1ACB5C">
        <w:tblPrEx>
          <w:tblCellMar>
            <w:top w:w="0" w:type="dxa"/>
            <w:left w:w="0" w:type="dxa"/>
            <w:bottom w:w="0" w:type="dxa"/>
            <w:right w:w="0" w:type="dxa"/>
          </w:tblCellMar>
        </w:tblPrEx>
        <w:trPr>
          <w:trHeight w:val="70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227FE6CC">
            <w:pPr>
              <w:jc w:val="center"/>
              <w:rPr>
                <w:rFonts w:hint="default" w:ascii="Times New Roman" w:hAnsi="Times New Roman" w:eastAsia="宋体" w:cs="Times New Roman"/>
                <w:i w:val="0"/>
                <w:color w:val="000000"/>
                <w:sz w:val="18"/>
                <w:szCs w:val="18"/>
                <w:u w:val="none"/>
              </w:rPr>
            </w:pPr>
          </w:p>
        </w:tc>
        <w:tc>
          <w:tcPr>
            <w:tcW w:w="951" w:type="dxa"/>
            <w:vMerge w:val="restart"/>
            <w:tcBorders>
              <w:top w:val="single" w:color="auto" w:sz="4" w:space="0"/>
              <w:left w:val="nil"/>
              <w:right w:val="nil"/>
            </w:tcBorders>
            <w:noWrap/>
            <w:tcMar>
              <w:top w:w="15" w:type="dxa"/>
              <w:left w:w="15" w:type="dxa"/>
              <w:right w:w="15" w:type="dxa"/>
            </w:tcMar>
            <w:vAlign w:val="center"/>
          </w:tcPr>
          <w:p w14:paraId="7553EB08">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项目效益</w:t>
            </w:r>
          </w:p>
        </w:tc>
        <w:tc>
          <w:tcPr>
            <w:tcW w:w="999" w:type="dxa"/>
            <w:vMerge w:val="restart"/>
            <w:tcBorders>
              <w:top w:val="single" w:color="auto" w:sz="4" w:space="0"/>
              <w:left w:val="single" w:color="000000" w:sz="4" w:space="0"/>
              <w:bottom w:val="single" w:color="000000" w:sz="4" w:space="0"/>
              <w:right w:val="nil"/>
            </w:tcBorders>
            <w:noWrap w:val="0"/>
            <w:tcMar>
              <w:top w:w="15" w:type="dxa"/>
              <w:left w:w="15" w:type="dxa"/>
              <w:right w:w="15" w:type="dxa"/>
            </w:tcMar>
            <w:vAlign w:val="center"/>
          </w:tcPr>
          <w:p w14:paraId="2F2ABCA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可持续影响指标</w:t>
            </w:r>
          </w:p>
        </w:tc>
        <w:tc>
          <w:tcPr>
            <w:tcW w:w="252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E552614">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指标1：招商引资工作经费</w:t>
            </w:r>
          </w:p>
        </w:tc>
        <w:tc>
          <w:tcPr>
            <w:tcW w:w="3420"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7EFD7CF4">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做好招商项目的储备与更新，保持与省级相关部门及市、县区对接沟通的常态化，及时了解市区发展重点，不断巩固与市、县区、部门形成的联动招商格局。</w:t>
            </w:r>
          </w:p>
        </w:tc>
      </w:tr>
      <w:tr w14:paraId="45457762">
        <w:tblPrEx>
          <w:tblCellMar>
            <w:top w:w="0" w:type="dxa"/>
            <w:left w:w="0" w:type="dxa"/>
            <w:bottom w:w="0" w:type="dxa"/>
            <w:right w:w="0" w:type="dxa"/>
          </w:tblCellMar>
        </w:tblPrEx>
        <w:trPr>
          <w:trHeight w:val="52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70CADCCF">
            <w:pPr>
              <w:jc w:val="center"/>
              <w:rPr>
                <w:rFonts w:hint="default" w:ascii="Times New Roman" w:hAnsi="Times New Roman" w:eastAsia="宋体" w:cs="Times New Roman"/>
                <w:i w:val="0"/>
                <w:color w:val="000000"/>
                <w:sz w:val="18"/>
                <w:szCs w:val="18"/>
                <w:u w:val="none"/>
              </w:rPr>
            </w:pPr>
          </w:p>
        </w:tc>
        <w:tc>
          <w:tcPr>
            <w:tcW w:w="951" w:type="dxa"/>
            <w:vMerge w:val="continue"/>
            <w:tcBorders>
              <w:left w:val="nil"/>
              <w:bottom w:val="single" w:color="auto" w:sz="4" w:space="0"/>
              <w:right w:val="nil"/>
            </w:tcBorders>
            <w:noWrap/>
            <w:tcMar>
              <w:top w:w="15" w:type="dxa"/>
              <w:left w:w="15" w:type="dxa"/>
              <w:right w:w="15" w:type="dxa"/>
            </w:tcMar>
            <w:vAlign w:val="center"/>
          </w:tcPr>
          <w:p w14:paraId="5E4800E2">
            <w:pPr>
              <w:jc w:val="center"/>
              <w:rPr>
                <w:rFonts w:hint="default" w:ascii="Times New Roman" w:hAnsi="Times New Roman" w:eastAsia="宋体" w:cs="Times New Roman"/>
                <w:i w:val="0"/>
                <w:color w:val="000000"/>
                <w:sz w:val="18"/>
                <w:szCs w:val="18"/>
                <w:u w:val="none"/>
              </w:rPr>
            </w:pPr>
          </w:p>
        </w:tc>
        <w:tc>
          <w:tcPr>
            <w:tcW w:w="999"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14:paraId="4E2788D3">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B290A9">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指标2：特色产品推广费</w:t>
            </w:r>
          </w:p>
        </w:tc>
        <w:tc>
          <w:tcPr>
            <w:tcW w:w="342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000F47F">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通过对攀枝花特色产品的推广宣传，从而提升其美誉度和品牌影响力，达到介绍攀枝花城市的作用。</w:t>
            </w:r>
          </w:p>
        </w:tc>
      </w:tr>
      <w:tr w14:paraId="3F19C5F6">
        <w:tblPrEx>
          <w:tblCellMar>
            <w:top w:w="0" w:type="dxa"/>
            <w:left w:w="0" w:type="dxa"/>
            <w:bottom w:w="0" w:type="dxa"/>
            <w:right w:w="0" w:type="dxa"/>
          </w:tblCellMar>
        </w:tblPrEx>
        <w:trPr>
          <w:trHeight w:val="500" w:hRule="atLeast"/>
        </w:trPr>
        <w:tc>
          <w:tcPr>
            <w:tcW w:w="1089" w:type="dxa"/>
            <w:vMerge w:val="continue"/>
            <w:tcBorders>
              <w:left w:val="single" w:color="auto" w:sz="4" w:space="0"/>
              <w:bottom w:val="single" w:color="000000" w:sz="4" w:space="0"/>
              <w:right w:val="single" w:color="auto" w:sz="4" w:space="0"/>
            </w:tcBorders>
            <w:noWrap/>
            <w:tcMar>
              <w:top w:w="15" w:type="dxa"/>
              <w:left w:w="15" w:type="dxa"/>
              <w:right w:w="15" w:type="dxa"/>
            </w:tcMar>
            <w:vAlign w:val="center"/>
          </w:tcPr>
          <w:p w14:paraId="6802EB4C">
            <w:pPr>
              <w:jc w:val="center"/>
              <w:rPr>
                <w:rFonts w:hint="default" w:ascii="Times New Roman" w:hAnsi="Times New Roman" w:eastAsia="宋体" w:cs="Times New Roman"/>
                <w:i w:val="0"/>
                <w:color w:val="000000"/>
                <w:sz w:val="18"/>
                <w:szCs w:val="18"/>
                <w:u w:val="none"/>
              </w:rPr>
            </w:pPr>
          </w:p>
        </w:tc>
        <w:tc>
          <w:tcPr>
            <w:tcW w:w="951"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7BF4861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满意度指标</w:t>
            </w:r>
          </w:p>
        </w:tc>
        <w:tc>
          <w:tcPr>
            <w:tcW w:w="99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51DF17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服务对象满意度指标</w:t>
            </w:r>
          </w:p>
        </w:tc>
        <w:tc>
          <w:tcPr>
            <w:tcW w:w="25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D64DD">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市级及区县招商工作相关部门</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DC8A7">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w:t>
            </w:r>
          </w:p>
        </w:tc>
      </w:tr>
      <w:tr w14:paraId="223CF5C0">
        <w:tblPrEx>
          <w:tblCellMar>
            <w:top w:w="0" w:type="dxa"/>
            <w:left w:w="0" w:type="dxa"/>
            <w:bottom w:w="0" w:type="dxa"/>
            <w:right w:w="0" w:type="dxa"/>
          </w:tblCellMar>
        </w:tblPrEx>
        <w:trPr>
          <w:trHeight w:val="460" w:hRule="atLeast"/>
        </w:trPr>
        <w:tc>
          <w:tcPr>
            <w:tcW w:w="8979" w:type="dxa"/>
            <w:gridSpan w:val="6"/>
            <w:tcBorders>
              <w:top w:val="nil"/>
              <w:left w:val="nil"/>
              <w:bottom w:val="nil"/>
              <w:right w:val="nil"/>
            </w:tcBorders>
            <w:noWrap/>
            <w:tcMar>
              <w:top w:w="15" w:type="dxa"/>
              <w:left w:w="15" w:type="dxa"/>
              <w:right w:w="15" w:type="dxa"/>
            </w:tcMar>
            <w:vAlign w:val="center"/>
          </w:tcPr>
          <w:p w14:paraId="37BB677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(2024年度)</w:t>
            </w:r>
          </w:p>
        </w:tc>
      </w:tr>
      <w:tr w14:paraId="53BCCFFD">
        <w:tblPrEx>
          <w:tblCellMar>
            <w:top w:w="0" w:type="dxa"/>
            <w:left w:w="0" w:type="dxa"/>
            <w:bottom w:w="0" w:type="dxa"/>
            <w:right w:w="0" w:type="dxa"/>
          </w:tblCellMar>
        </w:tblPrEx>
        <w:trPr>
          <w:trHeight w:val="44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6E0B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项目名称</w:t>
            </w:r>
          </w:p>
        </w:tc>
        <w:tc>
          <w:tcPr>
            <w:tcW w:w="789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986A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sz w:val="18"/>
                <w:szCs w:val="18"/>
                <w:lang w:val="en-US" w:eastAsia="zh-CN"/>
              </w:rPr>
              <w:t>机关运转项目经费</w:t>
            </w:r>
          </w:p>
        </w:tc>
      </w:tr>
      <w:tr w14:paraId="7CC89BE2">
        <w:tblPrEx>
          <w:tblCellMar>
            <w:top w:w="0" w:type="dxa"/>
            <w:left w:w="0" w:type="dxa"/>
            <w:bottom w:w="0" w:type="dxa"/>
            <w:right w:w="0" w:type="dxa"/>
          </w:tblCellMar>
        </w:tblPrEx>
        <w:trPr>
          <w:trHeight w:val="470" w:hRule="atLeast"/>
        </w:trPr>
        <w:tc>
          <w:tcPr>
            <w:tcW w:w="108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1C2D24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部门（单位）</w:t>
            </w:r>
          </w:p>
        </w:tc>
        <w:tc>
          <w:tcPr>
            <w:tcW w:w="789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24DD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攀枝花市成都干部休养所</w:t>
            </w:r>
          </w:p>
        </w:tc>
      </w:tr>
      <w:tr w14:paraId="70FE0798">
        <w:tblPrEx>
          <w:tblCellMar>
            <w:top w:w="0" w:type="dxa"/>
            <w:left w:w="0" w:type="dxa"/>
            <w:bottom w:w="0" w:type="dxa"/>
            <w:right w:w="0" w:type="dxa"/>
          </w:tblCellMar>
        </w:tblPrEx>
        <w:trPr>
          <w:trHeight w:val="435" w:hRule="atLeast"/>
        </w:trPr>
        <w:tc>
          <w:tcPr>
            <w:tcW w:w="10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D004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项目资金</w:t>
            </w:r>
          </w:p>
        </w:tc>
        <w:tc>
          <w:tcPr>
            <w:tcW w:w="277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AAEB8">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年度资金总额</w:t>
            </w:r>
          </w:p>
        </w:tc>
        <w:tc>
          <w:tcPr>
            <w:tcW w:w="51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1A98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30万元</w:t>
            </w:r>
          </w:p>
        </w:tc>
      </w:tr>
      <w:tr w14:paraId="12AC6635">
        <w:tblPrEx>
          <w:tblCellMar>
            <w:top w:w="0" w:type="dxa"/>
            <w:left w:w="0" w:type="dxa"/>
            <w:bottom w:w="0" w:type="dxa"/>
            <w:right w:w="0" w:type="dxa"/>
          </w:tblCellMar>
        </w:tblPrEx>
        <w:trPr>
          <w:trHeight w:val="390" w:hRule="atLeast"/>
        </w:trPr>
        <w:tc>
          <w:tcPr>
            <w:tcW w:w="10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FF8E7">
            <w:pPr>
              <w:jc w:val="center"/>
              <w:rPr>
                <w:rFonts w:hint="default" w:ascii="Times New Roman" w:hAnsi="Times New Roman" w:eastAsia="宋体" w:cs="Times New Roman"/>
                <w:i w:val="0"/>
                <w:color w:val="000000"/>
                <w:sz w:val="18"/>
                <w:szCs w:val="18"/>
                <w:u w:val="none"/>
              </w:rPr>
            </w:pPr>
          </w:p>
        </w:tc>
        <w:tc>
          <w:tcPr>
            <w:tcW w:w="277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FB19B">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其中：财政拨款</w:t>
            </w:r>
          </w:p>
        </w:tc>
        <w:tc>
          <w:tcPr>
            <w:tcW w:w="51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97FA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30万元</w:t>
            </w:r>
          </w:p>
        </w:tc>
      </w:tr>
      <w:tr w14:paraId="2914DC2B">
        <w:tblPrEx>
          <w:tblCellMar>
            <w:top w:w="0" w:type="dxa"/>
            <w:left w:w="0" w:type="dxa"/>
            <w:bottom w:w="0" w:type="dxa"/>
            <w:right w:w="0" w:type="dxa"/>
          </w:tblCellMar>
        </w:tblPrEx>
        <w:trPr>
          <w:trHeight w:val="840" w:hRule="atLeast"/>
        </w:trPr>
        <w:tc>
          <w:tcPr>
            <w:tcW w:w="1089" w:type="dxa"/>
            <w:tcBorders>
              <w:top w:val="nil"/>
              <w:left w:val="single" w:color="000000" w:sz="4" w:space="0"/>
              <w:bottom w:val="single" w:color="auto" w:sz="4" w:space="0"/>
              <w:right w:val="nil"/>
            </w:tcBorders>
            <w:noWrap w:val="0"/>
            <w:tcMar>
              <w:top w:w="15" w:type="dxa"/>
              <w:left w:w="15" w:type="dxa"/>
              <w:right w:w="15" w:type="dxa"/>
            </w:tcMar>
            <w:vAlign w:val="center"/>
          </w:tcPr>
          <w:p w14:paraId="4422EBA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总体目标</w:t>
            </w:r>
          </w:p>
        </w:tc>
        <w:tc>
          <w:tcPr>
            <w:tcW w:w="7890" w:type="dxa"/>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1E0AC0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干休所两个院落的管理：两栋楼房、车库、活动室、医务室及附属设施的日常维护维修；清淤，管辖区的市容环境卫生绿化，沟渠清淤疏通，垃圾清运，补充公用支出不足；鉴于本单位的机构设置及编制配置实际情况，为满足离休人员日常管理所需，解决长期聘用人员和临时聘请人员的劳务费；</w:t>
            </w:r>
            <w:r>
              <w:rPr>
                <w:rFonts w:hint="default" w:ascii="Times New Roman" w:hAnsi="Times New Roman" w:eastAsia="宋体" w:cs="Times New Roman"/>
                <w:sz w:val="18"/>
                <w:szCs w:val="18"/>
                <w:lang w:val="en-US" w:eastAsia="zh-CN"/>
              </w:rPr>
              <w:t>树立一种服务的意识，踏实做事，多做好事,多办实事。认真解决好关系到他们切实利益的具体问题；要让老同志病有所依,老有所养,使老同志真正感受到干休所是一个和谐温馨的大家庭。</w:t>
            </w:r>
          </w:p>
        </w:tc>
      </w:tr>
      <w:tr w14:paraId="4B1523DA">
        <w:tblPrEx>
          <w:tblCellMar>
            <w:top w:w="0" w:type="dxa"/>
            <w:left w:w="0" w:type="dxa"/>
            <w:bottom w:w="0" w:type="dxa"/>
            <w:right w:w="0" w:type="dxa"/>
          </w:tblCellMar>
        </w:tblPrEx>
        <w:trPr>
          <w:trHeight w:val="495" w:hRule="atLeast"/>
        </w:trPr>
        <w:tc>
          <w:tcPr>
            <w:tcW w:w="1089"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534771E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绩效指标</w:t>
            </w:r>
          </w:p>
        </w:tc>
        <w:tc>
          <w:tcPr>
            <w:tcW w:w="9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4A22E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52CC6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A13B8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34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1B92B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指标值（包含数字及文字描述）</w:t>
            </w:r>
          </w:p>
        </w:tc>
      </w:tr>
      <w:tr w14:paraId="6AF40426">
        <w:tblPrEx>
          <w:tblCellMar>
            <w:top w:w="0" w:type="dxa"/>
            <w:left w:w="0" w:type="dxa"/>
            <w:bottom w:w="0" w:type="dxa"/>
            <w:right w:w="0" w:type="dxa"/>
          </w:tblCellMar>
        </w:tblPrEx>
        <w:trPr>
          <w:trHeight w:val="9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72CC1BB7">
            <w:pPr>
              <w:jc w:val="center"/>
              <w:rPr>
                <w:rFonts w:hint="default" w:ascii="Times New Roman" w:hAnsi="Times New Roman" w:eastAsia="宋体" w:cs="Times New Roman"/>
                <w:i w:val="0"/>
                <w:color w:val="000000"/>
                <w:sz w:val="18"/>
                <w:szCs w:val="18"/>
                <w:u w:val="none"/>
              </w:rPr>
            </w:pPr>
          </w:p>
        </w:tc>
        <w:tc>
          <w:tcPr>
            <w:tcW w:w="951"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62A2F06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项目完成</w:t>
            </w:r>
          </w:p>
        </w:tc>
        <w:tc>
          <w:tcPr>
            <w:tcW w:w="999"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630BEDE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数量指标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982C83">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指标1：老干部活动慰问费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330D24">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sz w:val="18"/>
                <w:szCs w:val="18"/>
                <w:lang w:val="en-US" w:eastAsia="zh-CN"/>
              </w:rPr>
              <w:t>5次以上组织老干部活动，包括组集体学习和座谈、外出活动、迎春团拜活动等。</w:t>
            </w:r>
          </w:p>
        </w:tc>
      </w:tr>
      <w:tr w14:paraId="6554DD40">
        <w:tblPrEx>
          <w:tblCellMar>
            <w:top w:w="0" w:type="dxa"/>
            <w:left w:w="0" w:type="dxa"/>
            <w:bottom w:w="0" w:type="dxa"/>
            <w:right w:w="0" w:type="dxa"/>
          </w:tblCellMar>
        </w:tblPrEx>
        <w:trPr>
          <w:trHeight w:val="50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697179BF">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52F21C15">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right w:val="single" w:color="auto" w:sz="4" w:space="0"/>
            </w:tcBorders>
            <w:noWrap/>
            <w:tcMar>
              <w:top w:w="15" w:type="dxa"/>
              <w:left w:w="15" w:type="dxa"/>
              <w:right w:w="15" w:type="dxa"/>
            </w:tcMar>
            <w:vAlign w:val="center"/>
          </w:tcPr>
          <w:p w14:paraId="61CED5B2">
            <w:pPr>
              <w:jc w:val="center"/>
              <w:rPr>
                <w:rFonts w:hint="default" w:ascii="Times New Roman" w:hAnsi="Times New Roman" w:eastAsia="宋体" w:cs="Times New Roman"/>
                <w:i w:val="0"/>
                <w:color w:val="000000"/>
                <w:sz w:val="18"/>
                <w:szCs w:val="18"/>
                <w:u w:val="none"/>
              </w:rPr>
            </w:pP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DE96A3">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指标2：劳务费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5481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color w:val="000000"/>
                <w:sz w:val="18"/>
                <w:szCs w:val="18"/>
                <w:u w:val="none"/>
                <w:lang w:eastAsia="zh-CN"/>
              </w:rPr>
            </w:pPr>
            <w:r>
              <w:rPr>
                <w:rFonts w:hint="default" w:ascii="Times New Roman" w:hAnsi="Times New Roman" w:eastAsia="宋体" w:cs="Times New Roman"/>
                <w:i w:val="0"/>
                <w:color w:val="000000"/>
                <w:sz w:val="18"/>
                <w:szCs w:val="18"/>
                <w:u w:val="none"/>
              </w:rPr>
              <w:t>干休所</w:t>
            </w:r>
            <w:r>
              <w:rPr>
                <w:rFonts w:hint="default" w:ascii="Times New Roman" w:hAnsi="Times New Roman" w:eastAsia="宋体" w:cs="Times New Roman"/>
                <w:i w:val="0"/>
                <w:color w:val="000000"/>
                <w:sz w:val="18"/>
                <w:szCs w:val="18"/>
                <w:u w:val="none"/>
                <w:lang w:eastAsia="zh-CN"/>
              </w:rPr>
              <w:t>长期</w:t>
            </w:r>
            <w:r>
              <w:rPr>
                <w:rFonts w:hint="default" w:ascii="Times New Roman" w:hAnsi="Times New Roman" w:eastAsia="宋体" w:cs="Times New Roman"/>
                <w:i w:val="0"/>
                <w:color w:val="000000"/>
                <w:sz w:val="18"/>
                <w:szCs w:val="18"/>
                <w:u w:val="none"/>
              </w:rPr>
              <w:t>聘用人员4人及临时聘请</w:t>
            </w:r>
            <w:r>
              <w:rPr>
                <w:rFonts w:hint="default" w:ascii="Times New Roman" w:hAnsi="Times New Roman" w:eastAsia="宋体" w:cs="Times New Roman"/>
                <w:i w:val="0"/>
                <w:color w:val="000000"/>
                <w:sz w:val="18"/>
                <w:szCs w:val="18"/>
                <w:u w:val="none"/>
                <w:lang w:eastAsia="zh-CN"/>
              </w:rPr>
              <w:t>的护理</w:t>
            </w:r>
            <w:r>
              <w:rPr>
                <w:rFonts w:hint="default" w:ascii="Times New Roman" w:hAnsi="Times New Roman" w:eastAsia="宋体" w:cs="Times New Roman"/>
                <w:i w:val="0"/>
                <w:color w:val="000000"/>
                <w:sz w:val="18"/>
                <w:szCs w:val="18"/>
                <w:u w:val="none"/>
              </w:rPr>
              <w:t>人员2人的劳务支出</w:t>
            </w:r>
            <w:r>
              <w:rPr>
                <w:rFonts w:hint="default" w:ascii="Times New Roman" w:hAnsi="Times New Roman" w:eastAsia="宋体" w:cs="Times New Roman"/>
                <w:i w:val="0"/>
                <w:color w:val="000000"/>
                <w:sz w:val="18"/>
                <w:szCs w:val="18"/>
                <w:u w:val="none"/>
                <w:lang w:eastAsia="zh-CN"/>
              </w:rPr>
              <w:t>。</w:t>
            </w:r>
          </w:p>
        </w:tc>
      </w:tr>
      <w:tr w14:paraId="0FA2D85A">
        <w:tblPrEx>
          <w:tblCellMar>
            <w:top w:w="0" w:type="dxa"/>
            <w:left w:w="0" w:type="dxa"/>
            <w:bottom w:w="0" w:type="dxa"/>
            <w:right w:w="0" w:type="dxa"/>
          </w:tblCellMar>
        </w:tblPrEx>
        <w:trPr>
          <w:trHeight w:val="50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48540F16">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76647272">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right w:val="single" w:color="auto" w:sz="4" w:space="0"/>
            </w:tcBorders>
            <w:noWrap/>
            <w:tcMar>
              <w:top w:w="15" w:type="dxa"/>
              <w:left w:w="15" w:type="dxa"/>
              <w:right w:w="15" w:type="dxa"/>
            </w:tcMar>
            <w:vAlign w:val="center"/>
          </w:tcPr>
          <w:p w14:paraId="21F2EAD5">
            <w:pPr>
              <w:jc w:val="center"/>
              <w:rPr>
                <w:rFonts w:hint="default" w:ascii="Times New Roman" w:hAnsi="Times New Roman" w:eastAsia="宋体" w:cs="Times New Roman"/>
                <w:i w:val="0"/>
                <w:color w:val="000000"/>
                <w:sz w:val="18"/>
                <w:szCs w:val="18"/>
                <w:u w:val="none"/>
              </w:rPr>
            </w:pP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106CB4">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指标3：楼栋管理费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0CF9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成都市金牛区马鞍山路1号，管理离休老干部居住的两栋楼房（面积407.77平方米）零星维修。</w:t>
            </w:r>
          </w:p>
        </w:tc>
      </w:tr>
      <w:tr w14:paraId="37FC46A0">
        <w:tblPrEx>
          <w:tblCellMar>
            <w:top w:w="0" w:type="dxa"/>
            <w:left w:w="0" w:type="dxa"/>
            <w:bottom w:w="0" w:type="dxa"/>
            <w:right w:w="0" w:type="dxa"/>
          </w:tblCellMar>
        </w:tblPrEx>
        <w:trPr>
          <w:trHeight w:val="500" w:hRule="atLeast"/>
        </w:trPr>
        <w:tc>
          <w:tcPr>
            <w:tcW w:w="1089"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2A2A1764">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198D18EE">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1C8B96C8">
            <w:pPr>
              <w:jc w:val="center"/>
              <w:rPr>
                <w:rFonts w:hint="default" w:ascii="Times New Roman" w:hAnsi="Times New Roman" w:eastAsia="宋体" w:cs="Times New Roman"/>
                <w:i w:val="0"/>
                <w:color w:val="000000"/>
                <w:sz w:val="18"/>
                <w:szCs w:val="18"/>
                <w:u w:val="none"/>
              </w:rPr>
            </w:pP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A4921E">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指标4：办公费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9D86E9">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弥补公用经费不足（在编在职仅3人管理22人）；鉴于本单位的机构设置及编制配置实际，无法满足日常管理运转所需。</w:t>
            </w:r>
          </w:p>
        </w:tc>
      </w:tr>
      <w:tr w14:paraId="17243443">
        <w:tblPrEx>
          <w:tblCellMar>
            <w:top w:w="0" w:type="dxa"/>
            <w:left w:w="0" w:type="dxa"/>
            <w:bottom w:w="0" w:type="dxa"/>
            <w:right w:w="0" w:type="dxa"/>
          </w:tblCellMar>
        </w:tblPrEx>
        <w:trPr>
          <w:trHeight w:val="500" w:hRule="atLeast"/>
        </w:trPr>
        <w:tc>
          <w:tcPr>
            <w:tcW w:w="1089" w:type="dxa"/>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14:paraId="18E0FAFB">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绩效指标</w:t>
            </w:r>
          </w:p>
        </w:tc>
        <w:tc>
          <w:tcPr>
            <w:tcW w:w="951" w:type="dxa"/>
            <w:tcBorders>
              <w:top w:val="single" w:color="auto" w:sz="4" w:space="0"/>
              <w:left w:val="single" w:color="auto" w:sz="4" w:space="0"/>
              <w:right w:val="single" w:color="auto" w:sz="4" w:space="0"/>
            </w:tcBorders>
            <w:noWrap/>
            <w:tcMar>
              <w:top w:w="15" w:type="dxa"/>
              <w:left w:w="15" w:type="dxa"/>
              <w:right w:w="15" w:type="dxa"/>
            </w:tcMar>
            <w:vAlign w:val="center"/>
          </w:tcPr>
          <w:p w14:paraId="5406EB92">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999" w:type="dxa"/>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14:paraId="1EB1A656">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252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797A9D1F">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34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20A52">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指标值（包含数字及文字描述）</w:t>
            </w:r>
          </w:p>
        </w:tc>
      </w:tr>
      <w:tr w14:paraId="6F5BFD26">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72AB4F4A">
            <w:pPr>
              <w:jc w:val="center"/>
              <w:rPr>
                <w:rFonts w:hint="default" w:ascii="Times New Roman" w:hAnsi="Times New Roman" w:eastAsia="宋体" w:cs="Times New Roman"/>
                <w:i w:val="0"/>
                <w:color w:val="000000"/>
                <w:sz w:val="18"/>
                <w:szCs w:val="18"/>
                <w:u w:val="none"/>
              </w:rPr>
            </w:pPr>
          </w:p>
        </w:tc>
        <w:tc>
          <w:tcPr>
            <w:tcW w:w="951" w:type="dxa"/>
            <w:tcBorders>
              <w:top w:val="single" w:color="auto" w:sz="4" w:space="0"/>
              <w:left w:val="single" w:color="auto" w:sz="4" w:space="0"/>
              <w:right w:val="single" w:color="auto" w:sz="4" w:space="0"/>
            </w:tcBorders>
            <w:noWrap/>
            <w:tcMar>
              <w:top w:w="15" w:type="dxa"/>
              <w:left w:w="15" w:type="dxa"/>
              <w:right w:w="15" w:type="dxa"/>
            </w:tcMar>
            <w:vAlign w:val="center"/>
          </w:tcPr>
          <w:p w14:paraId="424F3E8C">
            <w:pPr>
              <w:jc w:val="center"/>
              <w:rPr>
                <w:rFonts w:hint="default" w:ascii="Times New Roman" w:hAnsi="Times New Roman" w:eastAsia="宋体" w:cs="Times New Roman"/>
                <w:i w:val="0"/>
                <w:color w:val="000000"/>
                <w:sz w:val="18"/>
                <w:szCs w:val="18"/>
                <w:u w:val="none"/>
              </w:rPr>
            </w:pPr>
          </w:p>
        </w:tc>
        <w:tc>
          <w:tcPr>
            <w:tcW w:w="999" w:type="dxa"/>
            <w:vMerge w:val="restart"/>
            <w:tcBorders>
              <w:top w:val="single" w:color="auto" w:sz="4" w:space="0"/>
              <w:left w:val="single" w:color="auto" w:sz="4" w:space="0"/>
              <w:right w:val="single" w:color="000000" w:sz="4" w:space="0"/>
            </w:tcBorders>
            <w:noWrap/>
            <w:tcMar>
              <w:top w:w="15" w:type="dxa"/>
              <w:left w:w="15" w:type="dxa"/>
              <w:right w:w="15" w:type="dxa"/>
            </w:tcMar>
            <w:vAlign w:val="center"/>
          </w:tcPr>
          <w:p w14:paraId="0CC80CF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质量指标</w:t>
            </w:r>
          </w:p>
        </w:tc>
        <w:tc>
          <w:tcPr>
            <w:tcW w:w="252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49D2BBB">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指标1：老干部活动慰问费</w:t>
            </w:r>
          </w:p>
        </w:tc>
        <w:tc>
          <w:tcPr>
            <w:tcW w:w="34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FEC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sz w:val="18"/>
                <w:szCs w:val="18"/>
                <w:lang w:eastAsia="zh-CN"/>
              </w:rPr>
              <w:t>认真做好走访慰问，切实把市委市政府的关心关怀送到老干部的心坎上。</w:t>
            </w:r>
          </w:p>
        </w:tc>
      </w:tr>
      <w:tr w14:paraId="31891BE8">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15AB9CB8">
            <w:pPr>
              <w:jc w:val="center"/>
              <w:rPr>
                <w:rFonts w:hint="default" w:ascii="Times New Roman" w:hAnsi="Times New Roman" w:eastAsia="宋体" w:cs="Times New Roman"/>
                <w:i w:val="0"/>
                <w:color w:val="000000"/>
                <w:sz w:val="18"/>
                <w:szCs w:val="18"/>
                <w:u w:val="none"/>
              </w:rPr>
            </w:pPr>
          </w:p>
        </w:tc>
        <w:tc>
          <w:tcPr>
            <w:tcW w:w="951" w:type="dxa"/>
            <w:vMerge w:val="restart"/>
            <w:tcBorders>
              <w:left w:val="single" w:color="auto" w:sz="4" w:space="0"/>
              <w:right w:val="single" w:color="auto" w:sz="4" w:space="0"/>
            </w:tcBorders>
            <w:noWrap/>
            <w:tcMar>
              <w:top w:w="15" w:type="dxa"/>
              <w:left w:w="15" w:type="dxa"/>
              <w:right w:w="15" w:type="dxa"/>
            </w:tcMar>
            <w:vAlign w:val="center"/>
          </w:tcPr>
          <w:p w14:paraId="3A7C0AA4">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项目完成</w:t>
            </w:r>
          </w:p>
        </w:tc>
        <w:tc>
          <w:tcPr>
            <w:tcW w:w="999" w:type="dxa"/>
            <w:vMerge w:val="continue"/>
            <w:tcBorders>
              <w:left w:val="single" w:color="auto" w:sz="4" w:space="0"/>
              <w:right w:val="single" w:color="000000" w:sz="4" w:space="0"/>
            </w:tcBorders>
            <w:noWrap/>
            <w:tcMar>
              <w:top w:w="15" w:type="dxa"/>
              <w:left w:w="15" w:type="dxa"/>
              <w:right w:w="15" w:type="dxa"/>
            </w:tcMar>
            <w:vAlign w:val="center"/>
          </w:tcPr>
          <w:p w14:paraId="4FD8F8E3">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C88FE84">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指标2：劳务费</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3EF1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sz w:val="18"/>
                <w:szCs w:val="18"/>
                <w:lang w:eastAsia="zh-CN"/>
              </w:rPr>
              <w:t>认真落实中央、省市委离退休老干部服务管理工作要求。切实提高政治站位，用心用情做好离退休干部服务管理工作。</w:t>
            </w:r>
          </w:p>
        </w:tc>
      </w:tr>
      <w:tr w14:paraId="6EBA95DE">
        <w:tblPrEx>
          <w:tblCellMar>
            <w:top w:w="0" w:type="dxa"/>
            <w:left w:w="0" w:type="dxa"/>
            <w:bottom w:w="0" w:type="dxa"/>
            <w:right w:w="0" w:type="dxa"/>
          </w:tblCellMar>
        </w:tblPrEx>
        <w:trPr>
          <w:trHeight w:val="1036"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6A8632C0">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704948E2">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right w:val="single" w:color="000000" w:sz="4" w:space="0"/>
            </w:tcBorders>
            <w:noWrap/>
            <w:tcMar>
              <w:top w:w="15" w:type="dxa"/>
              <w:left w:w="15" w:type="dxa"/>
              <w:right w:w="15" w:type="dxa"/>
            </w:tcMar>
            <w:vAlign w:val="center"/>
          </w:tcPr>
          <w:p w14:paraId="1ED62B58">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14749AF">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指标3：楼栋管理费</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25B5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两栋楼房、车库、活动室、医务室及附属设施的日常维护维修，给老同志们一个较好的生活环境环境。</w:t>
            </w:r>
          </w:p>
        </w:tc>
      </w:tr>
      <w:tr w14:paraId="7266F00D">
        <w:tblPrEx>
          <w:tblCellMar>
            <w:top w:w="0" w:type="dxa"/>
            <w:left w:w="0" w:type="dxa"/>
            <w:bottom w:w="0" w:type="dxa"/>
            <w:right w:w="0" w:type="dxa"/>
          </w:tblCellMar>
        </w:tblPrEx>
        <w:trPr>
          <w:trHeight w:val="1313"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29C16DC2">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30EDD317">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14:paraId="313BC059">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FE6750">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指标4：办公费</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21E4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sz w:val="18"/>
                <w:szCs w:val="18"/>
                <w:lang w:eastAsia="zh-CN"/>
              </w:rPr>
              <w:t>建立健全离退休老干部“一人一策”精准服务制度，完善健康档案，确保服务管理工作有条不紊、扎实有效，将市委、市政府对离退休干部的关心关爱之情传达到位。</w:t>
            </w:r>
          </w:p>
        </w:tc>
      </w:tr>
      <w:tr w14:paraId="79F35E43">
        <w:tblPrEx>
          <w:tblCellMar>
            <w:top w:w="0" w:type="dxa"/>
            <w:left w:w="0" w:type="dxa"/>
            <w:bottom w:w="0" w:type="dxa"/>
            <w:right w:w="0" w:type="dxa"/>
          </w:tblCellMar>
        </w:tblPrEx>
        <w:trPr>
          <w:trHeight w:val="385"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4BF38CA2">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2CFB3E01">
            <w:pPr>
              <w:jc w:val="center"/>
              <w:rPr>
                <w:rFonts w:hint="default" w:ascii="Times New Roman" w:hAnsi="Times New Roman" w:eastAsia="宋体" w:cs="Times New Roman"/>
                <w:i w:val="0"/>
                <w:color w:val="000000"/>
                <w:sz w:val="18"/>
                <w:szCs w:val="18"/>
                <w:u w:val="none"/>
              </w:rPr>
            </w:pPr>
          </w:p>
        </w:tc>
        <w:tc>
          <w:tcPr>
            <w:tcW w:w="999"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14:paraId="514D1F0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时效指标</w:t>
            </w: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78FF861">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指标1：老干部活动慰问费</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6488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w:t>
            </w:r>
          </w:p>
        </w:tc>
      </w:tr>
      <w:tr w14:paraId="38B45380">
        <w:tblPrEx>
          <w:tblCellMar>
            <w:top w:w="0" w:type="dxa"/>
            <w:left w:w="0" w:type="dxa"/>
            <w:bottom w:w="0" w:type="dxa"/>
            <w:right w:w="0" w:type="dxa"/>
          </w:tblCellMar>
        </w:tblPrEx>
        <w:trPr>
          <w:trHeight w:val="43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2C9349E9">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42EF5EAD">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right w:val="single" w:color="000000" w:sz="4" w:space="0"/>
            </w:tcBorders>
            <w:noWrap/>
            <w:tcMar>
              <w:top w:w="15" w:type="dxa"/>
              <w:left w:w="15" w:type="dxa"/>
              <w:right w:w="15" w:type="dxa"/>
            </w:tcMar>
            <w:vAlign w:val="center"/>
          </w:tcPr>
          <w:p w14:paraId="4F40DC5F">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6D812C6">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指标2：劳务费</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237F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w:t>
            </w:r>
          </w:p>
        </w:tc>
      </w:tr>
      <w:tr w14:paraId="5A8A6746">
        <w:tblPrEx>
          <w:tblCellMar>
            <w:top w:w="0" w:type="dxa"/>
            <w:left w:w="0" w:type="dxa"/>
            <w:bottom w:w="0" w:type="dxa"/>
            <w:right w:w="0" w:type="dxa"/>
          </w:tblCellMar>
        </w:tblPrEx>
        <w:trPr>
          <w:trHeight w:val="43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6F49203E">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64AB5E2F">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right w:val="single" w:color="000000" w:sz="4" w:space="0"/>
            </w:tcBorders>
            <w:noWrap/>
            <w:tcMar>
              <w:top w:w="15" w:type="dxa"/>
              <w:left w:w="15" w:type="dxa"/>
              <w:right w:w="15" w:type="dxa"/>
            </w:tcMar>
            <w:vAlign w:val="center"/>
          </w:tcPr>
          <w:p w14:paraId="042BCF4D">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B335658">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指标3：楼栋管理费</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F3CBF">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全年</w:t>
            </w:r>
          </w:p>
        </w:tc>
      </w:tr>
      <w:tr w14:paraId="1A5EB490">
        <w:tblPrEx>
          <w:tblCellMar>
            <w:top w:w="0" w:type="dxa"/>
            <w:left w:w="0" w:type="dxa"/>
            <w:bottom w:w="0" w:type="dxa"/>
            <w:right w:w="0" w:type="dxa"/>
          </w:tblCellMar>
        </w:tblPrEx>
        <w:trPr>
          <w:trHeight w:val="43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696264B3">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1B28412C">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14:paraId="6FB61968">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0FDAEE">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指标4：办公费</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37BD4">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全年</w:t>
            </w:r>
          </w:p>
        </w:tc>
      </w:tr>
      <w:tr w14:paraId="763C35A8">
        <w:tblPrEx>
          <w:tblCellMar>
            <w:top w:w="0" w:type="dxa"/>
            <w:left w:w="0" w:type="dxa"/>
            <w:bottom w:w="0" w:type="dxa"/>
            <w:right w:w="0" w:type="dxa"/>
          </w:tblCellMar>
        </w:tblPrEx>
        <w:trPr>
          <w:trHeight w:val="4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1A03C9DE">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43FE8268">
            <w:pPr>
              <w:jc w:val="center"/>
              <w:rPr>
                <w:rFonts w:hint="default" w:ascii="Times New Roman" w:hAnsi="Times New Roman" w:eastAsia="宋体" w:cs="Times New Roman"/>
                <w:i w:val="0"/>
                <w:color w:val="000000"/>
                <w:sz w:val="18"/>
                <w:szCs w:val="18"/>
                <w:u w:val="none"/>
              </w:rPr>
            </w:pPr>
          </w:p>
        </w:tc>
        <w:tc>
          <w:tcPr>
            <w:tcW w:w="999"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14:paraId="7F6E70B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成本指标</w:t>
            </w: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DA5F53">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指标1：老干部活动慰问费</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706C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3万元</w:t>
            </w:r>
          </w:p>
        </w:tc>
      </w:tr>
      <w:tr w14:paraId="46642458">
        <w:tblPrEx>
          <w:tblCellMar>
            <w:top w:w="0" w:type="dxa"/>
            <w:left w:w="0" w:type="dxa"/>
            <w:bottom w:w="0" w:type="dxa"/>
            <w:right w:w="0" w:type="dxa"/>
          </w:tblCellMar>
        </w:tblPrEx>
        <w:trPr>
          <w:trHeight w:val="425"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35FA2F92">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2DD07DAE">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right w:val="single" w:color="000000" w:sz="4" w:space="0"/>
            </w:tcBorders>
            <w:noWrap/>
            <w:tcMar>
              <w:top w:w="15" w:type="dxa"/>
              <w:left w:w="15" w:type="dxa"/>
              <w:right w:w="15" w:type="dxa"/>
            </w:tcMar>
            <w:vAlign w:val="center"/>
          </w:tcPr>
          <w:p w14:paraId="0DEC61FE">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7E551F88">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指标2：劳务费</w:t>
            </w:r>
          </w:p>
        </w:tc>
        <w:tc>
          <w:tcPr>
            <w:tcW w:w="34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CF3BEC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15万元</w:t>
            </w:r>
          </w:p>
        </w:tc>
      </w:tr>
      <w:tr w14:paraId="21096B0E">
        <w:tblPrEx>
          <w:tblCellMar>
            <w:top w:w="0" w:type="dxa"/>
            <w:left w:w="0" w:type="dxa"/>
            <w:bottom w:w="0" w:type="dxa"/>
            <w:right w:w="0" w:type="dxa"/>
          </w:tblCellMar>
        </w:tblPrEx>
        <w:trPr>
          <w:trHeight w:val="425"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5CF812F4">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right w:val="single" w:color="auto" w:sz="4" w:space="0"/>
            </w:tcBorders>
            <w:noWrap/>
            <w:tcMar>
              <w:top w:w="15" w:type="dxa"/>
              <w:left w:w="15" w:type="dxa"/>
              <w:right w:w="15" w:type="dxa"/>
            </w:tcMar>
            <w:vAlign w:val="center"/>
          </w:tcPr>
          <w:p w14:paraId="06526263">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right w:val="single" w:color="000000" w:sz="4" w:space="0"/>
            </w:tcBorders>
            <w:noWrap/>
            <w:tcMar>
              <w:top w:w="15" w:type="dxa"/>
              <w:left w:w="15" w:type="dxa"/>
              <w:right w:w="15" w:type="dxa"/>
            </w:tcMar>
            <w:vAlign w:val="center"/>
          </w:tcPr>
          <w:p w14:paraId="6E61C2C8">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5464226E">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指标3：楼栋管理费</w:t>
            </w:r>
          </w:p>
        </w:tc>
        <w:tc>
          <w:tcPr>
            <w:tcW w:w="34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FBE16AB">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7万元</w:t>
            </w:r>
          </w:p>
        </w:tc>
      </w:tr>
      <w:tr w14:paraId="52EE82EE">
        <w:tblPrEx>
          <w:tblCellMar>
            <w:top w:w="0" w:type="dxa"/>
            <w:left w:w="0" w:type="dxa"/>
            <w:bottom w:w="0" w:type="dxa"/>
            <w:right w:w="0" w:type="dxa"/>
          </w:tblCellMar>
        </w:tblPrEx>
        <w:trPr>
          <w:trHeight w:val="425"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6F05871B">
            <w:pPr>
              <w:jc w:val="center"/>
              <w:rPr>
                <w:rFonts w:hint="default" w:ascii="Times New Roman" w:hAnsi="Times New Roman" w:eastAsia="宋体" w:cs="Times New Roman"/>
                <w:i w:val="0"/>
                <w:color w:val="000000"/>
                <w:sz w:val="18"/>
                <w:szCs w:val="18"/>
                <w:u w:val="none"/>
              </w:rPr>
            </w:pPr>
          </w:p>
        </w:tc>
        <w:tc>
          <w:tcPr>
            <w:tcW w:w="951"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14E3AC63">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bottom w:val="single" w:color="auto" w:sz="4" w:space="0"/>
              <w:right w:val="single" w:color="000000" w:sz="4" w:space="0"/>
            </w:tcBorders>
            <w:noWrap/>
            <w:tcMar>
              <w:top w:w="15" w:type="dxa"/>
              <w:left w:w="15" w:type="dxa"/>
              <w:right w:w="15" w:type="dxa"/>
            </w:tcMar>
            <w:vAlign w:val="center"/>
          </w:tcPr>
          <w:p w14:paraId="059EAB2C">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4304EAB1">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指标4：办公费</w:t>
            </w:r>
          </w:p>
        </w:tc>
        <w:tc>
          <w:tcPr>
            <w:tcW w:w="34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0597870">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2万元</w:t>
            </w:r>
          </w:p>
        </w:tc>
      </w:tr>
      <w:tr w14:paraId="1DFCD728">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60847081">
            <w:pPr>
              <w:jc w:val="center"/>
              <w:rPr>
                <w:rFonts w:hint="default" w:ascii="Times New Roman" w:hAnsi="Times New Roman" w:eastAsia="宋体" w:cs="Times New Roman"/>
                <w:i w:val="0"/>
                <w:color w:val="000000"/>
                <w:sz w:val="18"/>
                <w:szCs w:val="18"/>
                <w:u w:val="none"/>
              </w:rPr>
            </w:pPr>
          </w:p>
        </w:tc>
        <w:tc>
          <w:tcPr>
            <w:tcW w:w="95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DB50D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项目效益</w:t>
            </w:r>
          </w:p>
        </w:tc>
        <w:tc>
          <w:tcPr>
            <w:tcW w:w="99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40DC80E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社会效益  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9914AE">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指标1：老干部活动慰问费</w:t>
            </w:r>
          </w:p>
        </w:tc>
        <w:tc>
          <w:tcPr>
            <w:tcW w:w="342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B6A2680">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sz w:val="18"/>
                <w:szCs w:val="18"/>
                <w:lang w:val="en-US" w:eastAsia="zh-CN"/>
              </w:rPr>
              <w:t>组织老同志外出到成都周边游览休闲，让他们亲身感受城乡建设的伟大成就和祖国日新月异的变化，分享经济发展和社会进步的成果及其带给人民的福利。</w:t>
            </w:r>
          </w:p>
        </w:tc>
      </w:tr>
      <w:tr w14:paraId="2EC9FC66">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2C41CEF7">
            <w:pPr>
              <w:jc w:val="center"/>
              <w:rPr>
                <w:rFonts w:hint="default" w:ascii="Times New Roman" w:hAnsi="Times New Roman" w:eastAsia="宋体" w:cs="Times New Roman"/>
                <w:i w:val="0"/>
                <w:color w:val="000000"/>
                <w:sz w:val="18"/>
                <w:szCs w:val="18"/>
                <w:u w:val="none"/>
              </w:rPr>
            </w:pPr>
          </w:p>
        </w:tc>
        <w:tc>
          <w:tcPr>
            <w:tcW w:w="9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A5E7B8">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right w:val="single" w:color="auto" w:sz="4" w:space="0"/>
            </w:tcBorders>
            <w:noWrap w:val="0"/>
            <w:tcMar>
              <w:top w:w="15" w:type="dxa"/>
              <w:left w:w="15" w:type="dxa"/>
              <w:right w:w="15" w:type="dxa"/>
            </w:tcMar>
            <w:vAlign w:val="center"/>
          </w:tcPr>
          <w:p w14:paraId="41F8CB5A">
            <w:pPr>
              <w:jc w:val="center"/>
              <w:rPr>
                <w:rFonts w:hint="default" w:ascii="Times New Roman" w:hAnsi="Times New Roman" w:eastAsia="宋体" w:cs="Times New Roman"/>
                <w:i w:val="0"/>
                <w:color w:val="000000"/>
                <w:sz w:val="18"/>
                <w:szCs w:val="18"/>
                <w:u w:val="none"/>
              </w:rPr>
            </w:pP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A8686A">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指标2：劳务费</w:t>
            </w:r>
          </w:p>
        </w:tc>
        <w:tc>
          <w:tcPr>
            <w:tcW w:w="3420" w:type="dxa"/>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2D1EBD1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sz w:val="18"/>
                <w:szCs w:val="18"/>
                <w:lang w:val="en-US" w:eastAsia="zh-CN"/>
              </w:rPr>
              <w:t>要让老同志病有所依,老有所养,使老同志真正感受到干休所是一个和谐温馨的大家庭。</w:t>
            </w:r>
          </w:p>
        </w:tc>
      </w:tr>
      <w:tr w14:paraId="224E4D30">
        <w:tblPrEx>
          <w:tblCellMar>
            <w:top w:w="0" w:type="dxa"/>
            <w:left w:w="0" w:type="dxa"/>
            <w:bottom w:w="0" w:type="dxa"/>
            <w:right w:w="0" w:type="dxa"/>
          </w:tblCellMar>
        </w:tblPrEx>
        <w:trPr>
          <w:trHeight w:val="713"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4D08C7CD">
            <w:pPr>
              <w:jc w:val="center"/>
              <w:rPr>
                <w:rFonts w:hint="default" w:ascii="Times New Roman" w:hAnsi="Times New Roman" w:eastAsia="宋体" w:cs="Times New Roman"/>
                <w:i w:val="0"/>
                <w:color w:val="000000"/>
                <w:sz w:val="18"/>
                <w:szCs w:val="18"/>
                <w:u w:val="none"/>
              </w:rPr>
            </w:pPr>
          </w:p>
        </w:tc>
        <w:tc>
          <w:tcPr>
            <w:tcW w:w="9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0A865A">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right w:val="single" w:color="auto" w:sz="4" w:space="0"/>
            </w:tcBorders>
            <w:noWrap w:val="0"/>
            <w:tcMar>
              <w:top w:w="15" w:type="dxa"/>
              <w:left w:w="15" w:type="dxa"/>
              <w:right w:w="15" w:type="dxa"/>
            </w:tcMar>
            <w:vAlign w:val="center"/>
          </w:tcPr>
          <w:p w14:paraId="6706E906">
            <w:pPr>
              <w:jc w:val="center"/>
              <w:rPr>
                <w:rFonts w:hint="default" w:ascii="Times New Roman" w:hAnsi="Times New Roman" w:eastAsia="宋体" w:cs="Times New Roman"/>
                <w:i w:val="0"/>
                <w:color w:val="000000"/>
                <w:sz w:val="18"/>
                <w:szCs w:val="18"/>
                <w:u w:val="none"/>
              </w:rPr>
            </w:pP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F073B8">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指标3：楼栋管理费</w:t>
            </w:r>
          </w:p>
        </w:tc>
        <w:tc>
          <w:tcPr>
            <w:tcW w:w="3420" w:type="dxa"/>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7D06E413">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使离退休老干部及遗属深切感受到了党的关怀和温暖。</w:t>
            </w:r>
          </w:p>
          <w:p w14:paraId="01806213">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r>
      <w:tr w14:paraId="7CD3392D">
        <w:tblPrEx>
          <w:tblCellMar>
            <w:top w:w="0" w:type="dxa"/>
            <w:left w:w="0" w:type="dxa"/>
            <w:bottom w:w="0" w:type="dxa"/>
            <w:right w:w="0" w:type="dxa"/>
          </w:tblCellMar>
        </w:tblPrEx>
        <w:trPr>
          <w:trHeight w:val="500" w:hRule="atLeast"/>
        </w:trPr>
        <w:tc>
          <w:tcPr>
            <w:tcW w:w="1089" w:type="dxa"/>
            <w:vMerge w:val="continue"/>
            <w:tcBorders>
              <w:left w:val="single" w:color="000000" w:sz="4" w:space="0"/>
              <w:right w:val="single" w:color="000000" w:sz="4" w:space="0"/>
            </w:tcBorders>
            <w:noWrap/>
            <w:tcMar>
              <w:top w:w="15" w:type="dxa"/>
              <w:left w:w="15" w:type="dxa"/>
              <w:right w:w="15" w:type="dxa"/>
            </w:tcMar>
            <w:vAlign w:val="center"/>
          </w:tcPr>
          <w:p w14:paraId="7A7B5356">
            <w:pPr>
              <w:jc w:val="center"/>
              <w:rPr>
                <w:rFonts w:hint="default" w:ascii="Times New Roman" w:hAnsi="Times New Roman" w:eastAsia="宋体" w:cs="Times New Roman"/>
                <w:i w:val="0"/>
                <w:color w:val="000000"/>
                <w:sz w:val="18"/>
                <w:szCs w:val="18"/>
                <w:u w:val="none"/>
              </w:rPr>
            </w:pPr>
          </w:p>
        </w:tc>
        <w:tc>
          <w:tcPr>
            <w:tcW w:w="9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5A61E5">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C95E9DA">
            <w:pPr>
              <w:jc w:val="center"/>
              <w:rPr>
                <w:rFonts w:hint="default" w:ascii="Times New Roman" w:hAnsi="Times New Roman" w:eastAsia="宋体" w:cs="Times New Roman"/>
                <w:i w:val="0"/>
                <w:color w:val="000000"/>
                <w:sz w:val="18"/>
                <w:szCs w:val="18"/>
                <w:u w:val="none"/>
              </w:rPr>
            </w:pP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01650C">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指标4：办公费</w:t>
            </w:r>
          </w:p>
        </w:tc>
        <w:tc>
          <w:tcPr>
            <w:tcW w:w="3420" w:type="dxa"/>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7906DE08">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sz w:val="18"/>
                <w:szCs w:val="18"/>
                <w:lang w:eastAsia="zh-CN"/>
              </w:rPr>
              <w:t>用心用情、精准服务，增强效率，提高效果。</w:t>
            </w:r>
          </w:p>
        </w:tc>
      </w:tr>
      <w:tr w14:paraId="65AFD07D">
        <w:tblPrEx>
          <w:tblCellMar>
            <w:top w:w="0" w:type="dxa"/>
            <w:left w:w="0" w:type="dxa"/>
            <w:bottom w:w="0" w:type="dxa"/>
            <w:right w:w="0" w:type="dxa"/>
          </w:tblCellMar>
        </w:tblPrEx>
        <w:trPr>
          <w:trHeight w:val="864" w:hRule="atLeast"/>
        </w:trPr>
        <w:tc>
          <w:tcPr>
            <w:tcW w:w="1089"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14:paraId="55B8B0AE">
            <w:pPr>
              <w:jc w:val="center"/>
              <w:rPr>
                <w:rFonts w:hint="default" w:ascii="Times New Roman" w:hAnsi="Times New Roman" w:eastAsia="宋体" w:cs="Times New Roman"/>
                <w:i w:val="0"/>
                <w:color w:val="000000"/>
                <w:sz w:val="18"/>
                <w:szCs w:val="18"/>
                <w:u w:val="none"/>
              </w:rPr>
            </w:pPr>
          </w:p>
        </w:tc>
        <w:tc>
          <w:tcPr>
            <w:tcW w:w="9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CD6B4F">
            <w:pPr>
              <w:jc w:val="center"/>
              <w:rPr>
                <w:rFonts w:hint="default" w:ascii="Times New Roman" w:hAnsi="Times New Roman" w:eastAsia="宋体" w:cs="Times New Roman"/>
                <w:i w:val="0"/>
                <w:color w:val="000000"/>
                <w:sz w:val="18"/>
                <w:szCs w:val="18"/>
                <w:u w:val="none"/>
              </w:rPr>
            </w:pPr>
          </w:p>
        </w:tc>
        <w:tc>
          <w:tcPr>
            <w:tcW w:w="999" w:type="dxa"/>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14:paraId="3A76B32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生态效益 指标</w:t>
            </w:r>
          </w:p>
        </w:tc>
        <w:tc>
          <w:tcPr>
            <w:tcW w:w="2520" w:type="dxa"/>
            <w:gridSpan w:val="2"/>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256BA356">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指标1：老干部活动慰问费</w:t>
            </w:r>
          </w:p>
        </w:tc>
        <w:tc>
          <w:tcPr>
            <w:tcW w:w="34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86926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sz w:val="18"/>
                <w:szCs w:val="18"/>
                <w:lang w:val="en-US" w:eastAsia="zh-CN"/>
              </w:rPr>
              <w:t>在春节、劳动节、国庆、重阳节等重大节日时，购一些米、油和水果慰问全体老干部，把组织的关心带到每一家。</w:t>
            </w:r>
          </w:p>
        </w:tc>
      </w:tr>
      <w:tr w14:paraId="5369FC28">
        <w:tblPrEx>
          <w:tblCellMar>
            <w:top w:w="0" w:type="dxa"/>
            <w:left w:w="0" w:type="dxa"/>
            <w:bottom w:w="0" w:type="dxa"/>
            <w:right w:w="0" w:type="dxa"/>
          </w:tblCellMar>
        </w:tblPrEx>
        <w:trPr>
          <w:trHeight w:val="700" w:hRule="atLeast"/>
        </w:trPr>
        <w:tc>
          <w:tcPr>
            <w:tcW w:w="1089"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2C4194B0">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绩效指标</w:t>
            </w:r>
          </w:p>
        </w:tc>
        <w:tc>
          <w:tcPr>
            <w:tcW w:w="951" w:type="dxa"/>
            <w:tcBorders>
              <w:top w:val="single" w:color="auto" w:sz="4" w:space="0"/>
              <w:left w:val="nil"/>
              <w:bottom w:val="single" w:color="auto" w:sz="4" w:space="0"/>
              <w:right w:val="nil"/>
            </w:tcBorders>
            <w:noWrap/>
            <w:tcMar>
              <w:top w:w="15" w:type="dxa"/>
              <w:left w:w="15" w:type="dxa"/>
              <w:right w:w="15" w:type="dxa"/>
            </w:tcMar>
            <w:vAlign w:val="center"/>
          </w:tcPr>
          <w:p w14:paraId="3B4F03F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999" w:type="dxa"/>
            <w:tcBorders>
              <w:top w:val="single" w:color="auto" w:sz="4" w:space="0"/>
              <w:left w:val="single" w:color="000000" w:sz="4" w:space="0"/>
              <w:bottom w:val="single" w:color="000000" w:sz="4" w:space="0"/>
              <w:right w:val="nil"/>
            </w:tcBorders>
            <w:noWrap w:val="0"/>
            <w:tcMar>
              <w:top w:w="15" w:type="dxa"/>
              <w:left w:w="15" w:type="dxa"/>
              <w:right w:w="15" w:type="dxa"/>
            </w:tcMar>
            <w:vAlign w:val="center"/>
          </w:tcPr>
          <w:p w14:paraId="2A7C1783">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252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F0CD0C4">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3420"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55B431A2">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指标值（包含数字及文字描述）</w:t>
            </w:r>
          </w:p>
        </w:tc>
      </w:tr>
      <w:tr w14:paraId="23C5D230">
        <w:tblPrEx>
          <w:tblCellMar>
            <w:top w:w="0" w:type="dxa"/>
            <w:left w:w="0" w:type="dxa"/>
            <w:bottom w:w="0" w:type="dxa"/>
            <w:right w:w="0" w:type="dxa"/>
          </w:tblCellMar>
        </w:tblPrEx>
        <w:trPr>
          <w:trHeight w:val="70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12628A66">
            <w:pPr>
              <w:jc w:val="center"/>
              <w:rPr>
                <w:rFonts w:hint="default" w:ascii="Times New Roman" w:hAnsi="Times New Roman" w:eastAsia="宋体" w:cs="Times New Roman"/>
                <w:i w:val="0"/>
                <w:color w:val="000000"/>
                <w:sz w:val="18"/>
                <w:szCs w:val="18"/>
                <w:u w:val="none"/>
              </w:rPr>
            </w:pPr>
          </w:p>
        </w:tc>
        <w:tc>
          <w:tcPr>
            <w:tcW w:w="951" w:type="dxa"/>
            <w:vMerge w:val="restart"/>
            <w:tcBorders>
              <w:top w:val="single" w:color="auto" w:sz="4" w:space="0"/>
              <w:left w:val="nil"/>
              <w:right w:val="nil"/>
            </w:tcBorders>
            <w:noWrap/>
            <w:tcMar>
              <w:top w:w="15" w:type="dxa"/>
              <w:left w:w="15" w:type="dxa"/>
              <w:right w:w="15" w:type="dxa"/>
            </w:tcMar>
            <w:vAlign w:val="center"/>
          </w:tcPr>
          <w:p w14:paraId="77753C9B">
            <w:pPr>
              <w:jc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项目效益</w:t>
            </w:r>
          </w:p>
        </w:tc>
        <w:tc>
          <w:tcPr>
            <w:tcW w:w="999" w:type="dxa"/>
            <w:vMerge w:val="restart"/>
            <w:tcBorders>
              <w:top w:val="single" w:color="auto" w:sz="4" w:space="0"/>
              <w:left w:val="single" w:color="000000" w:sz="4" w:space="0"/>
              <w:right w:val="nil"/>
            </w:tcBorders>
            <w:noWrap w:val="0"/>
            <w:tcMar>
              <w:top w:w="15" w:type="dxa"/>
              <w:left w:w="15" w:type="dxa"/>
              <w:right w:w="15" w:type="dxa"/>
            </w:tcMar>
            <w:vAlign w:val="center"/>
          </w:tcPr>
          <w:p w14:paraId="318388D0">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生态效益 指标</w:t>
            </w:r>
          </w:p>
        </w:tc>
        <w:tc>
          <w:tcPr>
            <w:tcW w:w="252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46828862">
            <w:pPr>
              <w:keepNext w:val="0"/>
              <w:keepLines w:val="0"/>
              <w:widowControl/>
              <w:suppressLineNumbers w:val="0"/>
              <w:jc w:val="left"/>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指标2：劳务费</w:t>
            </w:r>
          </w:p>
        </w:tc>
        <w:tc>
          <w:tcPr>
            <w:tcW w:w="3420"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5287531B">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sz w:val="18"/>
                <w:szCs w:val="18"/>
                <w:lang w:val="en-US" w:eastAsia="zh-CN"/>
              </w:rPr>
              <w:t>做好老同志护理服务工作，维护社会稳定。</w:t>
            </w:r>
          </w:p>
        </w:tc>
      </w:tr>
      <w:tr w14:paraId="033D6DA0">
        <w:tblPrEx>
          <w:tblCellMar>
            <w:top w:w="0" w:type="dxa"/>
            <w:left w:w="0" w:type="dxa"/>
            <w:bottom w:w="0" w:type="dxa"/>
            <w:right w:w="0" w:type="dxa"/>
          </w:tblCellMar>
        </w:tblPrEx>
        <w:trPr>
          <w:trHeight w:val="70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2CAFB551">
            <w:pPr>
              <w:jc w:val="center"/>
              <w:rPr>
                <w:rFonts w:hint="default" w:ascii="Times New Roman" w:hAnsi="Times New Roman" w:eastAsia="宋体" w:cs="Times New Roman"/>
                <w:i w:val="0"/>
                <w:color w:val="000000"/>
                <w:sz w:val="18"/>
                <w:szCs w:val="18"/>
                <w:u w:val="none"/>
              </w:rPr>
            </w:pPr>
          </w:p>
        </w:tc>
        <w:tc>
          <w:tcPr>
            <w:tcW w:w="951" w:type="dxa"/>
            <w:vMerge w:val="continue"/>
            <w:tcBorders>
              <w:left w:val="nil"/>
              <w:right w:val="nil"/>
            </w:tcBorders>
            <w:noWrap/>
            <w:tcMar>
              <w:top w:w="15" w:type="dxa"/>
              <w:left w:w="15" w:type="dxa"/>
              <w:right w:w="15" w:type="dxa"/>
            </w:tcMar>
            <w:vAlign w:val="center"/>
          </w:tcPr>
          <w:p w14:paraId="11130DF7">
            <w:pPr>
              <w:jc w:val="center"/>
              <w:rPr>
                <w:rFonts w:hint="default" w:ascii="Times New Roman" w:hAnsi="Times New Roman" w:eastAsia="宋体" w:cs="Times New Roman"/>
                <w:i w:val="0"/>
                <w:color w:val="000000"/>
                <w:kern w:val="0"/>
                <w:sz w:val="18"/>
                <w:szCs w:val="18"/>
                <w:u w:val="none"/>
                <w:lang w:val="en-US" w:eastAsia="zh-CN" w:bidi="ar"/>
              </w:rPr>
            </w:pPr>
          </w:p>
        </w:tc>
        <w:tc>
          <w:tcPr>
            <w:tcW w:w="999" w:type="dxa"/>
            <w:vMerge w:val="continue"/>
            <w:tcBorders>
              <w:left w:val="single" w:color="000000" w:sz="4" w:space="0"/>
              <w:right w:val="nil"/>
            </w:tcBorders>
            <w:noWrap w:val="0"/>
            <w:tcMar>
              <w:top w:w="15" w:type="dxa"/>
              <w:left w:w="15" w:type="dxa"/>
              <w:right w:w="15" w:type="dxa"/>
            </w:tcMar>
            <w:vAlign w:val="center"/>
          </w:tcPr>
          <w:p w14:paraId="25988396">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p>
        </w:tc>
        <w:tc>
          <w:tcPr>
            <w:tcW w:w="252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4B3FB802">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指标3：楼栋管理费</w:t>
            </w:r>
          </w:p>
        </w:tc>
        <w:tc>
          <w:tcPr>
            <w:tcW w:w="3420"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1479A8F0">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经过干休所全体职工的共同努力，给老同志们一个较好的生活环境环境。</w:t>
            </w:r>
          </w:p>
        </w:tc>
      </w:tr>
      <w:tr w14:paraId="5F5F7A59">
        <w:tblPrEx>
          <w:tblCellMar>
            <w:top w:w="0" w:type="dxa"/>
            <w:left w:w="0" w:type="dxa"/>
            <w:bottom w:w="0" w:type="dxa"/>
            <w:right w:w="0" w:type="dxa"/>
          </w:tblCellMar>
        </w:tblPrEx>
        <w:trPr>
          <w:trHeight w:val="70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4664143A">
            <w:pPr>
              <w:jc w:val="center"/>
              <w:rPr>
                <w:rFonts w:hint="default" w:ascii="Times New Roman" w:hAnsi="Times New Roman" w:eastAsia="宋体" w:cs="Times New Roman"/>
                <w:i w:val="0"/>
                <w:color w:val="000000"/>
                <w:sz w:val="18"/>
                <w:szCs w:val="18"/>
                <w:u w:val="none"/>
              </w:rPr>
            </w:pPr>
          </w:p>
        </w:tc>
        <w:tc>
          <w:tcPr>
            <w:tcW w:w="951" w:type="dxa"/>
            <w:vMerge w:val="continue"/>
            <w:tcBorders>
              <w:left w:val="nil"/>
              <w:right w:val="nil"/>
            </w:tcBorders>
            <w:noWrap/>
            <w:tcMar>
              <w:top w:w="15" w:type="dxa"/>
              <w:left w:w="15" w:type="dxa"/>
              <w:right w:w="15" w:type="dxa"/>
            </w:tcMar>
            <w:vAlign w:val="center"/>
          </w:tcPr>
          <w:p w14:paraId="74C05A90">
            <w:pPr>
              <w:jc w:val="center"/>
              <w:rPr>
                <w:rFonts w:hint="default" w:ascii="Times New Roman" w:hAnsi="Times New Roman" w:eastAsia="宋体" w:cs="Times New Roman"/>
                <w:i w:val="0"/>
                <w:color w:val="000000"/>
                <w:kern w:val="0"/>
                <w:sz w:val="18"/>
                <w:szCs w:val="18"/>
                <w:u w:val="none"/>
                <w:lang w:val="en-US" w:eastAsia="zh-CN" w:bidi="ar"/>
              </w:rPr>
            </w:pPr>
          </w:p>
        </w:tc>
        <w:tc>
          <w:tcPr>
            <w:tcW w:w="999" w:type="dxa"/>
            <w:vMerge w:val="continue"/>
            <w:tcBorders>
              <w:left w:val="single" w:color="000000" w:sz="4" w:space="0"/>
              <w:bottom w:val="single" w:color="000000" w:sz="4" w:space="0"/>
              <w:right w:val="nil"/>
            </w:tcBorders>
            <w:noWrap w:val="0"/>
            <w:tcMar>
              <w:top w:w="15" w:type="dxa"/>
              <w:left w:w="15" w:type="dxa"/>
              <w:right w:w="15" w:type="dxa"/>
            </w:tcMar>
            <w:vAlign w:val="center"/>
          </w:tcPr>
          <w:p w14:paraId="3F9C6AA4">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p>
        </w:tc>
        <w:tc>
          <w:tcPr>
            <w:tcW w:w="252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4FDB20F1">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指标4：办公费</w:t>
            </w:r>
          </w:p>
        </w:tc>
        <w:tc>
          <w:tcPr>
            <w:tcW w:w="3420"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0FB8E0A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sz w:val="18"/>
                <w:szCs w:val="18"/>
                <w:lang w:val="en-US" w:eastAsia="zh-CN"/>
              </w:rPr>
              <w:t>2024年，</w:t>
            </w:r>
            <w:r>
              <w:rPr>
                <w:rFonts w:hint="default" w:ascii="Times New Roman" w:hAnsi="Times New Roman" w:eastAsia="宋体" w:cs="Times New Roman"/>
                <w:sz w:val="18"/>
                <w:szCs w:val="18"/>
                <w:lang w:eastAsia="zh-CN"/>
              </w:rPr>
              <w:t>帮助老干部看病就医、集体体检、组织活动、上门慰问</w:t>
            </w:r>
            <w:r>
              <w:rPr>
                <w:rFonts w:hint="default" w:ascii="Times New Roman" w:hAnsi="Times New Roman" w:eastAsia="宋体" w:cs="Times New Roman"/>
                <w:sz w:val="18"/>
                <w:szCs w:val="18"/>
                <w:lang w:val="en-US" w:eastAsia="zh-CN"/>
              </w:rPr>
              <w:t>176</w:t>
            </w:r>
            <w:r>
              <w:rPr>
                <w:rFonts w:hint="default" w:ascii="Times New Roman" w:hAnsi="Times New Roman" w:eastAsia="宋体" w:cs="Times New Roman"/>
                <w:sz w:val="18"/>
                <w:szCs w:val="18"/>
                <w:lang w:eastAsia="zh-CN"/>
              </w:rPr>
              <w:t>人次，其中往返住地与医院接送</w:t>
            </w:r>
            <w:r>
              <w:rPr>
                <w:rFonts w:hint="default" w:ascii="Times New Roman" w:hAnsi="Times New Roman" w:eastAsia="宋体" w:cs="Times New Roman"/>
                <w:sz w:val="18"/>
                <w:szCs w:val="18"/>
                <w:lang w:val="en-US" w:eastAsia="zh-CN"/>
              </w:rPr>
              <w:t>96</w:t>
            </w:r>
            <w:r>
              <w:rPr>
                <w:rFonts w:hint="default" w:ascii="Times New Roman" w:hAnsi="Times New Roman" w:eastAsia="宋体" w:cs="Times New Roman"/>
                <w:sz w:val="18"/>
                <w:szCs w:val="18"/>
                <w:lang w:eastAsia="zh-CN"/>
              </w:rPr>
              <w:t>人次。</w:t>
            </w:r>
          </w:p>
        </w:tc>
      </w:tr>
      <w:tr w14:paraId="3954F2B5">
        <w:tblPrEx>
          <w:tblCellMar>
            <w:top w:w="0" w:type="dxa"/>
            <w:left w:w="0" w:type="dxa"/>
            <w:bottom w:w="0" w:type="dxa"/>
            <w:right w:w="0" w:type="dxa"/>
          </w:tblCellMar>
        </w:tblPrEx>
        <w:trPr>
          <w:trHeight w:val="70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48B1AA2F">
            <w:pPr>
              <w:jc w:val="center"/>
              <w:rPr>
                <w:rFonts w:hint="default" w:ascii="Times New Roman" w:hAnsi="Times New Roman" w:eastAsia="宋体" w:cs="Times New Roman"/>
                <w:i w:val="0"/>
                <w:color w:val="000000"/>
                <w:sz w:val="18"/>
                <w:szCs w:val="18"/>
                <w:u w:val="none"/>
              </w:rPr>
            </w:pPr>
          </w:p>
        </w:tc>
        <w:tc>
          <w:tcPr>
            <w:tcW w:w="951" w:type="dxa"/>
            <w:vMerge w:val="continue"/>
            <w:tcBorders>
              <w:left w:val="nil"/>
              <w:right w:val="nil"/>
            </w:tcBorders>
            <w:noWrap/>
            <w:tcMar>
              <w:top w:w="15" w:type="dxa"/>
              <w:left w:w="15" w:type="dxa"/>
              <w:right w:w="15" w:type="dxa"/>
            </w:tcMar>
            <w:vAlign w:val="center"/>
          </w:tcPr>
          <w:p w14:paraId="3E46E301">
            <w:pPr>
              <w:jc w:val="center"/>
              <w:rPr>
                <w:rFonts w:hint="default" w:ascii="Times New Roman" w:hAnsi="Times New Roman" w:eastAsia="宋体" w:cs="Times New Roman"/>
                <w:i w:val="0"/>
                <w:color w:val="000000"/>
                <w:sz w:val="18"/>
                <w:szCs w:val="18"/>
                <w:u w:val="none"/>
              </w:rPr>
            </w:pPr>
          </w:p>
        </w:tc>
        <w:tc>
          <w:tcPr>
            <w:tcW w:w="999" w:type="dxa"/>
            <w:vMerge w:val="restart"/>
            <w:tcBorders>
              <w:top w:val="single" w:color="auto" w:sz="4" w:space="0"/>
              <w:left w:val="single" w:color="000000" w:sz="4" w:space="0"/>
              <w:right w:val="nil"/>
            </w:tcBorders>
            <w:noWrap w:val="0"/>
            <w:tcMar>
              <w:top w:w="15" w:type="dxa"/>
              <w:left w:w="15" w:type="dxa"/>
              <w:right w:w="15" w:type="dxa"/>
            </w:tcMar>
            <w:vAlign w:val="center"/>
          </w:tcPr>
          <w:p w14:paraId="35D3A8B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可持续影响指标</w:t>
            </w:r>
          </w:p>
        </w:tc>
        <w:tc>
          <w:tcPr>
            <w:tcW w:w="252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B35B652">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指标1：老干部活动慰问费</w:t>
            </w:r>
          </w:p>
        </w:tc>
        <w:tc>
          <w:tcPr>
            <w:tcW w:w="3420"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4542A782">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sz w:val="18"/>
                <w:szCs w:val="18"/>
                <w:lang w:eastAsia="zh-CN"/>
              </w:rPr>
              <w:t>认真落实中央、省市委离退休老干部服务管理工作要求，用心用情做好离退休干部服务管理工作。</w:t>
            </w:r>
          </w:p>
        </w:tc>
      </w:tr>
      <w:tr w14:paraId="1F43E99F">
        <w:tblPrEx>
          <w:tblCellMar>
            <w:top w:w="0" w:type="dxa"/>
            <w:left w:w="0" w:type="dxa"/>
            <w:bottom w:w="0" w:type="dxa"/>
            <w:right w:w="0" w:type="dxa"/>
          </w:tblCellMar>
        </w:tblPrEx>
        <w:trPr>
          <w:trHeight w:val="52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5C62F3BF">
            <w:pPr>
              <w:jc w:val="center"/>
              <w:rPr>
                <w:rFonts w:hint="default" w:ascii="Times New Roman" w:hAnsi="Times New Roman" w:eastAsia="宋体" w:cs="Times New Roman"/>
                <w:i w:val="0"/>
                <w:color w:val="000000"/>
                <w:sz w:val="18"/>
                <w:szCs w:val="18"/>
                <w:u w:val="none"/>
              </w:rPr>
            </w:pPr>
          </w:p>
        </w:tc>
        <w:tc>
          <w:tcPr>
            <w:tcW w:w="951" w:type="dxa"/>
            <w:vMerge w:val="continue"/>
            <w:tcBorders>
              <w:left w:val="nil"/>
              <w:right w:val="nil"/>
            </w:tcBorders>
            <w:noWrap/>
            <w:tcMar>
              <w:top w:w="15" w:type="dxa"/>
              <w:left w:w="15" w:type="dxa"/>
              <w:right w:w="15" w:type="dxa"/>
            </w:tcMar>
            <w:vAlign w:val="center"/>
          </w:tcPr>
          <w:p w14:paraId="2AF63640">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000000" w:sz="4" w:space="0"/>
              <w:right w:val="nil"/>
            </w:tcBorders>
            <w:noWrap w:val="0"/>
            <w:tcMar>
              <w:top w:w="15" w:type="dxa"/>
              <w:left w:w="15" w:type="dxa"/>
              <w:right w:w="15" w:type="dxa"/>
            </w:tcMar>
            <w:vAlign w:val="center"/>
          </w:tcPr>
          <w:p w14:paraId="73538848">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82616C1">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指标2：劳务费</w:t>
            </w:r>
          </w:p>
        </w:tc>
        <w:tc>
          <w:tcPr>
            <w:tcW w:w="342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52791F0">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让尊老、敬老、爱老这一传统美德在干休所充分体现，以儿女之心，晚辈之情作好老干部各项服务工作。</w:t>
            </w:r>
          </w:p>
        </w:tc>
      </w:tr>
      <w:tr w14:paraId="6282EF25">
        <w:tblPrEx>
          <w:tblCellMar>
            <w:top w:w="0" w:type="dxa"/>
            <w:left w:w="0" w:type="dxa"/>
            <w:bottom w:w="0" w:type="dxa"/>
            <w:right w:w="0" w:type="dxa"/>
          </w:tblCellMar>
        </w:tblPrEx>
        <w:trPr>
          <w:trHeight w:val="52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36AA439C">
            <w:pPr>
              <w:jc w:val="center"/>
              <w:rPr>
                <w:rFonts w:hint="default" w:ascii="Times New Roman" w:hAnsi="Times New Roman" w:eastAsia="宋体" w:cs="Times New Roman"/>
                <w:i w:val="0"/>
                <w:color w:val="000000"/>
                <w:sz w:val="18"/>
                <w:szCs w:val="18"/>
                <w:u w:val="none"/>
              </w:rPr>
            </w:pPr>
          </w:p>
        </w:tc>
        <w:tc>
          <w:tcPr>
            <w:tcW w:w="951" w:type="dxa"/>
            <w:vMerge w:val="continue"/>
            <w:tcBorders>
              <w:left w:val="nil"/>
              <w:right w:val="nil"/>
            </w:tcBorders>
            <w:noWrap/>
            <w:tcMar>
              <w:top w:w="15" w:type="dxa"/>
              <w:left w:w="15" w:type="dxa"/>
              <w:right w:w="15" w:type="dxa"/>
            </w:tcMar>
            <w:vAlign w:val="center"/>
          </w:tcPr>
          <w:p w14:paraId="689AAACC">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000000" w:sz="4" w:space="0"/>
              <w:right w:val="nil"/>
            </w:tcBorders>
            <w:noWrap w:val="0"/>
            <w:tcMar>
              <w:top w:w="15" w:type="dxa"/>
              <w:left w:w="15" w:type="dxa"/>
              <w:right w:w="15" w:type="dxa"/>
            </w:tcMar>
            <w:vAlign w:val="center"/>
          </w:tcPr>
          <w:p w14:paraId="55E927D7">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09BAB13">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指标3：楼栋管理费</w:t>
            </w:r>
          </w:p>
        </w:tc>
        <w:tc>
          <w:tcPr>
            <w:tcW w:w="342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1DA45FF">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立足本职，尽力尽责，得到老同志们的一致好评。</w:t>
            </w:r>
          </w:p>
        </w:tc>
      </w:tr>
      <w:tr w14:paraId="5B84A9BF">
        <w:tblPrEx>
          <w:tblCellMar>
            <w:top w:w="0" w:type="dxa"/>
            <w:left w:w="0" w:type="dxa"/>
            <w:bottom w:w="0" w:type="dxa"/>
            <w:right w:w="0" w:type="dxa"/>
          </w:tblCellMar>
        </w:tblPrEx>
        <w:trPr>
          <w:trHeight w:val="52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2949349C">
            <w:pPr>
              <w:jc w:val="center"/>
              <w:rPr>
                <w:rFonts w:hint="default" w:ascii="Times New Roman" w:hAnsi="Times New Roman" w:eastAsia="宋体" w:cs="Times New Roman"/>
                <w:i w:val="0"/>
                <w:color w:val="000000"/>
                <w:sz w:val="18"/>
                <w:szCs w:val="18"/>
                <w:u w:val="none"/>
              </w:rPr>
            </w:pPr>
          </w:p>
        </w:tc>
        <w:tc>
          <w:tcPr>
            <w:tcW w:w="951" w:type="dxa"/>
            <w:vMerge w:val="continue"/>
            <w:tcBorders>
              <w:left w:val="nil"/>
              <w:bottom w:val="single" w:color="auto" w:sz="4" w:space="0"/>
              <w:right w:val="nil"/>
            </w:tcBorders>
            <w:noWrap/>
            <w:tcMar>
              <w:top w:w="15" w:type="dxa"/>
              <w:left w:w="15" w:type="dxa"/>
              <w:right w:w="15" w:type="dxa"/>
            </w:tcMar>
            <w:vAlign w:val="center"/>
          </w:tcPr>
          <w:p w14:paraId="7A6722BF">
            <w:pPr>
              <w:jc w:val="center"/>
              <w:rPr>
                <w:rFonts w:hint="default" w:ascii="Times New Roman" w:hAnsi="Times New Roman" w:eastAsia="宋体" w:cs="Times New Roman"/>
                <w:i w:val="0"/>
                <w:color w:val="000000"/>
                <w:sz w:val="18"/>
                <w:szCs w:val="18"/>
                <w:u w:val="none"/>
              </w:rPr>
            </w:pPr>
          </w:p>
        </w:tc>
        <w:tc>
          <w:tcPr>
            <w:tcW w:w="999" w:type="dxa"/>
            <w:vMerge w:val="continue"/>
            <w:tcBorders>
              <w:left w:val="single" w:color="000000" w:sz="4" w:space="0"/>
              <w:bottom w:val="single" w:color="000000" w:sz="4" w:space="0"/>
              <w:right w:val="nil"/>
            </w:tcBorders>
            <w:noWrap w:val="0"/>
            <w:tcMar>
              <w:top w:w="15" w:type="dxa"/>
              <w:left w:w="15" w:type="dxa"/>
              <w:right w:w="15" w:type="dxa"/>
            </w:tcMar>
            <w:vAlign w:val="center"/>
          </w:tcPr>
          <w:p w14:paraId="100EADC9">
            <w:pPr>
              <w:jc w:val="center"/>
              <w:rPr>
                <w:rFonts w:hint="default" w:ascii="Times New Roman" w:hAnsi="Times New Roman" w:eastAsia="宋体" w:cs="Times New Roman"/>
                <w:i w:val="0"/>
                <w:color w:val="000000"/>
                <w:sz w:val="18"/>
                <w:szCs w:val="18"/>
                <w:u w:val="none"/>
              </w:rPr>
            </w:pPr>
          </w:p>
        </w:tc>
        <w:tc>
          <w:tcPr>
            <w:tcW w:w="25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B20035">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指标4：办公费</w:t>
            </w:r>
          </w:p>
        </w:tc>
        <w:tc>
          <w:tcPr>
            <w:tcW w:w="342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4833480">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sz w:val="18"/>
                <w:szCs w:val="18"/>
                <w:lang w:eastAsia="zh-CN"/>
              </w:rPr>
              <w:t>取得“慰问一人、温暖一户、带动一片”的良好效果。</w:t>
            </w:r>
          </w:p>
        </w:tc>
      </w:tr>
      <w:tr w14:paraId="54FE9CFC">
        <w:tblPrEx>
          <w:tblCellMar>
            <w:top w:w="0" w:type="dxa"/>
            <w:left w:w="0" w:type="dxa"/>
            <w:bottom w:w="0" w:type="dxa"/>
            <w:right w:w="0" w:type="dxa"/>
          </w:tblCellMar>
        </w:tblPrEx>
        <w:trPr>
          <w:trHeight w:val="500" w:hRule="atLeast"/>
        </w:trPr>
        <w:tc>
          <w:tcPr>
            <w:tcW w:w="1089" w:type="dxa"/>
            <w:vMerge w:val="continue"/>
            <w:tcBorders>
              <w:left w:val="single" w:color="auto" w:sz="4" w:space="0"/>
              <w:bottom w:val="single" w:color="000000" w:sz="4" w:space="0"/>
              <w:right w:val="single" w:color="auto" w:sz="4" w:space="0"/>
            </w:tcBorders>
            <w:noWrap/>
            <w:tcMar>
              <w:top w:w="15" w:type="dxa"/>
              <w:left w:w="15" w:type="dxa"/>
              <w:right w:w="15" w:type="dxa"/>
            </w:tcMar>
            <w:vAlign w:val="center"/>
          </w:tcPr>
          <w:p w14:paraId="3005BFEA">
            <w:pPr>
              <w:jc w:val="center"/>
              <w:rPr>
                <w:rFonts w:hint="default" w:ascii="Times New Roman" w:hAnsi="Times New Roman" w:eastAsia="宋体" w:cs="Times New Roman"/>
                <w:i w:val="0"/>
                <w:color w:val="000000"/>
                <w:sz w:val="18"/>
                <w:szCs w:val="18"/>
                <w:u w:val="none"/>
              </w:rPr>
            </w:pPr>
          </w:p>
        </w:tc>
        <w:tc>
          <w:tcPr>
            <w:tcW w:w="951"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4132E57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满意度指标</w:t>
            </w:r>
          </w:p>
        </w:tc>
        <w:tc>
          <w:tcPr>
            <w:tcW w:w="99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B28C96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服务对象满意度指标</w:t>
            </w:r>
          </w:p>
        </w:tc>
        <w:tc>
          <w:tcPr>
            <w:tcW w:w="25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8576A">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离休老干部</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599D0">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w:t>
            </w:r>
          </w:p>
        </w:tc>
      </w:tr>
      <w:tr w14:paraId="5374568C">
        <w:tblPrEx>
          <w:tblCellMar>
            <w:top w:w="0" w:type="dxa"/>
            <w:left w:w="0" w:type="dxa"/>
            <w:bottom w:w="0" w:type="dxa"/>
            <w:right w:w="0" w:type="dxa"/>
          </w:tblCellMar>
        </w:tblPrEx>
        <w:trPr>
          <w:trHeight w:val="460" w:hRule="atLeast"/>
        </w:trPr>
        <w:tc>
          <w:tcPr>
            <w:tcW w:w="8979" w:type="dxa"/>
            <w:gridSpan w:val="6"/>
            <w:tcBorders>
              <w:top w:val="nil"/>
              <w:left w:val="nil"/>
              <w:bottom w:val="nil"/>
              <w:right w:val="nil"/>
            </w:tcBorders>
            <w:noWrap/>
            <w:tcMar>
              <w:top w:w="15" w:type="dxa"/>
              <w:left w:w="15" w:type="dxa"/>
              <w:right w:w="15" w:type="dxa"/>
            </w:tcMar>
            <w:vAlign w:val="center"/>
          </w:tcPr>
          <w:p w14:paraId="1B690F6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(2024年度)</w:t>
            </w:r>
          </w:p>
        </w:tc>
      </w:tr>
      <w:tr w14:paraId="66C0A93B">
        <w:tblPrEx>
          <w:tblCellMar>
            <w:top w:w="0" w:type="dxa"/>
            <w:left w:w="0" w:type="dxa"/>
            <w:bottom w:w="0" w:type="dxa"/>
            <w:right w:w="0" w:type="dxa"/>
          </w:tblCellMar>
        </w:tblPrEx>
        <w:trPr>
          <w:trHeight w:val="44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C194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项目名称</w:t>
            </w:r>
          </w:p>
        </w:tc>
        <w:tc>
          <w:tcPr>
            <w:tcW w:w="789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2FE8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20"/>
                <w:szCs w:val="20"/>
                <w:u w:val="none"/>
                <w:lang w:val="en-US" w:eastAsia="zh-CN" w:bidi="ar"/>
              </w:rPr>
              <w:t>维修维护费</w:t>
            </w:r>
          </w:p>
        </w:tc>
      </w:tr>
      <w:tr w14:paraId="170BFF37">
        <w:tblPrEx>
          <w:tblCellMar>
            <w:top w:w="0" w:type="dxa"/>
            <w:left w:w="0" w:type="dxa"/>
            <w:bottom w:w="0" w:type="dxa"/>
            <w:right w:w="0" w:type="dxa"/>
          </w:tblCellMar>
        </w:tblPrEx>
        <w:trPr>
          <w:trHeight w:val="470" w:hRule="atLeast"/>
        </w:trPr>
        <w:tc>
          <w:tcPr>
            <w:tcW w:w="108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0F341A5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部门（单位）</w:t>
            </w:r>
          </w:p>
        </w:tc>
        <w:tc>
          <w:tcPr>
            <w:tcW w:w="789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57D0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20"/>
                <w:szCs w:val="20"/>
                <w:u w:val="none"/>
                <w:lang w:val="en-US" w:eastAsia="zh-CN" w:bidi="ar"/>
              </w:rPr>
              <w:t>攀枝花市成都干部服务中心</w:t>
            </w:r>
          </w:p>
        </w:tc>
      </w:tr>
      <w:tr w14:paraId="305655AB">
        <w:tblPrEx>
          <w:tblCellMar>
            <w:top w:w="0" w:type="dxa"/>
            <w:left w:w="0" w:type="dxa"/>
            <w:bottom w:w="0" w:type="dxa"/>
            <w:right w:w="0" w:type="dxa"/>
          </w:tblCellMar>
        </w:tblPrEx>
        <w:trPr>
          <w:trHeight w:val="435" w:hRule="atLeast"/>
        </w:trPr>
        <w:tc>
          <w:tcPr>
            <w:tcW w:w="10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C86C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项目资金</w:t>
            </w:r>
          </w:p>
        </w:tc>
        <w:tc>
          <w:tcPr>
            <w:tcW w:w="277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D5EFA">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年度资金总额</w:t>
            </w:r>
          </w:p>
        </w:tc>
        <w:tc>
          <w:tcPr>
            <w:tcW w:w="51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0DB8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3万元</w:t>
            </w:r>
          </w:p>
        </w:tc>
      </w:tr>
      <w:tr w14:paraId="128724E9">
        <w:tblPrEx>
          <w:tblCellMar>
            <w:top w:w="0" w:type="dxa"/>
            <w:left w:w="0" w:type="dxa"/>
            <w:bottom w:w="0" w:type="dxa"/>
            <w:right w:w="0" w:type="dxa"/>
          </w:tblCellMar>
        </w:tblPrEx>
        <w:trPr>
          <w:trHeight w:val="502" w:hRule="atLeast"/>
        </w:trPr>
        <w:tc>
          <w:tcPr>
            <w:tcW w:w="10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A3EE2">
            <w:pPr>
              <w:jc w:val="center"/>
              <w:rPr>
                <w:rFonts w:hint="default" w:ascii="Times New Roman" w:hAnsi="Times New Roman" w:eastAsia="宋体" w:cs="Times New Roman"/>
                <w:i w:val="0"/>
                <w:color w:val="000000"/>
                <w:sz w:val="18"/>
                <w:szCs w:val="18"/>
                <w:u w:val="none"/>
              </w:rPr>
            </w:pPr>
          </w:p>
        </w:tc>
        <w:tc>
          <w:tcPr>
            <w:tcW w:w="277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7D31E">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其中：财政拨款</w:t>
            </w:r>
          </w:p>
        </w:tc>
        <w:tc>
          <w:tcPr>
            <w:tcW w:w="51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57E9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3万元</w:t>
            </w:r>
          </w:p>
        </w:tc>
      </w:tr>
      <w:tr w14:paraId="4A0ED5F4">
        <w:tblPrEx>
          <w:tblCellMar>
            <w:top w:w="0" w:type="dxa"/>
            <w:left w:w="0" w:type="dxa"/>
            <w:bottom w:w="0" w:type="dxa"/>
            <w:right w:w="0" w:type="dxa"/>
          </w:tblCellMar>
        </w:tblPrEx>
        <w:trPr>
          <w:trHeight w:val="840" w:hRule="atLeast"/>
        </w:trPr>
        <w:tc>
          <w:tcPr>
            <w:tcW w:w="1089" w:type="dxa"/>
            <w:tcBorders>
              <w:top w:val="nil"/>
              <w:left w:val="single" w:color="000000" w:sz="4" w:space="0"/>
              <w:bottom w:val="single" w:color="auto" w:sz="4" w:space="0"/>
              <w:right w:val="nil"/>
            </w:tcBorders>
            <w:noWrap w:val="0"/>
            <w:tcMar>
              <w:top w:w="15" w:type="dxa"/>
              <w:left w:w="15" w:type="dxa"/>
              <w:right w:w="15" w:type="dxa"/>
            </w:tcMar>
            <w:vAlign w:val="center"/>
          </w:tcPr>
          <w:p w14:paraId="395D245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总体目标</w:t>
            </w:r>
          </w:p>
        </w:tc>
        <w:tc>
          <w:tcPr>
            <w:tcW w:w="7890" w:type="dxa"/>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5CFF96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服务中心主要完成以下工作任务：1、承担在蓉攀籍离退休干部的相关服务、接待及维稳工作。2、负责在蓉向曾经在攀工作的干部宣传攀枝花、介绍攀枝花，与他们信息联络畅通，使之进一步为攀枝花建设和发展服务。3、根据小区住户特点,邀请医生开展疾病预防等讲座。4、负责中心及西锦</w:t>
            </w:r>
            <w:r>
              <w:rPr>
                <w:rFonts w:hint="default" w:ascii="Times New Roman" w:hAnsi="Times New Roman" w:cs="Times New Roman"/>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渡小区的固定资产管理。5、协调西锦</w:t>
            </w:r>
            <w:r>
              <w:rPr>
                <w:rFonts w:hint="default" w:ascii="Times New Roman" w:hAnsi="Times New Roman" w:cs="Times New Roman"/>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渡物业做好小区房屋、公共设施的维护保养工作。6、承办领导交办的其它任务。</w:t>
            </w:r>
          </w:p>
        </w:tc>
      </w:tr>
      <w:tr w14:paraId="0FA886A6">
        <w:tblPrEx>
          <w:tblCellMar>
            <w:top w:w="0" w:type="dxa"/>
            <w:left w:w="0" w:type="dxa"/>
            <w:bottom w:w="0" w:type="dxa"/>
            <w:right w:w="0" w:type="dxa"/>
          </w:tblCellMar>
        </w:tblPrEx>
        <w:trPr>
          <w:trHeight w:val="495" w:hRule="atLeast"/>
        </w:trPr>
        <w:tc>
          <w:tcPr>
            <w:tcW w:w="1089"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403C1E6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绩效指标</w:t>
            </w:r>
          </w:p>
        </w:tc>
        <w:tc>
          <w:tcPr>
            <w:tcW w:w="9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760F5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F7578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F7CE4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34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AA58D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指标值（包含数字及文字描述）</w:t>
            </w:r>
          </w:p>
        </w:tc>
      </w:tr>
      <w:tr w14:paraId="15D2983C">
        <w:tblPrEx>
          <w:tblCellMar>
            <w:top w:w="0" w:type="dxa"/>
            <w:left w:w="0" w:type="dxa"/>
            <w:bottom w:w="0" w:type="dxa"/>
            <w:right w:w="0" w:type="dxa"/>
          </w:tblCellMar>
        </w:tblPrEx>
        <w:trPr>
          <w:trHeight w:val="9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3F7FF56D">
            <w:pPr>
              <w:jc w:val="center"/>
              <w:rPr>
                <w:rFonts w:hint="default" w:ascii="Times New Roman" w:hAnsi="Times New Roman" w:eastAsia="宋体" w:cs="Times New Roman"/>
                <w:i w:val="0"/>
                <w:color w:val="000000"/>
                <w:sz w:val="18"/>
                <w:szCs w:val="18"/>
                <w:u w:val="none"/>
              </w:rPr>
            </w:pPr>
          </w:p>
        </w:tc>
        <w:tc>
          <w:tcPr>
            <w:tcW w:w="95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3E063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项目完成</w:t>
            </w:r>
          </w:p>
        </w:tc>
        <w:tc>
          <w:tcPr>
            <w:tcW w:w="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27497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数量指标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4D1885">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cs="Times New Roman"/>
                <w:sz w:val="18"/>
                <w:szCs w:val="18"/>
              </w:rPr>
              <w:t>维修维护费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B67044">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对小区内为离退休老干部们提供文化娱乐活动场所和设备进行维修保养。</w:t>
            </w:r>
          </w:p>
        </w:tc>
      </w:tr>
      <w:tr w14:paraId="46337F11">
        <w:tblPrEx>
          <w:tblCellMar>
            <w:top w:w="0" w:type="dxa"/>
            <w:left w:w="0" w:type="dxa"/>
            <w:bottom w:w="0" w:type="dxa"/>
            <w:right w:w="0" w:type="dxa"/>
          </w:tblCellMar>
        </w:tblPrEx>
        <w:trPr>
          <w:trHeight w:val="9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69A10B09">
            <w:pPr>
              <w:jc w:val="center"/>
              <w:rPr>
                <w:rFonts w:hint="default" w:ascii="Times New Roman" w:hAnsi="Times New Roman" w:eastAsia="宋体" w:cs="Times New Roman"/>
                <w:i w:val="0"/>
                <w:color w:val="000000"/>
                <w:sz w:val="18"/>
                <w:szCs w:val="18"/>
                <w:u w:val="none"/>
              </w:rPr>
            </w:pPr>
          </w:p>
        </w:tc>
        <w:tc>
          <w:tcPr>
            <w:tcW w:w="9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BAD372">
            <w:pPr>
              <w:jc w:val="center"/>
              <w:rPr>
                <w:rFonts w:hint="default" w:ascii="Times New Roman" w:hAnsi="Times New Roman" w:eastAsia="宋体" w:cs="Times New Roman"/>
                <w:i w:val="0"/>
                <w:color w:val="000000"/>
                <w:kern w:val="0"/>
                <w:sz w:val="18"/>
                <w:szCs w:val="18"/>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ECD864">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质量指标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712E72">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sz w:val="18"/>
                <w:szCs w:val="18"/>
              </w:rPr>
              <w:t>维修维护费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1372F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按照“简洁、大方、功能齐全”的要求</w:t>
            </w:r>
            <w:r>
              <w:rPr>
                <w:rFonts w:hint="default" w:ascii="Times New Roman" w:hAnsi="Times New Roman" w:eastAsia="宋体" w:cs="Times New Roman"/>
                <w:sz w:val="18"/>
                <w:szCs w:val="18"/>
                <w:lang w:eastAsia="zh-CN"/>
              </w:rPr>
              <w:t>打造党员活动室</w:t>
            </w:r>
            <w:r>
              <w:rPr>
                <w:rFonts w:hint="default" w:ascii="Times New Roman" w:hAnsi="Times New Roman" w:eastAsia="宋体" w:cs="Times New Roman"/>
                <w:sz w:val="18"/>
                <w:szCs w:val="18"/>
                <w:lang w:val="en-US" w:eastAsia="zh-CN"/>
              </w:rPr>
              <w:t>，设计制作文化墙精益求精,购买基础设施设备。</w:t>
            </w:r>
          </w:p>
        </w:tc>
      </w:tr>
      <w:tr w14:paraId="0C1D6576">
        <w:tblPrEx>
          <w:tblCellMar>
            <w:top w:w="0" w:type="dxa"/>
            <w:left w:w="0" w:type="dxa"/>
            <w:bottom w:w="0" w:type="dxa"/>
            <w:right w:w="0" w:type="dxa"/>
          </w:tblCellMar>
        </w:tblPrEx>
        <w:trPr>
          <w:trHeight w:val="9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51A06633">
            <w:pPr>
              <w:jc w:val="center"/>
              <w:rPr>
                <w:rFonts w:hint="default" w:ascii="Times New Roman" w:hAnsi="Times New Roman" w:eastAsia="宋体" w:cs="Times New Roman"/>
                <w:i w:val="0"/>
                <w:color w:val="000000"/>
                <w:sz w:val="18"/>
                <w:szCs w:val="18"/>
                <w:u w:val="none"/>
              </w:rPr>
            </w:pPr>
          </w:p>
        </w:tc>
        <w:tc>
          <w:tcPr>
            <w:tcW w:w="9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806745">
            <w:pPr>
              <w:jc w:val="center"/>
              <w:rPr>
                <w:rFonts w:hint="default" w:ascii="Times New Roman" w:hAnsi="Times New Roman" w:eastAsia="宋体" w:cs="Times New Roman"/>
                <w:i w:val="0"/>
                <w:color w:val="000000"/>
                <w:kern w:val="0"/>
                <w:sz w:val="18"/>
                <w:szCs w:val="18"/>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69AB40">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时效指标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88C8F3">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sz w:val="18"/>
                <w:szCs w:val="18"/>
              </w:rPr>
              <w:t>维修维护费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DB0680">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color w:val="000000"/>
                <w:kern w:val="0"/>
                <w:sz w:val="18"/>
                <w:szCs w:val="18"/>
                <w:u w:val="none"/>
                <w:lang w:val="en-US" w:eastAsia="zh-CN" w:bidi="ar"/>
              </w:rPr>
              <w:t>2024年1—12月</w:t>
            </w:r>
          </w:p>
        </w:tc>
      </w:tr>
      <w:tr w14:paraId="472C72AA">
        <w:tblPrEx>
          <w:tblCellMar>
            <w:top w:w="0" w:type="dxa"/>
            <w:left w:w="0" w:type="dxa"/>
            <w:bottom w:w="0" w:type="dxa"/>
            <w:right w:w="0" w:type="dxa"/>
          </w:tblCellMar>
        </w:tblPrEx>
        <w:trPr>
          <w:trHeight w:val="9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2D40B44D">
            <w:pPr>
              <w:jc w:val="center"/>
              <w:rPr>
                <w:rFonts w:hint="default" w:ascii="Times New Roman" w:hAnsi="Times New Roman" w:eastAsia="宋体" w:cs="Times New Roman"/>
                <w:i w:val="0"/>
                <w:color w:val="000000"/>
                <w:sz w:val="18"/>
                <w:szCs w:val="18"/>
                <w:u w:val="none"/>
              </w:rPr>
            </w:pPr>
          </w:p>
        </w:tc>
        <w:tc>
          <w:tcPr>
            <w:tcW w:w="9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6F725F">
            <w:pPr>
              <w:jc w:val="center"/>
              <w:rPr>
                <w:rFonts w:hint="default" w:ascii="Times New Roman" w:hAnsi="Times New Roman" w:eastAsia="宋体" w:cs="Times New Roman"/>
                <w:i w:val="0"/>
                <w:color w:val="000000"/>
                <w:kern w:val="0"/>
                <w:sz w:val="18"/>
                <w:szCs w:val="18"/>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DF2490">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成本指标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4BF530">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sz w:val="18"/>
                <w:szCs w:val="18"/>
              </w:rPr>
              <w:t>维修维护费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759255">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color w:val="000000"/>
                <w:kern w:val="0"/>
                <w:sz w:val="18"/>
                <w:szCs w:val="18"/>
                <w:u w:val="none"/>
                <w:lang w:val="en-US" w:eastAsia="zh-CN" w:bidi="ar"/>
              </w:rPr>
              <w:t>3万元</w:t>
            </w:r>
          </w:p>
        </w:tc>
      </w:tr>
      <w:tr w14:paraId="26E8AB06">
        <w:tblPrEx>
          <w:tblCellMar>
            <w:top w:w="0" w:type="dxa"/>
            <w:left w:w="0" w:type="dxa"/>
            <w:bottom w:w="0" w:type="dxa"/>
            <w:right w:w="0" w:type="dxa"/>
          </w:tblCellMar>
        </w:tblPrEx>
        <w:trPr>
          <w:trHeight w:val="9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1B0A42C0">
            <w:pPr>
              <w:jc w:val="center"/>
              <w:rPr>
                <w:rFonts w:hint="default" w:ascii="Times New Roman" w:hAnsi="Times New Roman" w:eastAsia="宋体" w:cs="Times New Roman"/>
                <w:i w:val="0"/>
                <w:color w:val="000000"/>
                <w:sz w:val="18"/>
                <w:szCs w:val="18"/>
                <w:u w:val="none"/>
              </w:rPr>
            </w:pPr>
          </w:p>
        </w:tc>
        <w:tc>
          <w:tcPr>
            <w:tcW w:w="95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78EEC4">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项目效益</w:t>
            </w:r>
          </w:p>
        </w:tc>
        <w:tc>
          <w:tcPr>
            <w:tcW w:w="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64B9BB">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社会效益  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BBFE5F">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sz w:val="18"/>
                <w:szCs w:val="18"/>
              </w:rPr>
              <w:t>维修维护费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281C34">
            <w:pPr>
              <w:keepNext w:val="0"/>
              <w:keepLines w:val="0"/>
              <w:widowControl/>
              <w:suppressLineNumbers w:val="0"/>
              <w:jc w:val="left"/>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color w:val="000000"/>
                <w:kern w:val="0"/>
                <w:sz w:val="18"/>
                <w:szCs w:val="18"/>
                <w:u w:val="none"/>
                <w:lang w:val="en-US" w:eastAsia="zh-CN" w:bidi="ar"/>
              </w:rPr>
              <w:t>体现组织的关怀、维护社会的稳定。</w:t>
            </w:r>
          </w:p>
        </w:tc>
      </w:tr>
      <w:tr w14:paraId="3FFC4692">
        <w:tblPrEx>
          <w:tblCellMar>
            <w:top w:w="0" w:type="dxa"/>
            <w:left w:w="0" w:type="dxa"/>
            <w:bottom w:w="0" w:type="dxa"/>
            <w:right w:w="0" w:type="dxa"/>
          </w:tblCellMar>
        </w:tblPrEx>
        <w:trPr>
          <w:trHeight w:val="9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4ABE4CEC">
            <w:pPr>
              <w:jc w:val="center"/>
              <w:rPr>
                <w:rFonts w:hint="default" w:ascii="Times New Roman" w:hAnsi="Times New Roman" w:eastAsia="宋体" w:cs="Times New Roman"/>
                <w:i w:val="0"/>
                <w:color w:val="000000"/>
                <w:sz w:val="18"/>
                <w:szCs w:val="18"/>
                <w:u w:val="none"/>
              </w:rPr>
            </w:pPr>
          </w:p>
        </w:tc>
        <w:tc>
          <w:tcPr>
            <w:tcW w:w="9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E2C309">
            <w:pPr>
              <w:jc w:val="center"/>
              <w:rPr>
                <w:rFonts w:hint="default" w:ascii="Times New Roman" w:hAnsi="Times New Roman" w:eastAsia="宋体" w:cs="Times New Roman"/>
                <w:i w:val="0"/>
                <w:color w:val="000000"/>
                <w:kern w:val="0"/>
                <w:sz w:val="18"/>
                <w:szCs w:val="18"/>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0F45FB">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经济效益 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E85A1F">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sz w:val="18"/>
                <w:szCs w:val="18"/>
              </w:rPr>
              <w:t>维修维护费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A1D83E">
            <w:pPr>
              <w:keepNext w:val="0"/>
              <w:keepLines w:val="0"/>
              <w:widowControl/>
              <w:suppressLineNumbers w:val="0"/>
              <w:jc w:val="left"/>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color w:val="000000"/>
                <w:kern w:val="0"/>
                <w:sz w:val="18"/>
                <w:szCs w:val="18"/>
                <w:u w:val="none"/>
                <w:lang w:val="en-US" w:eastAsia="zh-CN" w:bidi="ar"/>
              </w:rPr>
              <w:t>保障了</w:t>
            </w:r>
            <w:r>
              <w:rPr>
                <w:rFonts w:hint="default" w:ascii="Times New Roman" w:hAnsi="Times New Roman" w:eastAsia="宋体" w:cs="Times New Roman"/>
                <w:sz w:val="18"/>
                <w:szCs w:val="18"/>
                <w:lang w:eastAsia="zh-CN"/>
              </w:rPr>
              <w:t>小区房屋、公共设施的</w:t>
            </w:r>
            <w:r>
              <w:rPr>
                <w:rFonts w:hint="default" w:ascii="Times New Roman" w:hAnsi="Times New Roman" w:eastAsia="宋体" w:cs="Times New Roman"/>
                <w:i w:val="0"/>
                <w:color w:val="000000"/>
                <w:kern w:val="0"/>
                <w:sz w:val="18"/>
                <w:szCs w:val="18"/>
                <w:u w:val="none"/>
                <w:lang w:val="en-US" w:eastAsia="zh-CN" w:bidi="ar"/>
              </w:rPr>
              <w:t>安全，延长了国有资产使用寿命。</w:t>
            </w:r>
          </w:p>
        </w:tc>
      </w:tr>
      <w:tr w14:paraId="3F2D2188">
        <w:tblPrEx>
          <w:tblCellMar>
            <w:top w:w="0" w:type="dxa"/>
            <w:left w:w="0" w:type="dxa"/>
            <w:bottom w:w="0" w:type="dxa"/>
            <w:right w:w="0" w:type="dxa"/>
          </w:tblCellMar>
        </w:tblPrEx>
        <w:trPr>
          <w:trHeight w:val="9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5FCF7DF2">
            <w:pPr>
              <w:jc w:val="center"/>
              <w:rPr>
                <w:rFonts w:hint="default" w:ascii="Times New Roman" w:hAnsi="Times New Roman" w:eastAsia="宋体" w:cs="Times New Roman"/>
                <w:i w:val="0"/>
                <w:color w:val="000000"/>
                <w:sz w:val="18"/>
                <w:szCs w:val="18"/>
                <w:u w:val="none"/>
              </w:rPr>
            </w:pPr>
          </w:p>
        </w:tc>
        <w:tc>
          <w:tcPr>
            <w:tcW w:w="9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9C8AEF">
            <w:pPr>
              <w:jc w:val="center"/>
              <w:rPr>
                <w:rFonts w:hint="default" w:ascii="Times New Roman" w:hAnsi="Times New Roman" w:eastAsia="宋体" w:cs="Times New Roman"/>
                <w:i w:val="0"/>
                <w:color w:val="000000"/>
                <w:kern w:val="0"/>
                <w:sz w:val="18"/>
                <w:szCs w:val="18"/>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2946E0">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生态效益 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059433">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sz w:val="18"/>
                <w:szCs w:val="18"/>
              </w:rPr>
              <w:t>维修维护费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A10903">
            <w:pPr>
              <w:keepNext w:val="0"/>
              <w:keepLines w:val="0"/>
              <w:widowControl/>
              <w:suppressLineNumbers w:val="0"/>
              <w:jc w:val="left"/>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color w:val="000000"/>
                <w:kern w:val="0"/>
                <w:sz w:val="18"/>
                <w:szCs w:val="18"/>
                <w:u w:val="none"/>
                <w:lang w:val="en-US" w:eastAsia="zh-CN" w:bidi="ar"/>
              </w:rPr>
              <w:t>为离退休老干部们提供一个老有所依、老有所养、和谐温馨的生活环境。</w:t>
            </w:r>
          </w:p>
        </w:tc>
      </w:tr>
      <w:tr w14:paraId="762053E5">
        <w:tblPrEx>
          <w:tblCellMar>
            <w:top w:w="0" w:type="dxa"/>
            <w:left w:w="0" w:type="dxa"/>
            <w:bottom w:w="0" w:type="dxa"/>
            <w:right w:w="0" w:type="dxa"/>
          </w:tblCellMar>
        </w:tblPrEx>
        <w:trPr>
          <w:trHeight w:val="90" w:hRule="atLeast"/>
        </w:trPr>
        <w:tc>
          <w:tcPr>
            <w:tcW w:w="1089" w:type="dxa"/>
            <w:vMerge w:val="continue"/>
            <w:tcBorders>
              <w:left w:val="single" w:color="auto" w:sz="4" w:space="0"/>
              <w:right w:val="single" w:color="auto" w:sz="4" w:space="0"/>
            </w:tcBorders>
            <w:noWrap/>
            <w:tcMar>
              <w:top w:w="15" w:type="dxa"/>
              <w:left w:w="15" w:type="dxa"/>
              <w:right w:w="15" w:type="dxa"/>
            </w:tcMar>
            <w:vAlign w:val="center"/>
          </w:tcPr>
          <w:p w14:paraId="404D32FB">
            <w:pPr>
              <w:jc w:val="center"/>
              <w:rPr>
                <w:rFonts w:hint="default" w:ascii="Times New Roman" w:hAnsi="Times New Roman" w:eastAsia="宋体" w:cs="Times New Roman"/>
                <w:i w:val="0"/>
                <w:color w:val="000000"/>
                <w:sz w:val="18"/>
                <w:szCs w:val="18"/>
                <w:u w:val="none"/>
              </w:rPr>
            </w:pPr>
          </w:p>
        </w:tc>
        <w:tc>
          <w:tcPr>
            <w:tcW w:w="9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D79901">
            <w:pPr>
              <w:jc w:val="center"/>
              <w:rPr>
                <w:rFonts w:hint="default" w:ascii="Times New Roman" w:hAnsi="Times New Roman" w:eastAsia="宋体" w:cs="Times New Roman"/>
                <w:i w:val="0"/>
                <w:color w:val="000000"/>
                <w:kern w:val="0"/>
                <w:sz w:val="18"/>
                <w:szCs w:val="18"/>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EA63C7">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可持续影响指标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E64115">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cs="Times New Roman"/>
                <w:sz w:val="18"/>
                <w:szCs w:val="18"/>
              </w:rPr>
              <w:t>维修维护费</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05B320">
            <w:pPr>
              <w:keepNext w:val="0"/>
              <w:keepLines w:val="0"/>
              <w:widowControl/>
              <w:suppressLineNumbers w:val="0"/>
              <w:jc w:val="left"/>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color w:val="000000"/>
                <w:kern w:val="0"/>
                <w:sz w:val="18"/>
                <w:szCs w:val="18"/>
                <w:u w:val="none"/>
                <w:lang w:val="en-US" w:eastAsia="zh-CN" w:bidi="ar"/>
              </w:rPr>
              <w:t>传递党的温暖和市委市政府的关心，让老同志们能继续为攀枝花的发展献计献策。</w:t>
            </w:r>
          </w:p>
        </w:tc>
      </w:tr>
      <w:tr w14:paraId="67646092">
        <w:tblPrEx>
          <w:tblCellMar>
            <w:top w:w="0" w:type="dxa"/>
            <w:left w:w="0" w:type="dxa"/>
            <w:bottom w:w="0" w:type="dxa"/>
            <w:right w:w="0" w:type="dxa"/>
          </w:tblCellMar>
        </w:tblPrEx>
        <w:trPr>
          <w:trHeight w:val="769" w:hRule="atLeast"/>
        </w:trPr>
        <w:tc>
          <w:tcPr>
            <w:tcW w:w="1089"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18506044">
            <w:pPr>
              <w:jc w:val="center"/>
              <w:rPr>
                <w:rFonts w:hint="default" w:ascii="Times New Roman" w:hAnsi="Times New Roman" w:eastAsia="宋体" w:cs="Times New Roman"/>
                <w:i w:val="0"/>
                <w:color w:val="000000"/>
                <w:sz w:val="18"/>
                <w:szCs w:val="18"/>
                <w:u w:val="none"/>
              </w:rPr>
            </w:pPr>
          </w:p>
        </w:tc>
        <w:tc>
          <w:tcPr>
            <w:tcW w:w="9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09209F">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满意度指标</w:t>
            </w:r>
          </w:p>
        </w:tc>
        <w:tc>
          <w:tcPr>
            <w:tcW w:w="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9251AA">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服务对象满意度指标</w:t>
            </w:r>
          </w:p>
        </w:tc>
        <w:tc>
          <w:tcPr>
            <w:tcW w:w="2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894B5C">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服务管理对象小区住户</w:t>
            </w:r>
          </w:p>
        </w:tc>
        <w:tc>
          <w:tcPr>
            <w:tcW w:w="34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807DB2">
            <w:pPr>
              <w:keepNext w:val="0"/>
              <w:keepLines w:val="0"/>
              <w:widowControl/>
              <w:suppressLineNumbers w:val="0"/>
              <w:jc w:val="left"/>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color w:val="000000"/>
                <w:kern w:val="0"/>
                <w:sz w:val="18"/>
                <w:szCs w:val="18"/>
                <w:u w:val="none"/>
                <w:lang w:val="en-US" w:eastAsia="zh-CN" w:bidi="ar"/>
              </w:rPr>
              <w:t>≥95%</w:t>
            </w:r>
          </w:p>
        </w:tc>
      </w:tr>
    </w:tbl>
    <w:p w14:paraId="71CF058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14:paraId="22634D7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6EC76C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（一）本部门加强财务工作的规范化管理，及时向财政部门沟通学习，积极参加财政部门组织的决算、编报、审核、管理等各方面工作，并按时完成，认真如实填报。</w:t>
      </w:r>
    </w:p>
    <w:p w14:paraId="57FB87D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（二）本部门在决算公开工作方面，按规定认真执行，该填制的及时填制，该公开的及时公开，该上报的及时上报。</w:t>
      </w:r>
    </w:p>
    <w:p w14:paraId="2576B55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（三）对部门决算管理工作的意见和建议。</w:t>
      </w:r>
    </w:p>
    <w:p w14:paraId="77DC589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对部门决算管理工作无意见和建议。</w:t>
      </w:r>
    </w:p>
    <w:p w14:paraId="36ACF788">
      <w:pPr>
        <w:spacing w:line="600" w:lineRule="exact"/>
        <w:ind w:firstLine="640"/>
        <w:rPr>
          <w:rFonts w:hint="default" w:ascii="Times New Roman" w:hAnsi="Times New Roman" w:eastAsia="仿宋_GB2312" w:cs="仿宋_GB2312"/>
          <w:color w:val="auto"/>
          <w:kern w:val="2"/>
          <w:sz w:val="32"/>
          <w:szCs w:val="32"/>
          <w:highlight w:val="none"/>
          <w:lang w:val="zh-CN" w:eastAsia="zh-CN" w:bidi="ar-SA"/>
        </w:rPr>
      </w:pPr>
    </w:p>
    <w:p w14:paraId="4550BABD">
      <w:pPr>
        <w:spacing w:line="600" w:lineRule="exact"/>
        <w:ind w:firstLine="640"/>
        <w:rPr>
          <w:rFonts w:hint="default" w:ascii="Times New Roman" w:hAnsi="Times New Roman" w:eastAsia="仿宋_GB2312" w:cs="Times New Roman"/>
          <w:kern w:val="2"/>
          <w:sz w:val="32"/>
          <w:szCs w:val="32"/>
          <w:u w:val="none"/>
          <w:lang w:val="zh-CN" w:eastAsia="zh-CN" w:bidi="ar"/>
        </w:rPr>
      </w:pPr>
      <w:r>
        <w:rPr>
          <w:rFonts w:hint="default" w:ascii="Times New Roman" w:hAnsi="Times New Roman" w:eastAsia="仿宋_GB2312" w:cs="仿宋_GB2312"/>
          <w:color w:val="auto"/>
          <w:kern w:val="2"/>
          <w:sz w:val="32"/>
          <w:szCs w:val="32"/>
          <w:highlight w:val="none"/>
          <w:lang w:val="zh-CN" w:eastAsia="zh-CN" w:bidi="ar-SA"/>
        </w:rPr>
        <w:t>附表：</w:t>
      </w:r>
      <w:r>
        <w:rPr>
          <w:rFonts w:hint="default" w:ascii="Times New Roman" w:hAnsi="Times New Roman" w:eastAsia="仿宋_GB2312" w:cs="仿宋_GB2312"/>
          <w:color w:val="auto"/>
          <w:kern w:val="2"/>
          <w:sz w:val="32"/>
          <w:szCs w:val="32"/>
          <w:highlight w:val="none"/>
          <w:lang w:val="en-US" w:eastAsia="zh-CN" w:bidi="ar-SA"/>
        </w:rPr>
        <w:t>部门预算项目支出绩效自评表（2024年度）</w:t>
      </w:r>
    </w:p>
    <w:p w14:paraId="1818E1C1">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yellow"/>
          <w:lang w:val="zh-CN" w:eastAsia="zh-CN"/>
        </w:rPr>
      </w:pPr>
    </w:p>
    <w:p w14:paraId="5231BA11">
      <w:pPr>
        <w:pStyle w:val="8"/>
        <w:rPr>
          <w:rFonts w:hint="default" w:ascii="Times New Roman" w:hAnsi="Times New Roman" w:cs="Times New Roman"/>
          <w:color w:val="FF0000"/>
          <w:kern w:val="0"/>
          <w:sz w:val="32"/>
          <w:szCs w:val="32"/>
          <w:highlight w:val="yellow"/>
          <w:shd w:val="clear" w:color="auto" w:fill="FFFFFF"/>
          <w:lang w:val="zh-CN"/>
        </w:rPr>
      </w:pPr>
    </w:p>
    <w:p w14:paraId="4EEA1CF1">
      <w:pP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14:paraId="1B6B2FF2">
      <w:pPr>
        <w:widowControl/>
        <w:jc w:val="center"/>
        <w:rPr>
          <w:rFonts w:hint="default" w:ascii="Times New Roman" w:hAnsi="Times New Roman" w:eastAsia="仿宋" w:cs="Times New Roman"/>
          <w:b w:val="0"/>
          <w:color w:val="auto"/>
          <w:highlight w:val="none"/>
        </w:rPr>
      </w:pPr>
      <w:bookmarkStart w:id="53" w:name="_Toc15396618"/>
      <w:r>
        <w:rPr>
          <w:rFonts w:hint="default" w:ascii="Times New Roman" w:hAnsi="Times New Roman" w:eastAsia="黑体" w:cs="Times New Roman"/>
          <w:color w:val="auto"/>
          <w:sz w:val="44"/>
          <w:szCs w:val="44"/>
          <w:highlight w:val="none"/>
        </w:rPr>
        <w:t>第</w:t>
      </w:r>
      <w:r>
        <w:rPr>
          <w:rStyle w:val="30"/>
          <w:rFonts w:hint="default" w:ascii="Times New Roman" w:hAnsi="Times New Roman" w:eastAsia="黑体" w:cs="Times New Roman"/>
          <w:b w:val="0"/>
          <w:color w:val="auto"/>
          <w:highlight w:val="none"/>
        </w:rPr>
        <w:t>五部分 附表</w:t>
      </w:r>
      <w:bookmarkEnd w:id="52"/>
      <w:bookmarkEnd w:id="53"/>
      <w:bookmarkStart w:id="54" w:name="_Toc15396619"/>
    </w:p>
    <w:p w14:paraId="501E77E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058C363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54"/>
    </w:p>
    <w:p w14:paraId="22C00C8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5" w:name="_Toc15396620"/>
      <w:r>
        <w:rPr>
          <w:rFonts w:hint="default" w:ascii="Times New Roman" w:hAnsi="Times New Roman" w:eastAsia="仿宋_GB2312" w:cs="Times New Roman"/>
          <w:color w:val="auto"/>
          <w:sz w:val="32"/>
          <w:szCs w:val="32"/>
          <w:highlight w:val="none"/>
        </w:rPr>
        <w:t>二、收入决算表</w:t>
      </w:r>
      <w:bookmarkEnd w:id="55"/>
    </w:p>
    <w:p w14:paraId="42A2A37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6" w:name="_Toc15396621"/>
      <w:r>
        <w:rPr>
          <w:rFonts w:hint="default" w:ascii="Times New Roman" w:hAnsi="Times New Roman" w:eastAsia="仿宋_GB2312" w:cs="Times New Roman"/>
          <w:color w:val="auto"/>
          <w:sz w:val="32"/>
          <w:szCs w:val="32"/>
          <w:highlight w:val="none"/>
        </w:rPr>
        <w:t>三、支出决算表</w:t>
      </w:r>
      <w:bookmarkEnd w:id="56"/>
    </w:p>
    <w:p w14:paraId="235B9AD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7" w:name="_Toc15396622"/>
      <w:r>
        <w:rPr>
          <w:rFonts w:hint="default" w:ascii="Times New Roman" w:hAnsi="Times New Roman" w:eastAsia="仿宋_GB2312" w:cs="Times New Roman"/>
          <w:color w:val="auto"/>
          <w:sz w:val="32"/>
          <w:szCs w:val="32"/>
          <w:highlight w:val="none"/>
        </w:rPr>
        <w:t>四、财政拨款收入支出决算总表</w:t>
      </w:r>
      <w:bookmarkEnd w:id="57"/>
    </w:p>
    <w:p w14:paraId="4D4BBD1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8" w:name="_Toc15396623"/>
      <w:r>
        <w:rPr>
          <w:rFonts w:hint="default" w:ascii="Times New Roman" w:hAnsi="Times New Roman" w:eastAsia="仿宋_GB2312" w:cs="Times New Roman"/>
          <w:color w:val="auto"/>
          <w:sz w:val="32"/>
          <w:szCs w:val="32"/>
          <w:highlight w:val="none"/>
        </w:rPr>
        <w:t>五、财政拨款支出决算明细表</w:t>
      </w:r>
      <w:bookmarkEnd w:id="58"/>
      <w:bookmarkStart w:id="59" w:name="_Toc15396624"/>
    </w:p>
    <w:p w14:paraId="008E34A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59"/>
    </w:p>
    <w:p w14:paraId="7C1E95B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0" w:name="_Toc15396625"/>
      <w:r>
        <w:rPr>
          <w:rFonts w:hint="default" w:ascii="Times New Roman" w:hAnsi="Times New Roman" w:eastAsia="仿宋_GB2312" w:cs="Times New Roman"/>
          <w:color w:val="auto"/>
          <w:sz w:val="32"/>
          <w:szCs w:val="32"/>
          <w:highlight w:val="none"/>
        </w:rPr>
        <w:t>七、一般公共预算财政拨款支出决算明细表</w:t>
      </w:r>
      <w:bookmarkEnd w:id="60"/>
    </w:p>
    <w:p w14:paraId="3826D52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1" w:name="_Toc15396626"/>
      <w:r>
        <w:rPr>
          <w:rFonts w:hint="default" w:ascii="Times New Roman" w:hAnsi="Times New Roman" w:eastAsia="仿宋_GB2312" w:cs="Times New Roman"/>
          <w:color w:val="auto"/>
          <w:sz w:val="32"/>
          <w:szCs w:val="32"/>
          <w:highlight w:val="none"/>
        </w:rPr>
        <w:t>八、一般公共预算财政拨款基本支出决算表</w:t>
      </w:r>
      <w:bookmarkEnd w:id="61"/>
    </w:p>
    <w:p w14:paraId="7EFE2CD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2" w:name="_Toc15396627"/>
      <w:r>
        <w:rPr>
          <w:rFonts w:hint="default" w:ascii="Times New Roman" w:hAnsi="Times New Roman" w:eastAsia="仿宋_GB2312" w:cs="Times New Roman"/>
          <w:color w:val="auto"/>
          <w:sz w:val="32"/>
          <w:szCs w:val="32"/>
          <w:highlight w:val="none"/>
        </w:rPr>
        <w:t>九、一般公共预算财政拨款项目支出决算表</w:t>
      </w:r>
      <w:bookmarkEnd w:id="62"/>
    </w:p>
    <w:p w14:paraId="1DE427B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3" w:name="_Toc15396628"/>
      <w:r>
        <w:rPr>
          <w:rFonts w:hint="default" w:ascii="Times New Roman" w:hAnsi="Times New Roman" w:eastAsia="仿宋_GB2312" w:cs="Times New Roman"/>
          <w:color w:val="auto"/>
          <w:sz w:val="32"/>
          <w:szCs w:val="32"/>
          <w:highlight w:val="none"/>
        </w:rPr>
        <w:t>十、</w:t>
      </w:r>
      <w:bookmarkEnd w:id="63"/>
      <w:r>
        <w:rPr>
          <w:rFonts w:hint="default" w:ascii="Times New Roman" w:hAnsi="Times New Roman" w:eastAsia="仿宋_GB2312" w:cs="Times New Roman"/>
          <w:color w:val="auto"/>
          <w:sz w:val="32"/>
          <w:szCs w:val="32"/>
          <w:highlight w:val="none"/>
        </w:rPr>
        <w:t>政府性基金预算财政拨款收入支出决算表</w:t>
      </w:r>
    </w:p>
    <w:p w14:paraId="2248736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4" w:name="_Toc15396629"/>
      <w:r>
        <w:rPr>
          <w:rFonts w:hint="default" w:ascii="Times New Roman" w:hAnsi="Times New Roman" w:eastAsia="仿宋_GB2312" w:cs="Times New Roman"/>
          <w:color w:val="auto"/>
          <w:sz w:val="32"/>
          <w:szCs w:val="32"/>
          <w:highlight w:val="none"/>
        </w:rPr>
        <w:t>十一、</w:t>
      </w:r>
      <w:bookmarkEnd w:id="64"/>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729C71C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5" w:name="_Toc15396630"/>
      <w:r>
        <w:rPr>
          <w:rFonts w:hint="default" w:ascii="Times New Roman" w:hAnsi="Times New Roman" w:eastAsia="仿宋_GB2312" w:cs="Times New Roman"/>
          <w:color w:val="auto"/>
          <w:sz w:val="32"/>
          <w:szCs w:val="32"/>
          <w:highlight w:val="none"/>
        </w:rPr>
        <w:t>十二、</w:t>
      </w:r>
      <w:bookmarkEnd w:id="65"/>
      <w:r>
        <w:rPr>
          <w:rFonts w:hint="default" w:ascii="Times New Roman" w:hAnsi="Times New Roman" w:eastAsia="仿宋_GB2312" w:cs="Times New Roman"/>
          <w:color w:val="auto"/>
          <w:sz w:val="32"/>
          <w:szCs w:val="32"/>
          <w:highlight w:val="none"/>
          <w:lang w:eastAsia="zh-CN"/>
        </w:rPr>
        <w:t>国有资本经营预算财政拨款支出决算表</w:t>
      </w:r>
    </w:p>
    <w:p w14:paraId="7F7049D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66" w:name="_Toc15396631"/>
      <w:r>
        <w:rPr>
          <w:rFonts w:hint="default" w:ascii="Times New Roman" w:hAnsi="Times New Roman" w:eastAsia="仿宋_GB2312" w:cs="Times New Roman"/>
          <w:color w:val="auto"/>
          <w:sz w:val="32"/>
          <w:szCs w:val="32"/>
          <w:highlight w:val="none"/>
        </w:rPr>
        <w:t>十三、</w:t>
      </w:r>
      <w:bookmarkEnd w:id="66"/>
      <w:r>
        <w:rPr>
          <w:rFonts w:hint="default" w:ascii="Times New Roman" w:hAnsi="Times New Roman" w:eastAsia="仿宋_GB2312" w:cs="Times New Roman"/>
          <w:color w:val="auto"/>
          <w:sz w:val="32"/>
          <w:szCs w:val="32"/>
          <w:highlight w:val="none"/>
          <w:lang w:eastAsia="zh-CN"/>
        </w:rPr>
        <w:t>财政拨款“三公”经费支出决算表</w:t>
      </w:r>
    </w:p>
    <w:p w14:paraId="0806206E">
      <w:pPr>
        <w:rPr>
          <w:rFonts w:hint="eastAsia" w:ascii="Times New Roman" w:hAnsi="Times New Roman"/>
          <w:lang w:eastAsia="zh-CN"/>
        </w:rPr>
      </w:pPr>
    </w:p>
    <w:sectPr>
      <w:footerReference r:id="rId10"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379FF4-331E-42AB-8C72-1B1892B758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17B0DA7-2380-41BD-89E5-26EEBDE05032}"/>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A399ADEB-AED6-4E99-A34A-8D7A29620D79}"/>
  </w:font>
  <w:font w:name="仿宋">
    <w:panose1 w:val="02010609060101010101"/>
    <w:charset w:val="86"/>
    <w:family w:val="modern"/>
    <w:pitch w:val="default"/>
    <w:sig w:usb0="800002BF" w:usb1="38CF7CFA" w:usb2="00000016" w:usb3="00000000" w:csb0="00040001" w:csb1="00000000"/>
    <w:embedRegular r:id="rId4" w:fontKey="{4D6E8EB2-F4CF-41E1-AA05-A546EA83B6A3}"/>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E0000" w:usb2="00000000" w:usb3="00000000" w:csb0="00040000" w:csb1="00000000"/>
    <w:embedRegular r:id="rId5" w:fontKey="{3CE4E128-95D4-408D-8E73-EE32DAB4871E}"/>
  </w:font>
  <w:font w:name="楷体_GB2312">
    <w:altName w:val="楷体"/>
    <w:panose1 w:val="02010609030101010101"/>
    <w:charset w:val="86"/>
    <w:family w:val="auto"/>
    <w:pitch w:val="default"/>
    <w:sig w:usb0="00000000" w:usb1="00000000" w:usb2="00000000" w:usb3="00000000" w:csb0="00040000" w:csb1="00000000"/>
    <w:embedRegular r:id="rId6" w:fontKey="{F3AC75A0-5841-45C2-BB32-A7B7666F2A3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FDAEF">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84942">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B384942">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14:paraId="35A0A06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4782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BAA4F">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0BAA4F">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62EB">
    <w:pPr>
      <w:pStyle w:val="12"/>
      <w:jc w:val="center"/>
    </w:pPr>
  </w:p>
  <w:p w14:paraId="5528F93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E0228">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E38B">
    <w:pPr>
      <w:pStyle w:val="12"/>
      <w:jc w:val="center"/>
    </w:pPr>
  </w:p>
  <w:p w14:paraId="5EB06310">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F407">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19EB7">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0519EB7">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7B93">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DFB50">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0DFB50">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788217C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47894">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124CCC"/>
    <w:rsid w:val="04916F1E"/>
    <w:rsid w:val="061E35DE"/>
    <w:rsid w:val="066E0107"/>
    <w:rsid w:val="07996F6E"/>
    <w:rsid w:val="07DFD8BA"/>
    <w:rsid w:val="08AD0D04"/>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F1168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091891"/>
    <w:rsid w:val="25A718F0"/>
    <w:rsid w:val="25BB59F6"/>
    <w:rsid w:val="260F557C"/>
    <w:rsid w:val="26970054"/>
    <w:rsid w:val="279935F6"/>
    <w:rsid w:val="281408E2"/>
    <w:rsid w:val="29FD04D3"/>
    <w:rsid w:val="2AA53905"/>
    <w:rsid w:val="2BFF7BC6"/>
    <w:rsid w:val="2C8A61B5"/>
    <w:rsid w:val="2DBC0615"/>
    <w:rsid w:val="2DF04E50"/>
    <w:rsid w:val="2E586DFA"/>
    <w:rsid w:val="2F040D46"/>
    <w:rsid w:val="2F6B035B"/>
    <w:rsid w:val="2FAE5751"/>
    <w:rsid w:val="2FB1A395"/>
    <w:rsid w:val="2FD9A7D8"/>
    <w:rsid w:val="2FDBF714"/>
    <w:rsid w:val="30AB6865"/>
    <w:rsid w:val="319F7F4E"/>
    <w:rsid w:val="32333292"/>
    <w:rsid w:val="32BD1EF1"/>
    <w:rsid w:val="3304709D"/>
    <w:rsid w:val="33A773CB"/>
    <w:rsid w:val="349D6851"/>
    <w:rsid w:val="35F25212"/>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201FF6"/>
    <w:rsid w:val="44E268DA"/>
    <w:rsid w:val="450D13D7"/>
    <w:rsid w:val="45506656"/>
    <w:rsid w:val="457479F1"/>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18549A"/>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883F4E"/>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4.xml"/><Relationship Id="rId17" Type="http://schemas.openxmlformats.org/officeDocument/2006/relationships/image" Target="media/image3.png"/><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image" Target="media/image2.png"/><Relationship Id="rId13" Type="http://schemas.openxmlformats.org/officeDocument/2006/relationships/chart" Target="charts/chart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5" Type="http://schemas.microsoft.com/office/2011/relationships/chartColorStyle" Target="colors2.xml"/><Relationship Id="rId4" Type="http://schemas.microsoft.com/office/2011/relationships/chartStyle" Target="style2.xml"/><Relationship Id="rId3" Type="http://schemas.openxmlformats.org/officeDocument/2006/relationships/image" Target="../media/image4.png"/><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image" Target="../media/image4.png"/><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收入决算结构图</a:t>
            </a:r>
          </a:p>
        </c:rich>
      </c:tx>
      <c:layout/>
      <c:overlay val="0"/>
      <c:spPr>
        <a:noFill/>
        <a:ln>
          <a:noFill/>
        </a:ln>
        <a:effectLst/>
      </c:spPr>
    </c:title>
    <c:autoTitleDeleted val="0"/>
    <c:plotArea>
      <c:layout/>
      <c:pieChart>
        <c:varyColors val="1"/>
        <c:ser>
          <c:idx val="0"/>
          <c:order val="0"/>
          <c:tx>
            <c:strRef>
              <c:f>[工作簿1]Sheet1!$C$3</c:f>
              <c:strCache>
                <c:ptCount val="1"/>
                <c:pt idx="0">
                  <c:v>一般公共预算财政拨款收入</c:v>
                </c:pt>
              </c:strCache>
            </c:strRef>
          </c:tx>
          <c:spPr>
            <a:noFill/>
            <a:ln w="19050">
              <a:solidFill>
                <a:schemeClr val="accent1"/>
              </a:solidFill>
              <a:prstDash val="lgDashDot"/>
            </a:ln>
          </c:spPr>
          <c:explosion val="8"/>
          <c:dPt>
            <c:idx val="0"/>
            <c:bubble3D val="0"/>
            <c:spPr>
              <a:noFill/>
              <a:ln w="19050">
                <a:solidFill>
                  <a:schemeClr val="accent1"/>
                </a:solidFill>
                <a:prstDash val="lgDashDot"/>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[工作簿1]Sheet1!$D$3</c:f>
              <c:numCache>
                <c:formatCode>General</c:formatCode>
                <c:ptCount val="1"/>
                <c:pt idx="0">
                  <c:v>817.16</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5f180b07-d640-4db9-9443-a4105e8fa3f4}"/>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[工作簿1]Sheet1!$C$3</c:f>
              <c:strCache>
                <c:ptCount val="1"/>
                <c:pt idx="0">
                  <c:v>收入</c:v>
                </c:pt>
              </c:strCache>
            </c:strRef>
          </c:tx>
          <c:spPr>
            <a:blipFill rotWithShape="1">
              <a:blip xmlns:r="http://schemas.openxmlformats.org/officeDocument/2006/relationships" r:embed="rId3">
                <a:duotone>
                  <a:schemeClr val="accent1"/>
                  <a:prstClr val="white"/>
                </a:duotone>
              </a:blip>
              <a:stretch>
                <a:fillRect/>
              </a:stretch>
            </a:blipFill>
            <a:ln>
              <a:noFill/>
            </a:ln>
            <a:effectLst>
              <a:outerShdw blurRad="76200" dir="13500000" sy="23000" kx="1200000" algn="br" rotWithShape="0">
                <a:prstClr val="black">
                  <a:alpha val="20000"/>
                </a:prstClr>
              </a:outerShdw>
            </a:effectLst>
          </c:spPr>
          <c:invertIfNegative val="0"/>
          <c:dPt>
            <c:idx val="1"/>
            <c:invertIfNegative val="0"/>
            <c:bubble3D val="0"/>
            <c:spPr>
              <a:blipFill rotWithShape="1">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prstClr val="black">
                    <a:alpha val="20000"/>
                  </a:prstClr>
                </a:outerShdw>
              </a:effectLst>
            </c:spPr>
          </c:dPt>
          <c:dLbls>
            <c:delete val="1"/>
          </c:dLbls>
          <c:cat>
            <c:numRef>
              <c:f>[工作簿1]Sheet1!$D$2:$E$2</c:f>
              <c:numCache>
                <c:formatCode>General</c:formatCode>
                <c:ptCount val="2"/>
                <c:pt idx="0">
                  <c:v>2024</c:v>
                </c:pt>
                <c:pt idx="1">
                  <c:v>2023</c:v>
                </c:pt>
              </c:numCache>
            </c:numRef>
          </c:cat>
          <c:val>
            <c:numRef>
              <c:f>[工作簿1]Sheet1!$D$3:$E$3</c:f>
              <c:numCache>
                <c:formatCode>General</c:formatCode>
                <c:ptCount val="2"/>
                <c:pt idx="0">
                  <c:v>817.16</c:v>
                </c:pt>
                <c:pt idx="1">
                  <c:v>884.83</c:v>
                </c:pt>
              </c:numCache>
            </c:numRef>
          </c:val>
        </c:ser>
        <c:ser>
          <c:idx val="1"/>
          <c:order val="1"/>
          <c:tx>
            <c:strRef>
              <c:f>[工作簿1]Sheet1!$C$4</c:f>
              <c:strCache>
                <c:ptCount val="1"/>
                <c:pt idx="0">
                  <c:v>支出</c:v>
                </c:pt>
              </c:strCache>
            </c:strRef>
          </c:tx>
          <c:spPr>
            <a:blipFill rotWithShape="1">
              <a:blip xmlns:r="http://schemas.openxmlformats.org/officeDocument/2006/relationships" r:embed="rId3">
                <a:duotone>
                  <a:schemeClr val="accent2"/>
                  <a:prstClr val="white"/>
                </a:duotone>
              </a:blip>
              <a:stretch>
                <a:fillRect/>
              </a:stretch>
            </a:blipFill>
            <a:ln>
              <a:noFill/>
            </a:ln>
            <a:effectLst>
              <a:outerShdw blurRad="76200" dir="13500000" sy="23000" kx="1200000" algn="br" rotWithShape="0">
                <a:prstClr val="black">
                  <a:alpha val="20000"/>
                </a:prstClr>
              </a:outerShdw>
            </a:effectLst>
          </c:spPr>
          <c:invertIfNegative val="0"/>
          <c:dPt>
            <c:idx val="1"/>
            <c:invertIfNegative val="0"/>
            <c:bubble3D val="0"/>
            <c:spPr>
              <a:blipFill rotWithShape="1">
                <a:blip xmlns:r="http://schemas.openxmlformats.org/officeDocument/2006/relationships" r:embed="rId3">
                  <a:duotone>
                    <a:schemeClr val="accent2"/>
                    <a:prstClr val="white"/>
                  </a:duotone>
                </a:blip>
                <a:stretch>
                  <a:fillRect/>
                </a:stretch>
              </a:blipFill>
              <a:ln>
                <a:noFill/>
              </a:ln>
              <a:effectLst>
                <a:outerShdw blurRad="76200" dir="18900000" sy="23000" kx="-1200000" algn="bl" rotWithShape="0">
                  <a:prstClr val="black">
                    <a:alpha val="20000"/>
                  </a:prstClr>
                </a:outerShdw>
              </a:effectLst>
            </c:spPr>
          </c:dPt>
          <c:dLbls>
            <c:delete val="1"/>
          </c:dLbls>
          <c:cat>
            <c:numRef>
              <c:f>[工作簿1]Sheet1!$D$2:$E$2</c:f>
              <c:numCache>
                <c:formatCode>General</c:formatCode>
                <c:ptCount val="2"/>
                <c:pt idx="0">
                  <c:v>2024</c:v>
                </c:pt>
                <c:pt idx="1">
                  <c:v>2023</c:v>
                </c:pt>
              </c:numCache>
            </c:numRef>
          </c:cat>
          <c:val>
            <c:numRef>
              <c:f>[工作簿1]Sheet1!$D$4:$E$4</c:f>
              <c:numCache>
                <c:formatCode>General</c:formatCode>
                <c:ptCount val="2"/>
                <c:pt idx="0">
                  <c:v>817.16</c:v>
                </c:pt>
                <c:pt idx="1">
                  <c:v>884.83</c:v>
                </c:pt>
              </c:numCache>
            </c:numRef>
          </c:val>
        </c:ser>
        <c:dLbls>
          <c:showLegendKey val="0"/>
          <c:showVal val="1"/>
          <c:showCatName val="0"/>
          <c:showSerName val="0"/>
          <c:showPercent val="0"/>
          <c:showBubbleSize val="0"/>
        </c:dLbls>
        <c:gapWidth val="150"/>
        <c:overlap val="0"/>
        <c:axId val="493931049"/>
        <c:axId val="980617100"/>
      </c:barChart>
      <c:catAx>
        <c:axId val="493931049"/>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80617100"/>
        <c:crosses val="autoZero"/>
        <c:auto val="1"/>
        <c:lblAlgn val="ctr"/>
        <c:lblOffset val="100"/>
        <c:noMultiLvlLbl val="0"/>
      </c:catAx>
      <c:valAx>
        <c:axId val="9806171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9393104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748bdd25-f0f5-4bfc-972b-9c0c8a7587f0}"/>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一般公共预算财政拨款支出决算变动情况</a:t>
            </a:r>
          </a:p>
        </c:rich>
      </c:tx>
      <c:layout>
        <c:manualLayout>
          <c:xMode val="edge"/>
          <c:yMode val="edge"/>
          <c:x val="0.184736842105263"/>
          <c:y val="0.0277777777777778"/>
        </c:manualLayout>
      </c:layout>
      <c:overlay val="0"/>
      <c:spPr>
        <a:noFill/>
        <a:ln>
          <a:noFill/>
        </a:ln>
        <a:effectLst/>
      </c:spPr>
    </c:title>
    <c:autoTitleDeleted val="0"/>
    <c:plotArea>
      <c:layout/>
      <c:barChart>
        <c:barDir val="col"/>
        <c:grouping val="clustered"/>
        <c:varyColors val="0"/>
        <c:ser>
          <c:idx val="0"/>
          <c:order val="0"/>
          <c:tx>
            <c:strRef>
              <c:f>[工作簿1]Sheet1!$C$3</c:f>
              <c:strCache>
                <c:ptCount val="1"/>
                <c:pt idx="0">
                  <c:v>一般公共预算财政拨款支出</c:v>
                </c:pt>
              </c:strCache>
            </c:strRef>
          </c:tx>
          <c:spPr>
            <a:blipFill rotWithShape="1">
              <a:blip xmlns:r="http://schemas.openxmlformats.org/officeDocument/2006/relationships" r:embed="rId3">
                <a:duotone>
                  <a:schemeClr val="accent1"/>
                  <a:prstClr val="white"/>
                </a:duotone>
              </a:blip>
              <a:stretch>
                <a:fillRect/>
              </a:stretch>
            </a:blipFill>
            <a:ln>
              <a:noFill/>
            </a:ln>
            <a:effectLst>
              <a:outerShdw blurRad="76200" dir="13500000" sy="23000" kx="1200000" algn="br" rotWithShape="0">
                <a:prstClr val="black">
                  <a:alpha val="20000"/>
                </a:prstClr>
              </a:outerShdw>
            </a:effectLst>
          </c:spPr>
          <c:invertIfNegative val="0"/>
          <c:dPt>
            <c:idx val="1"/>
            <c:invertIfNegative val="0"/>
            <c:bubble3D val="0"/>
            <c:spPr>
              <a:blipFill rotWithShape="1">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prstClr val="black">
                    <a:alpha val="20000"/>
                  </a:prstClr>
                </a:outerShdw>
              </a:effectLst>
            </c:spPr>
          </c:dPt>
          <c:dLbls>
            <c:delete val="1"/>
          </c:dLbls>
          <c:cat>
            <c:numRef>
              <c:f>[工作簿1]Sheet1!$D$2:$E$2</c:f>
              <c:numCache>
                <c:formatCode>General</c:formatCode>
                <c:ptCount val="2"/>
                <c:pt idx="0">
                  <c:v>2024</c:v>
                </c:pt>
                <c:pt idx="1">
                  <c:v>2023</c:v>
                </c:pt>
              </c:numCache>
            </c:numRef>
          </c:cat>
          <c:val>
            <c:numRef>
              <c:f>[工作簿1]Sheet1!$D$3:$E$3</c:f>
              <c:numCache>
                <c:formatCode>General</c:formatCode>
                <c:ptCount val="2"/>
                <c:pt idx="0">
                  <c:v>817.16</c:v>
                </c:pt>
                <c:pt idx="1">
                  <c:v>884.83</c:v>
                </c:pt>
              </c:numCache>
            </c:numRef>
          </c:val>
        </c:ser>
        <c:dLbls>
          <c:showLegendKey val="0"/>
          <c:showVal val="1"/>
          <c:showCatName val="0"/>
          <c:showSerName val="0"/>
          <c:showPercent val="0"/>
          <c:showBubbleSize val="0"/>
        </c:dLbls>
        <c:gapWidth val="150"/>
        <c:overlap val="0"/>
        <c:axId val="493931049"/>
        <c:axId val="980617100"/>
      </c:barChart>
      <c:catAx>
        <c:axId val="493931049"/>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80617100"/>
        <c:crosses val="autoZero"/>
        <c:auto val="1"/>
        <c:lblAlgn val="ctr"/>
        <c:lblOffset val="100"/>
        <c:noMultiLvlLbl val="0"/>
      </c:catAx>
      <c:valAx>
        <c:axId val="9806171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9393104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c97eda52-4619-4aff-adf9-8832c49ba747}"/>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“三公”经费财政拨款支出结构</a:t>
            </a:r>
          </a:p>
        </c:rich>
      </c:tx>
      <c:layout/>
      <c:overlay val="0"/>
      <c:spPr>
        <a:noFill/>
        <a:ln>
          <a:noFill/>
        </a:ln>
        <a:effectLst/>
      </c:spPr>
    </c:title>
    <c:autoTitleDeleted val="0"/>
    <c:plotArea>
      <c:layout/>
      <c:pieChart>
        <c:varyColors val="1"/>
        <c:ser>
          <c:idx val="0"/>
          <c:order val="0"/>
          <c:spPr>
            <a:noFill/>
            <a:ln w="19050">
              <a:solidFill>
                <a:schemeClr val="accent1"/>
              </a:solidFill>
              <a:prstDash val="lgDashDot"/>
            </a:ln>
          </c:spPr>
          <c:explosion val="8"/>
          <c:dPt>
            <c:idx val="0"/>
            <c:bubble3D val="0"/>
            <c:spPr>
              <a:noFill/>
              <a:ln w="19050">
                <a:solidFill>
                  <a:schemeClr val="accent1"/>
                </a:solidFill>
                <a:prstDash val="lgDashDot"/>
              </a:ln>
              <a:effectLst/>
            </c:spPr>
          </c:dPt>
          <c:dPt>
            <c:idx val="1"/>
            <c:bubble3D val="0"/>
            <c:spPr>
              <a:noFill/>
              <a:ln w="19050">
                <a:solidFill>
                  <a:schemeClr val="accent2"/>
                </a:solidFill>
                <a:prstDash val="lgDashDot"/>
              </a:ln>
              <a:effectLst/>
            </c:spPr>
          </c:dPt>
          <c:dPt>
            <c:idx val="2"/>
            <c:bubble3D val="0"/>
            <c:spPr>
              <a:noFill/>
              <a:ln w="19050">
                <a:solidFill>
                  <a:schemeClr val="accent3"/>
                </a:solidFill>
                <a:prstDash val="lgDashDot"/>
              </a:ln>
              <a:effectLst/>
            </c:spPr>
          </c:dPt>
          <c:dLbls>
            <c:dLbl>
              <c:idx val="0"/>
              <c:layout>
                <c:manualLayout>
                  <c:x val="-0.260526957594088"/>
                  <c:y val="0.188978909466431"/>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0544901054033431"/>
                  <c:y val="0.0850661758008928"/>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052530899533838"/>
                  <c:y val="-0.0340929919643734"/>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[工作簿1]Sheet1!$C$3:$C$5</c:f>
              <c:strCache>
                <c:ptCount val="3"/>
                <c:pt idx="0">
                  <c:v>因公出国（境）费</c:v>
                </c:pt>
                <c:pt idx="1">
                  <c:v>公务用车购置及运行维护费</c:v>
                </c:pt>
                <c:pt idx="2">
                  <c:v>公务接待费</c:v>
                </c:pt>
              </c:strCache>
            </c:strRef>
          </c:cat>
          <c:val>
            <c:numRef>
              <c:f>[工作簿1]Sheet1!$D$3:$D$5</c:f>
              <c:numCache>
                <c:formatCode>General</c:formatCode>
                <c:ptCount val="3"/>
                <c:pt idx="0">
                  <c:v>0</c:v>
                </c:pt>
                <c:pt idx="1">
                  <c:v>8.51</c:v>
                </c:pt>
                <c:pt idx="2">
                  <c:v>17.61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bfe4cf0c-f160-4f14-b87e-f4b72cf87003}"/>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68">
    <a:dk1>
      <a:srgbClr val="000000"/>
    </a:dk1>
    <a:lt1>
      <a:srgbClr val="FFFFFF"/>
    </a:lt1>
    <a:dk2>
      <a:srgbClr val="44546A"/>
    </a:dk2>
    <a:lt2>
      <a:srgbClr val="E7E6E6"/>
    </a:lt2>
    <a:accent1>
      <a:srgbClr val="FE7B89"/>
    </a:accent1>
    <a:accent2>
      <a:srgbClr val="FFCC25"/>
    </a:accent2>
    <a:accent3>
      <a:srgbClr val="83D686"/>
    </a:accent3>
    <a:accent4>
      <a:srgbClr val="50A2F6"/>
    </a:accent4>
    <a:accent5>
      <a:srgbClr val="27CBBB"/>
    </a:accent5>
    <a:accent6>
      <a:srgbClr val="FE9F2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68">
    <a:dk1>
      <a:srgbClr val="000000"/>
    </a:dk1>
    <a:lt1>
      <a:srgbClr val="FFFFFF"/>
    </a:lt1>
    <a:dk2>
      <a:srgbClr val="44546A"/>
    </a:dk2>
    <a:lt2>
      <a:srgbClr val="E7E6E6"/>
    </a:lt2>
    <a:accent1>
      <a:srgbClr val="FE7B89"/>
    </a:accent1>
    <a:accent2>
      <a:srgbClr val="FFCC25"/>
    </a:accent2>
    <a:accent3>
      <a:srgbClr val="83D686"/>
    </a:accent3>
    <a:accent4>
      <a:srgbClr val="50A2F6"/>
    </a:accent4>
    <a:accent5>
      <a:srgbClr val="27CBBB"/>
    </a:accent5>
    <a:accent6>
      <a:srgbClr val="FE9F2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13170</Words>
  <Characters>15283</Characters>
  <Lines>61</Lines>
  <Paragraphs>17</Paragraphs>
  <TotalTime>3</TotalTime>
  <ScaleCrop>false</ScaleCrop>
  <LinksUpToDate>false</LinksUpToDate>
  <CharactersWithSpaces>15319</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自已</cp:lastModifiedBy>
  <cp:lastPrinted>2025-08-06T17:34:00Z</cp:lastPrinted>
  <dcterms:modified xsi:type="dcterms:W3CDTF">2025-09-11T04:34:40Z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A7FF27E5B53941A7B25DC0D5C315AD26_13</vt:lpwstr>
  </property>
  <property fmtid="{D5CDD505-2E9C-101B-9397-08002B2CF9AE}" pid="4" name="KSOTemplateDocerSaveRecord">
    <vt:lpwstr>eyJoZGlkIjoiNWI5NGZiN2M3NWUxYmVmZWM1ZjI3ZTYwODQ0MzVjMTciLCJ1c2VySWQiOiIzMTA4NzQ3NjcifQ==</vt:lpwstr>
  </property>
</Properties>
</file>