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ascii="Times New Roman" w:eastAsia="方正小标宋简体"/>
          <w:kern w:val="2"/>
          <w:sz w:val="72"/>
          <w:szCs w:val="72"/>
        </w:rPr>
      </w:pPr>
      <w:bookmarkStart w:id="0" w:name="_Toc15306267"/>
      <w:bookmarkStart w:id="1" w:name="_Toc15377425"/>
      <w:bookmarkStart w:id="2" w:name="_Toc15396597"/>
      <w:bookmarkStart w:id="3" w:name="_Toc15396475"/>
      <w:bookmarkStart w:id="4" w:name="_Toc15377193"/>
      <w:bookmarkStart w:id="5" w:name="_Toc15378441"/>
    </w:p>
    <w:p>
      <w:pPr>
        <w:pStyle w:val="8"/>
        <w:spacing w:before="93"/>
        <w:rPr>
          <w:rFonts w:ascii="Times New Roman" w:eastAsia="方正小标宋简体"/>
          <w:kern w:val="2"/>
          <w:sz w:val="72"/>
          <w:szCs w:val="72"/>
        </w:rPr>
      </w:pPr>
    </w:p>
    <w:p>
      <w:pPr>
        <w:pStyle w:val="8"/>
        <w:spacing w:before="93"/>
        <w:rPr>
          <w:rFonts w:ascii="Times New Roman" w:eastAsia="方正小标宋简体"/>
          <w:kern w:val="2"/>
          <w:sz w:val="72"/>
          <w:szCs w:val="72"/>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52"/>
          <w:szCs w:val="52"/>
        </w:rPr>
      </w:pPr>
      <w:r>
        <w:rPr>
          <w:rFonts w:hint="eastAsia" w:ascii="Times New Roman" w:eastAsia="方正小标宋简体"/>
          <w:kern w:val="2"/>
          <w:sz w:val="52"/>
          <w:szCs w:val="52"/>
        </w:rPr>
        <w:t>2024年度</w:t>
      </w:r>
      <w:r>
        <w:rPr>
          <w:rFonts w:ascii="Times New Roman" w:eastAsia="方正小标宋简体"/>
          <w:kern w:val="2"/>
          <w:sz w:val="52"/>
          <w:szCs w:val="52"/>
        </w:rPr>
        <w:t xml:space="preserve"> </w:t>
      </w:r>
    </w:p>
    <w:p>
      <w:pPr>
        <w:pStyle w:val="8"/>
        <w:spacing w:before="93"/>
        <w:jc w:val="center"/>
        <w:rPr>
          <w:rFonts w:ascii="Times New Roman" w:eastAsia="方正小标宋简体"/>
          <w:kern w:val="2"/>
          <w:sz w:val="52"/>
          <w:szCs w:val="52"/>
        </w:rPr>
      </w:pPr>
      <w:r>
        <w:rPr>
          <w:rFonts w:hint="eastAsia" w:ascii="Times New Roman" w:eastAsia="方正小标宋简体"/>
          <w:kern w:val="2"/>
          <w:sz w:val="52"/>
          <w:szCs w:val="52"/>
        </w:rPr>
        <w:t>攀枝花市公安局交通警察支队</w:t>
      </w:r>
    </w:p>
    <w:p>
      <w:pPr>
        <w:pStyle w:val="8"/>
        <w:spacing w:before="93"/>
        <w:jc w:val="center"/>
        <w:rPr>
          <w:rFonts w:ascii="Times New Roman" w:eastAsia="方正小标宋简体"/>
          <w:kern w:val="2"/>
          <w:sz w:val="52"/>
          <w:szCs w:val="52"/>
        </w:rPr>
      </w:pPr>
      <w:r>
        <w:rPr>
          <w:rFonts w:hint="eastAsia" w:ascii="Times New Roman" w:eastAsia="方正小标宋简体"/>
          <w:kern w:val="2"/>
          <w:sz w:val="52"/>
          <w:szCs w:val="52"/>
        </w:rPr>
        <w:t>单位决算公开文字说明</w:t>
      </w:r>
    </w:p>
    <w:p>
      <w:pPr>
        <w:pStyle w:val="19"/>
        <w:rPr>
          <w:rFonts w:ascii="Times New Roman" w:hAnsi="Times New Roman"/>
          <w:sz w:val="52"/>
          <w:szCs w:val="52"/>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pStyle w:val="8"/>
        <w:spacing w:before="93"/>
        <w:rPr>
          <w:rFonts w:ascii="Times New Roman" w:eastAsia="方正小标宋简体"/>
          <w:kern w:val="2"/>
          <w:sz w:val="44"/>
          <w:szCs w:val="44"/>
        </w:rPr>
      </w:pP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11</w:t>
      </w:r>
      <w:bookmarkStart w:id="61" w:name="_GoBack"/>
      <w:bookmarkEnd w:id="61"/>
      <w:r>
        <w:rPr>
          <w:rFonts w:hint="eastAsia" w:ascii="Times New Roman" w:hAnsi="Times New Roman" w:eastAsia="仿宋_GB2312" w:cs="仿宋_GB2312"/>
          <w:sz w:val="32"/>
          <w:szCs w:val="32"/>
        </w:rPr>
        <w:t>日</w:t>
      </w:r>
    </w:p>
    <w:p/>
    <w:p>
      <w:pPr>
        <w:pStyle w:val="8"/>
        <w:spacing w:before="93"/>
        <w:jc w:val="left"/>
        <w:rPr>
          <w:rFonts w:ascii="宋体" w:hAnsi="宋体"/>
          <w:sz w:val="32"/>
          <w:szCs w:val="32"/>
        </w:rPr>
      </w:pPr>
      <w:bookmarkStart w:id="6" w:name="_Toc15396599"/>
      <w:bookmarkStart w:id="7" w:name="_Toc15377196"/>
      <w:r>
        <w:rPr>
          <w:rFonts w:ascii="黑体" w:hAnsi="黑体" w:eastAsia="黑体"/>
          <w:sz w:val="32"/>
          <w:szCs w:val="32"/>
        </w:rPr>
        <w:t>第一部分</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单位</w:t>
      </w:r>
      <w:r>
        <w:rPr>
          <w:rFonts w:ascii="黑体" w:hAnsi="黑体" w:eastAsia="黑体"/>
          <w:sz w:val="32"/>
          <w:szCs w:val="32"/>
        </w:rPr>
        <w:t>概况</w:t>
      </w:r>
      <w:r>
        <w:rPr>
          <w:rFonts w:hint="eastAsia" w:ascii="宋体" w:hAnsi="宋体"/>
          <w:sz w:val="32"/>
          <w:szCs w:val="32"/>
        </w:rPr>
        <w:t>................................</w:t>
      </w:r>
      <w:r>
        <w:rPr>
          <w:rFonts w:ascii="宋体" w:hAnsi="宋体"/>
          <w:sz w:val="32"/>
          <w:szCs w:val="32"/>
        </w:rPr>
        <w:t xml:space="preserve"> 3</w:t>
      </w:r>
    </w:p>
    <w:p>
      <w:pPr>
        <w:pStyle w:val="8"/>
        <w:numPr>
          <w:ilvl w:val="0"/>
          <w:numId w:val="1"/>
        </w:numPr>
        <w:spacing w:before="93"/>
        <w:jc w:val="left"/>
        <w:rPr>
          <w:rFonts w:ascii="宋体" w:hAnsi="宋体"/>
          <w:sz w:val="32"/>
          <w:szCs w:val="32"/>
        </w:rPr>
      </w:pPr>
      <w:r>
        <w:rPr>
          <w:rFonts w:hint="eastAsia" w:ascii="楷体" w:hAnsi="楷体" w:eastAsia="楷体"/>
          <w:sz w:val="32"/>
          <w:szCs w:val="32"/>
        </w:rPr>
        <w:t>单位职责</w:t>
      </w:r>
      <w:r>
        <w:rPr>
          <w:rFonts w:hint="eastAsia" w:ascii="宋体" w:hAnsi="宋体"/>
          <w:sz w:val="32"/>
          <w:szCs w:val="32"/>
        </w:rPr>
        <w:t>....................................</w:t>
      </w:r>
      <w:r>
        <w:rPr>
          <w:rFonts w:ascii="楷体" w:hAnsi="楷体" w:eastAsia="楷体"/>
          <w:sz w:val="32"/>
          <w:szCs w:val="32"/>
        </w:rPr>
        <w:t xml:space="preserve"> </w:t>
      </w:r>
      <w:r>
        <w:rPr>
          <w:rFonts w:ascii="宋体" w:hAnsi="宋体"/>
          <w:sz w:val="32"/>
          <w:szCs w:val="32"/>
        </w:rPr>
        <w:t>3</w:t>
      </w:r>
    </w:p>
    <w:p>
      <w:pPr>
        <w:pStyle w:val="8"/>
        <w:numPr>
          <w:ilvl w:val="0"/>
          <w:numId w:val="1"/>
        </w:numPr>
        <w:spacing w:before="93"/>
        <w:jc w:val="left"/>
        <w:rPr>
          <w:rFonts w:ascii="楷体" w:hAnsi="楷体" w:eastAsia="楷体"/>
          <w:sz w:val="32"/>
          <w:szCs w:val="32"/>
        </w:rPr>
      </w:pPr>
      <w:r>
        <w:rPr>
          <w:rFonts w:ascii="楷体" w:hAnsi="楷体" w:eastAsia="楷体"/>
          <w:sz w:val="32"/>
          <w:szCs w:val="32"/>
        </w:rPr>
        <w:t>机构设置</w:t>
      </w:r>
      <w:r>
        <w:rPr>
          <w:rFonts w:hint="eastAsia" w:ascii="楷体" w:hAnsi="楷体" w:eastAsia="楷体"/>
          <w:sz w:val="32"/>
          <w:szCs w:val="32"/>
        </w:rPr>
        <w:t>....................................</w:t>
      </w:r>
      <w:r>
        <w:rPr>
          <w:rFonts w:ascii="楷体" w:hAnsi="楷体" w:eastAsia="楷体"/>
          <w:sz w:val="32"/>
          <w:szCs w:val="32"/>
        </w:rPr>
        <w:t xml:space="preserve"> </w:t>
      </w:r>
      <w:r>
        <w:rPr>
          <w:rFonts w:ascii="宋体" w:hAnsi="宋体"/>
          <w:sz w:val="32"/>
          <w:szCs w:val="32"/>
        </w:rPr>
        <w:t>3</w:t>
      </w:r>
    </w:p>
    <w:p>
      <w:pPr>
        <w:pStyle w:val="8"/>
        <w:spacing w:before="93"/>
        <w:jc w:val="left"/>
        <w:rPr>
          <w:rFonts w:ascii="宋体" w:hAnsi="宋体"/>
          <w:sz w:val="32"/>
          <w:szCs w:val="32"/>
        </w:rPr>
      </w:pPr>
      <w:r>
        <w:rPr>
          <w:rFonts w:ascii="黑体" w:hAnsi="黑体" w:eastAsia="黑体"/>
          <w:sz w:val="32"/>
          <w:szCs w:val="32"/>
        </w:rPr>
        <w:t>第二部分</w:t>
      </w:r>
      <w:r>
        <w:rPr>
          <w:rFonts w:hint="eastAsia" w:ascii="黑体" w:hAnsi="黑体" w:eastAsia="黑体"/>
          <w:sz w:val="32"/>
          <w:szCs w:val="32"/>
        </w:rPr>
        <w:t xml:space="preserve"> </w:t>
      </w:r>
      <w:r>
        <w:rPr>
          <w:rFonts w:ascii="黑体" w:hAnsi="黑体" w:eastAsia="黑体"/>
          <w:sz w:val="32"/>
          <w:szCs w:val="32"/>
        </w:rPr>
        <w:t xml:space="preserve"> 2024年度单位决算情况说明</w:t>
      </w:r>
      <w:r>
        <w:rPr>
          <w:rFonts w:hint="eastAsia" w:ascii="宋体" w:hAnsi="宋体"/>
          <w:sz w:val="32"/>
          <w:szCs w:val="32"/>
        </w:rPr>
        <w:t>.........</w:t>
      </w:r>
      <w:r>
        <w:rPr>
          <w:rFonts w:ascii="宋体" w:hAnsi="宋体"/>
          <w:sz w:val="32"/>
          <w:szCs w:val="32"/>
        </w:rPr>
        <w:t>...</w:t>
      </w:r>
      <w:r>
        <w:rPr>
          <w:rFonts w:hint="eastAsia" w:ascii="宋体" w:hAnsi="宋体"/>
          <w:sz w:val="32"/>
          <w:szCs w:val="32"/>
        </w:rPr>
        <w:t>. ...</w:t>
      </w:r>
      <w:r>
        <w:rPr>
          <w:rFonts w:ascii="宋体" w:hAnsi="宋体"/>
          <w:sz w:val="32"/>
          <w:szCs w:val="32"/>
        </w:rPr>
        <w:t>3</w:t>
      </w:r>
    </w:p>
    <w:p>
      <w:pPr>
        <w:pStyle w:val="8"/>
        <w:spacing w:before="93"/>
        <w:jc w:val="left"/>
        <w:rPr>
          <w:rFonts w:ascii="宋体" w:hAnsi="宋体"/>
          <w:sz w:val="32"/>
          <w:szCs w:val="32"/>
        </w:rPr>
      </w:pPr>
      <w:r>
        <w:rPr>
          <w:rFonts w:ascii="宋体" w:hAnsi="宋体"/>
          <w:sz w:val="32"/>
          <w:szCs w:val="32"/>
        </w:rPr>
        <w:t xml:space="preserve"> </w:t>
      </w:r>
      <w:r>
        <w:rPr>
          <w:rFonts w:ascii="楷体" w:hAnsi="楷体" w:eastAsia="楷体"/>
          <w:sz w:val="32"/>
          <w:szCs w:val="32"/>
        </w:rPr>
        <w:t xml:space="preserve"> 一、收入支出决算总体情况说明</w:t>
      </w:r>
      <w:r>
        <w:rPr>
          <w:rFonts w:hint="eastAsia" w:ascii="宋体" w:hAnsi="宋体"/>
          <w:sz w:val="32"/>
          <w:szCs w:val="32"/>
        </w:rPr>
        <w:t xml:space="preserve"> ........... ..... ...</w:t>
      </w:r>
      <w:r>
        <w:rPr>
          <w:rFonts w:ascii="宋体" w:hAnsi="宋体"/>
          <w:sz w:val="32"/>
          <w:szCs w:val="32"/>
        </w:rPr>
        <w:t>3</w:t>
      </w:r>
    </w:p>
    <w:p>
      <w:pPr>
        <w:widowControl/>
        <w:rPr>
          <w:rFonts w:ascii="楷体" w:hAnsi="楷体" w:eastAsia="楷体"/>
          <w:sz w:val="32"/>
          <w:szCs w:val="32"/>
        </w:rPr>
      </w:pPr>
      <w:r>
        <w:rPr>
          <w:rFonts w:hint="eastAsia" w:ascii="楷体" w:hAnsi="楷体" w:eastAsia="楷体"/>
          <w:sz w:val="32"/>
          <w:szCs w:val="32"/>
        </w:rPr>
        <w:t xml:space="preserve"> </w:t>
      </w:r>
      <w:r>
        <w:rPr>
          <w:rFonts w:ascii="楷体" w:hAnsi="楷体" w:eastAsia="楷体"/>
          <w:sz w:val="32"/>
          <w:szCs w:val="32"/>
        </w:rPr>
        <w:t xml:space="preserve"> 二、收入决算情况说明</w:t>
      </w:r>
      <w:r>
        <w:rPr>
          <w:rFonts w:hint="eastAsia" w:ascii="宋体" w:hAnsi="宋体"/>
          <w:sz w:val="32"/>
          <w:szCs w:val="32"/>
        </w:rPr>
        <w:t>.............................</w:t>
      </w:r>
      <w:r>
        <w:rPr>
          <w:rFonts w:ascii="宋体" w:hAnsi="宋体"/>
          <w:sz w:val="32"/>
          <w:szCs w:val="32"/>
        </w:rPr>
        <w:t>4</w:t>
      </w:r>
    </w:p>
    <w:p>
      <w:pPr>
        <w:widowControl/>
        <w:ind w:firstLine="320" w:firstLineChars="100"/>
        <w:rPr>
          <w:rFonts w:ascii="楷体" w:hAnsi="楷体" w:eastAsia="楷体"/>
          <w:sz w:val="32"/>
          <w:szCs w:val="32"/>
        </w:rPr>
      </w:pPr>
      <w:r>
        <w:rPr>
          <w:rFonts w:ascii="楷体" w:hAnsi="楷体" w:eastAsia="楷体"/>
          <w:sz w:val="32"/>
          <w:szCs w:val="32"/>
        </w:rPr>
        <w:t>三、支出决算情况说明</w:t>
      </w:r>
      <w:r>
        <w:rPr>
          <w:rFonts w:hint="eastAsia" w:ascii="宋体" w:hAnsi="宋体"/>
          <w:sz w:val="32"/>
          <w:szCs w:val="32"/>
        </w:rPr>
        <w:t>........................ .....</w:t>
      </w:r>
      <w:r>
        <w:rPr>
          <w:rFonts w:ascii="宋体" w:hAnsi="宋体"/>
          <w:sz w:val="32"/>
          <w:szCs w:val="32"/>
        </w:rPr>
        <w:t>5</w:t>
      </w:r>
    </w:p>
    <w:p>
      <w:pPr>
        <w:widowControl/>
        <w:ind w:firstLine="320" w:firstLineChars="100"/>
        <w:rPr>
          <w:rFonts w:ascii="楷体" w:hAnsi="楷体" w:eastAsia="楷体"/>
          <w:sz w:val="32"/>
          <w:szCs w:val="32"/>
        </w:rPr>
      </w:pPr>
      <w:r>
        <w:rPr>
          <w:rFonts w:ascii="楷体" w:hAnsi="楷体" w:eastAsia="楷体"/>
          <w:sz w:val="32"/>
          <w:szCs w:val="32"/>
        </w:rPr>
        <w:t>四、财政拨款收入支出决算总体情况说明</w:t>
      </w:r>
      <w:r>
        <w:rPr>
          <w:rFonts w:hint="eastAsia" w:ascii="宋体" w:hAnsi="宋体"/>
          <w:sz w:val="32"/>
          <w:szCs w:val="32"/>
        </w:rPr>
        <w:t>.............</w:t>
      </w:r>
      <w:r>
        <w:rPr>
          <w:rFonts w:ascii="宋体" w:hAnsi="宋体"/>
          <w:sz w:val="32"/>
          <w:szCs w:val="32"/>
        </w:rPr>
        <w:t>5</w:t>
      </w:r>
    </w:p>
    <w:p>
      <w:pPr>
        <w:widowControl/>
        <w:ind w:firstLine="320" w:firstLineChars="100"/>
        <w:rPr>
          <w:rFonts w:ascii="楷体" w:hAnsi="楷体" w:eastAsia="楷体"/>
          <w:sz w:val="32"/>
          <w:szCs w:val="32"/>
        </w:rPr>
      </w:pPr>
      <w:r>
        <w:rPr>
          <w:rFonts w:ascii="楷体" w:hAnsi="楷体" w:eastAsia="楷体"/>
          <w:sz w:val="32"/>
          <w:szCs w:val="32"/>
        </w:rPr>
        <w:t>五、一般公共预算财政拨款支出决算情况说明</w:t>
      </w:r>
      <w:r>
        <w:rPr>
          <w:rFonts w:hint="eastAsia" w:ascii="宋体" w:hAnsi="宋体"/>
          <w:sz w:val="32"/>
          <w:szCs w:val="32"/>
        </w:rPr>
        <w:t>.........</w:t>
      </w:r>
      <w:r>
        <w:rPr>
          <w:rFonts w:ascii="宋体" w:hAnsi="宋体"/>
          <w:sz w:val="32"/>
          <w:szCs w:val="32"/>
        </w:rPr>
        <w:t>6</w:t>
      </w:r>
    </w:p>
    <w:p>
      <w:pPr>
        <w:widowControl/>
        <w:ind w:firstLine="320" w:firstLineChars="100"/>
        <w:rPr>
          <w:rFonts w:ascii="楷体" w:hAnsi="楷体" w:eastAsia="楷体"/>
          <w:sz w:val="32"/>
          <w:szCs w:val="32"/>
        </w:rPr>
      </w:pPr>
      <w:r>
        <w:rPr>
          <w:rFonts w:ascii="楷体" w:hAnsi="楷体" w:eastAsia="楷体"/>
          <w:sz w:val="32"/>
          <w:szCs w:val="32"/>
        </w:rPr>
        <w:t>六、一般公共预算财政拨款基本支出决算情况说明</w:t>
      </w:r>
      <w:r>
        <w:rPr>
          <w:rFonts w:hint="eastAsia" w:ascii="宋体" w:hAnsi="宋体"/>
          <w:sz w:val="32"/>
          <w:szCs w:val="32"/>
        </w:rPr>
        <w:t>....</w:t>
      </w:r>
      <w:r>
        <w:rPr>
          <w:rFonts w:ascii="宋体" w:hAnsi="宋体"/>
          <w:sz w:val="32"/>
          <w:szCs w:val="32"/>
        </w:rPr>
        <w:t>.9</w:t>
      </w:r>
    </w:p>
    <w:p>
      <w:pPr>
        <w:widowControl/>
        <w:ind w:firstLine="320" w:firstLineChars="100"/>
        <w:rPr>
          <w:rFonts w:ascii="楷体" w:hAnsi="楷体" w:eastAsia="楷体"/>
          <w:sz w:val="32"/>
          <w:szCs w:val="32"/>
        </w:rPr>
      </w:pPr>
      <w:r>
        <w:rPr>
          <w:rFonts w:ascii="楷体" w:hAnsi="楷体" w:eastAsia="楷体"/>
          <w:sz w:val="32"/>
          <w:szCs w:val="32"/>
        </w:rPr>
        <w:t>七、财政拨款“三</w:t>
      </w:r>
      <w:r>
        <w:rPr>
          <w:rFonts w:hint="eastAsia" w:ascii="楷体" w:hAnsi="楷体" w:eastAsia="楷体"/>
          <w:sz w:val="32"/>
          <w:szCs w:val="32"/>
        </w:rPr>
        <w:t>公</w:t>
      </w:r>
      <w:r>
        <w:rPr>
          <w:rFonts w:ascii="楷体" w:hAnsi="楷体" w:eastAsia="楷体"/>
          <w:sz w:val="32"/>
          <w:szCs w:val="32"/>
        </w:rPr>
        <w:t>”经费支出决算情况说明</w:t>
      </w:r>
      <w:r>
        <w:rPr>
          <w:rFonts w:hint="eastAsia" w:ascii="宋体" w:hAnsi="宋体"/>
          <w:sz w:val="32"/>
          <w:szCs w:val="32"/>
        </w:rPr>
        <w:t>...... ..</w:t>
      </w:r>
      <w:r>
        <w:rPr>
          <w:rFonts w:ascii="宋体" w:hAnsi="宋体"/>
          <w:sz w:val="32"/>
          <w:szCs w:val="32"/>
        </w:rPr>
        <w:t>10</w:t>
      </w:r>
    </w:p>
    <w:p>
      <w:pPr>
        <w:widowControl/>
        <w:ind w:firstLine="320" w:firstLineChars="100"/>
        <w:rPr>
          <w:rFonts w:ascii="楷体" w:hAnsi="楷体" w:eastAsia="楷体"/>
          <w:sz w:val="32"/>
          <w:szCs w:val="32"/>
        </w:rPr>
      </w:pPr>
      <w:r>
        <w:rPr>
          <w:rFonts w:ascii="楷体" w:hAnsi="楷体" w:eastAsia="楷体"/>
          <w:sz w:val="32"/>
          <w:szCs w:val="32"/>
        </w:rPr>
        <w:t>八、政府性</w:t>
      </w:r>
      <w:r>
        <w:rPr>
          <w:rFonts w:hint="eastAsia" w:ascii="楷体" w:hAnsi="楷体" w:eastAsia="楷体"/>
          <w:sz w:val="32"/>
          <w:szCs w:val="32"/>
        </w:rPr>
        <w:t>基金</w:t>
      </w:r>
      <w:r>
        <w:rPr>
          <w:rFonts w:ascii="楷体" w:hAnsi="楷体" w:eastAsia="楷体"/>
          <w:sz w:val="32"/>
          <w:szCs w:val="32"/>
        </w:rPr>
        <w:t>预算支出决算情况说明</w:t>
      </w:r>
      <w:r>
        <w:rPr>
          <w:rFonts w:hint="eastAsia" w:ascii="宋体" w:hAnsi="宋体"/>
          <w:sz w:val="32"/>
          <w:szCs w:val="32"/>
        </w:rPr>
        <w:t>........ .....</w:t>
      </w:r>
      <w:r>
        <w:rPr>
          <w:rFonts w:ascii="宋体" w:hAnsi="宋体"/>
          <w:sz w:val="32"/>
          <w:szCs w:val="32"/>
        </w:rPr>
        <w:t>12</w:t>
      </w:r>
    </w:p>
    <w:p>
      <w:pPr>
        <w:widowControl/>
        <w:ind w:firstLine="320" w:firstLineChars="100"/>
        <w:rPr>
          <w:rFonts w:ascii="楷体" w:hAnsi="楷体" w:eastAsia="楷体"/>
          <w:sz w:val="32"/>
          <w:szCs w:val="32"/>
        </w:rPr>
      </w:pPr>
      <w:r>
        <w:rPr>
          <w:rFonts w:ascii="楷体" w:hAnsi="楷体" w:eastAsia="楷体"/>
          <w:sz w:val="32"/>
          <w:szCs w:val="32"/>
        </w:rPr>
        <w:t>九、</w:t>
      </w:r>
      <w:r>
        <w:rPr>
          <w:rFonts w:hint="eastAsia" w:ascii="楷体" w:hAnsi="楷体" w:eastAsia="楷体"/>
          <w:sz w:val="32"/>
          <w:szCs w:val="32"/>
        </w:rPr>
        <w:t>国有</w:t>
      </w:r>
      <w:r>
        <w:rPr>
          <w:rFonts w:ascii="楷体" w:hAnsi="楷体" w:eastAsia="楷体"/>
          <w:sz w:val="32"/>
          <w:szCs w:val="32"/>
        </w:rPr>
        <w:t>资本经营预算支出决算情况说明</w:t>
      </w:r>
      <w:r>
        <w:rPr>
          <w:rFonts w:hint="eastAsia" w:ascii="宋体" w:hAnsi="宋体"/>
          <w:sz w:val="32"/>
          <w:szCs w:val="32"/>
        </w:rPr>
        <w:t>............</w:t>
      </w:r>
      <w:r>
        <w:rPr>
          <w:rFonts w:ascii="宋体" w:hAnsi="宋体"/>
          <w:sz w:val="32"/>
          <w:szCs w:val="32"/>
        </w:rPr>
        <w:t>12</w:t>
      </w:r>
    </w:p>
    <w:p>
      <w:pPr>
        <w:widowControl/>
        <w:ind w:firstLine="320" w:firstLineChars="100"/>
        <w:rPr>
          <w:rFonts w:ascii="楷体" w:hAnsi="楷体" w:eastAsia="楷体"/>
          <w:sz w:val="32"/>
          <w:szCs w:val="32"/>
        </w:rPr>
      </w:pPr>
      <w:r>
        <w:rPr>
          <w:rFonts w:ascii="楷体" w:hAnsi="楷体" w:eastAsia="楷体"/>
          <w:sz w:val="32"/>
          <w:szCs w:val="32"/>
        </w:rPr>
        <w:t>十、其他重要事项的情况说明</w:t>
      </w:r>
      <w:r>
        <w:rPr>
          <w:rFonts w:hint="eastAsia" w:ascii="宋体" w:hAnsi="宋体"/>
          <w:sz w:val="32"/>
          <w:szCs w:val="32"/>
        </w:rPr>
        <w:t>......................</w:t>
      </w:r>
      <w:r>
        <w:rPr>
          <w:rFonts w:ascii="宋体" w:hAnsi="宋体"/>
          <w:sz w:val="32"/>
          <w:szCs w:val="32"/>
        </w:rPr>
        <w:t>12</w:t>
      </w:r>
    </w:p>
    <w:p>
      <w:pPr>
        <w:pStyle w:val="8"/>
        <w:spacing w:before="93"/>
        <w:rPr>
          <w:rFonts w:ascii="黑体" w:hAnsi="黑体" w:eastAsia="黑体"/>
          <w:sz w:val="32"/>
          <w:szCs w:val="32"/>
        </w:rPr>
      </w:pPr>
      <w:r>
        <w:rPr>
          <w:rFonts w:ascii="黑体" w:hAnsi="黑体" w:eastAsia="黑体"/>
          <w:sz w:val="32"/>
          <w:szCs w:val="32"/>
        </w:rPr>
        <w:t>第三部分</w:t>
      </w:r>
      <w:r>
        <w:rPr>
          <w:rFonts w:hint="eastAsia" w:ascii="黑体" w:hAnsi="黑体" w:eastAsia="黑体"/>
          <w:sz w:val="32"/>
          <w:szCs w:val="32"/>
        </w:rPr>
        <w:t xml:space="preserve"> </w:t>
      </w:r>
      <w:r>
        <w:rPr>
          <w:rFonts w:ascii="黑体" w:hAnsi="黑体" w:eastAsia="黑体"/>
          <w:sz w:val="32"/>
          <w:szCs w:val="32"/>
        </w:rPr>
        <w:t xml:space="preserve"> 名词解释</w:t>
      </w:r>
      <w:r>
        <w:rPr>
          <w:rFonts w:hint="eastAsia" w:ascii="宋体" w:hAnsi="宋体"/>
          <w:sz w:val="32"/>
          <w:szCs w:val="32"/>
        </w:rPr>
        <w:t>...............................</w:t>
      </w:r>
      <w:r>
        <w:rPr>
          <w:rFonts w:ascii="宋体" w:hAnsi="宋体"/>
          <w:sz w:val="32"/>
          <w:szCs w:val="32"/>
        </w:rPr>
        <w:t xml:space="preserve"> 14</w:t>
      </w:r>
    </w:p>
    <w:p>
      <w:pPr>
        <w:pStyle w:val="8"/>
        <w:spacing w:before="93"/>
        <w:rPr>
          <w:rFonts w:ascii="宋体" w:hAnsi="宋体"/>
          <w:sz w:val="32"/>
          <w:szCs w:val="32"/>
        </w:rPr>
      </w:pPr>
      <w:r>
        <w:rPr>
          <w:rFonts w:ascii="黑体" w:hAnsi="黑体" w:eastAsia="黑体"/>
          <w:sz w:val="32"/>
          <w:szCs w:val="32"/>
        </w:rPr>
        <w:t>第四部分</w:t>
      </w:r>
      <w:r>
        <w:rPr>
          <w:rFonts w:hint="eastAsia" w:ascii="黑体" w:hAnsi="黑体" w:eastAsia="黑体"/>
          <w:sz w:val="32"/>
          <w:szCs w:val="32"/>
        </w:rPr>
        <w:t xml:space="preserve"> </w:t>
      </w:r>
      <w:r>
        <w:rPr>
          <w:rFonts w:ascii="黑体" w:hAnsi="黑体" w:eastAsia="黑体"/>
          <w:sz w:val="32"/>
          <w:szCs w:val="32"/>
        </w:rPr>
        <w:t xml:space="preserve"> 附件</w:t>
      </w:r>
      <w:r>
        <w:rPr>
          <w:rFonts w:hint="eastAsia" w:ascii="宋体" w:hAnsi="宋体"/>
          <w:sz w:val="32"/>
          <w:szCs w:val="32"/>
        </w:rPr>
        <w:t>...................................</w:t>
      </w:r>
      <w:r>
        <w:rPr>
          <w:rFonts w:ascii="宋体" w:hAnsi="宋体"/>
          <w:sz w:val="32"/>
          <w:szCs w:val="32"/>
        </w:rPr>
        <w:t xml:space="preserve"> 17</w:t>
      </w:r>
    </w:p>
    <w:p>
      <w:pPr>
        <w:pStyle w:val="8"/>
        <w:spacing w:before="93"/>
        <w:ind w:left="640" w:hanging="640" w:hangingChars="200"/>
        <w:rPr>
          <w:rFonts w:ascii="宋体" w:hAnsi="宋体"/>
          <w:sz w:val="32"/>
          <w:szCs w:val="32"/>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部分</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附表</w:t>
      </w:r>
      <w:r>
        <w:rPr>
          <w:rFonts w:hint="eastAsia" w:ascii="宋体" w:hAnsi="宋体"/>
          <w:sz w:val="32"/>
          <w:szCs w:val="32"/>
        </w:rPr>
        <w:t>...................................</w:t>
      </w:r>
      <w:r>
        <w:rPr>
          <w:rFonts w:ascii="宋体" w:hAnsi="宋体"/>
          <w:sz w:val="32"/>
          <w:szCs w:val="32"/>
        </w:rPr>
        <w:t xml:space="preserve"> 18</w:t>
      </w:r>
    </w:p>
    <w:p>
      <w:pPr>
        <w:pStyle w:val="8"/>
        <w:spacing w:before="93"/>
        <w:ind w:firstLine="320" w:firstLineChars="100"/>
        <w:jc w:val="left"/>
        <w:rPr>
          <w:rStyle w:val="29"/>
          <w:rFonts w:ascii="楷体" w:hAnsi="楷体" w:eastAsia="楷体"/>
          <w:b w:val="0"/>
        </w:rPr>
      </w:pPr>
      <w:r>
        <w:rPr>
          <w:rFonts w:hint="eastAsia" w:ascii="楷体" w:hAnsi="楷体" w:eastAsia="楷体"/>
          <w:sz w:val="32"/>
          <w:szCs w:val="32"/>
        </w:rPr>
        <w:t>一、收</w:t>
      </w:r>
      <w:r>
        <w:rPr>
          <w:rStyle w:val="29"/>
          <w:rFonts w:hint="eastAsia" w:ascii="楷体" w:hAnsi="楷体" w:eastAsia="楷体"/>
          <w:b w:val="0"/>
        </w:rPr>
        <w:t>入支出决算总表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Fonts w:hint="eastAsia" w:ascii="楷体" w:hAnsi="楷体" w:eastAsia="楷体"/>
          <w:sz w:val="32"/>
          <w:szCs w:val="32"/>
        </w:rPr>
        <w:t>二、收</w:t>
      </w:r>
      <w:r>
        <w:rPr>
          <w:rStyle w:val="29"/>
          <w:rFonts w:hint="eastAsia" w:ascii="楷体" w:hAnsi="楷体" w:eastAsia="楷体"/>
          <w:b w:val="0"/>
        </w:rPr>
        <w:t>入决算表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三、</w:t>
      </w:r>
      <w:r>
        <w:rPr>
          <w:rFonts w:hint="eastAsia" w:ascii="楷体" w:hAnsi="楷体" w:eastAsia="楷体"/>
          <w:sz w:val="32"/>
          <w:szCs w:val="32"/>
        </w:rPr>
        <w:t>支</w:t>
      </w:r>
      <w:r>
        <w:rPr>
          <w:rStyle w:val="29"/>
          <w:rFonts w:hint="eastAsia" w:ascii="楷体" w:hAnsi="楷体" w:eastAsia="楷体"/>
          <w:b w:val="0"/>
        </w:rPr>
        <w:t>出决算表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四、</w:t>
      </w:r>
      <w:r>
        <w:rPr>
          <w:rFonts w:hint="eastAsia" w:ascii="楷体" w:hAnsi="楷体" w:eastAsia="楷体"/>
          <w:sz w:val="32"/>
          <w:szCs w:val="32"/>
        </w:rPr>
        <w:t>财</w:t>
      </w:r>
      <w:r>
        <w:rPr>
          <w:rStyle w:val="29"/>
          <w:rFonts w:hint="eastAsia" w:ascii="楷体" w:hAnsi="楷体" w:eastAsia="楷体"/>
          <w:b w:val="0"/>
        </w:rPr>
        <w:t>政拨款收入支出决算总表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五、</w:t>
      </w:r>
      <w:r>
        <w:rPr>
          <w:rFonts w:hint="eastAsia" w:ascii="楷体" w:hAnsi="楷体" w:eastAsia="楷体"/>
          <w:sz w:val="32"/>
          <w:szCs w:val="32"/>
        </w:rPr>
        <w:t>财</w:t>
      </w:r>
      <w:r>
        <w:rPr>
          <w:rStyle w:val="29"/>
          <w:rFonts w:hint="eastAsia" w:ascii="楷体" w:hAnsi="楷体" w:eastAsia="楷体"/>
          <w:b w:val="0"/>
        </w:rPr>
        <w:t>政拨款支出决算明细表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六、</w:t>
      </w:r>
      <w:r>
        <w:rPr>
          <w:rFonts w:hint="eastAsia" w:ascii="楷体" w:hAnsi="楷体" w:eastAsia="楷体"/>
          <w:sz w:val="32"/>
          <w:szCs w:val="32"/>
        </w:rPr>
        <w:t>一</w:t>
      </w:r>
      <w:r>
        <w:rPr>
          <w:rStyle w:val="29"/>
          <w:rFonts w:hint="eastAsia" w:ascii="楷体" w:hAnsi="楷体" w:eastAsia="楷体"/>
          <w:b w:val="0"/>
        </w:rPr>
        <w:t>般公共预算财政拨款支出决算表</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七、</w:t>
      </w:r>
      <w:r>
        <w:rPr>
          <w:rFonts w:hint="eastAsia" w:ascii="楷体" w:hAnsi="楷体" w:eastAsia="楷体"/>
          <w:sz w:val="32"/>
          <w:szCs w:val="32"/>
        </w:rPr>
        <w:t>一</w:t>
      </w:r>
      <w:r>
        <w:rPr>
          <w:rStyle w:val="29"/>
          <w:rFonts w:hint="eastAsia" w:ascii="楷体" w:hAnsi="楷体" w:eastAsia="楷体"/>
          <w:b w:val="0"/>
        </w:rPr>
        <w:t>般公共预算财政拨款支出决算明细表</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八、</w:t>
      </w:r>
      <w:r>
        <w:rPr>
          <w:rFonts w:hint="eastAsia" w:ascii="楷体" w:hAnsi="楷体" w:eastAsia="楷体"/>
          <w:sz w:val="32"/>
          <w:szCs w:val="32"/>
        </w:rPr>
        <w:t>一</w:t>
      </w:r>
      <w:r>
        <w:rPr>
          <w:rStyle w:val="29"/>
          <w:rFonts w:hint="eastAsia" w:ascii="楷体" w:hAnsi="楷体" w:eastAsia="楷体"/>
          <w:b w:val="0"/>
        </w:rPr>
        <w:t>般公共预算财政拨款基本支出决算明细表</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九、</w:t>
      </w:r>
      <w:r>
        <w:rPr>
          <w:rFonts w:hint="eastAsia" w:ascii="楷体" w:hAnsi="楷体" w:eastAsia="楷体"/>
          <w:sz w:val="32"/>
          <w:szCs w:val="32"/>
        </w:rPr>
        <w:t>一</w:t>
      </w:r>
      <w:r>
        <w:rPr>
          <w:rStyle w:val="29"/>
          <w:rFonts w:hint="eastAsia" w:ascii="楷体" w:hAnsi="楷体" w:eastAsia="楷体"/>
          <w:b w:val="0"/>
        </w:rPr>
        <w:t>般公共预算财政拨款项目支出决算表</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十、</w:t>
      </w:r>
      <w:r>
        <w:rPr>
          <w:rFonts w:hint="eastAsia" w:ascii="楷体" w:hAnsi="楷体" w:eastAsia="楷体"/>
          <w:sz w:val="32"/>
          <w:szCs w:val="32"/>
        </w:rPr>
        <w:t>政</w:t>
      </w:r>
      <w:r>
        <w:rPr>
          <w:rStyle w:val="29"/>
          <w:rFonts w:hint="eastAsia" w:ascii="楷体" w:hAnsi="楷体" w:eastAsia="楷体"/>
          <w:b w:val="0"/>
        </w:rPr>
        <w:t>府性基金预算财政拨款收入支出决算表</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十一、</w:t>
      </w:r>
      <w:r>
        <w:rPr>
          <w:rFonts w:hint="eastAsia" w:ascii="楷体" w:hAnsi="楷体" w:eastAsia="楷体"/>
          <w:sz w:val="32"/>
          <w:szCs w:val="32"/>
        </w:rPr>
        <w:t>国</w:t>
      </w:r>
      <w:r>
        <w:rPr>
          <w:rStyle w:val="29"/>
          <w:rFonts w:hint="eastAsia" w:ascii="楷体" w:hAnsi="楷体" w:eastAsia="楷体"/>
          <w:b w:val="0"/>
        </w:rPr>
        <w:t>有资本经营预算财政拨款收入支出决算表（此表无数据）</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Style w:val="29"/>
          <w:rFonts w:ascii="楷体" w:hAnsi="楷体" w:eastAsia="楷体"/>
          <w:b w:val="0"/>
        </w:rPr>
      </w:pPr>
      <w:r>
        <w:rPr>
          <w:rStyle w:val="29"/>
          <w:rFonts w:hint="eastAsia" w:ascii="楷体" w:hAnsi="楷体" w:eastAsia="楷体"/>
          <w:b w:val="0"/>
        </w:rPr>
        <w:t>十二、国有资本经营预算财政拨款支出决算表（此表无数据）</w:t>
      </w:r>
      <w:r>
        <w:rPr>
          <w:rFonts w:hint="eastAsia" w:ascii="楷体" w:hAnsi="楷体" w:eastAsia="楷体"/>
          <w:sz w:val="32"/>
          <w:szCs w:val="32"/>
        </w:rPr>
        <w:t>...............................</w:t>
      </w:r>
      <w:r>
        <w:rPr>
          <w:rFonts w:ascii="楷体" w:hAnsi="楷体" w:eastAsia="楷体"/>
          <w:sz w:val="32"/>
          <w:szCs w:val="32"/>
        </w:rPr>
        <w:t>.</w:t>
      </w:r>
      <w:r>
        <w:rPr>
          <w:rFonts w:hint="eastAsia" w:ascii="楷体" w:hAnsi="楷体" w:eastAsia="楷体"/>
          <w:sz w:val="32"/>
          <w:szCs w:val="32"/>
        </w:rPr>
        <w:t>..............</w:t>
      </w:r>
      <w:r>
        <w:rPr>
          <w:rFonts w:ascii="宋体" w:hAnsi="宋体"/>
          <w:sz w:val="32"/>
          <w:szCs w:val="32"/>
        </w:rPr>
        <w:t xml:space="preserve"> 18</w:t>
      </w:r>
    </w:p>
    <w:p>
      <w:pPr>
        <w:pStyle w:val="8"/>
        <w:spacing w:before="93"/>
        <w:ind w:firstLine="320" w:firstLineChars="100"/>
        <w:rPr>
          <w:rFonts w:ascii="楷体" w:hAnsi="楷体" w:eastAsia="楷体"/>
          <w:sz w:val="32"/>
          <w:szCs w:val="32"/>
        </w:rPr>
      </w:pPr>
      <w:r>
        <w:rPr>
          <w:rStyle w:val="29"/>
          <w:rFonts w:hint="eastAsia" w:ascii="楷体" w:hAnsi="楷体" w:eastAsia="楷体"/>
          <w:b w:val="0"/>
        </w:rPr>
        <w:t>十三、财政拨款“三公”经费支出决算表</w:t>
      </w:r>
      <w:r>
        <w:rPr>
          <w:rFonts w:hint="eastAsia" w:ascii="楷体" w:hAnsi="楷体" w:eastAsia="楷体"/>
          <w:sz w:val="32"/>
          <w:szCs w:val="32"/>
        </w:rPr>
        <w:t>............</w:t>
      </w:r>
      <w:r>
        <w:rPr>
          <w:rFonts w:ascii="宋体" w:hAnsi="宋体"/>
          <w:sz w:val="32"/>
          <w:szCs w:val="32"/>
        </w:rPr>
        <w:t xml:space="preserve"> 18</w:t>
      </w:r>
    </w:p>
    <w:p>
      <w:pPr>
        <w:widowControl/>
        <w:spacing w:line="560" w:lineRule="exact"/>
        <w:jc w:val="left"/>
        <w:rPr>
          <w:rFonts w:eastAsia="仿宋_GB2312" w:cs="仿宋_GB2312"/>
          <w:bCs/>
          <w:kern w:val="44"/>
          <w:sz w:val="32"/>
          <w:szCs w:val="32"/>
        </w:rPr>
      </w:pPr>
    </w:p>
    <w:p>
      <w:pPr>
        <w:pStyle w:val="5"/>
        <w:jc w:val="center"/>
        <w:rPr>
          <w:rFonts w:eastAsia="方正小标宋简体" w:cs="方正小标宋简体"/>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pPr>
        <w:pStyle w:val="6"/>
        <w:numPr>
          <w:ilvl w:val="0"/>
          <w:numId w:val="2"/>
        </w:numPr>
        <w:rPr>
          <w:rFonts w:ascii="Times New Roman" w:hAnsi="Times New Roman" w:eastAsia="黑体"/>
          <w:b w:val="0"/>
        </w:rPr>
      </w:pPr>
      <w:r>
        <w:rPr>
          <w:rFonts w:hint="eastAsia" w:ascii="Times New Roman" w:hAnsi="Times New Roman" w:eastAsia="黑体"/>
          <w:b w:val="0"/>
        </w:rPr>
        <w:t>单位职责</w:t>
      </w:r>
    </w:p>
    <w:p>
      <w:pPr>
        <w:pStyle w:val="6"/>
        <w:ind w:firstLine="640" w:firstLineChars="200"/>
        <w:rPr>
          <w:rFonts w:ascii="Times New Roman" w:hAnsi="Times New Roman" w:eastAsia="黑体"/>
          <w:b w:val="0"/>
        </w:rPr>
      </w:pPr>
      <w:r>
        <w:rPr>
          <w:rFonts w:hint="eastAsia" w:ascii="仿宋_GB2312" w:eastAsia="仿宋_GB2312"/>
          <w:b w:val="0"/>
        </w:rPr>
        <w:t>攀枝花市公安局交通警察支队组建于1987年，掌握全市道路交通安全情况，组织、指导、监督全市公安机关依法查处道路交通违法行为、处理交通事故、维护道路交通安全秩序；组织、指导、监督机动车（不含拖拉机）登记、安全检验和驾驶人员考试发证工作；组织、指导道路交通安全宣传教育工作；负责民用爆炸物品、剧毒化学品、易制毒化学品的道路运输审批；组织、指导道路交通管理科技工作；指导全市公安机关参与城市建设、道路交通和安全设施的规划。</w:t>
      </w:r>
    </w:p>
    <w:p>
      <w:pPr>
        <w:pStyle w:val="6"/>
        <w:ind w:firstLine="640" w:firstLineChars="200"/>
        <w:rPr>
          <w:rStyle w:val="29"/>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ind w:firstLine="640" w:firstLineChars="200"/>
        <w:rPr>
          <w:rFonts w:ascii="仿宋_GB2312" w:eastAsia="仿宋_GB2312"/>
          <w:sz w:val="32"/>
          <w:szCs w:val="32"/>
        </w:rPr>
      </w:pPr>
      <w:r>
        <w:rPr>
          <w:rFonts w:hint="eastAsia" w:ascii="仿宋_GB2312" w:eastAsia="仿宋_GB2312"/>
          <w:sz w:val="32"/>
          <w:szCs w:val="32"/>
        </w:rPr>
        <w:t>攀枝花市公安局交通警察支队为一级预算单位，无下属二级单位，下设大队、科室、所、办14个。</w:t>
      </w:r>
    </w:p>
    <w:p>
      <w:pPr>
        <w:pStyle w:val="5"/>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2024年度单位决算情况说明</w:t>
      </w:r>
      <w:bookmarkEnd w:id="10"/>
      <w:bookmarkEnd w:id="11"/>
    </w:p>
    <w:p>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snapToGrid w:val="0"/>
        <w:spacing w:line="520" w:lineRule="exact"/>
        <w:ind w:firstLine="600"/>
        <w:rPr>
          <w:rFonts w:ascii="仿宋_GB2312" w:hAnsi="宋体" w:eastAsia="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9626.24</w:t>
      </w:r>
      <w:r>
        <w:rPr>
          <w:rFonts w:hint="eastAsia" w:eastAsia="仿宋_GB2312" w:cs="仿宋_GB2312"/>
          <w:sz w:val="32"/>
          <w:szCs w:val="32"/>
        </w:rPr>
        <w:t>万元。与2023年度相比，收入、支出总计各增加</w:t>
      </w:r>
      <w:r>
        <w:rPr>
          <w:rFonts w:eastAsia="仿宋_GB2312" w:cs="仿宋_GB2312"/>
          <w:sz w:val="32"/>
          <w:szCs w:val="32"/>
        </w:rPr>
        <w:t>796.01</w:t>
      </w:r>
      <w:r>
        <w:rPr>
          <w:rFonts w:hint="eastAsia" w:eastAsia="仿宋_GB2312" w:cs="仿宋_GB2312"/>
          <w:sz w:val="32"/>
          <w:szCs w:val="32"/>
        </w:rPr>
        <w:t>万元，增长</w:t>
      </w:r>
      <w:r>
        <w:rPr>
          <w:rFonts w:eastAsia="仿宋_GB2312" w:cs="仿宋_GB2312"/>
          <w:sz w:val="32"/>
          <w:szCs w:val="32"/>
        </w:rPr>
        <w:t>9.01</w:t>
      </w:r>
      <w:r>
        <w:rPr>
          <w:rFonts w:hint="eastAsia" w:eastAsia="仿宋_GB2312" w:cs="仿宋_GB2312"/>
          <w:sz w:val="32"/>
          <w:szCs w:val="32"/>
        </w:rPr>
        <w:t>%。主要变动原因是</w:t>
      </w:r>
      <w:r>
        <w:rPr>
          <w:rFonts w:hint="eastAsia" w:ascii="仿宋_GB2312" w:hAnsi="宋体" w:eastAsia="仿宋_GB2312"/>
          <w:b/>
          <w:sz w:val="32"/>
          <w:szCs w:val="32"/>
        </w:rPr>
        <w:t>一是</w:t>
      </w:r>
      <w:r>
        <w:rPr>
          <w:rFonts w:hint="eastAsia" w:ascii="仿宋_GB2312" w:hAnsi="宋体" w:eastAsia="仿宋_GB2312"/>
          <w:sz w:val="32"/>
          <w:szCs w:val="32"/>
        </w:rPr>
        <w:t>人员经费收入减少135.87万元；</w:t>
      </w:r>
      <w:r>
        <w:rPr>
          <w:rFonts w:hint="eastAsia" w:ascii="仿宋_GB2312" w:hAnsi="宋体" w:eastAsia="仿宋_GB2312"/>
          <w:b/>
          <w:sz w:val="32"/>
          <w:szCs w:val="32"/>
        </w:rPr>
        <w:t>二是</w:t>
      </w:r>
      <w:r>
        <w:rPr>
          <w:rFonts w:hint="eastAsia" w:ascii="仿宋_GB2312" w:hAnsi="宋体" w:eastAsia="仿宋_GB2312"/>
          <w:bCs/>
          <w:sz w:val="32"/>
          <w:szCs w:val="32"/>
        </w:rPr>
        <w:t>公用经费收入</w:t>
      </w:r>
      <w:r>
        <w:rPr>
          <w:rFonts w:hint="eastAsia" w:ascii="仿宋_GB2312" w:hAnsi="宋体" w:eastAsia="仿宋_GB2312"/>
          <w:sz w:val="32"/>
          <w:szCs w:val="32"/>
        </w:rPr>
        <w:t>增加44.09万元；</w:t>
      </w:r>
      <w:r>
        <w:rPr>
          <w:rFonts w:hint="eastAsia" w:ascii="仿宋_GB2312" w:hAnsi="宋体" w:eastAsia="仿宋_GB2312"/>
          <w:b/>
          <w:bCs/>
          <w:sz w:val="32"/>
          <w:szCs w:val="32"/>
        </w:rPr>
        <w:t>三是</w:t>
      </w:r>
      <w:r>
        <w:rPr>
          <w:rFonts w:hint="eastAsia" w:ascii="仿宋_GB2312" w:hAnsi="宋体" w:eastAsia="仿宋_GB2312"/>
          <w:sz w:val="32"/>
          <w:szCs w:val="32"/>
        </w:rPr>
        <w:t>项目经费收入增加</w:t>
      </w:r>
      <w:r>
        <w:rPr>
          <w:rFonts w:ascii="仿宋_GB2312" w:hAnsi="宋体" w:eastAsia="仿宋_GB2312"/>
          <w:sz w:val="32"/>
          <w:szCs w:val="32"/>
        </w:rPr>
        <w:t>887.79</w:t>
      </w:r>
      <w:r>
        <w:rPr>
          <w:rFonts w:hint="eastAsia" w:ascii="仿宋_GB2312" w:hAnsi="宋体" w:eastAsia="仿宋_GB2312"/>
          <w:sz w:val="32"/>
          <w:szCs w:val="32"/>
        </w:rPr>
        <w:t>万元。</w:t>
      </w:r>
    </w:p>
    <w:p>
      <w:pPr>
        <w:pStyle w:val="3"/>
        <w:ind w:left="420"/>
      </w:pPr>
      <w:r>
        <w:drawing>
          <wp:anchor distT="0" distB="0" distL="114300" distR="114300" simplePos="0" relativeHeight="251653120" behindDoc="0" locked="0" layoutInCell="1" allowOverlap="1">
            <wp:simplePos x="0" y="0"/>
            <wp:positionH relativeFrom="column">
              <wp:posOffset>5080</wp:posOffset>
            </wp:positionH>
            <wp:positionV relativeFrom="paragraph">
              <wp:posOffset>6985</wp:posOffset>
            </wp:positionV>
            <wp:extent cx="4805680" cy="2776220"/>
            <wp:effectExtent l="0" t="0" r="13970" b="508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jc w:val="center"/>
        <w:outlineLvl w:val="1"/>
        <w:rPr>
          <w:rFonts w:eastAsia="仿宋_GB2312" w:cs="仿宋_GB2312"/>
          <w:sz w:val="32"/>
          <w:szCs w:val="32"/>
        </w:rPr>
      </w:pPr>
      <w:r>
        <w:rPr>
          <w:rFonts w:hint="eastAsia" w:eastAsia="仿宋_GB2312" w:cs="仿宋_GB2312"/>
          <w:sz w:val="32"/>
          <w:szCs w:val="32"/>
        </w:rPr>
        <w:t>（图1：收入、支出决算总计变动情况图）</w:t>
      </w:r>
    </w:p>
    <w:p>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27"/>
        <w:spacing w:line="600" w:lineRule="exact"/>
        <w:jc w:val="left"/>
        <w:outlineLvl w:val="1"/>
        <w:rPr>
          <w:rFonts w:ascii="仿宋_GB2312" w:hAnsi="仿宋_GB2312" w:eastAsia="仿宋_GB2312" w:cs="仿宋_GB2312"/>
          <w:sz w:val="32"/>
          <w:szCs w:val="32"/>
        </w:rPr>
      </w:pPr>
      <w:r>
        <w:drawing>
          <wp:anchor distT="0" distB="0" distL="114300" distR="114300" simplePos="0" relativeHeight="251671552" behindDoc="0" locked="0" layoutInCell="1" allowOverlap="1">
            <wp:simplePos x="0" y="0"/>
            <wp:positionH relativeFrom="column">
              <wp:posOffset>716280</wp:posOffset>
            </wp:positionH>
            <wp:positionV relativeFrom="paragraph">
              <wp:posOffset>1556385</wp:posOffset>
            </wp:positionV>
            <wp:extent cx="4419600" cy="2785745"/>
            <wp:effectExtent l="0" t="0" r="0"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rPr>
        <w:t>2024年度本年收入合计9626.24万元，其中：一般公共预算财政拨款收入9439.64万元，占98.0</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%；政府性基金预算财政拨款收入96.3万元，占1%；其他收入90.3万元，占0.93%。</w:t>
      </w:r>
    </w:p>
    <w:p>
      <w:pPr>
        <w:pStyle w:val="27"/>
        <w:spacing w:line="600" w:lineRule="exact"/>
        <w:ind w:firstLine="640"/>
        <w:jc w:val="left"/>
        <w:outlineLvl w:val="1"/>
        <w:rPr>
          <w:rFonts w:ascii="仿宋_GB2312" w:hAnsi="仿宋_GB2312" w:eastAsia="仿宋_GB2312" w:cs="仿宋_GB2312"/>
          <w:sz w:val="32"/>
          <w:szCs w:val="32"/>
        </w:rPr>
      </w:pPr>
    </w:p>
    <w:p>
      <w:pPr>
        <w:jc w:val="center"/>
        <w:rPr>
          <w:rFonts w:eastAsia="仿宋_GB2312" w:cs="仿宋_GB2312"/>
          <w:sz w:val="32"/>
          <w:szCs w:val="32"/>
        </w:rPr>
      </w:pPr>
      <w:r>
        <w:rPr>
          <w:rFonts w:hint="eastAsia" w:eastAsia="仿宋_GB2312" w:cs="仿宋_GB2312"/>
          <w:sz w:val="32"/>
          <w:szCs w:val="32"/>
        </w:rPr>
        <w:t>（图2：收入决算结构图）</w:t>
      </w:r>
    </w:p>
    <w:p>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2024年度本年支出合计9536.24万元，其中：基本支出6601.2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万元，占69.2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%；项目支出2935.01万元，占30.77%。</w:t>
      </w:r>
    </w:p>
    <w:p>
      <w:pPr>
        <w:ind w:firstLine="525" w:firstLineChars="250"/>
        <w:rPr>
          <w:rFonts w:eastAsia="仿宋_GB2312" w:cs="仿宋_GB2312"/>
          <w:sz w:val="32"/>
          <w:szCs w:val="32"/>
        </w:rPr>
      </w:pPr>
      <w:r>
        <w:drawing>
          <wp:inline distT="0" distB="0" distL="114300" distR="114300">
            <wp:extent cx="4212590" cy="2749550"/>
            <wp:effectExtent l="0" t="0" r="16510" b="1270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napToGrid w:val="0"/>
        <w:spacing w:line="520" w:lineRule="exact"/>
        <w:ind w:firstLine="600"/>
        <w:rPr>
          <w:rFonts w:ascii="仿宋_GB2312" w:hAnsi="宋体" w:eastAsia="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9535.94</w:t>
      </w:r>
      <w:r>
        <w:rPr>
          <w:rFonts w:hint="eastAsia" w:eastAsia="仿宋_GB2312" w:cs="仿宋_GB2312"/>
          <w:sz w:val="32"/>
          <w:szCs w:val="32"/>
        </w:rPr>
        <w:t>万元。与2023年度相比，财政拨款收入总计、支出总计各增加</w:t>
      </w:r>
      <w:r>
        <w:rPr>
          <w:rFonts w:eastAsia="仿宋_GB2312" w:cs="仿宋_GB2312"/>
          <w:sz w:val="32"/>
          <w:szCs w:val="32"/>
        </w:rPr>
        <w:t>796.07</w:t>
      </w:r>
      <w:r>
        <w:rPr>
          <w:rFonts w:hint="eastAsia" w:eastAsia="仿宋_GB2312" w:cs="仿宋_GB2312"/>
          <w:sz w:val="32"/>
          <w:szCs w:val="32"/>
        </w:rPr>
        <w:t>万元，增长</w:t>
      </w:r>
      <w:r>
        <w:rPr>
          <w:rFonts w:eastAsia="仿宋_GB2312" w:cs="仿宋_GB2312"/>
          <w:sz w:val="32"/>
          <w:szCs w:val="32"/>
        </w:rPr>
        <w:t>9.11</w:t>
      </w:r>
      <w:r>
        <w:rPr>
          <w:rFonts w:hint="eastAsia" w:eastAsia="仿宋_GB2312" w:cs="仿宋_GB2312"/>
          <w:sz w:val="32"/>
          <w:szCs w:val="32"/>
        </w:rPr>
        <w:t>%。主要变动原因是</w:t>
      </w:r>
      <w:r>
        <w:rPr>
          <w:rFonts w:hint="eastAsia" w:ascii="仿宋_GB2312" w:hAnsi="宋体" w:eastAsia="仿宋_GB2312"/>
          <w:b/>
          <w:sz w:val="32"/>
          <w:szCs w:val="32"/>
        </w:rPr>
        <w:t>一是</w:t>
      </w:r>
      <w:r>
        <w:rPr>
          <w:rFonts w:hint="eastAsia" w:ascii="仿宋_GB2312" w:hAnsi="宋体" w:eastAsia="仿宋_GB2312"/>
          <w:sz w:val="32"/>
          <w:szCs w:val="32"/>
        </w:rPr>
        <w:t>人员经费收入支出减少135.87万元；</w:t>
      </w:r>
      <w:r>
        <w:rPr>
          <w:rFonts w:hint="eastAsia" w:ascii="仿宋_GB2312" w:hAnsi="宋体" w:eastAsia="仿宋_GB2312"/>
          <w:b/>
          <w:sz w:val="32"/>
          <w:szCs w:val="32"/>
        </w:rPr>
        <w:t>二是</w:t>
      </w:r>
      <w:r>
        <w:rPr>
          <w:rFonts w:hint="eastAsia" w:ascii="仿宋_GB2312" w:hAnsi="宋体" w:eastAsia="仿宋_GB2312"/>
          <w:bCs/>
          <w:sz w:val="32"/>
          <w:szCs w:val="32"/>
        </w:rPr>
        <w:t>公用经费收入支出</w:t>
      </w:r>
      <w:r>
        <w:rPr>
          <w:rFonts w:hint="eastAsia" w:ascii="仿宋_GB2312" w:hAnsi="宋体" w:eastAsia="仿宋_GB2312"/>
          <w:sz w:val="32"/>
          <w:szCs w:val="32"/>
        </w:rPr>
        <w:t>增加44.09万元；</w:t>
      </w:r>
      <w:r>
        <w:rPr>
          <w:rFonts w:hint="eastAsia" w:ascii="仿宋_GB2312" w:hAnsi="宋体" w:eastAsia="仿宋_GB2312"/>
          <w:b/>
          <w:bCs/>
          <w:sz w:val="32"/>
          <w:szCs w:val="32"/>
        </w:rPr>
        <w:t>三是</w:t>
      </w:r>
      <w:r>
        <w:rPr>
          <w:rFonts w:hint="eastAsia" w:ascii="仿宋_GB2312" w:hAnsi="宋体" w:eastAsia="仿宋_GB2312"/>
          <w:sz w:val="32"/>
          <w:szCs w:val="32"/>
        </w:rPr>
        <w:t>项目经费收入支出增加</w:t>
      </w:r>
      <w:r>
        <w:rPr>
          <w:rFonts w:ascii="仿宋_GB2312" w:hAnsi="宋体" w:eastAsia="仿宋_GB2312"/>
          <w:sz w:val="32"/>
          <w:szCs w:val="32"/>
        </w:rPr>
        <w:t>887.85</w:t>
      </w:r>
      <w:r>
        <w:rPr>
          <w:rFonts w:hint="eastAsia" w:ascii="仿宋_GB2312" w:hAnsi="宋体" w:eastAsia="仿宋_GB2312"/>
          <w:sz w:val="32"/>
          <w:szCs w:val="32"/>
        </w:rPr>
        <w:t>万元。</w:t>
      </w:r>
    </w:p>
    <w:p>
      <w:pPr>
        <w:pStyle w:val="3"/>
        <w:ind w:left="420"/>
      </w:pPr>
      <w:r>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4805680" cy="2776220"/>
            <wp:effectExtent l="0" t="0" r="1397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0" w:leftChars="0" w:firstLine="0" w:firstLineChars="0"/>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2"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napToGrid w:val="0"/>
        <w:spacing w:line="520" w:lineRule="exact"/>
        <w:ind w:firstLine="600"/>
        <w:rPr>
          <w:rFonts w:ascii="仿宋_GB2312" w:hAnsi="宋体" w:eastAsia="仿宋_GB2312"/>
          <w:sz w:val="32"/>
          <w:szCs w:val="32"/>
        </w:rPr>
      </w:pPr>
      <w:r>
        <w:rPr>
          <w:rFonts w:hint="eastAsia" w:ascii="仿宋_GB2312" w:hAnsi="仿宋_GB2312" w:eastAsia="仿宋_GB2312" w:cs="仿宋_GB2312"/>
          <w:sz w:val="32"/>
          <w:szCs w:val="32"/>
        </w:rPr>
        <w:t>2024年度一般公共预算财政拨款支出9439.64万元，占本年支出合计的98.98%。与2023年度相比，一般公共预算财政拨款支出增加</w:t>
      </w:r>
      <w:r>
        <w:rPr>
          <w:rFonts w:ascii="仿宋_GB2312" w:hAnsi="仿宋_GB2312" w:eastAsia="仿宋_GB2312" w:cs="仿宋_GB2312"/>
          <w:sz w:val="32"/>
          <w:szCs w:val="32"/>
        </w:rPr>
        <w:t>699.77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%。主要变动原因是</w:t>
      </w:r>
      <w:r>
        <w:rPr>
          <w:rFonts w:hint="eastAsia" w:ascii="仿宋_GB2312" w:hAnsi="宋体" w:eastAsia="仿宋_GB2312"/>
          <w:b/>
          <w:sz w:val="32"/>
          <w:szCs w:val="32"/>
        </w:rPr>
        <w:t>一是</w:t>
      </w:r>
      <w:r>
        <w:rPr>
          <w:rFonts w:hint="eastAsia" w:ascii="仿宋_GB2312" w:hAnsi="宋体" w:eastAsia="仿宋_GB2312"/>
          <w:sz w:val="32"/>
          <w:szCs w:val="32"/>
        </w:rPr>
        <w:t>人员经费支出减少135.87万元；</w:t>
      </w:r>
      <w:r>
        <w:rPr>
          <w:rFonts w:hint="eastAsia" w:ascii="仿宋_GB2312" w:hAnsi="宋体" w:eastAsia="仿宋_GB2312"/>
          <w:b/>
          <w:sz w:val="32"/>
          <w:szCs w:val="32"/>
        </w:rPr>
        <w:t>二是</w:t>
      </w:r>
      <w:r>
        <w:rPr>
          <w:rFonts w:hint="eastAsia" w:ascii="仿宋_GB2312" w:hAnsi="宋体" w:eastAsia="仿宋_GB2312"/>
          <w:bCs/>
          <w:sz w:val="32"/>
          <w:szCs w:val="32"/>
        </w:rPr>
        <w:t>公用经费支出</w:t>
      </w:r>
      <w:r>
        <w:rPr>
          <w:rFonts w:hint="eastAsia" w:ascii="仿宋_GB2312" w:hAnsi="宋体" w:eastAsia="仿宋_GB2312"/>
          <w:sz w:val="32"/>
          <w:szCs w:val="32"/>
        </w:rPr>
        <w:t>增加44.09万元；</w:t>
      </w:r>
      <w:r>
        <w:rPr>
          <w:rFonts w:hint="eastAsia" w:ascii="仿宋_GB2312" w:hAnsi="宋体" w:eastAsia="仿宋_GB2312"/>
          <w:b/>
          <w:bCs/>
          <w:sz w:val="32"/>
          <w:szCs w:val="32"/>
        </w:rPr>
        <w:t>三是</w:t>
      </w:r>
      <w:r>
        <w:rPr>
          <w:rFonts w:hint="eastAsia" w:ascii="仿宋_GB2312" w:hAnsi="宋体" w:eastAsia="仿宋_GB2312"/>
          <w:bCs/>
          <w:sz w:val="32"/>
          <w:szCs w:val="32"/>
        </w:rPr>
        <w:t>一般公共预算</w:t>
      </w:r>
      <w:r>
        <w:rPr>
          <w:rFonts w:hint="eastAsia" w:ascii="仿宋_GB2312" w:hAnsi="宋体" w:eastAsia="仿宋_GB2312"/>
          <w:sz w:val="32"/>
          <w:szCs w:val="32"/>
        </w:rPr>
        <w:t>项目经费支出增加</w:t>
      </w:r>
      <w:r>
        <w:rPr>
          <w:rFonts w:ascii="仿宋_GB2312" w:hAnsi="宋体" w:eastAsia="仿宋_GB2312"/>
          <w:sz w:val="32"/>
          <w:szCs w:val="32"/>
        </w:rPr>
        <w:t>791.55万元。</w:t>
      </w:r>
    </w:p>
    <w:p>
      <w:pPr>
        <w:pStyle w:val="3"/>
        <w:ind w:left="420"/>
      </w:pPr>
      <w:r>
        <w:drawing>
          <wp:anchor distT="0" distB="0" distL="114300" distR="114300" simplePos="0" relativeHeight="251658240" behindDoc="0" locked="0" layoutInCell="1" allowOverlap="1">
            <wp:simplePos x="0" y="0"/>
            <wp:positionH relativeFrom="column">
              <wp:posOffset>233680</wp:posOffset>
            </wp:positionH>
            <wp:positionV relativeFrom="paragraph">
              <wp:posOffset>-635</wp:posOffset>
            </wp:positionV>
            <wp:extent cx="4805680" cy="2776220"/>
            <wp:effectExtent l="0" t="0" r="13970"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2"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ascii="仿宋" w:hAnsi="仿宋" w:eastAsia="仿宋"/>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9439.64万元</w:t>
      </w:r>
      <w:r>
        <w:rPr>
          <w:rFonts w:hint="eastAsia" w:eastAsia="仿宋_GB2312" w:cs="仿宋_GB2312"/>
          <w:sz w:val="32"/>
          <w:szCs w:val="32"/>
        </w:rPr>
        <w:t>，</w:t>
      </w:r>
      <w:r>
        <w:rPr>
          <w:rFonts w:hint="eastAsia" w:ascii="仿宋" w:hAnsi="仿宋" w:eastAsia="仿宋"/>
          <w:b/>
          <w:sz w:val="32"/>
          <w:szCs w:val="32"/>
        </w:rPr>
        <w:t>公共安全支出</w:t>
      </w:r>
      <w:r>
        <w:rPr>
          <w:rFonts w:ascii="仿宋" w:hAnsi="仿宋" w:eastAsia="仿宋"/>
          <w:sz w:val="32"/>
          <w:szCs w:val="32"/>
        </w:rPr>
        <w:t>7821.98</w:t>
      </w:r>
      <w:r>
        <w:rPr>
          <w:rFonts w:hint="eastAsia" w:ascii="仿宋" w:hAnsi="仿宋" w:eastAsia="仿宋"/>
          <w:sz w:val="32"/>
          <w:szCs w:val="32"/>
        </w:rPr>
        <w:t>万元，占</w:t>
      </w:r>
      <w:r>
        <w:rPr>
          <w:rFonts w:ascii="仿宋" w:hAnsi="仿宋" w:eastAsia="仿宋"/>
          <w:sz w:val="32"/>
          <w:szCs w:val="32"/>
        </w:rPr>
        <w:t>82.86</w:t>
      </w:r>
      <w:r>
        <w:rPr>
          <w:rFonts w:hint="eastAsia" w:ascii="仿宋" w:hAnsi="仿宋" w:eastAsia="仿宋"/>
          <w:sz w:val="32"/>
          <w:szCs w:val="32"/>
        </w:rPr>
        <w:t>%；</w:t>
      </w:r>
      <w:r>
        <w:rPr>
          <w:rFonts w:hint="eastAsia" w:ascii="仿宋" w:hAnsi="仿宋" w:eastAsia="仿宋"/>
          <w:b/>
          <w:sz w:val="32"/>
          <w:szCs w:val="32"/>
        </w:rPr>
        <w:t>社会保障和就业支出</w:t>
      </w:r>
      <w:r>
        <w:rPr>
          <w:rFonts w:ascii="仿宋" w:hAnsi="仿宋" w:eastAsia="仿宋"/>
          <w:sz w:val="32"/>
          <w:szCs w:val="32"/>
        </w:rPr>
        <w:t>903.25</w:t>
      </w:r>
      <w:r>
        <w:rPr>
          <w:rFonts w:hint="eastAsia" w:ascii="仿宋" w:hAnsi="仿宋" w:eastAsia="仿宋"/>
          <w:sz w:val="32"/>
          <w:szCs w:val="32"/>
        </w:rPr>
        <w:t>万元，占</w:t>
      </w:r>
      <w:r>
        <w:rPr>
          <w:rFonts w:ascii="仿宋" w:hAnsi="仿宋" w:eastAsia="仿宋"/>
          <w:sz w:val="32"/>
          <w:szCs w:val="32"/>
        </w:rPr>
        <w:t>9.57</w:t>
      </w:r>
      <w:r>
        <w:rPr>
          <w:rFonts w:hint="eastAsia" w:ascii="仿宋" w:hAnsi="仿宋" w:eastAsia="仿宋"/>
          <w:sz w:val="32"/>
          <w:szCs w:val="32"/>
        </w:rPr>
        <w:t>%；</w:t>
      </w:r>
      <w:r>
        <w:rPr>
          <w:rFonts w:hint="eastAsia" w:ascii="仿宋" w:hAnsi="仿宋" w:eastAsia="仿宋"/>
          <w:b/>
          <w:sz w:val="32"/>
          <w:szCs w:val="32"/>
        </w:rPr>
        <w:t>卫生健康支出</w:t>
      </w:r>
      <w:r>
        <w:rPr>
          <w:rFonts w:ascii="仿宋" w:hAnsi="仿宋" w:eastAsia="仿宋"/>
          <w:sz w:val="32"/>
          <w:szCs w:val="32"/>
        </w:rPr>
        <w:t>252.26</w:t>
      </w:r>
      <w:r>
        <w:rPr>
          <w:rFonts w:hint="eastAsia" w:ascii="仿宋" w:hAnsi="仿宋" w:eastAsia="仿宋"/>
          <w:sz w:val="32"/>
          <w:szCs w:val="32"/>
        </w:rPr>
        <w:t>万元，占</w:t>
      </w:r>
      <w:r>
        <w:rPr>
          <w:rFonts w:ascii="仿宋" w:hAnsi="仿宋" w:eastAsia="仿宋"/>
          <w:sz w:val="32"/>
          <w:szCs w:val="32"/>
        </w:rPr>
        <w:t>2.67</w:t>
      </w:r>
      <w:r>
        <w:rPr>
          <w:rFonts w:hint="eastAsia" w:ascii="仿宋" w:hAnsi="仿宋" w:eastAsia="仿宋"/>
          <w:sz w:val="32"/>
          <w:szCs w:val="32"/>
        </w:rPr>
        <w:t>%；</w:t>
      </w:r>
      <w:r>
        <w:rPr>
          <w:rFonts w:hint="eastAsia" w:ascii="仿宋" w:hAnsi="仿宋" w:eastAsia="仿宋"/>
          <w:b/>
          <w:sz w:val="32"/>
          <w:szCs w:val="32"/>
        </w:rPr>
        <w:t>城乡社区支出</w:t>
      </w:r>
      <w:r>
        <w:rPr>
          <w:rFonts w:ascii="仿宋" w:hAnsi="仿宋" w:eastAsia="仿宋"/>
          <w:sz w:val="32"/>
          <w:szCs w:val="32"/>
        </w:rPr>
        <w:t>100</w:t>
      </w:r>
      <w:r>
        <w:rPr>
          <w:rFonts w:hint="eastAsia" w:ascii="仿宋" w:hAnsi="仿宋" w:eastAsia="仿宋"/>
          <w:sz w:val="32"/>
          <w:szCs w:val="32"/>
        </w:rPr>
        <w:t>万元，占</w:t>
      </w:r>
      <w:r>
        <w:rPr>
          <w:rFonts w:ascii="仿宋" w:hAnsi="仿宋" w:eastAsia="仿宋"/>
          <w:sz w:val="32"/>
          <w:szCs w:val="32"/>
        </w:rPr>
        <w:t>1.06</w:t>
      </w:r>
      <w:r>
        <w:rPr>
          <w:rFonts w:hint="eastAsia" w:ascii="仿宋" w:hAnsi="仿宋" w:eastAsia="仿宋"/>
          <w:sz w:val="32"/>
          <w:szCs w:val="32"/>
        </w:rPr>
        <w:t>%；</w:t>
      </w:r>
      <w:r>
        <w:rPr>
          <w:rFonts w:hint="eastAsia" w:ascii="仿宋" w:hAnsi="仿宋" w:eastAsia="仿宋"/>
          <w:b/>
          <w:sz w:val="32"/>
          <w:szCs w:val="32"/>
        </w:rPr>
        <w:t>住房保障支出</w:t>
      </w:r>
      <w:r>
        <w:rPr>
          <w:rFonts w:ascii="仿宋" w:hAnsi="仿宋" w:eastAsia="仿宋"/>
          <w:sz w:val="32"/>
          <w:szCs w:val="32"/>
        </w:rPr>
        <w:t>362.15</w:t>
      </w:r>
      <w:r>
        <w:rPr>
          <w:rFonts w:hint="eastAsia" w:ascii="仿宋" w:hAnsi="仿宋" w:eastAsia="仿宋"/>
          <w:sz w:val="32"/>
          <w:szCs w:val="32"/>
        </w:rPr>
        <w:t>万元，占</w:t>
      </w:r>
      <w:r>
        <w:rPr>
          <w:rFonts w:ascii="仿宋" w:hAnsi="仿宋" w:eastAsia="仿宋"/>
          <w:sz w:val="32"/>
          <w:szCs w:val="32"/>
        </w:rPr>
        <w:t>3.84</w:t>
      </w:r>
      <w:r>
        <w:rPr>
          <w:rFonts w:hint="eastAsia" w:ascii="仿宋" w:hAnsi="仿宋" w:eastAsia="仿宋"/>
          <w:sz w:val="32"/>
          <w:szCs w:val="32"/>
        </w:rPr>
        <w:t>%。</w:t>
      </w:r>
    </w:p>
    <w:p>
      <w:pPr>
        <w:pStyle w:val="2"/>
      </w:pPr>
    </w:p>
    <w:p>
      <w:pPr>
        <w:pStyle w:val="3"/>
        <w:ind w:left="420"/>
      </w:pPr>
    </w:p>
    <w:p>
      <w:pPr>
        <w:pStyle w:val="3"/>
        <w:ind w:left="420"/>
      </w:pPr>
    </w:p>
    <w:p>
      <w:pPr>
        <w:pStyle w:val="2"/>
      </w:pPr>
      <w:r>
        <w:drawing>
          <wp:anchor distT="5080" distB="5080" distL="120015" distR="120015" simplePos="0" relativeHeight="251661312" behindDoc="0" locked="0" layoutInCell="1" allowOverlap="1">
            <wp:simplePos x="0" y="0"/>
            <wp:positionH relativeFrom="column">
              <wp:posOffset>441960</wp:posOffset>
            </wp:positionH>
            <wp:positionV relativeFrom="paragraph">
              <wp:posOffset>-311785</wp:posOffset>
            </wp:positionV>
            <wp:extent cx="4369435" cy="2560320"/>
            <wp:effectExtent l="0" t="0" r="12065" b="1143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2"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9439.64万元，</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%。其中：</w:t>
      </w:r>
      <w:bookmarkEnd w:id="25"/>
      <w:bookmarkEnd w:id="26"/>
      <w:bookmarkEnd w:id="27"/>
    </w:p>
    <w:p>
      <w:pPr>
        <w:pStyle w:val="2"/>
      </w:pP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1</w:t>
      </w:r>
      <w:r>
        <w:rPr>
          <w:rStyle w:val="17"/>
          <w:rFonts w:hint="eastAsia" w:ascii="仿宋_GB2312" w:hAnsi="仿宋" w:eastAsia="仿宋_GB2312"/>
          <w:bCs/>
          <w:sz w:val="32"/>
          <w:szCs w:val="32"/>
        </w:rPr>
        <w:t>.公共安全支出（类）公安（款）行政运行（项）: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5083.57</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2</w:t>
      </w:r>
      <w:r>
        <w:rPr>
          <w:rStyle w:val="17"/>
          <w:rFonts w:hint="eastAsia" w:ascii="仿宋_GB2312" w:hAnsi="仿宋" w:eastAsia="仿宋_GB2312"/>
          <w:bCs/>
          <w:sz w:val="32"/>
          <w:szCs w:val="32"/>
        </w:rPr>
        <w:t>.公共安全支出（类）公安（款）一般行政管理事务（项）: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240.71</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3</w:t>
      </w:r>
      <w:r>
        <w:rPr>
          <w:rStyle w:val="17"/>
          <w:rFonts w:hint="eastAsia" w:ascii="仿宋_GB2312" w:hAnsi="仿宋" w:eastAsia="仿宋_GB2312"/>
          <w:bCs/>
          <w:sz w:val="32"/>
          <w:szCs w:val="32"/>
        </w:rPr>
        <w:t>.公共安全支出（类）公安（款）信息化建设（项）: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641.02</w:t>
      </w:r>
      <w:r>
        <w:rPr>
          <w:rStyle w:val="17"/>
          <w:rFonts w:hint="eastAsia" w:ascii="仿宋_GB2312" w:hAnsi="仿宋" w:eastAsia="仿宋_GB2312"/>
          <w:b w:val="0"/>
          <w:bCs/>
          <w:sz w:val="32"/>
          <w:szCs w:val="32"/>
        </w:rPr>
        <w:t>万元，完成预算100%。</w:t>
      </w:r>
    </w:p>
    <w:p>
      <w:pPr>
        <w:ind w:firstLine="642" w:firstLineChars="200"/>
        <w:rPr>
          <w:rFonts w:ascii="仿宋_GB2312" w:hAnsi="仿宋" w:eastAsia="仿宋_GB2312"/>
          <w:b/>
          <w:bCs/>
          <w:sz w:val="32"/>
          <w:szCs w:val="32"/>
        </w:rPr>
      </w:pPr>
      <w:r>
        <w:rPr>
          <w:rStyle w:val="17"/>
          <w:rFonts w:ascii="仿宋_GB2312" w:hAnsi="仿宋" w:eastAsia="仿宋_GB2312"/>
          <w:bCs/>
          <w:sz w:val="32"/>
          <w:szCs w:val="32"/>
        </w:rPr>
        <w:t>4</w:t>
      </w:r>
      <w:r>
        <w:rPr>
          <w:rStyle w:val="17"/>
          <w:rFonts w:hint="eastAsia" w:ascii="仿宋_GB2312" w:hAnsi="仿宋" w:eastAsia="仿宋_GB2312"/>
          <w:bCs/>
          <w:sz w:val="32"/>
          <w:szCs w:val="32"/>
        </w:rPr>
        <w:t>.公共安全支出（类）公安（款）执法办案（项）: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906.52</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5</w:t>
      </w:r>
      <w:r>
        <w:rPr>
          <w:rStyle w:val="17"/>
          <w:rFonts w:hint="eastAsia" w:ascii="仿宋_GB2312" w:hAnsi="仿宋" w:eastAsia="仿宋_GB2312"/>
          <w:bCs/>
          <w:sz w:val="32"/>
          <w:szCs w:val="32"/>
        </w:rPr>
        <w:t>.公共安全支出（类）公安（款）其他公安支出（项）: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850.16</w:t>
      </w:r>
      <w:r>
        <w:rPr>
          <w:rStyle w:val="17"/>
          <w:rFonts w:hint="eastAsia" w:ascii="仿宋_GB2312" w:hAnsi="仿宋" w:eastAsia="仿宋_GB2312"/>
          <w:b w:val="0"/>
          <w:bCs/>
          <w:sz w:val="32"/>
          <w:szCs w:val="32"/>
        </w:rPr>
        <w:t>万元，完成预算100%。</w:t>
      </w:r>
    </w:p>
    <w:p>
      <w:pPr>
        <w:ind w:firstLine="642" w:firstLineChars="200"/>
        <w:rPr>
          <w:rFonts w:ascii="仿宋_GB2312" w:hAnsi="仿宋" w:eastAsia="仿宋_GB2312"/>
          <w:b/>
          <w:sz w:val="32"/>
          <w:szCs w:val="32"/>
        </w:rPr>
      </w:pPr>
      <w:r>
        <w:rPr>
          <w:rStyle w:val="17"/>
          <w:rFonts w:ascii="仿宋_GB2312" w:hAnsi="仿宋" w:eastAsia="仿宋_GB2312"/>
          <w:bCs/>
          <w:sz w:val="32"/>
          <w:szCs w:val="32"/>
        </w:rPr>
        <w:t>6</w:t>
      </w:r>
      <w:r>
        <w:rPr>
          <w:rStyle w:val="17"/>
          <w:rFonts w:hint="eastAsia" w:ascii="仿宋_GB2312" w:hAnsi="仿宋" w:eastAsia="仿宋_GB2312"/>
          <w:bCs/>
          <w:sz w:val="32"/>
          <w:szCs w:val="32"/>
        </w:rPr>
        <w:t>.公共安全支出（类）其他公共安全支出（款）其他公共安全支出（项）: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100</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7</w:t>
      </w:r>
      <w:r>
        <w:rPr>
          <w:rStyle w:val="17"/>
          <w:rFonts w:hint="eastAsia" w:ascii="仿宋_GB2312" w:hAnsi="仿宋" w:eastAsia="仿宋_GB2312"/>
          <w:bCs/>
          <w:sz w:val="32"/>
          <w:szCs w:val="32"/>
        </w:rPr>
        <w:t>.社会保障和就业支出（类）行政事业单位养老支出（款）行政单位离退休（项）: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323.80</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8</w:t>
      </w:r>
      <w:r>
        <w:rPr>
          <w:rStyle w:val="17"/>
          <w:rFonts w:hint="eastAsia" w:ascii="仿宋_GB2312" w:hAnsi="仿宋" w:eastAsia="仿宋_GB2312"/>
          <w:bCs/>
          <w:sz w:val="32"/>
          <w:szCs w:val="32"/>
        </w:rPr>
        <w:t>. 社会保障和就业支出（类）行政事业单位养老支出（款）机关事业单位基本养老保险缴费支出（项）: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438.17</w:t>
      </w:r>
      <w:r>
        <w:rPr>
          <w:rStyle w:val="17"/>
          <w:rFonts w:hint="eastAsia" w:ascii="仿宋_GB2312" w:hAnsi="仿宋" w:eastAsia="仿宋_GB2312"/>
          <w:b w:val="0"/>
          <w:bCs/>
          <w:sz w:val="32"/>
          <w:szCs w:val="32"/>
        </w:rPr>
        <w:t>万元，完成预算100%。</w:t>
      </w:r>
    </w:p>
    <w:p>
      <w:pPr>
        <w:ind w:firstLine="642" w:firstLineChars="200"/>
        <w:rPr>
          <w:rFonts w:ascii="仿宋_GB2312" w:hAnsi="仿宋" w:eastAsia="仿宋_GB2312"/>
          <w:b/>
          <w:sz w:val="32"/>
          <w:szCs w:val="32"/>
        </w:rPr>
      </w:pPr>
      <w:r>
        <w:rPr>
          <w:rStyle w:val="17"/>
          <w:rFonts w:ascii="仿宋_GB2312" w:hAnsi="仿宋" w:eastAsia="仿宋_GB2312"/>
          <w:bCs/>
          <w:sz w:val="32"/>
          <w:szCs w:val="32"/>
        </w:rPr>
        <w:t>9</w:t>
      </w:r>
      <w:r>
        <w:rPr>
          <w:rStyle w:val="17"/>
          <w:rFonts w:hint="eastAsia" w:ascii="仿宋_GB2312" w:hAnsi="仿宋" w:eastAsia="仿宋_GB2312"/>
          <w:bCs/>
          <w:sz w:val="32"/>
          <w:szCs w:val="32"/>
        </w:rPr>
        <w:t>. 社会保障和就业支出（类）行政事业单位养老支出（款）机关事业单位职业年金缴费支出（项）: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47.23</w:t>
      </w:r>
      <w:r>
        <w:rPr>
          <w:rStyle w:val="17"/>
          <w:rFonts w:hint="eastAsia" w:ascii="仿宋_GB2312" w:hAnsi="仿宋" w:eastAsia="仿宋_GB2312"/>
          <w:b w:val="0"/>
          <w:bCs/>
          <w:sz w:val="32"/>
          <w:szCs w:val="32"/>
        </w:rPr>
        <w:t>万元，完成预算100%。</w:t>
      </w:r>
    </w:p>
    <w:p>
      <w:pPr>
        <w:ind w:firstLine="642" w:firstLineChars="200"/>
        <w:rPr>
          <w:rStyle w:val="17"/>
          <w:rFonts w:ascii="仿宋_GB2312" w:hAnsi="仿宋" w:eastAsia="仿宋_GB2312"/>
          <w:b w:val="0"/>
          <w:bCs/>
          <w:sz w:val="32"/>
          <w:szCs w:val="32"/>
        </w:rPr>
      </w:pPr>
      <w:r>
        <w:rPr>
          <w:rStyle w:val="17"/>
          <w:rFonts w:ascii="仿宋_GB2312" w:hAnsi="仿宋" w:eastAsia="仿宋_GB2312"/>
          <w:bCs/>
          <w:sz w:val="32"/>
          <w:szCs w:val="32"/>
        </w:rPr>
        <w:t>10</w:t>
      </w:r>
      <w:r>
        <w:rPr>
          <w:rStyle w:val="17"/>
          <w:rFonts w:hint="eastAsia" w:ascii="仿宋_GB2312" w:hAnsi="仿宋" w:eastAsia="仿宋_GB2312"/>
          <w:bCs/>
          <w:sz w:val="32"/>
          <w:szCs w:val="32"/>
        </w:rPr>
        <w:t>.社会保障和就业支出（类）抚恤（款）死亡抚恤（项）: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94.05</w:t>
      </w:r>
      <w:r>
        <w:rPr>
          <w:rStyle w:val="17"/>
          <w:rFonts w:hint="eastAsia" w:ascii="仿宋_GB2312" w:hAnsi="仿宋" w:eastAsia="仿宋_GB2312"/>
          <w:b w:val="0"/>
          <w:bCs/>
          <w:sz w:val="32"/>
          <w:szCs w:val="32"/>
        </w:rPr>
        <w:t>万元，完成预算100%。</w:t>
      </w:r>
    </w:p>
    <w:p>
      <w:pPr>
        <w:ind w:firstLine="420" w:firstLineChars="200"/>
        <w:rPr>
          <w:rStyle w:val="17"/>
          <w:rFonts w:ascii="仿宋_GB2312" w:hAnsi="仿宋" w:eastAsia="仿宋_GB2312"/>
          <w:b w:val="0"/>
          <w:bCs/>
          <w:sz w:val="32"/>
          <w:szCs w:val="32"/>
        </w:rPr>
      </w:pPr>
      <w:r>
        <w:rPr>
          <w:rFonts w:hint="eastAsia"/>
        </w:rPr>
        <w:t xml:space="preserve">  </w:t>
      </w:r>
      <w:r>
        <w:rPr>
          <w:rStyle w:val="17"/>
          <w:rFonts w:ascii="仿宋_GB2312" w:hAnsi="仿宋" w:eastAsia="仿宋_GB2312"/>
          <w:bCs/>
          <w:sz w:val="32"/>
          <w:szCs w:val="32"/>
        </w:rPr>
        <w:t>11</w:t>
      </w:r>
      <w:r>
        <w:rPr>
          <w:rStyle w:val="17"/>
          <w:rFonts w:hint="eastAsia" w:ascii="仿宋_GB2312" w:hAnsi="仿宋" w:eastAsia="仿宋_GB2312"/>
          <w:bCs/>
          <w:sz w:val="32"/>
          <w:szCs w:val="32"/>
        </w:rPr>
        <w:t>.卫生健康支出（类）行政事业单位医疗（款）行政单位医疗（项）: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230.21</w:t>
      </w:r>
      <w:r>
        <w:rPr>
          <w:rStyle w:val="17"/>
          <w:rFonts w:hint="eastAsia" w:ascii="仿宋_GB2312" w:hAnsi="仿宋" w:eastAsia="仿宋_GB2312"/>
          <w:b w:val="0"/>
          <w:bCs/>
          <w:sz w:val="32"/>
          <w:szCs w:val="32"/>
        </w:rPr>
        <w:t>万元，完成预算100%。</w:t>
      </w:r>
    </w:p>
    <w:p>
      <w:pPr>
        <w:ind w:firstLine="420" w:firstLineChars="200"/>
        <w:rPr>
          <w:rStyle w:val="17"/>
          <w:rFonts w:ascii="仿宋_GB2312" w:hAnsi="仿宋" w:eastAsia="仿宋_GB2312"/>
          <w:bCs/>
          <w:sz w:val="32"/>
          <w:szCs w:val="32"/>
        </w:rPr>
      </w:pPr>
      <w:r>
        <w:rPr>
          <w:rFonts w:hint="eastAsia"/>
        </w:rPr>
        <w:t xml:space="preserve">  </w:t>
      </w:r>
      <w:r>
        <w:rPr>
          <w:rStyle w:val="17"/>
          <w:rFonts w:ascii="仿宋_GB2312" w:hAnsi="仿宋" w:eastAsia="仿宋_GB2312"/>
          <w:bCs/>
          <w:sz w:val="32"/>
          <w:szCs w:val="32"/>
        </w:rPr>
        <w:t>12</w:t>
      </w:r>
      <w:r>
        <w:rPr>
          <w:rStyle w:val="17"/>
          <w:rFonts w:hint="eastAsia" w:ascii="仿宋_GB2312" w:hAnsi="仿宋" w:eastAsia="仿宋_GB2312"/>
          <w:bCs/>
          <w:sz w:val="32"/>
          <w:szCs w:val="32"/>
        </w:rPr>
        <w:t>.卫生健康支出（类）行政事业单位医疗（款）公务员医疗补助（项）: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22.05</w:t>
      </w:r>
      <w:r>
        <w:rPr>
          <w:rStyle w:val="17"/>
          <w:rFonts w:hint="eastAsia" w:ascii="仿宋_GB2312" w:hAnsi="仿宋" w:eastAsia="仿宋_GB2312"/>
          <w:b w:val="0"/>
          <w:bCs/>
          <w:sz w:val="32"/>
          <w:szCs w:val="32"/>
        </w:rPr>
        <w:t>万元，完成预算100%。</w:t>
      </w:r>
    </w:p>
    <w:p>
      <w:pPr>
        <w:ind w:firstLine="642" w:firstLineChars="200"/>
        <w:rPr>
          <w:rFonts w:ascii="仿宋_GB2312" w:hAnsi="仿宋" w:eastAsia="仿宋_GB2312"/>
          <w:b/>
          <w:bCs/>
          <w:sz w:val="32"/>
          <w:szCs w:val="32"/>
        </w:rPr>
      </w:pPr>
      <w:r>
        <w:rPr>
          <w:rStyle w:val="17"/>
          <w:rFonts w:ascii="仿宋_GB2312" w:hAnsi="仿宋" w:eastAsia="仿宋_GB2312"/>
          <w:bCs/>
          <w:sz w:val="32"/>
          <w:szCs w:val="32"/>
        </w:rPr>
        <w:t>13</w:t>
      </w:r>
      <w:r>
        <w:rPr>
          <w:rStyle w:val="17"/>
          <w:rFonts w:hint="eastAsia" w:ascii="仿宋_GB2312" w:hAnsi="仿宋" w:eastAsia="仿宋_GB2312"/>
          <w:bCs/>
          <w:sz w:val="32"/>
          <w:szCs w:val="32"/>
        </w:rPr>
        <w:t>.城乡社区支出（类）城乡社区公共设施（款）其他城乡社区公共设施（项）: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100</w:t>
      </w:r>
      <w:r>
        <w:rPr>
          <w:rStyle w:val="17"/>
          <w:rFonts w:hint="eastAsia" w:ascii="仿宋_GB2312" w:hAnsi="仿宋" w:eastAsia="仿宋_GB2312"/>
          <w:b w:val="0"/>
          <w:bCs/>
          <w:sz w:val="32"/>
          <w:szCs w:val="32"/>
        </w:rPr>
        <w:t>万元，完成预算100%。</w:t>
      </w:r>
    </w:p>
    <w:p>
      <w:pPr>
        <w:ind w:firstLine="642" w:firstLineChars="200"/>
        <w:rPr>
          <w:rFonts w:ascii="仿宋" w:hAnsi="仿宋" w:eastAsia="仿宋"/>
          <w:b/>
          <w:sz w:val="32"/>
          <w:szCs w:val="32"/>
        </w:rPr>
      </w:pPr>
      <w:r>
        <w:rPr>
          <w:rStyle w:val="17"/>
          <w:rFonts w:ascii="仿宋_GB2312" w:hAnsi="仿宋" w:eastAsia="仿宋_GB2312"/>
          <w:bCs/>
          <w:sz w:val="32"/>
          <w:szCs w:val="32"/>
        </w:rPr>
        <w:t>14</w:t>
      </w:r>
      <w:r>
        <w:rPr>
          <w:rStyle w:val="17"/>
          <w:rFonts w:hint="eastAsia" w:ascii="仿宋_GB2312" w:hAnsi="仿宋" w:eastAsia="仿宋_GB2312"/>
          <w:bCs/>
          <w:sz w:val="32"/>
          <w:szCs w:val="32"/>
        </w:rPr>
        <w:t>.住房保障支出（类）住房改革支出（款）住房公积金（项）:</w:t>
      </w:r>
      <w:r>
        <w:rPr>
          <w:rStyle w:val="17"/>
          <w:rFonts w:hint="eastAsia" w:ascii="仿宋_GB2312" w:hAnsi="仿宋" w:eastAsia="仿宋_GB2312"/>
          <w:b w:val="0"/>
          <w:bCs/>
          <w:sz w:val="32"/>
          <w:szCs w:val="32"/>
        </w:rPr>
        <w:t>支出决算为</w:t>
      </w:r>
      <w:r>
        <w:rPr>
          <w:rStyle w:val="17"/>
          <w:rFonts w:ascii="仿宋_GB2312" w:hAnsi="仿宋" w:eastAsia="仿宋_GB2312"/>
          <w:b w:val="0"/>
          <w:bCs/>
          <w:sz w:val="32"/>
          <w:szCs w:val="32"/>
        </w:rPr>
        <w:t>362.15</w:t>
      </w:r>
      <w:r>
        <w:rPr>
          <w:rStyle w:val="17"/>
          <w:rFonts w:hint="eastAsia" w:ascii="仿宋_GB2312" w:hAnsi="仿宋" w:eastAsia="仿宋_GB2312"/>
          <w:b w:val="0"/>
          <w:bCs/>
          <w:sz w:val="32"/>
          <w:szCs w:val="32"/>
        </w:rPr>
        <w:t>万元，完成预算100%。</w:t>
      </w:r>
    </w:p>
    <w:p>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6601.2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6017.53万</w:t>
      </w:r>
      <w:r>
        <w:rPr>
          <w:rFonts w:hint="eastAsia" w:eastAsia="仿宋_GB2312" w:cs="仿宋_GB2312"/>
          <w:sz w:val="32"/>
          <w:szCs w:val="32"/>
        </w:rPr>
        <w:t>元，主要包括：基本工资9</w:t>
      </w:r>
      <w:r>
        <w:rPr>
          <w:rFonts w:eastAsia="仿宋_GB2312" w:cs="仿宋_GB2312"/>
          <w:sz w:val="32"/>
          <w:szCs w:val="32"/>
        </w:rPr>
        <w:t>98.26万元</w:t>
      </w:r>
      <w:r>
        <w:rPr>
          <w:rFonts w:hint="eastAsia" w:eastAsia="仿宋_GB2312" w:cs="仿宋_GB2312"/>
          <w:sz w:val="32"/>
          <w:szCs w:val="32"/>
        </w:rPr>
        <w:t>、津贴补贴1</w:t>
      </w:r>
      <w:r>
        <w:rPr>
          <w:rFonts w:eastAsia="仿宋_GB2312" w:cs="仿宋_GB2312"/>
          <w:sz w:val="32"/>
          <w:szCs w:val="32"/>
        </w:rPr>
        <w:t>181.24万元</w:t>
      </w:r>
      <w:r>
        <w:rPr>
          <w:rFonts w:hint="eastAsia" w:eastAsia="仿宋_GB2312" w:cs="仿宋_GB2312"/>
          <w:sz w:val="32"/>
          <w:szCs w:val="32"/>
        </w:rPr>
        <w:t>、奖金1</w:t>
      </w:r>
      <w:r>
        <w:rPr>
          <w:rFonts w:eastAsia="仿宋_GB2312" w:cs="仿宋_GB2312"/>
          <w:sz w:val="32"/>
          <w:szCs w:val="32"/>
        </w:rPr>
        <w:t>017.73万元</w:t>
      </w:r>
      <w:r>
        <w:rPr>
          <w:rFonts w:hint="eastAsia" w:eastAsia="仿宋_GB2312" w:cs="仿宋_GB2312"/>
          <w:sz w:val="32"/>
          <w:szCs w:val="32"/>
        </w:rPr>
        <w:t>、机关事业单位基本养老保险缴费4</w:t>
      </w:r>
      <w:r>
        <w:rPr>
          <w:rFonts w:eastAsia="仿宋_GB2312" w:cs="仿宋_GB2312"/>
          <w:sz w:val="32"/>
          <w:szCs w:val="32"/>
        </w:rPr>
        <w:t>38.17</w:t>
      </w:r>
      <w:r>
        <w:rPr>
          <w:rFonts w:hint="eastAsia" w:eastAsia="仿宋_GB2312" w:cs="仿宋_GB2312"/>
          <w:sz w:val="32"/>
          <w:szCs w:val="32"/>
        </w:rPr>
        <w:t>万元、职业年金缴费4</w:t>
      </w:r>
      <w:r>
        <w:rPr>
          <w:rFonts w:eastAsia="仿宋_GB2312" w:cs="仿宋_GB2312"/>
          <w:sz w:val="32"/>
          <w:szCs w:val="32"/>
        </w:rPr>
        <w:t>7.23万元</w:t>
      </w:r>
      <w:r>
        <w:rPr>
          <w:rFonts w:hint="eastAsia" w:eastAsia="仿宋_GB2312" w:cs="仿宋_GB2312"/>
          <w:sz w:val="32"/>
          <w:szCs w:val="32"/>
        </w:rPr>
        <w:t>、职工基本医疗保险缴费2</w:t>
      </w:r>
      <w:r>
        <w:rPr>
          <w:rFonts w:eastAsia="仿宋_GB2312" w:cs="仿宋_GB2312"/>
          <w:sz w:val="32"/>
          <w:szCs w:val="32"/>
        </w:rPr>
        <w:t>30.21万元、公务员医疗补助缴费</w:t>
      </w:r>
      <w:r>
        <w:rPr>
          <w:rFonts w:hint="eastAsia" w:eastAsia="仿宋_GB2312" w:cs="仿宋_GB2312"/>
          <w:sz w:val="32"/>
          <w:szCs w:val="32"/>
        </w:rPr>
        <w:t>5</w:t>
      </w:r>
      <w:r>
        <w:rPr>
          <w:rFonts w:eastAsia="仿宋_GB2312" w:cs="仿宋_GB2312"/>
          <w:sz w:val="32"/>
          <w:szCs w:val="32"/>
        </w:rPr>
        <w:t>2.04万元、</w:t>
      </w:r>
      <w:r>
        <w:rPr>
          <w:rFonts w:hint="eastAsia" w:eastAsia="仿宋_GB2312" w:cs="仿宋_GB2312"/>
          <w:sz w:val="32"/>
          <w:szCs w:val="32"/>
        </w:rPr>
        <w:t>其他社会保障缴费6</w:t>
      </w:r>
      <w:r>
        <w:rPr>
          <w:rFonts w:eastAsia="仿宋_GB2312" w:cs="仿宋_GB2312"/>
          <w:sz w:val="32"/>
          <w:szCs w:val="32"/>
        </w:rPr>
        <w:t>.37万元、住房公积金</w:t>
      </w:r>
      <w:r>
        <w:rPr>
          <w:rFonts w:hint="eastAsia" w:eastAsia="仿宋_GB2312" w:cs="仿宋_GB2312"/>
          <w:sz w:val="32"/>
          <w:szCs w:val="32"/>
        </w:rPr>
        <w:t>3</w:t>
      </w:r>
      <w:r>
        <w:rPr>
          <w:rFonts w:eastAsia="仿宋_GB2312" w:cs="仿宋_GB2312"/>
          <w:sz w:val="32"/>
          <w:szCs w:val="32"/>
        </w:rPr>
        <w:t>62.15万元</w:t>
      </w:r>
      <w:r>
        <w:rPr>
          <w:rFonts w:hint="eastAsia" w:eastAsia="仿宋_GB2312" w:cs="仿宋_GB2312"/>
          <w:sz w:val="32"/>
          <w:szCs w:val="32"/>
        </w:rPr>
        <w:t>、其他工资福利支出1</w:t>
      </w:r>
      <w:r>
        <w:rPr>
          <w:rFonts w:eastAsia="仿宋_GB2312" w:cs="仿宋_GB2312"/>
          <w:sz w:val="32"/>
          <w:szCs w:val="32"/>
        </w:rPr>
        <w:t>290.23万元</w:t>
      </w:r>
      <w:r>
        <w:rPr>
          <w:rFonts w:hint="eastAsia" w:eastAsia="仿宋_GB2312" w:cs="仿宋_GB2312"/>
          <w:sz w:val="32"/>
          <w:szCs w:val="32"/>
        </w:rPr>
        <w:t>、抚恤金9</w:t>
      </w:r>
      <w:r>
        <w:rPr>
          <w:rFonts w:eastAsia="仿宋_GB2312" w:cs="仿宋_GB2312"/>
          <w:sz w:val="32"/>
          <w:szCs w:val="32"/>
        </w:rPr>
        <w:t>4.05万元、生活补助</w:t>
      </w:r>
      <w:r>
        <w:rPr>
          <w:rFonts w:hint="eastAsia" w:eastAsia="仿宋_GB2312" w:cs="仿宋_GB2312"/>
          <w:sz w:val="32"/>
          <w:szCs w:val="32"/>
        </w:rPr>
        <w:t>2</w:t>
      </w:r>
      <w:r>
        <w:rPr>
          <w:rFonts w:eastAsia="仿宋_GB2312" w:cs="仿宋_GB2312"/>
          <w:sz w:val="32"/>
          <w:szCs w:val="32"/>
        </w:rPr>
        <w:t>76.99万元、医疗费补助</w:t>
      </w:r>
      <w:r>
        <w:rPr>
          <w:rFonts w:hint="eastAsia" w:eastAsia="仿宋_GB2312" w:cs="仿宋_GB2312"/>
          <w:sz w:val="32"/>
          <w:szCs w:val="32"/>
        </w:rPr>
        <w:t>2</w:t>
      </w:r>
      <w:r>
        <w:rPr>
          <w:rFonts w:eastAsia="仿宋_GB2312" w:cs="仿宋_GB2312"/>
          <w:sz w:val="32"/>
          <w:szCs w:val="32"/>
        </w:rPr>
        <w:t>2.37万元、奖励金</w:t>
      </w:r>
      <w:r>
        <w:rPr>
          <w:rFonts w:hint="eastAsia" w:eastAsia="仿宋_GB2312" w:cs="仿宋_GB2312"/>
          <w:sz w:val="32"/>
          <w:szCs w:val="32"/>
        </w:rPr>
        <w:t>0</w:t>
      </w:r>
      <w:r>
        <w:rPr>
          <w:rFonts w:eastAsia="仿宋_GB2312" w:cs="仿宋_GB2312"/>
          <w:sz w:val="32"/>
          <w:szCs w:val="32"/>
        </w:rPr>
        <w:t>.49万元</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583.7万</w:t>
      </w:r>
      <w:r>
        <w:rPr>
          <w:rFonts w:hint="eastAsia" w:eastAsia="仿宋_GB2312" w:cs="仿宋_GB2312"/>
          <w:sz w:val="32"/>
          <w:szCs w:val="32"/>
        </w:rPr>
        <w:t>元，主要包括：办公费4</w:t>
      </w:r>
      <w:r>
        <w:rPr>
          <w:rFonts w:eastAsia="仿宋_GB2312" w:cs="仿宋_GB2312"/>
          <w:sz w:val="32"/>
          <w:szCs w:val="32"/>
        </w:rPr>
        <w:t>4.75万元</w:t>
      </w:r>
      <w:r>
        <w:rPr>
          <w:rFonts w:hint="eastAsia" w:eastAsia="仿宋_GB2312" w:cs="仿宋_GB2312"/>
          <w:sz w:val="32"/>
          <w:szCs w:val="32"/>
        </w:rPr>
        <w:t>、水费1</w:t>
      </w:r>
      <w:r>
        <w:rPr>
          <w:rFonts w:eastAsia="仿宋_GB2312" w:cs="仿宋_GB2312"/>
          <w:sz w:val="32"/>
          <w:szCs w:val="32"/>
        </w:rPr>
        <w:t>8.25万元</w:t>
      </w:r>
      <w:r>
        <w:rPr>
          <w:rFonts w:hint="eastAsia" w:eastAsia="仿宋_GB2312" w:cs="仿宋_GB2312"/>
          <w:sz w:val="32"/>
          <w:szCs w:val="32"/>
        </w:rPr>
        <w:t>、电费2</w:t>
      </w:r>
      <w:r>
        <w:rPr>
          <w:rFonts w:eastAsia="仿宋_GB2312" w:cs="仿宋_GB2312"/>
          <w:sz w:val="32"/>
          <w:szCs w:val="32"/>
        </w:rPr>
        <w:t>9.95万元</w:t>
      </w:r>
      <w:r>
        <w:rPr>
          <w:rFonts w:hint="eastAsia" w:eastAsia="仿宋_GB2312" w:cs="仿宋_GB2312"/>
          <w:sz w:val="32"/>
          <w:szCs w:val="32"/>
        </w:rPr>
        <w:t>、邮电费0</w:t>
      </w:r>
      <w:r>
        <w:rPr>
          <w:rFonts w:eastAsia="仿宋_GB2312" w:cs="仿宋_GB2312"/>
          <w:sz w:val="32"/>
          <w:szCs w:val="32"/>
        </w:rPr>
        <w:t>.16万元</w:t>
      </w:r>
      <w:r>
        <w:rPr>
          <w:rFonts w:hint="eastAsia" w:eastAsia="仿宋_GB2312" w:cs="仿宋_GB2312"/>
          <w:sz w:val="32"/>
          <w:szCs w:val="32"/>
        </w:rPr>
        <w:t>、差旅费3</w:t>
      </w:r>
      <w:r>
        <w:rPr>
          <w:rFonts w:eastAsia="仿宋_GB2312" w:cs="仿宋_GB2312"/>
          <w:sz w:val="32"/>
          <w:szCs w:val="32"/>
        </w:rPr>
        <w:t>4.87万元</w:t>
      </w:r>
      <w:r>
        <w:rPr>
          <w:rFonts w:hint="eastAsia" w:eastAsia="仿宋_GB2312" w:cs="仿宋_GB2312"/>
          <w:sz w:val="32"/>
          <w:szCs w:val="32"/>
        </w:rPr>
        <w:t>、维修（护）费5</w:t>
      </w:r>
      <w:r>
        <w:rPr>
          <w:rFonts w:eastAsia="仿宋_GB2312" w:cs="仿宋_GB2312"/>
          <w:sz w:val="32"/>
          <w:szCs w:val="32"/>
        </w:rPr>
        <w:t>.35万元</w:t>
      </w:r>
      <w:r>
        <w:rPr>
          <w:rFonts w:hint="eastAsia" w:eastAsia="仿宋_GB2312" w:cs="仿宋_GB2312"/>
          <w:sz w:val="32"/>
          <w:szCs w:val="32"/>
        </w:rPr>
        <w:t>、公务接待费0</w:t>
      </w:r>
      <w:r>
        <w:rPr>
          <w:rFonts w:eastAsia="仿宋_GB2312" w:cs="仿宋_GB2312"/>
          <w:sz w:val="32"/>
          <w:szCs w:val="32"/>
        </w:rPr>
        <w:t>.13万元</w:t>
      </w:r>
      <w:r>
        <w:rPr>
          <w:rFonts w:hint="eastAsia" w:eastAsia="仿宋_GB2312" w:cs="仿宋_GB2312"/>
          <w:sz w:val="32"/>
          <w:szCs w:val="32"/>
        </w:rPr>
        <w:t>、工会经费5</w:t>
      </w:r>
      <w:r>
        <w:rPr>
          <w:rFonts w:eastAsia="仿宋_GB2312" w:cs="仿宋_GB2312"/>
          <w:sz w:val="32"/>
          <w:szCs w:val="32"/>
        </w:rPr>
        <w:t>6.48万元</w:t>
      </w:r>
      <w:r>
        <w:rPr>
          <w:rFonts w:hint="eastAsia" w:eastAsia="仿宋_GB2312" w:cs="仿宋_GB2312"/>
          <w:sz w:val="32"/>
          <w:szCs w:val="32"/>
        </w:rPr>
        <w:t>、福利费3</w:t>
      </w:r>
      <w:r>
        <w:rPr>
          <w:rFonts w:eastAsia="仿宋_GB2312" w:cs="仿宋_GB2312"/>
          <w:sz w:val="32"/>
          <w:szCs w:val="32"/>
        </w:rPr>
        <w:t>2.09万元</w:t>
      </w:r>
      <w:r>
        <w:rPr>
          <w:rFonts w:hint="eastAsia" w:eastAsia="仿宋_GB2312" w:cs="仿宋_GB2312"/>
          <w:sz w:val="32"/>
          <w:szCs w:val="32"/>
        </w:rPr>
        <w:t>、公务用车运行维护费1</w:t>
      </w:r>
      <w:r>
        <w:rPr>
          <w:rFonts w:eastAsia="仿宋_GB2312" w:cs="仿宋_GB2312"/>
          <w:sz w:val="32"/>
          <w:szCs w:val="32"/>
        </w:rPr>
        <w:t>13.6万元</w:t>
      </w:r>
      <w:r>
        <w:rPr>
          <w:rFonts w:hint="eastAsia" w:eastAsia="仿宋_GB2312" w:cs="仿宋_GB2312"/>
          <w:sz w:val="32"/>
          <w:szCs w:val="32"/>
        </w:rPr>
        <w:t>、其他交通费1</w:t>
      </w:r>
      <w:r>
        <w:rPr>
          <w:rFonts w:eastAsia="仿宋_GB2312" w:cs="仿宋_GB2312"/>
          <w:sz w:val="32"/>
          <w:szCs w:val="32"/>
        </w:rPr>
        <w:t>81.04万元</w:t>
      </w:r>
      <w:r>
        <w:rPr>
          <w:rFonts w:hint="eastAsia" w:eastAsia="仿宋_GB2312" w:cs="仿宋_GB2312"/>
          <w:sz w:val="32"/>
          <w:szCs w:val="32"/>
        </w:rPr>
        <w:t>、其他商品和服务支出6</w:t>
      </w:r>
      <w:r>
        <w:rPr>
          <w:rFonts w:eastAsia="仿宋_GB2312" w:cs="仿宋_GB2312"/>
          <w:sz w:val="32"/>
          <w:szCs w:val="32"/>
        </w:rPr>
        <w:t>7.03万元</w:t>
      </w:r>
      <w:r>
        <w:rPr>
          <w:rFonts w:hint="eastAsia" w:eastAsia="仿宋_GB2312" w:cs="仿宋_GB2312"/>
          <w:sz w:val="32"/>
          <w:szCs w:val="32"/>
        </w:rPr>
        <w:t>。</w:t>
      </w:r>
    </w:p>
    <w:p>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113.72万元，完成预算100%，</w:t>
      </w:r>
      <w:r>
        <w:rPr>
          <w:rFonts w:hint="eastAsia" w:eastAsia="仿宋_GB2312" w:cs="仿宋_GB2312"/>
          <w:sz w:val="32"/>
          <w:szCs w:val="32"/>
        </w:rPr>
        <w:t>较上年度减少</w:t>
      </w:r>
      <w:r>
        <w:rPr>
          <w:rFonts w:eastAsia="仿宋_GB2312" w:cs="仿宋_GB2312"/>
          <w:sz w:val="32"/>
          <w:szCs w:val="32"/>
        </w:rPr>
        <w:t>1.72</w:t>
      </w:r>
      <w:r>
        <w:rPr>
          <w:rFonts w:hint="eastAsia" w:eastAsia="仿宋_GB2312" w:cs="仿宋_GB2312"/>
          <w:sz w:val="32"/>
          <w:szCs w:val="32"/>
        </w:rPr>
        <w:t>万元，下降</w:t>
      </w:r>
      <w:r>
        <w:rPr>
          <w:rFonts w:eastAsia="仿宋_GB2312" w:cs="仿宋_GB2312"/>
          <w:sz w:val="32"/>
          <w:szCs w:val="32"/>
        </w:rPr>
        <w:t>1.49</w:t>
      </w:r>
      <w:r>
        <w:rPr>
          <w:rFonts w:hint="eastAsia" w:eastAsia="仿宋_GB2312" w:cs="仿宋_GB2312"/>
          <w:sz w:val="32"/>
          <w:szCs w:val="32"/>
        </w:rPr>
        <w:t>%。</w:t>
      </w:r>
      <w:r>
        <w:rPr>
          <w:rFonts w:hint="eastAsia" w:ascii="仿宋" w:hAnsi="仿宋" w:eastAsia="仿宋"/>
          <w:sz w:val="32"/>
          <w:szCs w:val="32"/>
        </w:rPr>
        <w:t>决算数与预算数持平的主要原因是预算数调减与支出决算数一致。</w:t>
      </w:r>
    </w:p>
    <w:p>
      <w:pPr>
        <w:spacing w:line="600" w:lineRule="exact"/>
        <w:ind w:firstLine="642"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%；公务用车购置及运行维护费支出决算113.6万元，占</w:t>
      </w:r>
      <w:r>
        <w:rPr>
          <w:rFonts w:ascii="仿宋_GB2312" w:hAnsi="仿宋_GB2312" w:eastAsia="仿宋_GB2312" w:cs="仿宋_GB2312"/>
          <w:sz w:val="32"/>
          <w:szCs w:val="32"/>
        </w:rPr>
        <w:t>99.89</w:t>
      </w:r>
      <w:r>
        <w:rPr>
          <w:rFonts w:hint="eastAsia" w:ascii="仿宋_GB2312" w:hAnsi="仿宋_GB2312" w:eastAsia="仿宋_GB2312" w:cs="仿宋_GB2312"/>
          <w:sz w:val="32"/>
          <w:szCs w:val="32"/>
        </w:rPr>
        <w:t>%；公务接待费支出决算0.13万元，占</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%。具体情况如下：</w:t>
      </w:r>
    </w:p>
    <w:p>
      <w:pPr>
        <w:pStyle w:val="3"/>
        <w:ind w:left="420"/>
      </w:pPr>
      <w:r>
        <w:drawing>
          <wp:inline distT="0" distB="0" distL="0" distR="0">
            <wp:extent cx="4570095" cy="2741295"/>
            <wp:effectExtent l="0" t="0" r="1905" b="19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pPr>
        <w:ind w:firstLine="629" w:firstLineChars="196"/>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全年安排因公出国（境）团组0次，出国（境）0人。因公出国（境）支出决算比202</w:t>
      </w:r>
      <w:r>
        <w:rPr>
          <w:rFonts w:ascii="仿宋_GB2312" w:eastAsia="仿宋_GB2312"/>
          <w:sz w:val="32"/>
          <w:szCs w:val="32"/>
        </w:rPr>
        <w:t>3</w:t>
      </w:r>
      <w:r>
        <w:rPr>
          <w:rFonts w:hint="eastAsia" w:ascii="仿宋_GB2312" w:eastAsia="仿宋_GB2312"/>
          <w:sz w:val="32"/>
          <w:szCs w:val="32"/>
        </w:rPr>
        <w:t>年度持平，原因是</w:t>
      </w:r>
      <w:r>
        <w:rPr>
          <w:rFonts w:hint="eastAsia" w:ascii="仿宋_GB2312" w:eastAsia="仿宋_GB2312"/>
          <w:color w:val="000000"/>
          <w:sz w:val="32"/>
          <w:szCs w:val="32"/>
        </w:rPr>
        <w:t>交警支队202</w:t>
      </w:r>
      <w:r>
        <w:rPr>
          <w:rFonts w:ascii="仿宋_GB2312" w:eastAsia="仿宋_GB2312"/>
          <w:color w:val="000000"/>
          <w:sz w:val="32"/>
          <w:szCs w:val="32"/>
        </w:rPr>
        <w:t>3</w:t>
      </w:r>
      <w:r>
        <w:rPr>
          <w:rFonts w:hint="eastAsia" w:ascii="仿宋_GB2312" w:eastAsia="仿宋_GB2312"/>
          <w:color w:val="000000"/>
          <w:sz w:val="32"/>
          <w:szCs w:val="32"/>
        </w:rPr>
        <w:t>年、202</w:t>
      </w:r>
      <w:r>
        <w:rPr>
          <w:rFonts w:ascii="仿宋_GB2312" w:eastAsia="仿宋_GB2312"/>
          <w:color w:val="000000"/>
          <w:sz w:val="32"/>
          <w:szCs w:val="32"/>
        </w:rPr>
        <w:t>4</w:t>
      </w:r>
      <w:r>
        <w:rPr>
          <w:rFonts w:hint="eastAsia" w:ascii="仿宋_GB2312" w:eastAsia="仿宋_GB2312"/>
          <w:color w:val="000000"/>
          <w:sz w:val="32"/>
          <w:szCs w:val="32"/>
        </w:rPr>
        <w:t>年均未安排因公出国（境），未开支经费，无开支内容。</w:t>
      </w:r>
    </w:p>
    <w:p>
      <w:pPr>
        <w:spacing w:line="600" w:lineRule="exact"/>
        <w:ind w:firstLine="640"/>
        <w:rPr>
          <w:rFonts w:ascii="仿宋_GB2312" w:eastAsia="仿宋_GB2312"/>
          <w:b/>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113.6万</w:t>
      </w:r>
      <w:r>
        <w:rPr>
          <w:rFonts w:hint="eastAsia" w:eastAsia="仿宋_GB2312" w:cs="仿宋_GB2312"/>
          <w:b/>
          <w:bCs/>
          <w:sz w:val="32"/>
          <w:szCs w:val="32"/>
        </w:rPr>
        <w:t>元，完成预算</w:t>
      </w:r>
      <w:r>
        <w:rPr>
          <w:rFonts w:eastAsia="仿宋_GB2312" w:cs="仿宋_GB2312"/>
          <w:b/>
          <w:bCs/>
          <w:sz w:val="32"/>
          <w:szCs w:val="32"/>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eastAsia="仿宋_GB2312" w:cs="仿宋_GB2312"/>
          <w:sz w:val="32"/>
          <w:szCs w:val="32"/>
        </w:rPr>
        <w:t>0.5</w:t>
      </w:r>
      <w:r>
        <w:rPr>
          <w:rFonts w:hint="eastAsia" w:eastAsia="仿宋_GB2312" w:cs="仿宋_GB2312"/>
          <w:sz w:val="32"/>
          <w:szCs w:val="32"/>
        </w:rPr>
        <w:t>万元，下降</w:t>
      </w:r>
      <w:r>
        <w:rPr>
          <w:rFonts w:eastAsia="仿宋_GB2312" w:cs="仿宋_GB2312"/>
          <w:sz w:val="32"/>
          <w:szCs w:val="32"/>
        </w:rPr>
        <w:t>0.44</w:t>
      </w:r>
      <w:r>
        <w:rPr>
          <w:rFonts w:hint="eastAsia" w:eastAsia="仿宋_GB2312" w:cs="仿宋_GB2312"/>
          <w:sz w:val="32"/>
          <w:szCs w:val="32"/>
        </w:rPr>
        <w:t>%。</w:t>
      </w:r>
      <w:r>
        <w:rPr>
          <w:rFonts w:hint="eastAsia" w:ascii="仿宋_GB2312" w:eastAsia="仿宋_GB2312"/>
          <w:sz w:val="32"/>
          <w:szCs w:val="32"/>
        </w:rPr>
        <w:t>主要原因是交警支队加强公务车辆内部管理，公务用车运行费支出减少。</w:t>
      </w:r>
    </w:p>
    <w:p>
      <w:pPr>
        <w:spacing w:line="600" w:lineRule="exact"/>
        <w:ind w:firstLine="640" w:firstLineChars="200"/>
        <w:rPr>
          <w:rFonts w:ascii="仿宋_GB2312" w:eastAsia="仿宋_GB2312"/>
          <w:b/>
          <w:sz w:val="32"/>
          <w:szCs w:val="32"/>
        </w:rPr>
      </w:pPr>
      <w:r>
        <w:rPr>
          <w:rFonts w:hint="eastAsia" w:eastAsia="仿宋_GB2312" w:cs="仿宋_GB2312"/>
          <w:sz w:val="32"/>
          <w:szCs w:val="32"/>
        </w:rPr>
        <w:t>其中：</w:t>
      </w: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0万元。全年按规定更新购置公务用车0辆，其中：轿车0辆、金额0万元，越野0辆、金额0万元，载客汽车0辆、金额0万元。截至202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月31日，单位共有公务用车57辆，其中：轿车49辆、越野车3辆、载客汽车4辆、其他车型1辆。</w:t>
      </w:r>
    </w:p>
    <w:p>
      <w:pPr>
        <w:spacing w:line="600" w:lineRule="exact"/>
        <w:ind w:firstLine="640"/>
        <w:rPr>
          <w:rFonts w:ascii="仿宋_GB2312" w:eastAsia="仿宋_GB2312"/>
          <w:color w:val="000000"/>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出113.6</w:t>
      </w:r>
      <w:r>
        <w:rPr>
          <w:rFonts w:hint="eastAsia" w:eastAsia="仿宋_GB2312" w:cs="仿宋_GB2312"/>
          <w:sz w:val="32"/>
          <w:szCs w:val="32"/>
        </w:rPr>
        <w:t>万元。</w:t>
      </w:r>
      <w:r>
        <w:rPr>
          <w:rFonts w:hint="eastAsia" w:ascii="仿宋_GB2312" w:eastAsia="仿宋_GB2312"/>
          <w:color w:val="000000"/>
          <w:sz w:val="32"/>
          <w:szCs w:val="32"/>
        </w:rPr>
        <w:t>主要用于公安交通管理执勤执法车辆路面巡逻、秩序管理、交通事故处理、警保卫、交通安全宣传等日常公务用车活动所需的公务用车燃料费、维修费、过路过桥费、保险费等支出。</w:t>
      </w:r>
    </w:p>
    <w:p>
      <w:pPr>
        <w:ind w:firstLine="600"/>
        <w:rPr>
          <w:rFonts w:ascii="仿宋_GB2312" w:hAnsi="华文仿宋" w:eastAsia="仿宋_GB2312" w:cs="仿宋"/>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0.13万</w:t>
      </w:r>
      <w:r>
        <w:rPr>
          <w:rFonts w:hint="eastAsia" w:eastAsia="仿宋_GB2312" w:cs="仿宋_GB2312"/>
          <w:b/>
          <w:bCs/>
          <w:sz w:val="32"/>
          <w:szCs w:val="32"/>
        </w:rPr>
        <w:t>元，完成预算</w:t>
      </w:r>
      <w:r>
        <w:rPr>
          <w:rFonts w:eastAsia="仿宋_GB2312" w:cs="仿宋_GB2312"/>
          <w:b/>
          <w:bCs/>
          <w:sz w:val="32"/>
          <w:szCs w:val="32"/>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eastAsia="仿宋_GB2312" w:cs="仿宋_GB2312"/>
          <w:sz w:val="32"/>
          <w:szCs w:val="32"/>
        </w:rPr>
        <w:t>1.21</w:t>
      </w:r>
      <w:r>
        <w:rPr>
          <w:rFonts w:hint="eastAsia" w:eastAsia="仿宋_GB2312" w:cs="仿宋_GB2312"/>
          <w:sz w:val="32"/>
          <w:szCs w:val="32"/>
        </w:rPr>
        <w:t>万元，下降</w:t>
      </w:r>
      <w:r>
        <w:rPr>
          <w:rFonts w:eastAsia="仿宋_GB2312" w:cs="仿宋_GB2312"/>
          <w:sz w:val="32"/>
          <w:szCs w:val="32"/>
        </w:rPr>
        <w:t>90.3</w:t>
      </w:r>
      <w:r>
        <w:rPr>
          <w:rFonts w:hint="eastAsia" w:eastAsia="仿宋_GB2312" w:cs="仿宋_GB2312"/>
          <w:sz w:val="32"/>
          <w:szCs w:val="32"/>
        </w:rPr>
        <w:t>%。</w:t>
      </w:r>
      <w:r>
        <w:rPr>
          <w:rFonts w:hint="eastAsia" w:ascii="仿宋_GB2312" w:hAnsi="华文仿宋" w:eastAsia="仿宋_GB2312" w:cs="仿宋"/>
          <w:sz w:val="32"/>
          <w:szCs w:val="32"/>
        </w:rPr>
        <w:t>减少的主要原因是本年来攀考察交流活动减少，接待批次和人数较上年减少。</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出0.13万</w:t>
      </w:r>
      <w:r>
        <w:rPr>
          <w:rFonts w:hint="eastAsia" w:eastAsia="仿宋_GB2312" w:cs="仿宋_GB2312"/>
          <w:sz w:val="32"/>
          <w:szCs w:val="32"/>
        </w:rPr>
        <w:t>元，</w:t>
      </w:r>
      <w:r>
        <w:rPr>
          <w:rFonts w:hint="eastAsia" w:ascii="仿宋_GB2312" w:eastAsia="仿宋_GB2312"/>
          <w:sz w:val="32"/>
          <w:szCs w:val="32"/>
        </w:rPr>
        <w:t>主要用于执行公务、开展公务接待业务活动用餐费等。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待1批次，10</w:t>
      </w:r>
      <w:r>
        <w:rPr>
          <w:rFonts w:hint="eastAsia" w:eastAsia="仿宋_GB2312" w:cs="仿宋_GB2312"/>
          <w:sz w:val="32"/>
          <w:szCs w:val="32"/>
        </w:rPr>
        <w:t>人次（不包括陪同人员），共计支出</w:t>
      </w:r>
      <w:r>
        <w:rPr>
          <w:rFonts w:eastAsia="仿宋_GB2312" w:cs="仿宋_GB2312"/>
          <w:sz w:val="32"/>
          <w:szCs w:val="32"/>
        </w:rPr>
        <w:t>0.13</w:t>
      </w:r>
      <w:r>
        <w:rPr>
          <w:rFonts w:hint="eastAsia" w:eastAsia="仿宋_GB2312" w:cs="仿宋_GB2312"/>
          <w:sz w:val="32"/>
          <w:szCs w:val="32"/>
        </w:rPr>
        <w:t>万元，具体内容为：接待南京市公安局江北新区公安分局交警支队一行1</w:t>
      </w:r>
      <w:r>
        <w:rPr>
          <w:rFonts w:eastAsia="仿宋_GB2312" w:cs="仿宋_GB2312"/>
          <w:sz w:val="32"/>
          <w:szCs w:val="32"/>
        </w:rPr>
        <w:t>0人来攀考场农村交管工作，支出</w:t>
      </w:r>
      <w:r>
        <w:rPr>
          <w:rFonts w:hint="eastAsia" w:eastAsia="仿宋_GB2312" w:cs="仿宋_GB2312"/>
          <w:sz w:val="32"/>
          <w:szCs w:val="32"/>
        </w:rPr>
        <w:t>0</w:t>
      </w:r>
      <w:r>
        <w:rPr>
          <w:rFonts w:eastAsia="仿宋_GB2312" w:cs="仿宋_GB2312"/>
          <w:sz w:val="32"/>
          <w:szCs w:val="32"/>
        </w:rPr>
        <w:t>.13万元。</w:t>
      </w:r>
    </w:p>
    <w:p>
      <w:pPr>
        <w:spacing w:line="600" w:lineRule="exact"/>
        <w:ind w:firstLine="642" w:firstLineChars="200"/>
        <w:rPr>
          <w:rFonts w:ascii="仿宋_GB2312" w:eastAsia="仿宋_GB2312"/>
          <w:sz w:val="32"/>
          <w:szCs w:val="32"/>
        </w:rPr>
      </w:pPr>
      <w:bookmarkStart w:id="34" w:name="_Toc15396610"/>
      <w:bookmarkStart w:id="35" w:name="_Toc15377218"/>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2024年度政府性基金预算财政拨款支出96.3万元，占本年支出合计的1%</w:t>
      </w:r>
      <w:r>
        <w:rPr>
          <w:rFonts w:hint="eastAsia" w:eastAsia="仿宋_GB2312" w:cs="仿宋_GB2312"/>
          <w:sz w:val="32"/>
          <w:szCs w:val="32"/>
        </w:rPr>
        <w:t>。与2023年度相比，政府性基金预算财政拨款支出增加</w:t>
      </w:r>
      <w:r>
        <w:rPr>
          <w:rFonts w:eastAsia="仿宋_GB2312" w:cs="仿宋_GB2312"/>
          <w:sz w:val="32"/>
          <w:szCs w:val="32"/>
        </w:rPr>
        <w:t>96.3</w:t>
      </w:r>
      <w:r>
        <w:rPr>
          <w:rFonts w:hint="eastAsia" w:eastAsia="仿宋_GB2312" w:cs="仿宋_GB2312"/>
          <w:sz w:val="32"/>
          <w:szCs w:val="32"/>
        </w:rPr>
        <w:t>万元，增长</w:t>
      </w:r>
      <w:r>
        <w:rPr>
          <w:rFonts w:eastAsia="仿宋_GB2312" w:cs="仿宋_GB2312"/>
          <w:sz w:val="32"/>
          <w:szCs w:val="32"/>
        </w:rPr>
        <w:t>100</w:t>
      </w:r>
      <w:r>
        <w:rPr>
          <w:rFonts w:hint="eastAsia" w:eastAsia="仿宋_GB2312" w:cs="仿宋_GB2312"/>
          <w:sz w:val="32"/>
          <w:szCs w:val="32"/>
        </w:rPr>
        <w:t>%。主要变动原因是2</w:t>
      </w:r>
      <w:r>
        <w:rPr>
          <w:rFonts w:eastAsia="仿宋_GB2312" w:cs="仿宋_GB2312"/>
          <w:sz w:val="32"/>
          <w:szCs w:val="32"/>
        </w:rPr>
        <w:t>023年财政未安排政府性基金预算，本年安排</w:t>
      </w:r>
      <w:r>
        <w:rPr>
          <w:rFonts w:hint="eastAsia" w:eastAsia="仿宋_GB2312" w:cs="仿宋_GB2312"/>
          <w:sz w:val="32"/>
          <w:szCs w:val="32"/>
        </w:rPr>
        <w:t>9</w:t>
      </w:r>
      <w:r>
        <w:rPr>
          <w:rFonts w:eastAsia="仿宋_GB2312" w:cs="仿宋_GB2312"/>
          <w:sz w:val="32"/>
          <w:szCs w:val="32"/>
        </w:rPr>
        <w:t>6.3万元</w:t>
      </w:r>
      <w:r>
        <w:rPr>
          <w:rFonts w:hint="eastAsia" w:eastAsia="仿宋_GB2312" w:cs="仿宋_GB2312"/>
          <w:sz w:val="32"/>
          <w:szCs w:val="32"/>
        </w:rPr>
        <w:t>的政府性基金预算，用于支付部分弱电网络建设项目款和指挥中心围墙建设费用等。</w:t>
      </w:r>
    </w:p>
    <w:p>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。与2023年度相比，国有资本经营预算财政拨款支出持平，均为0万元。</w:t>
      </w:r>
    </w:p>
    <w:p>
      <w:pPr>
        <w:spacing w:line="600" w:lineRule="exact"/>
        <w:ind w:left="63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pPr>
        <w:spacing w:line="600" w:lineRule="exact"/>
        <w:ind w:firstLine="642"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，攀枝花市公安局交通警察支队机关运行经费支出583.7万</w:t>
      </w:r>
      <w:r>
        <w:rPr>
          <w:rFonts w:hint="eastAsia" w:eastAsia="仿宋_GB2312" w:cs="仿宋_GB2312"/>
          <w:sz w:val="32"/>
          <w:szCs w:val="32"/>
        </w:rPr>
        <w:t>元，比2023年度增加</w:t>
      </w:r>
      <w:r>
        <w:rPr>
          <w:rFonts w:eastAsia="仿宋_GB2312" w:cs="仿宋_GB2312"/>
          <w:sz w:val="32"/>
          <w:szCs w:val="32"/>
        </w:rPr>
        <w:t>44.09</w:t>
      </w:r>
      <w:r>
        <w:rPr>
          <w:rFonts w:hint="eastAsia" w:eastAsia="仿宋_GB2312" w:cs="仿宋_GB2312"/>
          <w:sz w:val="32"/>
          <w:szCs w:val="32"/>
        </w:rPr>
        <w:t>万元，增长</w:t>
      </w:r>
      <w:r>
        <w:rPr>
          <w:rFonts w:eastAsia="仿宋_GB2312" w:cs="仿宋_GB2312"/>
          <w:sz w:val="32"/>
          <w:szCs w:val="32"/>
        </w:rPr>
        <w:t>8.17</w:t>
      </w:r>
      <w:r>
        <w:rPr>
          <w:rFonts w:hint="eastAsia" w:eastAsia="仿宋_GB2312" w:cs="仿宋_GB2312"/>
          <w:sz w:val="32"/>
          <w:szCs w:val="32"/>
        </w:rPr>
        <w:t>%。主要原因是交警支队2</w:t>
      </w:r>
      <w:r>
        <w:rPr>
          <w:rFonts w:eastAsia="仿宋_GB2312" w:cs="仿宋_GB2312"/>
          <w:sz w:val="32"/>
          <w:szCs w:val="32"/>
        </w:rPr>
        <w:t>023年机关运行经费年初下达的预算指标未执行完，</w:t>
      </w:r>
      <w:r>
        <w:rPr>
          <w:rFonts w:hint="eastAsia" w:eastAsia="仿宋_GB2312" w:cs="仿宋_GB2312"/>
          <w:sz w:val="32"/>
          <w:szCs w:val="32"/>
        </w:rPr>
        <w:t>2</w:t>
      </w:r>
      <w:r>
        <w:rPr>
          <w:rFonts w:eastAsia="仿宋_GB2312" w:cs="仿宋_GB2312"/>
          <w:sz w:val="32"/>
          <w:szCs w:val="32"/>
        </w:rPr>
        <w:t>024年预算执行率较高。</w:t>
      </w:r>
    </w:p>
    <w:p>
      <w:pPr>
        <w:spacing w:line="600" w:lineRule="exact"/>
        <w:ind w:firstLine="642"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2024年度，攀枝花市公安局交通警察支队政府采购支出总额1092.7万元，其中：政府采购货物支出221.88万元、政府采购工程支出0万元、政府采购服务支出870.82万元。主要用于</w:t>
      </w:r>
      <w:r>
        <w:rPr>
          <w:rFonts w:hint="eastAsia" w:ascii="仿宋_GB2312" w:eastAsia="仿宋_GB2312"/>
          <w:sz w:val="32"/>
          <w:szCs w:val="32"/>
        </w:rPr>
        <w:t>公安交通管理信息化系统维护，车管所号牌制作、物业服务等</w:t>
      </w:r>
      <w:r>
        <w:rPr>
          <w:rFonts w:hint="eastAsia" w:ascii="仿宋_GB2312" w:hAnsi="仿宋_GB2312" w:eastAsia="仿宋_GB2312" w:cs="仿宋_GB2312"/>
          <w:sz w:val="32"/>
          <w:szCs w:val="32"/>
        </w:rPr>
        <w:t>。授予中小企业合同金额770.75万元，占政府采购支出总额的70.53%，其中：授予小微企业合同金额505.75万元，占政府采购支出总额的46.28%。</w:t>
      </w:r>
    </w:p>
    <w:p>
      <w:pPr>
        <w:spacing w:line="600" w:lineRule="exact"/>
        <w:ind w:firstLine="642"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截至2024年12月31日，攀枝花市公安局交通警察支队共有车辆57辆，</w:t>
      </w:r>
      <w:r>
        <w:rPr>
          <w:rFonts w:hint="eastAsia" w:ascii="仿宋_GB2312" w:eastAsia="仿宋_GB2312"/>
          <w:sz w:val="32"/>
          <w:szCs w:val="32"/>
        </w:rPr>
        <w:t>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辆、执勤执法用车5</w:t>
      </w:r>
      <w:r>
        <w:rPr>
          <w:rFonts w:ascii="仿宋_GB2312" w:eastAsia="仿宋_GB2312"/>
          <w:sz w:val="32"/>
          <w:szCs w:val="32"/>
        </w:rPr>
        <w:t>4辆、</w:t>
      </w:r>
      <w:r>
        <w:rPr>
          <w:rFonts w:hint="eastAsia" w:ascii="仿宋_GB2312" w:eastAsia="仿宋_GB2312"/>
          <w:sz w:val="32"/>
          <w:szCs w:val="32"/>
        </w:rPr>
        <w:t>其他用车</w:t>
      </w:r>
      <w:r>
        <w:rPr>
          <w:rFonts w:ascii="仿宋_GB2312" w:eastAsia="仿宋_GB2312"/>
          <w:sz w:val="32"/>
          <w:szCs w:val="32"/>
        </w:rPr>
        <w:t>3</w:t>
      </w:r>
      <w:r>
        <w:rPr>
          <w:rFonts w:hint="eastAsia" w:ascii="仿宋_GB2312" w:eastAsia="仿宋_GB2312"/>
          <w:sz w:val="32"/>
          <w:szCs w:val="32"/>
        </w:rPr>
        <w:t>辆，其他用车主要是用于</w:t>
      </w:r>
      <w:r>
        <w:rPr>
          <w:rFonts w:hint="eastAsia" w:ascii="仿宋_GB2312" w:hAnsi="Cambria" w:eastAsia="仿宋_GB2312"/>
          <w:bCs/>
          <w:color w:val="000000"/>
          <w:sz w:val="32"/>
          <w:szCs w:val="32"/>
        </w:rPr>
        <w:t>交警支队执行除执勤执法工作以外的公务活动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根据预算绩效管理要求，交警支队在2024年度预算编制阶段，组织对交通管理信息化系统建设维护费、特别业务费、非税收入征收成本性支出项目等</w:t>
      </w:r>
      <w:r>
        <w:rPr>
          <w:rFonts w:eastAsia="仿宋_GB2312" w:cs="仿宋_GB2312"/>
          <w:sz w:val="32"/>
          <w:szCs w:val="32"/>
        </w:rPr>
        <w:t>12</w:t>
      </w:r>
      <w:r>
        <w:rPr>
          <w:rFonts w:hint="eastAsia" w:eastAsia="仿宋_GB2312" w:cs="仿宋_GB2312"/>
          <w:sz w:val="32"/>
          <w:szCs w:val="32"/>
        </w:rPr>
        <w:t>个项目开展了预算事前绩效评估，对</w:t>
      </w:r>
      <w:r>
        <w:rPr>
          <w:rFonts w:eastAsia="仿宋_GB2312" w:cs="仿宋_GB2312"/>
          <w:sz w:val="32"/>
          <w:szCs w:val="32"/>
        </w:rPr>
        <w:t>12</w:t>
      </w:r>
      <w:r>
        <w:rPr>
          <w:rFonts w:hint="eastAsia" w:eastAsia="仿宋_GB2312" w:cs="仿宋_GB2312"/>
          <w:sz w:val="32"/>
          <w:szCs w:val="32"/>
        </w:rPr>
        <w:t>个项目编制了绩效目标，预算执行过程中，选取</w:t>
      </w:r>
      <w:r>
        <w:rPr>
          <w:rFonts w:eastAsia="仿宋_GB2312" w:cs="仿宋_GB2312"/>
          <w:sz w:val="32"/>
          <w:szCs w:val="32"/>
        </w:rPr>
        <w:t>12</w:t>
      </w:r>
      <w:r>
        <w:rPr>
          <w:rFonts w:hint="eastAsia" w:eastAsia="仿宋_GB2312" w:cs="仿宋_GB2312"/>
          <w:sz w:val="32"/>
          <w:szCs w:val="32"/>
        </w:rPr>
        <w:t>个项目开展绩效监控，</w:t>
      </w:r>
      <w:r>
        <w:rPr>
          <w:rFonts w:hint="eastAsia" w:ascii="仿宋_GB2312" w:eastAsia="仿宋_GB2312"/>
          <w:sz w:val="32"/>
          <w:szCs w:val="32"/>
        </w:rPr>
        <w:t>绩效自评表详见第四部分附件</w:t>
      </w:r>
      <w:r>
        <w:rPr>
          <w:rFonts w:hint="eastAsia" w:eastAsia="仿宋_GB2312" w:cs="仿宋_GB2312"/>
          <w:sz w:val="32"/>
          <w:szCs w:val="32"/>
        </w:rPr>
        <w:t>。</w:t>
      </w:r>
    </w:p>
    <w:p>
      <w:pPr>
        <w:pStyle w:val="3"/>
        <w:ind w:left="420" w:firstLine="360"/>
        <w:rPr>
          <w:rFonts w:ascii="Times New Roman"/>
          <w:sz w:val="18"/>
          <w:szCs w:val="18"/>
        </w:rPr>
      </w:pPr>
    </w:p>
    <w:p>
      <w:pPr>
        <w:pStyle w:val="3"/>
        <w:ind w:left="420"/>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pStyle w:val="26"/>
        <w:spacing w:line="560" w:lineRule="exact"/>
        <w:ind w:firstLine="640" w:firstLineChars="200"/>
        <w:rPr>
          <w:rFonts w:ascii="Times New Roman" w:hAnsi="Times New Roman" w:eastAsia="仿宋_GB2312" w:cs="Times New Roman"/>
          <w:sz w:val="32"/>
          <w:szCs w:val="32"/>
        </w:rPr>
      </w:pPr>
      <w:bookmarkStart w:id="45" w:name="_Toc15377226"/>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财政拨款收入：指单位从同级财政部门取得的财政预算资金。</w:t>
      </w:r>
    </w:p>
    <w:p>
      <w:pPr>
        <w:pStyle w:val="26"/>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其他收入：指单位取得的除财政拨款收入、事业收入、经营收入以外的各项收入。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公共安全支出（类）公安（款）行政运行（项）：反映政府维护社会公共安全方面公安事务及管理的基本支出。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公共安全支出（类）公安（款）一般行政管理实务（项）：反映政府维护社会公共安全方面公安事务及管理的未单独设置项级科目的其他项目支出。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公共安全支出（类）公安（款）信息化建设（项）：反映各级公安机关用于非涉密的信息网络建设和运行维护相关支出。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公共安全支出（类）公安（款）执法办案（项）：反映公安机关从事行政执法、刑事司法及侦查办案等相关活动的支出。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公共安全支出（类）公安（款）其他公安支出（项）：指反映除上述项目以外其他用于公安方面的支出。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社会保障和就业支出（类）行政事业单位养老支出（款）行政单位离退休（项）：指反映行政单位（包括实行公务员管理的事业单位）开支的离退休经费。</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社会保障和就业支出（类）行政事业单位离退休（款）机关事业单位基本养老保险缴费支出（项）：指反映机关事业单位实施养老保险制度由单位缴纳的基本养老保险支出。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社会保障和就业支出（类）行政事业单位离退休（款）机关事业单位职业年金缴费支出（项）：指反映机关事业单位实施养老保险制度由单位实际缴纳的职业年金支出。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社会保障和就业支出（类）抚恤（款）死亡抚恤（项）：指反映按规定用于烈士和牺牲、病故人员家属的一次性和定期抚恤金以及丧葬补助费。</w:t>
      </w:r>
    </w:p>
    <w:p>
      <w:pPr>
        <w:pStyle w:val="2"/>
        <w:snapToGrid/>
        <w:ind w:firstLine="360" w:firstLineChars="200"/>
        <w:jc w:val="both"/>
        <w:rPr>
          <w:rFonts w:ascii="仿宋_GB2312" w:hAnsi="仿宋_GB2312" w:eastAsia="仿宋_GB2312" w:cs="仿宋_GB2312"/>
          <w:color w:val="000000"/>
          <w:sz w:val="32"/>
          <w:szCs w:val="32"/>
        </w:rPr>
      </w:pPr>
      <w:r>
        <w:rPr>
          <w:rFonts w:hint="eastAsia"/>
        </w:rPr>
        <w:t xml:space="preserve"> </w:t>
      </w:r>
      <w:r>
        <w:t xml:space="preserve">  </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.卫生健康支出（类）行政事业单位医疗（款）行政单位医疗（项）:</w:t>
      </w:r>
      <w:r>
        <w:rPr>
          <w:rFonts w:ascii="仿宋_GB2312" w:hAnsi="仿宋_GB2312" w:eastAsia="仿宋_GB2312" w:cs="仿宋_GB2312"/>
          <w:color w:val="000000"/>
          <w:sz w:val="32"/>
          <w:szCs w:val="32"/>
        </w:rPr>
        <w:t>反映财政部门安排的行政单位（包括实行公务员管理的事业单位，下同）基本医疗保险缴费经费，未参加医疗保险的行政单位工费医疗经费，按国家规定享受离休人员、红军老战士待遇人员的医疗经费。</w:t>
      </w:r>
    </w:p>
    <w:p>
      <w:pPr>
        <w:pStyle w:val="2"/>
        <w:snapToGrid/>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.卫生健康支出（类）行政事业单位医疗（款）公务员医疗补助（项）:反映</w:t>
      </w:r>
      <w:r>
        <w:rPr>
          <w:rFonts w:ascii="仿宋_GB2312" w:hAnsi="仿宋_GB2312" w:eastAsia="仿宋_GB2312" w:cs="仿宋_GB2312"/>
          <w:color w:val="000000"/>
          <w:sz w:val="32"/>
          <w:szCs w:val="32"/>
        </w:rPr>
        <w:t>财政部门安排的公务员医疗补助经费。</w:t>
      </w:r>
    </w:p>
    <w:p>
      <w:pPr>
        <w:pStyle w:val="2"/>
        <w:snapToGrid/>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.卫生健康支出（类）行政事业单位医疗（款）其他行政事业单位医疗支出（项）:反映除上述项目以外的其他用于行政事业单位医疗方面的支出。</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.住房保障支出（类）住房改革支出（款）住房公积金（项）：指反映行政事业单位按照人力资源和社会保障部、财政部规定的基本工资和津贴补贴以及规定比例为职工缴纳的住房公积金。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r>
        <w:rPr>
          <w:rFonts w:ascii="宋体"/>
          <w:b/>
          <w:sz w:val="44"/>
          <w:szCs w:val="44"/>
        </w:rPr>
        <w:br w:type="page"/>
      </w:r>
      <w:bookmarkStart w:id="46" w:name="_Toc15396614"/>
      <w:r>
        <w:rPr>
          <w:rFonts w:hint="eastAsia" w:eastAsia="黑体"/>
          <w:sz w:val="44"/>
          <w:szCs w:val="44"/>
        </w:rPr>
        <w:t>第四部分  附件</w:t>
      </w:r>
      <w:bookmarkEnd w:id="46"/>
      <w:bookmarkStart w:id="47" w:name="_Toc15396618"/>
    </w:p>
    <w:p>
      <w:pPr>
        <w:pStyle w:val="2"/>
      </w:pPr>
    </w:p>
    <w:p>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w:t>
      </w:r>
      <w:r>
        <w:rPr>
          <w:sz w:val="32"/>
          <w:szCs w:val="32"/>
        </w:rPr>
        <w:t>4</w:t>
      </w:r>
      <w:r>
        <w:rPr>
          <w:rFonts w:hint="eastAsia"/>
          <w:sz w:val="32"/>
          <w:szCs w:val="32"/>
        </w:rPr>
        <w:t>年度）详见附件</w:t>
      </w: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国有资本经营预算财政拨款收入支出决算表（此表无数据）</w:t>
      </w:r>
    </w:p>
    <w:p>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国有资本经营预算财政拨款支出决算表（此表无数据）</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180285"/>
      <w:docPartObj>
        <w:docPartGallery w:val="AutoText"/>
      </w:docPartObj>
    </w:sdtPr>
    <w:sdtContent>
      <w:p>
        <w:pPr>
          <w:pStyle w:val="11"/>
          <w:jc w:val="center"/>
        </w:pPr>
        <w:r>
          <w:fldChar w:fldCharType="begin"/>
        </w:r>
        <w:r>
          <w:instrText xml:space="preserve">PAGE   \* MERGEFORMAT</w:instrText>
        </w:r>
        <w:r>
          <w:fldChar w:fldCharType="separate"/>
        </w:r>
        <w:r>
          <w:rPr>
            <w:lang w:val="zh-CN"/>
          </w:rPr>
          <w:t>-</w:t>
        </w:r>
        <w:r>
          <w:t xml:space="preserve"> 18 -</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3110F"/>
    <w:multiLevelType w:val="multilevel"/>
    <w:tmpl w:val="1EA3110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D8F54CA"/>
    <w:multiLevelType w:val="multilevel"/>
    <w:tmpl w:val="3D8F54CA"/>
    <w:lvl w:ilvl="0" w:tentative="0">
      <w:start w:val="1"/>
      <w:numFmt w:val="japaneseCounting"/>
      <w:lvlText w:val="%1、"/>
      <w:lvlJc w:val="left"/>
      <w:pPr>
        <w:ind w:left="1020" w:hanging="72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9FE"/>
    <w:rsid w:val="000222C6"/>
    <w:rsid w:val="0002549F"/>
    <w:rsid w:val="000468DB"/>
    <w:rsid w:val="00052A95"/>
    <w:rsid w:val="00052C22"/>
    <w:rsid w:val="00057990"/>
    <w:rsid w:val="0006487A"/>
    <w:rsid w:val="00065F8F"/>
    <w:rsid w:val="00070A43"/>
    <w:rsid w:val="000768F2"/>
    <w:rsid w:val="0009184B"/>
    <w:rsid w:val="00094236"/>
    <w:rsid w:val="0009593C"/>
    <w:rsid w:val="00097322"/>
    <w:rsid w:val="000A6A92"/>
    <w:rsid w:val="000B047F"/>
    <w:rsid w:val="000B4CC2"/>
    <w:rsid w:val="000B5923"/>
    <w:rsid w:val="000B5A48"/>
    <w:rsid w:val="000B6FF3"/>
    <w:rsid w:val="000C3467"/>
    <w:rsid w:val="000C3CA6"/>
    <w:rsid w:val="000D0413"/>
    <w:rsid w:val="000D1267"/>
    <w:rsid w:val="000D1D50"/>
    <w:rsid w:val="000D5782"/>
    <w:rsid w:val="000E356F"/>
    <w:rsid w:val="000E6613"/>
    <w:rsid w:val="000E7119"/>
    <w:rsid w:val="0010412A"/>
    <w:rsid w:val="00111968"/>
    <w:rsid w:val="00114E9B"/>
    <w:rsid w:val="00122B5C"/>
    <w:rsid w:val="001244F7"/>
    <w:rsid w:val="001304BA"/>
    <w:rsid w:val="00142216"/>
    <w:rsid w:val="00144D6A"/>
    <w:rsid w:val="0014729F"/>
    <w:rsid w:val="00157BAB"/>
    <w:rsid w:val="001654D1"/>
    <w:rsid w:val="00170979"/>
    <w:rsid w:val="00174518"/>
    <w:rsid w:val="00177096"/>
    <w:rsid w:val="0018106D"/>
    <w:rsid w:val="00183101"/>
    <w:rsid w:val="001877A7"/>
    <w:rsid w:val="001900A7"/>
    <w:rsid w:val="00191536"/>
    <w:rsid w:val="00196687"/>
    <w:rsid w:val="001A4A35"/>
    <w:rsid w:val="001C0962"/>
    <w:rsid w:val="001D7531"/>
    <w:rsid w:val="001E0ABC"/>
    <w:rsid w:val="001E3BD6"/>
    <w:rsid w:val="001E737D"/>
    <w:rsid w:val="001E7BD8"/>
    <w:rsid w:val="001F0592"/>
    <w:rsid w:val="001F7506"/>
    <w:rsid w:val="002006CD"/>
    <w:rsid w:val="00202B36"/>
    <w:rsid w:val="00204B7A"/>
    <w:rsid w:val="00204CDE"/>
    <w:rsid w:val="0021101A"/>
    <w:rsid w:val="00220536"/>
    <w:rsid w:val="002278B8"/>
    <w:rsid w:val="00235629"/>
    <w:rsid w:val="002528A5"/>
    <w:rsid w:val="00260C38"/>
    <w:rsid w:val="002616C0"/>
    <w:rsid w:val="00265372"/>
    <w:rsid w:val="002662AA"/>
    <w:rsid w:val="00280496"/>
    <w:rsid w:val="00282031"/>
    <w:rsid w:val="00292E02"/>
    <w:rsid w:val="00294D9E"/>
    <w:rsid w:val="00294DC9"/>
    <w:rsid w:val="00295495"/>
    <w:rsid w:val="002A31DE"/>
    <w:rsid w:val="002B2613"/>
    <w:rsid w:val="002C4FCA"/>
    <w:rsid w:val="002C7B77"/>
    <w:rsid w:val="002D6D05"/>
    <w:rsid w:val="002F151D"/>
    <w:rsid w:val="002F1818"/>
    <w:rsid w:val="002F36BE"/>
    <w:rsid w:val="002F463A"/>
    <w:rsid w:val="002F567B"/>
    <w:rsid w:val="0030127A"/>
    <w:rsid w:val="00310BE1"/>
    <w:rsid w:val="003216A9"/>
    <w:rsid w:val="003325B8"/>
    <w:rsid w:val="00335A74"/>
    <w:rsid w:val="00337879"/>
    <w:rsid w:val="003430C8"/>
    <w:rsid w:val="003464CD"/>
    <w:rsid w:val="0036561B"/>
    <w:rsid w:val="0037013F"/>
    <w:rsid w:val="00380C92"/>
    <w:rsid w:val="00382E3C"/>
    <w:rsid w:val="003A484F"/>
    <w:rsid w:val="003A4883"/>
    <w:rsid w:val="003B0BE0"/>
    <w:rsid w:val="003B0C1B"/>
    <w:rsid w:val="003B3E3E"/>
    <w:rsid w:val="003B688C"/>
    <w:rsid w:val="003C0291"/>
    <w:rsid w:val="003C39AE"/>
    <w:rsid w:val="003C7B60"/>
    <w:rsid w:val="003D0C0F"/>
    <w:rsid w:val="003D1FB2"/>
    <w:rsid w:val="003D2C06"/>
    <w:rsid w:val="003D66DA"/>
    <w:rsid w:val="003E1310"/>
    <w:rsid w:val="003E6F55"/>
    <w:rsid w:val="003E7434"/>
    <w:rsid w:val="003F1F05"/>
    <w:rsid w:val="00406254"/>
    <w:rsid w:val="004073C6"/>
    <w:rsid w:val="004223DE"/>
    <w:rsid w:val="00434489"/>
    <w:rsid w:val="00437085"/>
    <w:rsid w:val="00437B37"/>
    <w:rsid w:val="00442750"/>
    <w:rsid w:val="00443880"/>
    <w:rsid w:val="004464F4"/>
    <w:rsid w:val="0046304C"/>
    <w:rsid w:val="00463F46"/>
    <w:rsid w:val="00471401"/>
    <w:rsid w:val="00473F31"/>
    <w:rsid w:val="0048263A"/>
    <w:rsid w:val="00487E5D"/>
    <w:rsid w:val="004A160C"/>
    <w:rsid w:val="004A2F1D"/>
    <w:rsid w:val="004A711F"/>
    <w:rsid w:val="004B199D"/>
    <w:rsid w:val="004B1FFB"/>
    <w:rsid w:val="004B4690"/>
    <w:rsid w:val="004B64CE"/>
    <w:rsid w:val="004E0A2D"/>
    <w:rsid w:val="004E206B"/>
    <w:rsid w:val="004E6DF7"/>
    <w:rsid w:val="004F0FBD"/>
    <w:rsid w:val="004F1D9C"/>
    <w:rsid w:val="004F47A2"/>
    <w:rsid w:val="00500698"/>
    <w:rsid w:val="0050348B"/>
    <w:rsid w:val="00505A47"/>
    <w:rsid w:val="00507FC5"/>
    <w:rsid w:val="00512FDA"/>
    <w:rsid w:val="00520DA0"/>
    <w:rsid w:val="005510BF"/>
    <w:rsid w:val="005664BB"/>
    <w:rsid w:val="00566FFA"/>
    <w:rsid w:val="0057481D"/>
    <w:rsid w:val="00580EC3"/>
    <w:rsid w:val="0058486E"/>
    <w:rsid w:val="00585B33"/>
    <w:rsid w:val="0059014D"/>
    <w:rsid w:val="005A060C"/>
    <w:rsid w:val="005A1358"/>
    <w:rsid w:val="005B5A28"/>
    <w:rsid w:val="005B5C64"/>
    <w:rsid w:val="005C5337"/>
    <w:rsid w:val="005C6BD0"/>
    <w:rsid w:val="005D1C8B"/>
    <w:rsid w:val="005D468D"/>
    <w:rsid w:val="005D5CED"/>
    <w:rsid w:val="005E76D4"/>
    <w:rsid w:val="005F1A4C"/>
    <w:rsid w:val="00605688"/>
    <w:rsid w:val="006070AF"/>
    <w:rsid w:val="00607E6C"/>
    <w:rsid w:val="006101B1"/>
    <w:rsid w:val="00611B23"/>
    <w:rsid w:val="00614E44"/>
    <w:rsid w:val="0062270A"/>
    <w:rsid w:val="00622830"/>
    <w:rsid w:val="00623760"/>
    <w:rsid w:val="00623DA0"/>
    <w:rsid w:val="00630AEF"/>
    <w:rsid w:val="006325F8"/>
    <w:rsid w:val="00633463"/>
    <w:rsid w:val="00634C9A"/>
    <w:rsid w:val="0063530E"/>
    <w:rsid w:val="00637C91"/>
    <w:rsid w:val="006440E4"/>
    <w:rsid w:val="00652172"/>
    <w:rsid w:val="00652C91"/>
    <w:rsid w:val="00654115"/>
    <w:rsid w:val="00662659"/>
    <w:rsid w:val="006631B2"/>
    <w:rsid w:val="0066343B"/>
    <w:rsid w:val="00664777"/>
    <w:rsid w:val="00665BF6"/>
    <w:rsid w:val="006748A4"/>
    <w:rsid w:val="00681A31"/>
    <w:rsid w:val="00683E73"/>
    <w:rsid w:val="006A1162"/>
    <w:rsid w:val="006A3141"/>
    <w:rsid w:val="006A41AA"/>
    <w:rsid w:val="006A5E34"/>
    <w:rsid w:val="006B2422"/>
    <w:rsid w:val="006B2B9A"/>
    <w:rsid w:val="006B3E22"/>
    <w:rsid w:val="006C1937"/>
    <w:rsid w:val="006C26F0"/>
    <w:rsid w:val="006C6670"/>
    <w:rsid w:val="006D3FB6"/>
    <w:rsid w:val="006D682A"/>
    <w:rsid w:val="006E5EC7"/>
    <w:rsid w:val="006F020C"/>
    <w:rsid w:val="006F1D55"/>
    <w:rsid w:val="007127B7"/>
    <w:rsid w:val="0071798E"/>
    <w:rsid w:val="007416B6"/>
    <w:rsid w:val="00746F48"/>
    <w:rsid w:val="0075404D"/>
    <w:rsid w:val="0076182A"/>
    <w:rsid w:val="00767B7E"/>
    <w:rsid w:val="007716F0"/>
    <w:rsid w:val="007770C3"/>
    <w:rsid w:val="00784D24"/>
    <w:rsid w:val="00785FBA"/>
    <w:rsid w:val="00786E4A"/>
    <w:rsid w:val="007875EB"/>
    <w:rsid w:val="0079426B"/>
    <w:rsid w:val="007B107D"/>
    <w:rsid w:val="007B10BC"/>
    <w:rsid w:val="007C12B0"/>
    <w:rsid w:val="007D0CF5"/>
    <w:rsid w:val="007D1682"/>
    <w:rsid w:val="007D312A"/>
    <w:rsid w:val="007D3F19"/>
    <w:rsid w:val="007E23B0"/>
    <w:rsid w:val="007E23E5"/>
    <w:rsid w:val="007E377F"/>
    <w:rsid w:val="007F1991"/>
    <w:rsid w:val="007F2C2F"/>
    <w:rsid w:val="007F55FC"/>
    <w:rsid w:val="007F5665"/>
    <w:rsid w:val="00800112"/>
    <w:rsid w:val="00801591"/>
    <w:rsid w:val="00810CD7"/>
    <w:rsid w:val="00813348"/>
    <w:rsid w:val="008253BB"/>
    <w:rsid w:val="0083706E"/>
    <w:rsid w:val="008408F6"/>
    <w:rsid w:val="008423A5"/>
    <w:rsid w:val="00850205"/>
    <w:rsid w:val="00850625"/>
    <w:rsid w:val="00853718"/>
    <w:rsid w:val="00855221"/>
    <w:rsid w:val="00860645"/>
    <w:rsid w:val="00871F71"/>
    <w:rsid w:val="00872FD8"/>
    <w:rsid w:val="00875669"/>
    <w:rsid w:val="008811B8"/>
    <w:rsid w:val="00885AF4"/>
    <w:rsid w:val="00891FEE"/>
    <w:rsid w:val="008939CD"/>
    <w:rsid w:val="008B768C"/>
    <w:rsid w:val="008C4DB1"/>
    <w:rsid w:val="008C4EAF"/>
    <w:rsid w:val="008C5176"/>
    <w:rsid w:val="008C7FD0"/>
    <w:rsid w:val="008D7B32"/>
    <w:rsid w:val="008E1DE7"/>
    <w:rsid w:val="008E3598"/>
    <w:rsid w:val="008E707C"/>
    <w:rsid w:val="008F6433"/>
    <w:rsid w:val="00900B08"/>
    <w:rsid w:val="00902155"/>
    <w:rsid w:val="00902FA3"/>
    <w:rsid w:val="00915AC3"/>
    <w:rsid w:val="00923564"/>
    <w:rsid w:val="0092392E"/>
    <w:rsid w:val="009315F9"/>
    <w:rsid w:val="00931836"/>
    <w:rsid w:val="009331A6"/>
    <w:rsid w:val="00933499"/>
    <w:rsid w:val="00935C98"/>
    <w:rsid w:val="00937A62"/>
    <w:rsid w:val="00946945"/>
    <w:rsid w:val="00951248"/>
    <w:rsid w:val="0095152F"/>
    <w:rsid w:val="009531E7"/>
    <w:rsid w:val="00954C49"/>
    <w:rsid w:val="00955E37"/>
    <w:rsid w:val="0097099F"/>
    <w:rsid w:val="00971997"/>
    <w:rsid w:val="00971FFC"/>
    <w:rsid w:val="0097394C"/>
    <w:rsid w:val="00975A1D"/>
    <w:rsid w:val="00985431"/>
    <w:rsid w:val="0098660A"/>
    <w:rsid w:val="0099049C"/>
    <w:rsid w:val="009931C3"/>
    <w:rsid w:val="009A684F"/>
    <w:rsid w:val="009B2C43"/>
    <w:rsid w:val="009B4EAE"/>
    <w:rsid w:val="009B7573"/>
    <w:rsid w:val="009C22F4"/>
    <w:rsid w:val="009C2A4B"/>
    <w:rsid w:val="009C2E98"/>
    <w:rsid w:val="009C54E7"/>
    <w:rsid w:val="009D28AD"/>
    <w:rsid w:val="009D3447"/>
    <w:rsid w:val="009D4711"/>
    <w:rsid w:val="009E5638"/>
    <w:rsid w:val="009E6C9D"/>
    <w:rsid w:val="009F1185"/>
    <w:rsid w:val="009F18CD"/>
    <w:rsid w:val="009F2A13"/>
    <w:rsid w:val="009F7527"/>
    <w:rsid w:val="00A021D6"/>
    <w:rsid w:val="00A04EB0"/>
    <w:rsid w:val="00A13CC1"/>
    <w:rsid w:val="00A16847"/>
    <w:rsid w:val="00A177BB"/>
    <w:rsid w:val="00A237D8"/>
    <w:rsid w:val="00A268C4"/>
    <w:rsid w:val="00A27963"/>
    <w:rsid w:val="00A307CD"/>
    <w:rsid w:val="00A331C8"/>
    <w:rsid w:val="00A40A00"/>
    <w:rsid w:val="00A4142F"/>
    <w:rsid w:val="00A422EB"/>
    <w:rsid w:val="00A45BB7"/>
    <w:rsid w:val="00A46F5D"/>
    <w:rsid w:val="00A56DF2"/>
    <w:rsid w:val="00A56E6E"/>
    <w:rsid w:val="00A57274"/>
    <w:rsid w:val="00A67AB5"/>
    <w:rsid w:val="00A733B2"/>
    <w:rsid w:val="00A741C2"/>
    <w:rsid w:val="00A855C6"/>
    <w:rsid w:val="00A859DB"/>
    <w:rsid w:val="00A91760"/>
    <w:rsid w:val="00A93B00"/>
    <w:rsid w:val="00A93C21"/>
    <w:rsid w:val="00AA477A"/>
    <w:rsid w:val="00AB64C9"/>
    <w:rsid w:val="00AC2C6C"/>
    <w:rsid w:val="00AC3C6A"/>
    <w:rsid w:val="00AC44F6"/>
    <w:rsid w:val="00AD5620"/>
    <w:rsid w:val="00AD656B"/>
    <w:rsid w:val="00AD7C1B"/>
    <w:rsid w:val="00AE1353"/>
    <w:rsid w:val="00AE16BA"/>
    <w:rsid w:val="00AE1EBE"/>
    <w:rsid w:val="00B03C9D"/>
    <w:rsid w:val="00B060AE"/>
    <w:rsid w:val="00B10517"/>
    <w:rsid w:val="00B14B1A"/>
    <w:rsid w:val="00B14E76"/>
    <w:rsid w:val="00B161B8"/>
    <w:rsid w:val="00B2048C"/>
    <w:rsid w:val="00B24DA7"/>
    <w:rsid w:val="00B310B9"/>
    <w:rsid w:val="00B324AA"/>
    <w:rsid w:val="00B35F3F"/>
    <w:rsid w:val="00B36CBB"/>
    <w:rsid w:val="00B425E0"/>
    <w:rsid w:val="00B43BE8"/>
    <w:rsid w:val="00B440AA"/>
    <w:rsid w:val="00B44B70"/>
    <w:rsid w:val="00B500C8"/>
    <w:rsid w:val="00B53C56"/>
    <w:rsid w:val="00B57DAF"/>
    <w:rsid w:val="00B7537C"/>
    <w:rsid w:val="00B77EA6"/>
    <w:rsid w:val="00B81598"/>
    <w:rsid w:val="00B841F1"/>
    <w:rsid w:val="00B944D6"/>
    <w:rsid w:val="00BB252F"/>
    <w:rsid w:val="00BB30F2"/>
    <w:rsid w:val="00BB4DF0"/>
    <w:rsid w:val="00BC289F"/>
    <w:rsid w:val="00BC2D50"/>
    <w:rsid w:val="00BC5361"/>
    <w:rsid w:val="00BC5460"/>
    <w:rsid w:val="00BC6B50"/>
    <w:rsid w:val="00BD0E25"/>
    <w:rsid w:val="00BF55F1"/>
    <w:rsid w:val="00BF5BD6"/>
    <w:rsid w:val="00C03E31"/>
    <w:rsid w:val="00C03E55"/>
    <w:rsid w:val="00C2021F"/>
    <w:rsid w:val="00C22346"/>
    <w:rsid w:val="00C268DE"/>
    <w:rsid w:val="00C3225F"/>
    <w:rsid w:val="00C33E72"/>
    <w:rsid w:val="00C354B2"/>
    <w:rsid w:val="00C35554"/>
    <w:rsid w:val="00C36884"/>
    <w:rsid w:val="00C42709"/>
    <w:rsid w:val="00C533CC"/>
    <w:rsid w:val="00C53CB9"/>
    <w:rsid w:val="00C5751C"/>
    <w:rsid w:val="00C61BFC"/>
    <w:rsid w:val="00C62B85"/>
    <w:rsid w:val="00C63D20"/>
    <w:rsid w:val="00C65438"/>
    <w:rsid w:val="00C7711E"/>
    <w:rsid w:val="00C87FD8"/>
    <w:rsid w:val="00C91381"/>
    <w:rsid w:val="00C91CBB"/>
    <w:rsid w:val="00C94FA7"/>
    <w:rsid w:val="00CA7912"/>
    <w:rsid w:val="00CB3BB1"/>
    <w:rsid w:val="00CB4E70"/>
    <w:rsid w:val="00CB522D"/>
    <w:rsid w:val="00CC09B6"/>
    <w:rsid w:val="00CC0E4C"/>
    <w:rsid w:val="00CC666F"/>
    <w:rsid w:val="00CD1E3F"/>
    <w:rsid w:val="00CE44F6"/>
    <w:rsid w:val="00CE49DA"/>
    <w:rsid w:val="00CE7B61"/>
    <w:rsid w:val="00CF4A6C"/>
    <w:rsid w:val="00D00095"/>
    <w:rsid w:val="00D03963"/>
    <w:rsid w:val="00D114F0"/>
    <w:rsid w:val="00D20620"/>
    <w:rsid w:val="00D21691"/>
    <w:rsid w:val="00D254F7"/>
    <w:rsid w:val="00D26091"/>
    <w:rsid w:val="00D2685C"/>
    <w:rsid w:val="00D27326"/>
    <w:rsid w:val="00D31C61"/>
    <w:rsid w:val="00D34E7C"/>
    <w:rsid w:val="00D35489"/>
    <w:rsid w:val="00D36AFE"/>
    <w:rsid w:val="00D51276"/>
    <w:rsid w:val="00D7035F"/>
    <w:rsid w:val="00D71A03"/>
    <w:rsid w:val="00D77414"/>
    <w:rsid w:val="00D960DE"/>
    <w:rsid w:val="00D96417"/>
    <w:rsid w:val="00DA051A"/>
    <w:rsid w:val="00DA634F"/>
    <w:rsid w:val="00DA65AC"/>
    <w:rsid w:val="00DB1913"/>
    <w:rsid w:val="00DC2974"/>
    <w:rsid w:val="00DC3748"/>
    <w:rsid w:val="00DC410D"/>
    <w:rsid w:val="00DC5A81"/>
    <w:rsid w:val="00DC68CA"/>
    <w:rsid w:val="00DC7CBA"/>
    <w:rsid w:val="00DD73B7"/>
    <w:rsid w:val="00DD74F6"/>
    <w:rsid w:val="00DE0F56"/>
    <w:rsid w:val="00DF28BC"/>
    <w:rsid w:val="00DF34B9"/>
    <w:rsid w:val="00E01053"/>
    <w:rsid w:val="00E024A5"/>
    <w:rsid w:val="00E07ACF"/>
    <w:rsid w:val="00E13B9C"/>
    <w:rsid w:val="00E331A1"/>
    <w:rsid w:val="00E33202"/>
    <w:rsid w:val="00E336A9"/>
    <w:rsid w:val="00E472B1"/>
    <w:rsid w:val="00E50624"/>
    <w:rsid w:val="00E53510"/>
    <w:rsid w:val="00E54633"/>
    <w:rsid w:val="00E568DF"/>
    <w:rsid w:val="00E575B5"/>
    <w:rsid w:val="00E64269"/>
    <w:rsid w:val="00E76992"/>
    <w:rsid w:val="00E82267"/>
    <w:rsid w:val="00E853CE"/>
    <w:rsid w:val="00E867B6"/>
    <w:rsid w:val="00EA010F"/>
    <w:rsid w:val="00EB384E"/>
    <w:rsid w:val="00EB7374"/>
    <w:rsid w:val="00ED1B63"/>
    <w:rsid w:val="00ED2ACD"/>
    <w:rsid w:val="00ED3A4F"/>
    <w:rsid w:val="00ED3C1F"/>
    <w:rsid w:val="00ED4085"/>
    <w:rsid w:val="00ED420E"/>
    <w:rsid w:val="00ED4F39"/>
    <w:rsid w:val="00ED6686"/>
    <w:rsid w:val="00ED6FBE"/>
    <w:rsid w:val="00EE14E5"/>
    <w:rsid w:val="00EE2F57"/>
    <w:rsid w:val="00EE5BBA"/>
    <w:rsid w:val="00EF2B41"/>
    <w:rsid w:val="00EF4C34"/>
    <w:rsid w:val="00EF5DBC"/>
    <w:rsid w:val="00EF77C6"/>
    <w:rsid w:val="00F05438"/>
    <w:rsid w:val="00F1361C"/>
    <w:rsid w:val="00F156F0"/>
    <w:rsid w:val="00F160C7"/>
    <w:rsid w:val="00F2408F"/>
    <w:rsid w:val="00F240E9"/>
    <w:rsid w:val="00F27929"/>
    <w:rsid w:val="00F36D8F"/>
    <w:rsid w:val="00F417B1"/>
    <w:rsid w:val="00F43F9E"/>
    <w:rsid w:val="00F45853"/>
    <w:rsid w:val="00F545FA"/>
    <w:rsid w:val="00F602DF"/>
    <w:rsid w:val="00F7054C"/>
    <w:rsid w:val="00F754A1"/>
    <w:rsid w:val="00F81FD9"/>
    <w:rsid w:val="00F841AA"/>
    <w:rsid w:val="00F84A94"/>
    <w:rsid w:val="00F85EFD"/>
    <w:rsid w:val="00F87E96"/>
    <w:rsid w:val="00FA23E8"/>
    <w:rsid w:val="00FA3E15"/>
    <w:rsid w:val="00FA71C0"/>
    <w:rsid w:val="00FD1A28"/>
    <w:rsid w:val="00FD3CC1"/>
    <w:rsid w:val="00FF1E02"/>
    <w:rsid w:val="00FF30B4"/>
    <w:rsid w:val="00FF70F7"/>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B38AD"/>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Microsoft%20Excel%20&#24037;&#20316;&#34920;%20(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P\Desktop\&#26032;&#24314;%20XLS%20&#24037;&#20316;&#34920;%20(2).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1.xml"/><Relationship Id="rId1" Type="http://schemas.openxmlformats.org/officeDocument/2006/relationships/oleObject" Target="file:///E:\2024&#24180;&#24037;&#20316;\&#19978;&#25253;&#36164;&#26009;\2023&#24180;&#20915;&#31639;&#20844;&#24320;\&#34920;&#26684;.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2.xml"/><Relationship Id="rId1" Type="http://schemas.openxmlformats.org/officeDocument/2006/relationships/oleObject" Target="file:///E:\2024&#24180;&#24037;&#20316;\&#19978;&#25253;&#36164;&#26009;\2023&#24180;&#20915;&#31639;&#20844;&#2432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lgn="ctr" defTabSz="914400">
              <a:defRPr lang="zh-CN" sz="1800" b="1" i="0" u="none" strike="noStrike" kern="1200" spc="0" baseline="0">
                <a:solidFill>
                  <a:schemeClr val="tx1">
                    <a:lumMod val="65000"/>
                    <a:lumOff val="35000"/>
                  </a:schemeClr>
                </a:solidFill>
                <a:latin typeface="+mj-ea"/>
                <a:ea typeface="+mj-ea"/>
                <a:cs typeface="+mj-ea"/>
                <a:sym typeface="+mj-ea"/>
              </a:defRPr>
            </a:pPr>
            <a:r>
              <a:rPr lang="zh-CN" altLang="en-US" sz="1800" b="1">
                <a:latin typeface="+mj-ea"/>
                <a:ea typeface="+mj-ea"/>
                <a:cs typeface="+mj-ea"/>
                <a:sym typeface="+mj-ea"/>
              </a:rPr>
              <a:t>收入、支出决算总计变动情况</a:t>
            </a:r>
            <a:endParaRPr lang="zh-CN" altLang="en-US" sz="1800" b="1">
              <a:latin typeface="+mj-ea"/>
              <a:ea typeface="+mj-ea"/>
              <a:cs typeface="+mj-ea"/>
              <a:sym typeface="+mj-ea"/>
            </a:endParaRPr>
          </a:p>
        </c:rich>
      </c:tx>
      <c:layout>
        <c:manualLayout>
          <c:xMode val="edge"/>
          <c:yMode val="edge"/>
          <c:x val="0.164483042412673"/>
          <c:y val="0.018298261665141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8830.23</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9626.24</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(2).xls]Sheet1'!$A$1:$A$2</c:f>
              <c:strCache>
                <c:ptCount val="2"/>
                <c:pt idx="0">
                  <c:v>2023年</c:v>
                </c:pt>
                <c:pt idx="1">
                  <c:v>2024年</c:v>
                </c:pt>
              </c:strCache>
            </c:strRef>
          </c:cat>
          <c:val>
            <c:numRef>
              <c:f>'[新建 XLS 工作表 (2).xls]Sheet1'!$B$1:$B$2</c:f>
              <c:numCache>
                <c:formatCode>General</c:formatCode>
                <c:ptCount val="2"/>
                <c:pt idx="0">
                  <c:v>8830.23</c:v>
                </c:pt>
                <c:pt idx="1">
                  <c:v>9626.24</c:v>
                </c:pt>
              </c:numCache>
            </c:numRef>
          </c:val>
        </c:ser>
        <c:dLbls>
          <c:showLegendKey val="false"/>
          <c:showVal val="true"/>
          <c:showCatName val="false"/>
          <c:showSerName val="false"/>
          <c:showPercent val="false"/>
          <c:showBubbleSize val="false"/>
        </c:dLbls>
        <c:gapWidth val="219"/>
        <c:overlap val="-27"/>
        <c:axId val="528782912"/>
        <c:axId val="528783304"/>
      </c:barChart>
      <c:catAx>
        <c:axId val="5287829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8783304"/>
        <c:crosses val="autoZero"/>
        <c:auto val="true"/>
        <c:lblAlgn val="ctr"/>
        <c:lblOffset val="100"/>
        <c:noMultiLvlLbl val="false"/>
      </c:catAx>
      <c:valAx>
        <c:axId val="528783304"/>
        <c:scaling>
          <c:orientation val="minMax"/>
          <c:max val="100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878291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1" i="0" baseline="0">
                <a:effectLst/>
              </a:rPr>
              <a:t>收入决算结构图</a:t>
            </a:r>
            <a:endParaRPr lang="zh-CN" altLang="zh-CN">
              <a:effectLst/>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manualLayout>
                  <c:x val="-0.0367373140857392"/>
                  <c:y val="0.0063429571303587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0.9807</c:v>
                </c:pt>
                <c:pt idx="1" c:formatCode="0%">
                  <c:v>0.01</c:v>
                </c:pt>
                <c:pt idx="2">
                  <c:v>0.0093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0" i="0" u="none" strike="noStrike" kern="1200" spc="0" baseline="0">
                <a:solidFill>
                  <a:schemeClr val="tx1">
                    <a:lumMod val="65000"/>
                    <a:lumOff val="35000"/>
                  </a:schemeClr>
                </a:solidFill>
                <a:latin typeface="+mn-lt"/>
                <a:ea typeface="+mn-ea"/>
                <a:cs typeface="+mn-cs"/>
              </a:defRPr>
            </a:pPr>
            <a:r>
              <a:rPr lang="en-US" altLang="zh-CN" sz="1800" b="1"/>
              <a:t>2024</a:t>
            </a:r>
            <a:r>
              <a:rPr lang="zh-CN" altLang="en-US" sz="1800" b="1"/>
              <a:t>年度支出总计数结构图</a:t>
            </a:r>
            <a:endParaRPr lang="zh-CN" altLang="en-US" sz="1800" b="1"/>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69.23%</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30.77%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(2).xls]Sheet1'!$A$1:$A$2</c:f>
              <c:strCache>
                <c:ptCount val="2"/>
                <c:pt idx="0">
                  <c:v>基本支出</c:v>
                </c:pt>
                <c:pt idx="1">
                  <c:v>项目支出</c:v>
                </c:pt>
              </c:strCache>
            </c:strRef>
          </c:cat>
          <c:val>
            <c:numRef>
              <c:f>'[新建 XLS 工作表 (2).xls]Sheet1'!$B$1:$B$2</c:f>
              <c:numCache>
                <c:formatCode>0.00%</c:formatCode>
                <c:ptCount val="2"/>
                <c:pt idx="0">
                  <c:v>0.6824</c:v>
                </c:pt>
                <c:pt idx="1">
                  <c:v>0.3176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lgn="ctr" defTabSz="914400">
              <a:defRPr lang="zh-CN" sz="1800" b="1" i="0" u="none" strike="noStrike" kern="1200" spc="0" baseline="0">
                <a:solidFill>
                  <a:schemeClr val="tx1">
                    <a:lumMod val="65000"/>
                    <a:lumOff val="35000"/>
                  </a:schemeClr>
                </a:solidFill>
                <a:latin typeface="+mj-ea"/>
                <a:ea typeface="+mj-ea"/>
                <a:cs typeface="+mj-ea"/>
                <a:sym typeface="+mj-ea"/>
              </a:defRPr>
            </a:pPr>
            <a:r>
              <a:rPr lang="zh-CN" altLang="en-US" sz="1800" b="1">
                <a:latin typeface="+mj-ea"/>
                <a:ea typeface="+mj-ea"/>
                <a:cs typeface="+mj-ea"/>
                <a:sym typeface="+mj-ea"/>
              </a:rPr>
              <a:t>财政拨款收支决算总计变动情况</a:t>
            </a:r>
            <a:endParaRPr lang="zh-CN" altLang="en-US" sz="1800" b="1">
              <a:latin typeface="+mj-ea"/>
              <a:ea typeface="+mj-ea"/>
              <a:cs typeface="+mj-ea"/>
              <a:sym typeface="+mj-ea"/>
            </a:endParaRPr>
          </a:p>
        </c:rich>
      </c:tx>
      <c:layout>
        <c:manualLayout>
          <c:xMode val="edge"/>
          <c:yMode val="edge"/>
          <c:x val="0.164483042412673"/>
          <c:y val="0.018298261665141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8739.87</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9535.94</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(2).xls]Sheet1'!$A$1:$A$2</c:f>
              <c:strCache>
                <c:ptCount val="2"/>
                <c:pt idx="0">
                  <c:v>2023年</c:v>
                </c:pt>
                <c:pt idx="1">
                  <c:v>2024年</c:v>
                </c:pt>
              </c:strCache>
            </c:strRef>
          </c:cat>
          <c:val>
            <c:numRef>
              <c:f>'[新建 XLS 工作表 (2).xls]Sheet1'!$B$1:$B$2</c:f>
              <c:numCache>
                <c:formatCode>General</c:formatCode>
                <c:ptCount val="2"/>
                <c:pt idx="0">
                  <c:v>8830.23</c:v>
                </c:pt>
                <c:pt idx="1">
                  <c:v>9626.24</c:v>
                </c:pt>
              </c:numCache>
            </c:numRef>
          </c:val>
        </c:ser>
        <c:dLbls>
          <c:showLegendKey val="false"/>
          <c:showVal val="true"/>
          <c:showCatName val="false"/>
          <c:showSerName val="false"/>
          <c:showPercent val="false"/>
          <c:showBubbleSize val="false"/>
        </c:dLbls>
        <c:gapWidth val="219"/>
        <c:overlap val="-27"/>
        <c:axId val="528785264"/>
        <c:axId val="526541696"/>
      </c:barChart>
      <c:catAx>
        <c:axId val="52878526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6541696"/>
        <c:crosses val="autoZero"/>
        <c:auto val="true"/>
        <c:lblAlgn val="ctr"/>
        <c:lblOffset val="100"/>
        <c:noMultiLvlLbl val="false"/>
      </c:catAx>
      <c:valAx>
        <c:axId val="526541696"/>
        <c:scaling>
          <c:orientation val="minMax"/>
          <c:max val="100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878526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lgn="ctr" defTabSz="914400">
              <a:defRPr lang="zh-CN" sz="1800" b="1" i="0" u="none" strike="noStrike" kern="1200" spc="0" baseline="0">
                <a:solidFill>
                  <a:schemeClr val="tx1">
                    <a:lumMod val="65000"/>
                    <a:lumOff val="35000"/>
                  </a:schemeClr>
                </a:solidFill>
                <a:latin typeface="+mj-ea"/>
                <a:ea typeface="+mj-ea"/>
                <a:cs typeface="+mj-ea"/>
                <a:sym typeface="+mj-ea"/>
              </a:defRPr>
            </a:pPr>
            <a:r>
              <a:rPr lang="zh-CN" altLang="en-US" sz="1800" b="1">
                <a:latin typeface="+mj-ea"/>
                <a:ea typeface="+mj-ea"/>
                <a:cs typeface="+mj-ea"/>
                <a:sym typeface="+mj-ea"/>
              </a:rPr>
              <a:t>一般公共预算财政拨款支出决算变动情况</a:t>
            </a:r>
            <a:endParaRPr lang="zh-CN" altLang="en-US" sz="1800" b="1">
              <a:latin typeface="+mj-ea"/>
              <a:ea typeface="+mj-ea"/>
              <a:cs typeface="+mj-ea"/>
              <a:sym typeface="+mj-ea"/>
            </a:endParaRPr>
          </a:p>
        </c:rich>
      </c:tx>
      <c:layout>
        <c:manualLayout>
          <c:xMode val="edge"/>
          <c:yMode val="edge"/>
          <c:x val="0.106343535150072"/>
          <c:y val="0.0137236962488564"/>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8739.87</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9439.64</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(2).xls]Sheet1'!$A$1:$A$2</c:f>
              <c:strCache>
                <c:ptCount val="2"/>
                <c:pt idx="0">
                  <c:v>2023年</c:v>
                </c:pt>
                <c:pt idx="1">
                  <c:v>2024年</c:v>
                </c:pt>
              </c:strCache>
            </c:strRef>
          </c:cat>
          <c:val>
            <c:numRef>
              <c:f>'[新建 XLS 工作表 (2).xls]Sheet1'!$B$1:$B$2</c:f>
              <c:numCache>
                <c:formatCode>General</c:formatCode>
                <c:ptCount val="2"/>
                <c:pt idx="0">
                  <c:v>8830.23</c:v>
                </c:pt>
                <c:pt idx="1">
                  <c:v>9626.24</c:v>
                </c:pt>
              </c:numCache>
            </c:numRef>
          </c:val>
        </c:ser>
        <c:dLbls>
          <c:showLegendKey val="false"/>
          <c:showVal val="true"/>
          <c:showCatName val="false"/>
          <c:showSerName val="false"/>
          <c:showPercent val="false"/>
          <c:showBubbleSize val="false"/>
        </c:dLbls>
        <c:gapWidth val="219"/>
        <c:overlap val="-27"/>
        <c:axId val="526542872"/>
        <c:axId val="526544440"/>
      </c:barChart>
      <c:catAx>
        <c:axId val="52654287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6544440"/>
        <c:crosses val="autoZero"/>
        <c:auto val="true"/>
        <c:lblAlgn val="ctr"/>
        <c:lblOffset val="100"/>
        <c:noMultiLvlLbl val="false"/>
      </c:catAx>
      <c:valAx>
        <c:axId val="526544440"/>
        <c:scaling>
          <c:orientation val="minMax"/>
          <c:max val="100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654287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rPr>
              <a:t>一般公共预算财政拨款支出决算结构</a:t>
            </a:r>
            <a:r>
              <a:rPr lang="zh-CN" altLang="en-US" sz="1400" b="1" i="0" u="none" strike="noStrike" baseline="0">
                <a:effectLst/>
              </a:rPr>
              <a:t>图</a:t>
            </a:r>
            <a:endParaRPr lang="zh-CN" altLang="en-US" b="1"/>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82.86%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9.57%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2.67%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1.06%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3.84%</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Sheet1!$A$3:$A$7</c:f>
              <c:strCache>
                <c:ptCount val="5"/>
                <c:pt idx="0">
                  <c:v>公共安全支出</c:v>
                </c:pt>
                <c:pt idx="1">
                  <c:v>社会保障和就业支出</c:v>
                </c:pt>
                <c:pt idx="2">
                  <c:v>卫生健康支出</c:v>
                </c:pt>
                <c:pt idx="3">
                  <c:v>城乡社区支出</c:v>
                </c:pt>
                <c:pt idx="4">
                  <c:v>住房保障支出</c:v>
                </c:pt>
              </c:strCache>
            </c:strRef>
          </c:cat>
          <c:val>
            <c:numRef>
              <c:f>Sheet1!$B$3:$B$7</c:f>
              <c:numCache>
                <c:formatCode>0.00%</c:formatCode>
                <c:ptCount val="5"/>
                <c:pt idx="0">
                  <c:v>0.8215</c:v>
                </c:pt>
                <c:pt idx="1">
                  <c:v>0.1002</c:v>
                </c:pt>
                <c:pt idx="2">
                  <c:v>0.0331</c:v>
                </c:pt>
                <c:pt idx="3">
                  <c:v>0.0034</c:v>
                </c:pt>
                <c:pt idx="4">
                  <c:v>0.0418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rPr>
              <a:t>“三公”经费财政拨款支出结构</a:t>
            </a:r>
            <a:endParaRPr lang="zh-CN" altLang="en-US" b="1"/>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99.89%</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0.11%</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Sheet1!$A$3:$A$4</c:f>
              <c:strCache>
                <c:ptCount val="2"/>
                <c:pt idx="0">
                  <c:v>公务用车购置及运行维护费</c:v>
                </c:pt>
                <c:pt idx="1">
                  <c:v>公务接待费</c:v>
                </c:pt>
              </c:strCache>
            </c:strRef>
          </c:cat>
          <c:val>
            <c:numRef>
              <c:f>Sheet1!$B$3:$B$4</c:f>
              <c:numCache>
                <c:formatCode>0.00%</c:formatCode>
                <c:ptCount val="2"/>
                <c:pt idx="0">
                  <c:v>0.9884</c:v>
                </c:pt>
                <c:pt idx="1">
                  <c:v>0.0116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1152</Words>
  <Characters>6572</Characters>
  <Lines>54</Lines>
  <Paragraphs>15</Paragraphs>
  <TotalTime>454</TotalTime>
  <ScaleCrop>false</ScaleCrop>
  <LinksUpToDate>false</LinksUpToDate>
  <CharactersWithSpaces>7709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2025-09-08T10:29:00Z</cp:lastPrinted>
  <dcterms:modified xsi:type="dcterms:W3CDTF">2025-09-11T10:13:37Z</dcterms:modified>
  <dc:title>四川省***</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