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0" w:lineRule="atLeast"/>
        <w:ind w:left="0" w:firstLine="0" w:firstLineChars="0"/>
        <w:jc w:val="center"/>
        <w:rPr>
          <w:rFonts w:hint="eastAsia" w:ascii="Calibri" w:hAnsi="Calibri" w:eastAsia="方正小标宋_GBK"/>
          <w:bCs/>
          <w:sz w:val="44"/>
          <w:szCs w:val="44"/>
        </w:rPr>
      </w:pPr>
      <w:r>
        <w:rPr>
          <w:rFonts w:hint="eastAsia" w:ascii="Calibri" w:hAnsi="Calibri" w:eastAsia="方正小标宋_GBK"/>
          <w:bCs/>
          <w:sz w:val="44"/>
          <w:szCs w:val="44"/>
        </w:rPr>
        <w:t>攀枝花市生态环境局</w:t>
      </w:r>
    </w:p>
    <w:p>
      <w:pPr>
        <w:spacing w:line="0" w:lineRule="atLeast"/>
        <w:ind w:left="0" w:firstLine="0" w:firstLineChars="0"/>
        <w:jc w:val="center"/>
        <w:rPr>
          <w:rFonts w:hint="eastAsia"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</w:rPr>
        <w:t>关于攀枝花</w:t>
      </w:r>
      <w:r>
        <w:rPr>
          <w:rFonts w:hint="eastAsia" w:eastAsia="方正小标宋_GBK"/>
          <w:bCs/>
          <w:sz w:val="44"/>
          <w:szCs w:val="44"/>
          <w:lang w:eastAsia="zh-CN"/>
        </w:rPr>
        <w:t>安宁新能源科技有限公司</w:t>
      </w:r>
    </w:p>
    <w:p>
      <w:pPr>
        <w:spacing w:line="0" w:lineRule="atLeast"/>
        <w:ind w:left="0" w:firstLine="0" w:firstLineChars="0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  <w:lang w:val="en-US" w:eastAsia="zh-CN"/>
        </w:rPr>
        <w:t>2万吨/年</w:t>
      </w:r>
      <w:r>
        <w:rPr>
          <w:rFonts w:eastAsia="方正小标宋_GBK"/>
          <w:bCs/>
          <w:sz w:val="44"/>
          <w:szCs w:val="44"/>
        </w:rPr>
        <w:t>LNG气化站项目环境影响</w:t>
      </w:r>
    </w:p>
    <w:p>
      <w:pPr>
        <w:spacing w:line="0" w:lineRule="atLeast"/>
        <w:ind w:firstLine="26" w:firstLineChars="6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报告表的批复</w:t>
      </w:r>
    </w:p>
    <w:p>
      <w:pPr>
        <w:pStyle w:val="2"/>
        <w:rPr>
          <w:lang w:val="en-US" w:eastAsia="zh-CN"/>
        </w:rPr>
      </w:pPr>
    </w:p>
    <w:p>
      <w:pPr>
        <w:snapToGrid w:val="0"/>
        <w:spacing w:line="600" w:lineRule="exact"/>
        <w:ind w:left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攀枝花</w:t>
      </w:r>
      <w:r>
        <w:rPr>
          <w:rFonts w:hint="eastAsia" w:eastAsia="仿宋_GB2312"/>
          <w:sz w:val="32"/>
          <w:szCs w:val="32"/>
          <w:lang w:eastAsia="zh-CN"/>
        </w:rPr>
        <w:t>安宁新能源科技有限公司</w:t>
      </w:r>
      <w:r>
        <w:rPr>
          <w:rFonts w:eastAsia="仿宋_GB2312"/>
          <w:sz w:val="32"/>
          <w:szCs w:val="32"/>
        </w:rPr>
        <w:t>: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你公</w:t>
      </w:r>
      <w:r>
        <w:rPr>
          <w:rFonts w:hint="eastAsia" w:eastAsia="仿宋_GB2312"/>
          <w:sz w:val="32"/>
          <w:szCs w:val="32"/>
        </w:rPr>
        <w:t>司《</w:t>
      </w:r>
      <w:r>
        <w:rPr>
          <w:rFonts w:hint="eastAsia" w:eastAsia="仿宋_GB2312"/>
          <w:sz w:val="32"/>
          <w:szCs w:val="32"/>
          <w:lang w:val="en-US" w:eastAsia="zh-CN"/>
        </w:rPr>
        <w:t>2万吨/年</w:t>
      </w:r>
      <w:r>
        <w:rPr>
          <w:rFonts w:hint="eastAsia" w:eastAsia="仿宋_GB2312"/>
          <w:sz w:val="32"/>
          <w:szCs w:val="32"/>
        </w:rPr>
        <w:t>LNG气化站项目环境影</w:t>
      </w:r>
      <w:r>
        <w:rPr>
          <w:rFonts w:eastAsia="仿宋_GB2312"/>
          <w:sz w:val="32"/>
          <w:szCs w:val="32"/>
        </w:rPr>
        <w:t>响报告表》（以下简称“报告表”）收悉，</w:t>
      </w:r>
      <w:r>
        <w:rPr>
          <w:rFonts w:hint="eastAsia" w:eastAsia="仿宋_GB2312"/>
          <w:sz w:val="32"/>
          <w:szCs w:val="32"/>
        </w:rPr>
        <w:t>经研究</w:t>
      </w:r>
      <w:r>
        <w:rPr>
          <w:rFonts w:eastAsia="仿宋_GB2312"/>
          <w:sz w:val="32"/>
          <w:szCs w:val="32"/>
        </w:rPr>
        <w:t>，批复如下：</w:t>
      </w:r>
    </w:p>
    <w:p>
      <w:pPr>
        <w:snapToGrid w:val="0"/>
        <w:spacing w:line="60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eastAsia="仿宋_GB2312"/>
          <w:sz w:val="32"/>
          <w:szCs w:val="32"/>
        </w:rPr>
        <w:t>项目位于</w:t>
      </w:r>
      <w:r>
        <w:rPr>
          <w:rFonts w:hint="eastAsia" w:eastAsia="仿宋_GB2312"/>
          <w:sz w:val="32"/>
          <w:szCs w:val="32"/>
          <w:lang w:eastAsia="zh-CN"/>
        </w:rPr>
        <w:t>米易县白马工业园区一枝山工业区</w:t>
      </w:r>
      <w:r>
        <w:rPr>
          <w:rFonts w:hint="eastAsia" w:eastAsia="仿宋_GB2312"/>
          <w:sz w:val="32"/>
          <w:szCs w:val="32"/>
          <w:lang w:val="en-US" w:eastAsia="zh-CN"/>
        </w:rPr>
        <w:t>B区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在“</w:t>
      </w:r>
      <w:r>
        <w:rPr>
          <w:rFonts w:hint="eastAsia" w:eastAsia="仿宋_GB2312"/>
          <w:sz w:val="32"/>
          <w:szCs w:val="32"/>
        </w:rPr>
        <w:t>20万吨电池级磷酸铁及磷酸铁锂项目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  <w:lang w:val="en-US" w:eastAsia="zh-CN"/>
        </w:rPr>
        <w:t>厂区</w:t>
      </w:r>
      <w:r>
        <w:rPr>
          <w:rFonts w:hint="eastAsia" w:eastAsia="仿宋_GB2312"/>
          <w:sz w:val="32"/>
          <w:szCs w:val="32"/>
          <w:lang w:val="en-US" w:eastAsia="zh-CN"/>
        </w:rPr>
        <w:t>预留空地内</w:t>
      </w:r>
      <w:r>
        <w:rPr>
          <w:rFonts w:hint="eastAsia" w:eastAsia="仿宋_GB2312"/>
          <w:sz w:val="32"/>
          <w:szCs w:val="32"/>
          <w:lang w:eastAsia="zh-CN"/>
        </w:rPr>
        <w:t>新建</w:t>
      </w:r>
      <w:r>
        <w:rPr>
          <w:rFonts w:hint="eastAsia" w:eastAsia="仿宋_GB2312"/>
          <w:sz w:val="32"/>
          <w:szCs w:val="32"/>
        </w:rPr>
        <w:t>LNG（液化天然气）气化站1座，主要建设内容包括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3台LNG低温储罐、3台储罐增压器、2台卸车增压撬、3台空温式气化器、1台BOG加热器、1台EAG加热器、1套复热调压计量加臭撬等设备及其相关配套辅助设施。项目</w:t>
      </w:r>
      <w:r>
        <w:rPr>
          <w:rFonts w:hint="eastAsia" w:eastAsia="仿宋_GB2312"/>
          <w:sz w:val="32"/>
          <w:szCs w:val="32"/>
        </w:rPr>
        <w:t>建成后，年供天然气量</w:t>
      </w:r>
      <w:r>
        <w:rPr>
          <w:rFonts w:hint="eastAsia" w:eastAsia="仿宋_GB2312"/>
          <w:sz w:val="32"/>
          <w:szCs w:val="32"/>
          <w:lang w:val="en-US" w:eastAsia="zh-CN"/>
        </w:rPr>
        <w:t>2万吨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项目总投资</w:t>
      </w:r>
      <w:r>
        <w:rPr>
          <w:rFonts w:hint="eastAsia" w:eastAsia="仿宋_GB2312"/>
          <w:sz w:val="32"/>
          <w:szCs w:val="32"/>
          <w:lang w:val="en-US" w:eastAsia="zh-CN"/>
        </w:rPr>
        <w:t>600</w:t>
      </w:r>
      <w:r>
        <w:rPr>
          <w:rFonts w:eastAsia="仿宋_GB2312"/>
          <w:sz w:val="32"/>
          <w:szCs w:val="32"/>
        </w:rPr>
        <w:t>万元，其中环保投资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万元。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1" w:firstLineChars="0"/>
        <w:jc w:val="both"/>
        <w:textAlignment w:val="auto"/>
        <w:rPr>
          <w:rFonts w:eastAsia="仿宋_GB2312"/>
          <w:color w:val="auto"/>
          <w:kern w:val="0"/>
          <w:sz w:val="32"/>
          <w:szCs w:val="32"/>
          <w:lang w:eastAsia="zh-CN" w:bidi="ar-SA"/>
        </w:rPr>
      </w:pPr>
      <w:r>
        <w:rPr>
          <w:rFonts w:eastAsia="仿宋_GB2312"/>
          <w:color w:val="000000"/>
          <w:sz w:val="32"/>
          <w:szCs w:val="32"/>
          <w:lang w:eastAsia="zh-CN"/>
        </w:rPr>
        <w:t>二、攀枝花明升环境科技有限公司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受你公司委托对该项目开展环境影响评价，编制环境影响报告表。</w:t>
      </w:r>
      <w:r>
        <w:rPr>
          <w:rFonts w:eastAsia="仿宋_GB2312"/>
          <w:kern w:val="0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报告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表”认为项目符合国家产业政策，选址符合园区规划及规划环评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和生态环境分区管控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要求。在严格落实“报告表”提出的环保对策及措施，严格执行“三同时”制度，确保项目污染物达标排放，认真落实环境风险防范措施的前提下，该项目的建设从生态环境保护角度可行，我局原则同意“报告表”的环境影响评价总体结论和拟采取的各项生态环境保护措施。你公司应严格按照“报告表”中所列项目的建设性质、规模、工艺、地点和拟采取的环境保护措施进行建设和运行，以确保对环境的不利影响能够得到缓解和控制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</w:rPr>
        <w:t>、项目建设应做好以下工作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严格落实施工期各项污染控制措施。加强施工期环境管理，采取有效措施减轻或消除施工期废水、废渣、噪声、扬尘等对周围环境的影响。</w:t>
      </w:r>
    </w:p>
    <w:p>
      <w:pPr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）严格落实</w:t>
      </w:r>
      <w:r>
        <w:rPr>
          <w:rFonts w:hint="eastAsia" w:eastAsia="仿宋_GB2312"/>
          <w:sz w:val="32"/>
          <w:szCs w:val="32"/>
        </w:rPr>
        <w:t>运营</w:t>
      </w:r>
      <w:r>
        <w:rPr>
          <w:rFonts w:eastAsia="仿宋_GB2312"/>
          <w:sz w:val="32"/>
          <w:szCs w:val="32"/>
        </w:rPr>
        <w:t>期各项水污染防治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大气污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-SA"/>
        </w:rPr>
        <w:t>染防治</w:t>
      </w:r>
      <w:r>
        <w:rPr>
          <w:rFonts w:hint="eastAsia" w:eastAsia="仿宋_GB2312" w:cs="Times New Roman"/>
          <w:kern w:val="0"/>
          <w:sz w:val="32"/>
          <w:szCs w:val="32"/>
          <w:lang w:eastAsia="zh-CN" w:bidi="ar-SA"/>
        </w:rPr>
        <w:t>、</w:t>
      </w:r>
      <w:r>
        <w:rPr>
          <w:rFonts w:eastAsia="仿宋_GB2312"/>
          <w:sz w:val="32"/>
          <w:szCs w:val="32"/>
        </w:rPr>
        <w:t>噪声</w:t>
      </w:r>
      <w:r>
        <w:rPr>
          <w:rFonts w:hint="eastAsia" w:eastAsia="仿宋_GB2312"/>
          <w:sz w:val="32"/>
          <w:szCs w:val="32"/>
          <w:lang w:eastAsia="zh-CN"/>
        </w:rPr>
        <w:t>防治</w:t>
      </w:r>
      <w:r>
        <w:rPr>
          <w:rFonts w:eastAsia="仿宋_GB2312"/>
          <w:sz w:val="32"/>
          <w:szCs w:val="32"/>
        </w:rPr>
        <w:t>措施。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kern w:val="0"/>
          <w:sz w:val="32"/>
          <w:szCs w:val="32"/>
        </w:rPr>
        <w:t>生活污水</w:t>
      </w:r>
      <w:r>
        <w:rPr>
          <w:rFonts w:hint="eastAsia" w:eastAsia="仿宋_GB2312"/>
          <w:kern w:val="0"/>
          <w:sz w:val="32"/>
          <w:szCs w:val="32"/>
          <w:lang w:eastAsia="zh-CN"/>
        </w:rPr>
        <w:t>依托原有</w:t>
      </w:r>
      <w:r>
        <w:rPr>
          <w:rFonts w:hint="eastAsia" w:eastAsia="仿宋_GB2312"/>
          <w:kern w:val="0"/>
          <w:sz w:val="32"/>
          <w:szCs w:val="32"/>
        </w:rPr>
        <w:t>一体化污</w:t>
      </w:r>
      <w:r>
        <w:rPr>
          <w:rFonts w:hint="eastAsia" w:eastAsia="仿宋_GB2312"/>
          <w:sz w:val="32"/>
          <w:szCs w:val="32"/>
        </w:rPr>
        <w:t>水处理设施处理后用于厂区绿化。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-SA"/>
        </w:rPr>
        <w:t>生产过程中EAG气体经过EAG加热器加热后通过放散塔放散，BOG气体通过BOG加热器加热后返回电加热复热器利用。</w:t>
      </w:r>
      <w:r>
        <w:rPr>
          <w:rFonts w:hint="eastAsia" w:eastAsia="仿宋_GB2312"/>
          <w:sz w:val="32"/>
          <w:szCs w:val="32"/>
          <w:lang w:eastAsia="zh-CN"/>
        </w:rPr>
        <w:t>通过合理布局、</w:t>
      </w:r>
      <w:r>
        <w:rPr>
          <w:rFonts w:hint="eastAsia" w:eastAsia="仿宋_GB2312"/>
          <w:sz w:val="32"/>
          <w:szCs w:val="32"/>
        </w:rPr>
        <w:t>选用低噪声设备，</w:t>
      </w:r>
      <w:r>
        <w:rPr>
          <w:rFonts w:hint="eastAsia" w:eastAsia="仿宋_GB2312"/>
          <w:bCs/>
          <w:snapToGrid w:val="0"/>
          <w:color w:val="000000"/>
          <w:kern w:val="0"/>
          <w:sz w:val="32"/>
          <w:szCs w:val="32"/>
        </w:rPr>
        <w:t>安</w:t>
      </w:r>
      <w:r>
        <w:rPr>
          <w:rFonts w:hint="eastAsia" w:eastAsia="仿宋_GB2312"/>
          <w:sz w:val="32"/>
          <w:szCs w:val="32"/>
        </w:rPr>
        <w:t>装</w:t>
      </w:r>
      <w:r>
        <w:rPr>
          <w:rFonts w:hint="eastAsia" w:eastAsia="仿宋_GB2312"/>
          <w:sz w:val="32"/>
          <w:szCs w:val="32"/>
          <w:lang w:eastAsia="zh-CN"/>
        </w:rPr>
        <w:t>基础减震</w:t>
      </w:r>
      <w:r>
        <w:rPr>
          <w:rFonts w:hint="eastAsia" w:eastAsia="仿宋_GB2312"/>
          <w:sz w:val="32"/>
          <w:szCs w:val="32"/>
        </w:rPr>
        <w:t>等措施，</w:t>
      </w:r>
      <w:r>
        <w:rPr>
          <w:rFonts w:eastAsia="仿宋_GB2312"/>
          <w:sz w:val="32"/>
          <w:szCs w:val="32"/>
        </w:rPr>
        <w:t>降低噪声对周边环境的影响。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</w:rPr>
        <w:t>）严格落实</w:t>
      </w:r>
      <w:r>
        <w:rPr>
          <w:rFonts w:hint="eastAsia" w:eastAsia="仿宋_GB2312"/>
          <w:sz w:val="32"/>
          <w:szCs w:val="32"/>
        </w:rPr>
        <w:t>运营期固废</w:t>
      </w:r>
      <w:r>
        <w:rPr>
          <w:rFonts w:eastAsia="仿宋_GB2312"/>
          <w:sz w:val="32"/>
          <w:szCs w:val="32"/>
        </w:rPr>
        <w:t>治理措施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按照“减量化、资源化、无害化”原则</w:t>
      </w:r>
      <w:r>
        <w:rPr>
          <w:rFonts w:hint="eastAsia" w:eastAsia="仿宋_GB2312"/>
          <w:sz w:val="32"/>
          <w:szCs w:val="32"/>
          <w:lang w:eastAsia="zh-CN"/>
        </w:rPr>
        <w:t>，做好各类固体废物的收集、贮存、利用和处置工作。</w:t>
      </w:r>
      <w:r>
        <w:rPr>
          <w:rFonts w:eastAsia="仿宋_GB2312"/>
          <w:sz w:val="32"/>
          <w:szCs w:val="32"/>
          <w:u w:val="none"/>
          <w:lang w:val="en-US" w:eastAsia="zh-CN" w:bidi="ar-SA"/>
        </w:rPr>
        <w:t>废机油、废油桶、含油抹布及手套</w:t>
      </w:r>
      <w:r>
        <w:rPr>
          <w:rFonts w:eastAsia="仿宋_GB2312"/>
          <w:sz w:val="32"/>
          <w:szCs w:val="32"/>
          <w:u w:val="none"/>
          <w:lang w:eastAsia="zh-CN" w:bidi="ar-SA"/>
        </w:rPr>
        <w:t>等危险废物</w:t>
      </w:r>
      <w:r>
        <w:rPr>
          <w:rFonts w:eastAsia="仿宋_GB2312"/>
          <w:sz w:val="32"/>
          <w:szCs w:val="32"/>
          <w:u w:val="none"/>
          <w:lang w:val="en-US" w:eastAsia="zh-CN" w:bidi="ar-SA"/>
        </w:rPr>
        <w:t>经</w:t>
      </w:r>
      <w:r>
        <w:rPr>
          <w:rFonts w:eastAsia="仿宋_GB2312"/>
          <w:sz w:val="32"/>
          <w:szCs w:val="32"/>
          <w:u w:val="none"/>
          <w:lang w:eastAsia="zh-CN" w:bidi="ar-SA"/>
        </w:rPr>
        <w:t>分类</w:t>
      </w:r>
      <w:r>
        <w:rPr>
          <w:rFonts w:eastAsia="仿宋_GB2312"/>
          <w:sz w:val="32"/>
          <w:szCs w:val="32"/>
          <w:u w:val="none"/>
          <w:lang w:val="en-US" w:eastAsia="zh-CN" w:bidi="ar-SA"/>
        </w:rPr>
        <w:t>收集</w:t>
      </w:r>
      <w:r>
        <w:rPr>
          <w:rFonts w:eastAsia="仿宋_GB2312"/>
          <w:sz w:val="32"/>
          <w:szCs w:val="32"/>
          <w:u w:val="none"/>
          <w:lang w:eastAsia="zh-CN" w:bidi="ar-SA"/>
        </w:rPr>
        <w:t>、</w:t>
      </w:r>
      <w:r>
        <w:rPr>
          <w:rFonts w:eastAsia="仿宋_GB2312"/>
          <w:sz w:val="32"/>
          <w:szCs w:val="32"/>
          <w:u w:val="none"/>
          <w:lang w:val="en-US" w:eastAsia="zh-CN" w:bidi="ar-SA"/>
        </w:rPr>
        <w:t>暂存</w:t>
      </w:r>
      <w:r>
        <w:rPr>
          <w:rFonts w:eastAsia="仿宋_GB2312"/>
          <w:sz w:val="32"/>
          <w:szCs w:val="32"/>
          <w:u w:val="none"/>
          <w:lang w:eastAsia="zh-CN" w:bidi="ar-SA"/>
        </w:rPr>
        <w:t>后</w:t>
      </w:r>
      <w:r>
        <w:rPr>
          <w:rFonts w:eastAsia="仿宋_GB2312"/>
          <w:sz w:val="32"/>
          <w:szCs w:val="32"/>
          <w:u w:val="none"/>
          <w:lang w:val="en-US" w:eastAsia="zh-CN" w:bidi="ar-SA"/>
        </w:rPr>
        <w:t>，定期交由</w:t>
      </w:r>
      <w:r>
        <w:rPr>
          <w:rFonts w:eastAsia="仿宋_GB2312"/>
          <w:sz w:val="32"/>
          <w:szCs w:val="32"/>
          <w:u w:val="none"/>
          <w:lang w:eastAsia="zh-CN" w:bidi="ar-SA"/>
        </w:rPr>
        <w:t>有</w:t>
      </w:r>
      <w:r>
        <w:rPr>
          <w:rFonts w:eastAsia="仿宋_GB2312"/>
          <w:sz w:val="32"/>
          <w:szCs w:val="32"/>
          <w:u w:val="none"/>
          <w:lang w:val="en-US" w:eastAsia="zh-CN" w:bidi="ar-SA"/>
        </w:rPr>
        <w:t>资质单位处置。生活垃圾</w:t>
      </w:r>
      <w:r>
        <w:rPr>
          <w:rFonts w:eastAsia="仿宋_GB2312"/>
          <w:sz w:val="32"/>
          <w:szCs w:val="32"/>
          <w:u w:val="none"/>
          <w:lang w:eastAsia="zh-CN" w:bidi="ar-SA"/>
        </w:rPr>
        <w:t>经收集后，</w:t>
      </w:r>
      <w:r>
        <w:rPr>
          <w:rFonts w:eastAsia="仿宋_GB2312"/>
          <w:sz w:val="32"/>
          <w:szCs w:val="32"/>
          <w:u w:val="none"/>
          <w:lang w:val="en-US" w:eastAsia="zh-CN" w:bidi="ar-SA"/>
        </w:rPr>
        <w:t>由环卫部门清运处置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  <w:lang w:eastAsia="zh-CN" w:bidi="ar-SA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eastAsia="仿宋_GB2312"/>
          <w:sz w:val="32"/>
          <w:szCs w:val="32"/>
        </w:rPr>
        <w:t>）高度重视环境风险防范工作。</w:t>
      </w:r>
      <w:r>
        <w:rPr>
          <w:rFonts w:eastAsia="仿宋_GB2312"/>
          <w:color w:val="auto"/>
          <w:kern w:val="0"/>
          <w:sz w:val="32"/>
          <w:szCs w:val="32"/>
          <w:u w:val="none"/>
          <w:lang w:eastAsia="zh-CN" w:bidi="ar-SA"/>
        </w:rPr>
        <w:t>严格落实“报告表”提出的各项风险防范措施，保证出现事故能得到及时、有效处理，强化环境风险管理工作，确保环境安全。严格规范排污口建设，落实环境监测计划，建立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健全环境管理机制和环保规章制度，落实岗位环保责任制，加强污染治理设施的日常运行及维护管理，确保污染物稳定达标排放。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eastAsia="仿宋_GB2312"/>
          <w:sz w:val="32"/>
          <w:szCs w:val="32"/>
        </w:rPr>
        <w:t>）加强公众参与。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项目在建设及运行管理中，应根据公众的反映，进一步加强与公众沟通，以适当、稳妥、有效的方式，切实做好宣传、解释、维稳工作，及时解决公众提出的合理环境诉求，避免因公众参与工作落实不到位、相关环保措施不落实，导致环境纠纷和社会稳定问题。</w:t>
      </w:r>
    </w:p>
    <w:p>
      <w:pPr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eastAsia="仿宋_GB2312"/>
          <w:sz w:val="32"/>
          <w:szCs w:val="32"/>
        </w:rPr>
        <w:t>）其他应注意的事项按“报告</w:t>
      </w: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”、国家相关法律法规、专家技术审查意见落实。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lang w:eastAsia="zh-CN" w:bidi="ar-SA"/>
        </w:rPr>
      </w:pPr>
      <w:r>
        <w:rPr>
          <w:rFonts w:hint="eastAsia" w:eastAsia="仿宋_GB2312"/>
          <w:sz w:val="32"/>
          <w:szCs w:val="32"/>
          <w:lang w:eastAsia="zh-CN" w:bidi="ar-SA"/>
        </w:rPr>
        <w:t>四</w:t>
      </w:r>
      <w:r>
        <w:rPr>
          <w:rFonts w:eastAsia="仿宋_GB2312"/>
          <w:sz w:val="32"/>
          <w:szCs w:val="32"/>
          <w:lang w:eastAsia="zh-CN" w:bidi="ar-SA"/>
        </w:rPr>
        <w:t>、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项目必须严格执行环保</w:t>
      </w:r>
      <w:r>
        <w:rPr>
          <w:rFonts w:eastAsia="仿宋_GB2312"/>
          <w:kern w:val="0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三同时”制度和排污许可制度，调试排污前必须按照国家排污许可证有关规定，向我局</w:t>
      </w:r>
      <w:r>
        <w:rPr>
          <w:rFonts w:hint="eastAsia" w:eastAsia="仿宋_GB2312"/>
          <w:color w:val="auto"/>
          <w:kern w:val="0"/>
          <w:sz w:val="32"/>
          <w:szCs w:val="32"/>
          <w:lang w:eastAsia="zh-CN" w:bidi="ar-SA"/>
        </w:rPr>
        <w:t>重新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申领排污许可证</w:t>
      </w:r>
      <w:r>
        <w:rPr>
          <w:rFonts w:hint="eastAsia" w:eastAsia="仿宋_GB2312"/>
          <w:color w:val="auto"/>
          <w:kern w:val="0"/>
          <w:sz w:val="32"/>
          <w:szCs w:val="32"/>
          <w:lang w:eastAsia="zh-CN" w:bidi="ar-SA"/>
        </w:rPr>
        <w:t>或进行排污登记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，不得无证排污或不按证排污。项目竣工后，必须按规定程序开展竣工环境保护验收，验收合格后方可投入使用。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 w:bidi="ar-SA"/>
        </w:rPr>
        <w:t>五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、项目环境影响评价文件经批准后，</w:t>
      </w:r>
      <w:r>
        <w:rPr>
          <w:rFonts w:eastAsia="仿宋_GB2312"/>
          <w:color w:val="auto"/>
          <w:kern w:val="0"/>
          <w:sz w:val="32"/>
          <w:szCs w:val="32"/>
          <w:vertAlign w:val="baseline"/>
          <w:lang w:val="en-US" w:eastAsia="zh-CN" w:bidi="ar-SA"/>
        </w:rPr>
        <w:t>如项目的性质、规模、工艺、地点或者防治污染、防止生态破坏的措施发生重大变动的，建设单位应当重新报批环境影响评价文件，否则不得实施。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自环评文件批准之日起，超过5年方决定该项目开工建设的，环境影响评价文件应当报我局重新审核。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仿宋_GB2312"/>
          <w:w w:val="95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 w:bidi="ar-SA"/>
        </w:rPr>
        <w:t>六</w:t>
      </w:r>
      <w:r>
        <w:rPr>
          <w:rFonts w:eastAsia="仿宋_GB2312"/>
          <w:color w:val="auto"/>
          <w:kern w:val="0"/>
          <w:sz w:val="32"/>
          <w:szCs w:val="32"/>
          <w:lang w:eastAsia="zh-CN" w:bidi="ar-SA"/>
        </w:rPr>
        <w:t>、</w:t>
      </w:r>
      <w:r>
        <w:rPr>
          <w:rFonts w:eastAsia="仿宋_GB2312"/>
          <w:sz w:val="32"/>
          <w:szCs w:val="32"/>
        </w:rPr>
        <w:t>请市生态环境保护综合行政执法支队和</w:t>
      </w:r>
      <w:r>
        <w:rPr>
          <w:rFonts w:hint="eastAsia" w:eastAsia="仿宋_GB2312"/>
          <w:sz w:val="32"/>
          <w:szCs w:val="32"/>
        </w:rPr>
        <w:t>攀枝花市</w:t>
      </w:r>
      <w:r>
        <w:rPr>
          <w:rFonts w:eastAsia="仿宋_GB2312"/>
          <w:sz w:val="32"/>
          <w:szCs w:val="32"/>
        </w:rPr>
        <w:t>米易生态</w:t>
      </w:r>
      <w:r>
        <w:rPr>
          <w:rFonts w:eastAsia="仿宋_GB2312"/>
          <w:w w:val="95"/>
          <w:sz w:val="32"/>
          <w:szCs w:val="32"/>
        </w:rPr>
        <w:t>环境局</w:t>
      </w:r>
      <w:r>
        <w:rPr>
          <w:rFonts w:hint="eastAsia" w:eastAsia="仿宋_GB2312"/>
          <w:sz w:val="32"/>
          <w:szCs w:val="32"/>
        </w:rPr>
        <w:t>加强对该项目的监督管理。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pacing w:line="600" w:lineRule="exac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你公司应在收到本批复15个工作日内将批准后的“报告</w:t>
      </w:r>
      <w:r>
        <w:rPr>
          <w:rFonts w:eastAsia="仿宋_GB2312"/>
          <w:kern w:val="0"/>
          <w:sz w:val="32"/>
          <w:szCs w:val="32"/>
        </w:rPr>
        <w:t>表</w:t>
      </w:r>
      <w:r>
        <w:rPr>
          <w:rFonts w:hint="eastAsia" w:eastAsia="仿宋_GB2312"/>
          <w:kern w:val="0"/>
          <w:sz w:val="32"/>
          <w:szCs w:val="32"/>
        </w:rPr>
        <w:t>”送达攀枝花市米易</w:t>
      </w:r>
      <w:r>
        <w:rPr>
          <w:rFonts w:eastAsia="仿宋_GB2312"/>
          <w:kern w:val="0"/>
          <w:sz w:val="32"/>
          <w:szCs w:val="32"/>
        </w:rPr>
        <w:t>生态环境局</w:t>
      </w:r>
      <w:r>
        <w:rPr>
          <w:rFonts w:hint="eastAsia" w:eastAsia="仿宋_GB2312"/>
          <w:kern w:val="0"/>
          <w:sz w:val="32"/>
          <w:szCs w:val="32"/>
        </w:rPr>
        <w:t>备案，并接受各级生态环境主管部门的监管。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600" w:lineRule="exact"/>
        <w:ind w:firstLine="4198" w:firstLineChars="1312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600" w:lineRule="exact"/>
        <w:ind w:firstLine="4198" w:firstLineChars="1312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攀枝花市生态环境局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600" w:lineRule="exact"/>
        <w:ind w:firstLine="4400" w:firstLineChars="1375"/>
        <w:jc w:val="both"/>
        <w:textAlignment w:val="auto"/>
        <w:rPr>
          <w:rFonts w:eastAsia="仿宋_GB2312"/>
          <w:snapToGrid w:val="0"/>
          <w:sz w:val="32"/>
          <w:szCs w:val="32"/>
        </w:rPr>
      </w:pPr>
      <w:r>
        <w:rPr>
          <w:rFonts w:eastAsia="仿宋_GB2312"/>
          <w:snapToGrid w:val="0"/>
          <w:sz w:val="32"/>
          <w:szCs w:val="32"/>
        </w:rPr>
        <w:t xml:space="preserve"> 202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5</w:t>
      </w:r>
      <w:r>
        <w:rPr>
          <w:rFonts w:eastAsia="仿宋_GB2312"/>
          <w:snapToGrid w:val="0"/>
          <w:sz w:val="32"/>
          <w:szCs w:val="32"/>
        </w:rPr>
        <w:t>年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7</w:t>
      </w:r>
      <w:r>
        <w:rPr>
          <w:rFonts w:eastAsia="仿宋_GB2312"/>
          <w:snapToGrid w:val="0"/>
          <w:sz w:val="32"/>
          <w:szCs w:val="32"/>
        </w:rPr>
        <w:t>月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2</w:t>
      </w:r>
      <w:r>
        <w:rPr>
          <w:rFonts w:eastAsia="仿宋_GB2312"/>
          <w:snapToGrid w:val="0"/>
          <w:sz w:val="32"/>
          <w:szCs w:val="32"/>
          <w:lang w:val="en-US" w:eastAsia="zh-CN"/>
        </w:rPr>
        <w:t>8</w:t>
      </w:r>
      <w:r>
        <w:rPr>
          <w:rFonts w:eastAsia="仿宋_GB2312"/>
          <w:snapToGrid w:val="0"/>
          <w:sz w:val="32"/>
          <w:szCs w:val="32"/>
        </w:rPr>
        <w:t xml:space="preserve">日 </w:t>
      </w:r>
    </w:p>
    <w:p>
      <w:pPr>
        <w:pStyle w:val="2"/>
        <w:rPr>
          <w:rFonts w:eastAsia="仿宋_GB2312"/>
          <w:snapToGrid w:val="0"/>
          <w:sz w:val="32"/>
          <w:szCs w:val="32"/>
        </w:rPr>
      </w:pPr>
    </w:p>
    <w:p>
      <w:pPr>
        <w:rPr>
          <w:rFonts w:eastAsia="仿宋_GB2312"/>
          <w:snapToGrid w:val="0"/>
          <w:sz w:val="32"/>
          <w:szCs w:val="32"/>
        </w:rPr>
      </w:pPr>
    </w:p>
    <w:p>
      <w:pPr>
        <w:pStyle w:val="2"/>
        <w:rPr>
          <w:rFonts w:eastAsia="仿宋_GB2312"/>
          <w:snapToGrid w:val="0"/>
          <w:sz w:val="32"/>
          <w:szCs w:val="32"/>
        </w:rPr>
      </w:pPr>
    </w:p>
    <w:p>
      <w:pPr>
        <w:rPr>
          <w:rFonts w:eastAsia="仿宋_GB2312"/>
          <w:snapToGrid w:val="0"/>
          <w:sz w:val="32"/>
          <w:szCs w:val="32"/>
        </w:rPr>
      </w:pPr>
    </w:p>
    <w:p>
      <w:pPr>
        <w:pStyle w:val="2"/>
      </w:pPr>
    </w:p>
    <w:p>
      <w:pPr>
        <w:pStyle w:val="2"/>
        <w:ind w:left="0" w:firstLine="0" w:firstLineChars="0"/>
      </w:pPr>
    </w:p>
    <w:p/>
    <w:p/>
    <w:p>
      <w:pPr>
        <w:pStyle w:val="2"/>
      </w:pPr>
    </w:p>
    <w:p>
      <w:pPr>
        <w:spacing w:line="520" w:lineRule="exact"/>
        <w:ind w:right="-99" w:firstLine="0" w:firstLineChars="0"/>
        <w:rPr>
          <w:rFonts w:eastAsia="仿宋_GB2312"/>
          <w:snapToGrid w:val="0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7019925</wp:posOffset>
                </wp:positionV>
                <wp:extent cx="5378450" cy="1270"/>
                <wp:effectExtent l="0" t="0" r="0" b="0"/>
                <wp:wrapNone/>
                <wp:docPr id="30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8450" cy="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7.25pt;margin-top:552.75pt;height:0.1pt;width:423.5pt;z-index:1024;mso-width-relative:page;mso-height-relative:page;" fillcolor="#FFFFFF" filled="t" stroked="t" coordsize="21600,21600" o:gfxdata="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Kk4RM2AAAAA0B&#10;AAAPAAAAAAAAAAEAIAAAADgAAABkcnMvZG93bnJldi54bWxQSwECFAAUAAAACACHTuJApHY5tgUC&#10;AAAEBAAADgAAAAAAAAABACAAAAA9AQAAZHJzL2Uyb0RvYy54bWxQSwUGAAAAAAYABgBZAQAAtAUA&#10;AAAA&#10;">
                <v:fill on="t" focussize="0,0"/>
                <v:stroke weight="3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6967220</wp:posOffset>
                </wp:positionV>
                <wp:extent cx="5378450" cy="5080"/>
                <wp:effectExtent l="0" t="0" r="0" b="0"/>
                <wp:wrapNone/>
                <wp:docPr id="3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true">
                          <a:off x="0" y="0"/>
                          <a:ext cx="5378450" cy="507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7.25pt;margin-top:548.6pt;height:0.4pt;width:423.5pt;z-index:1024;mso-width-relative:page;mso-height-relative:page;" fillcolor="#FFFFFF" filled="t" stroked="t" coordsize="21600,21600" o:gfxdata="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p8Vv/XAAAADQEAAA8AAAAAAAAAAQAgAAAAOAAAAGRycy9kb3ducmV2LnhtbFBLAQIU&#10;ABQAAAAIAIdO4kCmpt8bFwIAACAEAAAOAAAAAAAAAAEAIAAAADwBAABkcnMvZTJvRG9jLnhtbFBL&#10;BQYAAAAABgAGAFkBAADFBQAAAAA=&#10;">
                <v:fill on="t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</w:p>
    <w:sectPr>
      <w:footerReference r:id="rId9" w:type="first"/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1440" w:right="1800" w:bottom="1440" w:left="1800" w:header="566" w:footer="1303" w:gutter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穝灿砰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_x0008_.....">
    <w:altName w:val="方正书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6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0" w:firstLine="0" w:firstLineChars="0"/>
      <w:rPr>
        <w:rFonts w:hint="eastAsia" w:ascii="宋体" w:cs="宋体"/>
        <w:sz w:val="28"/>
        <w:szCs w:val="28"/>
        <w:lang w:bidi="ar-SA"/>
      </w:rPr>
    </w:pPr>
    <w:r>
      <w:rPr>
        <w:rStyle w:val="28"/>
        <w:rFonts w:hint="eastAsia" w:ascii="宋体" w:cs="宋体"/>
        <w:sz w:val="28"/>
        <w:szCs w:val="28"/>
        <w:lang w:bidi="ar-SA"/>
      </w:rPr>
      <w:t xml:space="preserve">— </w:t>
    </w:r>
    <w:r>
      <w:rPr>
        <w:rStyle w:val="28"/>
        <w:rFonts w:hint="eastAsia" w:ascii="宋体" w:cs="宋体"/>
        <w:sz w:val="28"/>
        <w:szCs w:val="28"/>
        <w:lang w:bidi="ar-SA"/>
      </w:rPr>
      <w:fldChar w:fldCharType="begin"/>
    </w:r>
    <w:r>
      <w:rPr>
        <w:rStyle w:val="28"/>
        <w:rFonts w:hint="eastAsia" w:ascii="宋体" w:cs="宋体"/>
        <w:sz w:val="28"/>
        <w:szCs w:val="28"/>
        <w:lang w:bidi="ar-SA"/>
      </w:rPr>
      <w:instrText xml:space="preserve">Page</w:instrText>
    </w:r>
    <w:r>
      <w:rPr>
        <w:rStyle w:val="28"/>
        <w:rFonts w:hint="eastAsia" w:ascii="宋体" w:cs="宋体"/>
        <w:sz w:val="28"/>
        <w:szCs w:val="28"/>
        <w:lang w:bidi="ar-SA"/>
      </w:rPr>
      <w:fldChar w:fldCharType="separate"/>
    </w:r>
    <w:r>
      <w:rPr>
        <w:rStyle w:val="28"/>
        <w:rFonts w:hint="eastAsia" w:ascii="宋体" w:cs="宋体"/>
        <w:sz w:val="28"/>
        <w:szCs w:val="28"/>
        <w:lang w:bidi="ar-SA"/>
      </w:rPr>
      <w:t>3</w:t>
    </w:r>
    <w:r>
      <w:rPr>
        <w:rStyle w:val="28"/>
        <w:rFonts w:hint="eastAsia" w:ascii="宋体" w:cs="宋体"/>
        <w:sz w:val="28"/>
        <w:szCs w:val="28"/>
        <w:lang w:bidi="ar-SA"/>
      </w:rPr>
      <w:fldChar w:fldCharType="end"/>
    </w:r>
    <w:r>
      <w:rPr>
        <w:rStyle w:val="28"/>
        <w:rFonts w:hint="eastAsia" w:ascii="宋体" w:cs="宋体"/>
        <w:sz w:val="28"/>
        <w:szCs w:val="28"/>
        <w:lang w:bidi="ar-SA"/>
      </w:rPr>
      <w:t xml:space="preserve"> —</w:t>
    </w:r>
  </w:p>
  <w:p>
    <w:pPr>
      <w:spacing w:line="1" w:lineRule="atLeast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right="360" w:firstLine="36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 w:firstLine="36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76.5pt;width:435.35pt;mso-position-horizontal:center;z-index:-503315456;mso-width-relative:page;mso-height-relative:page;" filled="f" stroked="f" coordsize="21600,21600" o:gfxdata="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AzIc1wAAAAUBAAAPAAAAAAAAAAEAIAAAADgAAABkcnMv&#10;ZG93bnJldi54bWxQSwECFAAUAAAACACHTuJAPWSBTO4BAACwAwAADgAAAAAAAAABACAAAAA8AQAA&#10;ZHJzL2Uyb0RvYy54bWxQSwUGAAAAAAYABgBZAQAAnA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38470" cy="97155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8470" cy="971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76.5pt;width:436.1pt;mso-position-horizontal:center;z-index:-503315456;mso-width-relative:page;mso-height-relative:page;" filled="f" stroked="f" coordsize="21600,21600" o:gfxdata="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8bhf3dYAAAAFAQAADwAAAAAAAAABACAAAAA4AAAAZHJz&#10;L2Rvd25yZXYueG1sUEsBAhQAFAAAAAgAh07iQHtFYDrwAQAAsAMAAA4AAAAAAAAAAQAgAAAAOwEA&#10;AGRycy9lMm9Eb2MueG1sUEsFBgAAAAAGAAYAWQEAAJ0FAAAAAA=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19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doNotShadeFormData w:val="true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docVars>
    <w:docVar w:name="KGWebUrl" w:val="http://10.3.1.25:80/seeyon/officeservlet"/>
  </w:docVars>
  <w:rsids>
    <w:rsidRoot w:val="00000000"/>
    <w:rsid w:val="6FFF8CCA"/>
    <w:rsid w:val="F5EAF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4" w:beforeAutospacing="0" w:after="104" w:afterAutospacing="0" w:line="0" w:lineRule="atLeast"/>
      <w:ind w:firstLine="0" w:firstLineChars="0"/>
      <w:jc w:val="center"/>
      <w:outlineLvl w:val="0"/>
    </w:pPr>
    <w:rPr>
      <w:rFonts w:ascii="Arial" w:hAnsi="Arial" w:eastAsia="穝灿砰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5">
    <w:name w:val="heading 3"/>
    <w:basedOn w:val="1"/>
    <w:next w:val="1"/>
    <w:qFormat/>
    <w:uiPriority w:val="0"/>
    <w:pPr>
      <w:spacing w:before="104" w:beforeAutospacing="0" w:after="104" w:afterAutospacing="0"/>
      <w:ind w:firstLine="0" w:firstLineChars="0"/>
      <w:outlineLvl w:val="2"/>
    </w:pPr>
    <w:rPr>
      <w:rFonts w:eastAsia="穝灿砰"/>
    </w:rPr>
  </w:style>
  <w:style w:type="character" w:default="1" w:styleId="27">
    <w:name w:val="Default Paragraph Font"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4" w:lineRule="auto"/>
      <w:ind w:left="0" w:right="0" w:firstLine="200" w:firstLineChars="200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lang w:bidi="ar-SA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qFormat/>
    <w:uiPriority w:val="0"/>
    <w:pPr>
      <w:spacing w:after="120"/>
    </w:pPr>
  </w:style>
  <w:style w:type="paragraph" w:styleId="9">
    <w:name w:val="toc 3"/>
    <w:basedOn w:val="1"/>
    <w:next w:val="1"/>
    <w:qFormat/>
    <w:uiPriority w:val="0"/>
    <w:pPr>
      <w:spacing w:line="305" w:lineRule="auto"/>
    </w:pPr>
  </w:style>
  <w:style w:type="paragraph" w:styleId="10">
    <w:name w:val="Plain Text"/>
    <w:basedOn w:val="1"/>
    <w:next w:val="11"/>
    <w:qFormat/>
    <w:uiPriority w:val="0"/>
    <w:rPr>
      <w:rFonts w:ascii="宋体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_x0008_....." w:eastAsia="宋体_x0008_....." w:cs="宋体_x0008_.....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qFormat/>
    <w:uiPriority w:val="0"/>
    <w:pPr>
      <w:widowControl w:val="0"/>
      <w:adjustRightInd w:val="0"/>
      <w:spacing w:line="360" w:lineRule="auto"/>
      <w:ind w:firstLine="465"/>
      <w:jc w:val="both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13">
    <w:name w:val="样式1"/>
    <w:basedOn w:val="14"/>
    <w:next w:val="1"/>
    <w:qFormat/>
    <w:uiPriority w:val="0"/>
    <w:pPr>
      <w:keepLines/>
      <w:widowControl w:val="0"/>
      <w:snapToGrid/>
      <w:spacing w:before="100" w:after="100" w:line="360" w:lineRule="auto"/>
    </w:pPr>
    <w:rPr>
      <w:rFonts w:ascii="Times New Roman" w:hAnsi="Times New Roman" w:eastAsia="黑体" w:cs="Times New Roman"/>
      <w:b w:val="0"/>
      <w:kern w:val="44"/>
      <w:sz w:val="36"/>
      <w:szCs w:val="36"/>
      <w:lang w:bidi="ar-SA"/>
    </w:rPr>
  </w:style>
  <w:style w:type="paragraph" w:styleId="14">
    <w:name w:val="index heading"/>
    <w:basedOn w:val="1"/>
    <w:next w:val="15"/>
    <w:qFormat/>
    <w:uiPriority w:val="0"/>
    <w:rPr>
      <w:b/>
      <w:bCs/>
    </w:rPr>
  </w:style>
  <w:style w:type="paragraph" w:styleId="15">
    <w:name w:val="index 1"/>
    <w:basedOn w:val="1"/>
    <w:next w:val="1"/>
    <w:qFormat/>
    <w:uiPriority w:val="0"/>
    <w:pPr>
      <w:tabs>
        <w:tab w:val="left" w:pos="5580"/>
      </w:tabs>
      <w:spacing w:line="280" w:lineRule="exact"/>
    </w:pPr>
    <w:rPr>
      <w:rFonts w:ascii="宋体"/>
      <w:spacing w:val="10"/>
    </w:rPr>
  </w:style>
  <w:style w:type="paragraph" w:styleId="16">
    <w:name w:val="Date"/>
    <w:basedOn w:val="1"/>
    <w:next w:val="1"/>
    <w:qFormat/>
    <w:uiPriority w:val="0"/>
    <w:pPr>
      <w:ind w:left="2500" w:leftChars="2500"/>
    </w:p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pPr>
      <w:spacing w:after="104" w:afterAutospacing="0" w:line="0" w:lineRule="atLeast"/>
      <w:ind w:firstLine="0" w:firstLineChars="0"/>
      <w:jc w:val="left"/>
    </w:pPr>
    <w:rPr>
      <w:rFonts w:ascii="Arial" w:hAnsi="Arial" w:eastAsia="穝灿砰"/>
      <w:sz w:val="28"/>
    </w:rPr>
  </w:style>
  <w:style w:type="paragraph" w:styleId="20">
    <w:name w:val="toc 4"/>
    <w:basedOn w:val="1"/>
    <w:next w:val="1"/>
    <w:qFormat/>
    <w:uiPriority w:val="0"/>
    <w:pPr>
      <w:spacing w:line="305" w:lineRule="auto"/>
      <w:ind w:firstLine="629" w:firstLineChars="0"/>
    </w:pPr>
  </w:style>
  <w:style w:type="paragraph" w:styleId="21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2">
    <w:name w:val="toc 2"/>
    <w:basedOn w:val="1"/>
    <w:next w:val="1"/>
    <w:qFormat/>
    <w:uiPriority w:val="0"/>
    <w:pPr>
      <w:spacing w:line="305" w:lineRule="auto"/>
      <w:ind w:firstLine="209" w:firstLineChars="0"/>
    </w:pPr>
  </w:style>
  <w:style w:type="paragraph" w:styleId="23">
    <w:name w:val="Body Text 2"/>
    <w:basedOn w:val="1"/>
    <w:qFormat/>
    <w:uiPriority w:val="0"/>
    <w:pPr>
      <w:spacing w:after="120" w:line="480" w:lineRule="auto"/>
    </w:pPr>
    <w:rPr>
      <w:rFonts w:ascii="Calibri" w:hAnsi="Calibri" w:cs="Calibri"/>
      <w:lang w:bidi="ar-SA"/>
    </w:rPr>
  </w:style>
  <w:style w:type="paragraph" w:styleId="24">
    <w:name w:val="Title"/>
    <w:basedOn w:val="1"/>
    <w:qFormat/>
    <w:uiPriority w:val="0"/>
    <w:pPr>
      <w:spacing w:before="209" w:beforeAutospacing="0" w:after="209" w:afterAutospacing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styleId="25">
    <w:name w:val="Body Text First Indent"/>
    <w:basedOn w:val="8"/>
    <w:qFormat/>
    <w:uiPriority w:val="0"/>
    <w:pPr>
      <w:ind w:firstLine="100" w:firstLineChars="100"/>
      <w:jc w:val="both"/>
    </w:pPr>
    <w:rPr>
      <w:kern w:val="2"/>
      <w:sz w:val="21"/>
      <w:szCs w:val="24"/>
      <w:lang w:val="en-US" w:eastAsia="zh-CN"/>
    </w:rPr>
  </w:style>
  <w:style w:type="character" w:styleId="28">
    <w:name w:val="page number"/>
    <w:basedOn w:val="27"/>
    <w:qFormat/>
    <w:uiPriority w:val="0"/>
  </w:style>
  <w:style w:type="paragraph" w:customStyle="1" w:styleId="29">
    <w:name w:val="文章附标题"/>
    <w:basedOn w:val="1"/>
    <w:qFormat/>
    <w:uiPriority w:val="0"/>
    <w:pPr>
      <w:spacing w:before="104" w:beforeAutospacing="0" w:after="104" w:afterAutospacing="0" w:line="0" w:lineRule="atLeast"/>
      <w:ind w:firstLine="0" w:firstLineChars="0"/>
      <w:jc w:val="center"/>
    </w:pPr>
    <w:rPr>
      <w:sz w:val="36"/>
    </w:rPr>
  </w:style>
  <w:style w:type="paragraph" w:customStyle="1" w:styleId="30">
    <w:name w:val="目录标题"/>
    <w:basedOn w:val="1"/>
    <w:qFormat/>
    <w:uiPriority w:val="0"/>
    <w:pPr>
      <w:spacing w:before="209" w:beforeAutospacing="0" w:after="209" w:afterAutospacing="0" w:line="0" w:lineRule="atLeast"/>
      <w:jc w:val="center"/>
    </w:pPr>
    <w:rPr>
      <w:rFonts w:ascii="Arial" w:hAnsi="Arial" w:eastAsia="穝灿砰"/>
      <w:spacing w:val="209"/>
      <w:sz w:val="52"/>
    </w:rPr>
  </w:style>
  <w:style w:type="paragraph" w:customStyle="1" w:styleId="31">
    <w:name w:val="WPS Plain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customStyle="1" w:styleId="32">
    <w:name w:val=" Char Char Char Char"/>
    <w:basedOn w:val="1"/>
    <w:qFormat/>
    <w:uiPriority w:val="0"/>
    <w:pPr>
      <w:ind w:firstLine="0" w:firstLineChars="0"/>
      <w:jc w:val="both"/>
    </w:pPr>
    <w:rPr>
      <w:kern w:val="2"/>
      <w:sz w:val="21"/>
      <w:lang w:val="en-US" w:eastAsia="zh-CN"/>
    </w:rPr>
  </w:style>
  <w:style w:type="paragraph" w:customStyle="1" w:styleId="33">
    <w:name w:val="3、正文"/>
    <w:basedOn w:val="1"/>
    <w:qFormat/>
    <w:uiPriority w:val="0"/>
    <w:pPr>
      <w:spacing w:line="360" w:lineRule="auto"/>
      <w:jc w:val="both"/>
    </w:pPr>
    <w:rPr>
      <w:rFonts w:eastAsia="新宋体"/>
      <w:kern w:val="2"/>
      <w:sz w:val="24"/>
      <w:szCs w:val="24"/>
    </w:rPr>
  </w:style>
  <w:style w:type="paragraph" w:customStyle="1" w:styleId="34">
    <w:name w:val="Normal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dzs</Company>
  <Pages>4</Pages>
  <Words>0</Words>
  <Characters>1347</Characters>
  <Lines>0</Lines>
  <Paragraphs>57</Paragraphs>
  <TotalTime>14099710</TotalTime>
  <ScaleCrop>false</ScaleCrop>
  <LinksUpToDate>false</LinksUpToDate>
  <CharactersWithSpaces>1796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2021-05-20T07:58:00Z</dcterms:created>
  <dc:creator>许燕</dc:creator>
  <cp:lastModifiedBy>我是一只胖胖胖㍿</cp:lastModifiedBy>
  <cp:lastPrinted>2025-07-10T18:20:00Z</cp:lastPrinted>
  <dcterms:modified xsi:type="dcterms:W3CDTF">2025-08-04T14:38:19Z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