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0" w:lineRule="atLeast"/>
        <w:jc w:val="center"/>
        <w:rPr>
          <w:rFonts w:ascii="Times New Roman" w:hAnsi="Times New Roman" w:eastAsia="方正小标宋_GBK" w:cs="Times New Roman"/>
          <w:b/>
          <w:bCs/>
          <w:sz w:val="38"/>
          <w:szCs w:val="38"/>
          <w:lang w:val="en-US" w:eastAsia="zh-CN"/>
        </w:rPr>
      </w:pPr>
      <w:r>
        <w:rPr>
          <w:rFonts w:ascii="Times New Roman" w:hAnsi="Times New Roman" w:eastAsia="方正小标宋_GBK" w:cs="Times New Roman"/>
          <w:b/>
          <w:bCs/>
          <w:sz w:val="38"/>
          <w:szCs w:val="38"/>
          <w:lang w:val="en-US" w:eastAsia="zh-CN"/>
        </w:rPr>
        <w:t>2024年度优秀人才成果激励奖建议名单</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小标宋_GBK" w:cs="Times New Roman"/>
          <w:b/>
          <w:bCs/>
          <w:sz w:val="38"/>
          <w:szCs w:val="38"/>
          <w:lang w:val="en-US" w:eastAsia="zh-CN"/>
        </w:rPr>
      </w:pPr>
      <w:r>
        <w:rPr>
          <w:rFonts w:ascii="Times New Roman" w:hAnsi="Times New Roman" w:eastAsia="方正小标宋_GBK" w:cs="Times New Roman"/>
          <w:b/>
          <w:bCs/>
          <w:sz w:val="38"/>
          <w:szCs w:val="38"/>
          <w:lang w:val="en-US" w:eastAsia="zh-CN"/>
        </w:rPr>
        <w:t>公  示</w:t>
      </w:r>
    </w:p>
    <w:p>
      <w:pPr>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方正小标宋_GBK" w:cs="Times New Roman"/>
          <w:sz w:val="38"/>
          <w:szCs w:val="38"/>
          <w:lang w:val="en-US" w:eastAsia="zh-CN"/>
        </w:rPr>
      </w:pPr>
    </w:p>
    <w:p>
      <w:pPr>
        <w:keepNext w:val="0"/>
        <w:keepLines w:val="0"/>
        <w:pageBreakBefore w:val="0"/>
        <w:widowControl w:val="0"/>
        <w:kinsoku/>
        <w:wordWrap/>
        <w:overflowPunct/>
        <w:topLinePunct w:val="0"/>
        <w:autoSpaceDE/>
        <w:autoSpaceDN/>
        <w:bidi w:val="0"/>
        <w:adjustRightInd/>
        <w:snapToGrid/>
        <w:ind w:left="0" w:right="0" w:firstLine="660" w:firstLineChars="200"/>
        <w:jc w:val="left"/>
        <w:textAlignment w:val="auto"/>
        <w:rPr>
          <w:rFonts w:ascii="Times New Roman" w:hAnsi="Times New Roman" w:eastAsia="方正仿宋_GBK" w:cs="Times New Roman"/>
          <w:spacing w:val="0"/>
          <w:sz w:val="33"/>
          <w:szCs w:val="33"/>
        </w:rPr>
      </w:pPr>
      <w:r>
        <w:rPr>
          <w:rFonts w:ascii="Times New Roman" w:hAnsi="Times New Roman" w:eastAsia="方正仿宋_GBK" w:cs="Times New Roman"/>
          <w:spacing w:val="0"/>
          <w:sz w:val="33"/>
          <w:szCs w:val="33"/>
          <w:lang w:val="en-US" w:eastAsia="zh-CN"/>
        </w:rPr>
        <w:t>根据《攀枝花市优秀人才激励支持实施细则》（攀委人才办〔2022〕5号），我市组织</w:t>
      </w:r>
      <w:r>
        <w:rPr>
          <w:rFonts w:ascii="Times New Roman" w:hAnsi="Times New Roman" w:eastAsia="方正仿宋_GBK" w:cs="Times New Roman"/>
          <w:spacing w:val="0"/>
          <w:sz w:val="33"/>
          <w:szCs w:val="33"/>
        </w:rPr>
        <w:t>开展了2024年度优秀人才成果激励奖申报工作，经用人单位推荐、行业主管部门审核、征求意见等程序，产生2024年度优秀人才成果激励建议人选214人、培养单位8家。</w:t>
      </w:r>
      <w:r>
        <w:rPr>
          <w:rFonts w:ascii="Times New Roman" w:hAnsi="Times New Roman" w:eastAsia="方正仿宋_GBK" w:cs="Times New Roman"/>
          <w:spacing w:val="0"/>
          <w:sz w:val="33"/>
          <w:szCs w:val="33"/>
          <w:lang w:val="en-US" w:eastAsia="zh-CN"/>
        </w:rPr>
        <w:t>现按要求将名单进行公示，公示期5个工作日（</w:t>
      </w:r>
      <w:r>
        <w:rPr>
          <w:rFonts w:ascii="Times New Roman" w:hAnsi="Times New Roman" w:eastAsia="方正仿宋_GBK" w:cs="Times New Roman"/>
          <w:spacing w:val="0"/>
          <w:sz w:val="33"/>
          <w:szCs w:val="33"/>
        </w:rPr>
        <w:t>2025年</w:t>
      </w:r>
      <w:r>
        <w:rPr>
          <w:rFonts w:ascii="Times New Roman" w:hAnsi="Times New Roman" w:eastAsia="方正仿宋_GBK" w:cs="Times New Roman"/>
          <w:spacing w:val="0"/>
          <w:sz w:val="33"/>
          <w:szCs w:val="33"/>
          <w:lang w:val="en-US" w:eastAsia="zh-CN"/>
        </w:rPr>
        <w:t>2</w:t>
      </w:r>
      <w:r>
        <w:rPr>
          <w:rFonts w:ascii="Times New Roman" w:hAnsi="Times New Roman" w:eastAsia="方正仿宋_GBK" w:cs="Times New Roman"/>
          <w:spacing w:val="0"/>
          <w:sz w:val="33"/>
          <w:szCs w:val="33"/>
        </w:rPr>
        <w:t>月</w:t>
      </w:r>
      <w:r>
        <w:rPr>
          <w:rFonts w:hint="eastAsia" w:ascii="Times New Roman" w:hAnsi="Times New Roman" w:eastAsia="方正仿宋_GBK" w:cs="Times New Roman"/>
          <w:spacing w:val="0"/>
          <w:sz w:val="33"/>
          <w:szCs w:val="33"/>
          <w:lang w:val="en-US" w:eastAsia="zh-CN"/>
        </w:rPr>
        <w:t>18</w:t>
      </w:r>
      <w:r>
        <w:rPr>
          <w:rFonts w:ascii="Times New Roman" w:hAnsi="Times New Roman" w:eastAsia="方正仿宋_GBK" w:cs="Times New Roman"/>
          <w:spacing w:val="0"/>
          <w:sz w:val="33"/>
          <w:szCs w:val="33"/>
        </w:rPr>
        <w:t>日至</w:t>
      </w:r>
      <w:r>
        <w:rPr>
          <w:rFonts w:hint="eastAsia" w:ascii="Times New Roman" w:hAnsi="Times New Roman" w:eastAsia="方正仿宋_GBK" w:cs="Times New Roman"/>
          <w:spacing w:val="0"/>
          <w:sz w:val="33"/>
          <w:szCs w:val="33"/>
          <w:lang w:val="en-US" w:eastAsia="zh-CN"/>
        </w:rPr>
        <w:t>24</w:t>
      </w:r>
      <w:r>
        <w:rPr>
          <w:rFonts w:ascii="Times New Roman" w:hAnsi="Times New Roman" w:eastAsia="方正仿宋_GBK" w:cs="Times New Roman"/>
          <w:spacing w:val="0"/>
          <w:sz w:val="33"/>
          <w:szCs w:val="33"/>
        </w:rPr>
        <w:t>日</w:t>
      </w:r>
      <w:r>
        <w:rPr>
          <w:rFonts w:ascii="Times New Roman" w:hAnsi="Times New Roman" w:eastAsia="方正仿宋_GBK" w:cs="Times New Roman"/>
          <w:spacing w:val="0"/>
          <w:sz w:val="33"/>
          <w:szCs w:val="33"/>
          <w:lang w:val="en-US" w:eastAsia="zh-CN"/>
        </w:rPr>
        <w:t>）</w:t>
      </w:r>
      <w:r>
        <w:rPr>
          <w:rFonts w:ascii="Times New Roman" w:hAnsi="Times New Roman" w:eastAsia="方正仿宋_GBK" w:cs="Times New Roman"/>
          <w:spacing w:val="0"/>
          <w:sz w:val="33"/>
          <w:szCs w:val="33"/>
        </w:rPr>
        <w:t>。如对建议名单有不同意见，或</w:t>
      </w:r>
      <w:r>
        <w:rPr>
          <w:rFonts w:hint="eastAsia" w:ascii="Times New Roman" w:hAnsi="Times New Roman" w:eastAsia="方正仿宋_GBK" w:cs="Times New Roman"/>
          <w:spacing w:val="0"/>
          <w:sz w:val="33"/>
          <w:szCs w:val="33"/>
          <w:lang w:eastAsia="zh-CN"/>
        </w:rPr>
        <w:t>发现</w:t>
      </w:r>
      <w:r>
        <w:rPr>
          <w:rFonts w:ascii="Times New Roman" w:hAnsi="Times New Roman" w:eastAsia="方正仿宋_GBK" w:cs="Times New Roman"/>
          <w:spacing w:val="0"/>
          <w:sz w:val="33"/>
          <w:szCs w:val="33"/>
        </w:rPr>
        <w:t>有弄虚作假、成果不实的</w:t>
      </w:r>
      <w:r>
        <w:rPr>
          <w:rFonts w:hint="eastAsia" w:ascii="Times New Roman" w:hAnsi="Times New Roman" w:eastAsia="方正仿宋_GBK" w:cs="Times New Roman"/>
          <w:spacing w:val="0"/>
          <w:sz w:val="33"/>
          <w:szCs w:val="33"/>
          <w:lang w:eastAsia="zh-CN"/>
        </w:rPr>
        <w:t>情形</w:t>
      </w:r>
      <w:r>
        <w:rPr>
          <w:rFonts w:ascii="Times New Roman" w:hAnsi="Times New Roman" w:eastAsia="方正仿宋_GBK" w:cs="Times New Roman"/>
          <w:spacing w:val="0"/>
          <w:sz w:val="33"/>
          <w:szCs w:val="33"/>
        </w:rPr>
        <w:t>，请于公示期内，通过信函、电话等方式向市委人才办反映，并提供联系方式以便调查核实。</w:t>
      </w:r>
    </w:p>
    <w:p>
      <w:pPr>
        <w:keepNext w:val="0"/>
        <w:keepLines w:val="0"/>
        <w:pageBreakBefore w:val="0"/>
        <w:widowControl w:val="0"/>
        <w:kinsoku/>
        <w:wordWrap/>
        <w:overflowPunct/>
        <w:topLinePunct w:val="0"/>
        <w:autoSpaceDE/>
        <w:autoSpaceDN/>
        <w:bidi w:val="0"/>
        <w:adjustRightInd/>
        <w:snapToGrid/>
        <w:ind w:left="0" w:right="0" w:firstLine="660" w:firstLineChars="200"/>
        <w:jc w:val="both"/>
        <w:textAlignment w:val="auto"/>
        <w:rPr>
          <w:rFonts w:ascii="Times New Roman" w:hAnsi="Times New Roman" w:eastAsia="方正仿宋_GBK" w:cs="Times New Roman"/>
          <w:spacing w:val="0"/>
          <w:sz w:val="33"/>
          <w:szCs w:val="33"/>
        </w:rPr>
      </w:pPr>
      <w:r>
        <w:rPr>
          <w:rFonts w:ascii="Times New Roman" w:hAnsi="Times New Roman" w:eastAsia="方正仿宋_GBK" w:cs="Times New Roman"/>
          <w:spacing w:val="0"/>
          <w:sz w:val="33"/>
          <w:szCs w:val="33"/>
        </w:rPr>
        <w:t>举报电话：0812-5178992</w:t>
      </w:r>
      <w:r>
        <w:rPr>
          <w:rFonts w:hint="eastAsia" w:ascii="Times New Roman" w:hAnsi="Times New Roman" w:eastAsia="方正仿宋_GBK" w:cs="Times New Roman"/>
          <w:spacing w:val="0"/>
          <w:sz w:val="33"/>
          <w:szCs w:val="33"/>
          <w:lang w:eastAsia="zh-CN"/>
        </w:rPr>
        <w:t>，</w:t>
      </w:r>
      <w:r>
        <w:rPr>
          <w:rFonts w:hint="eastAsia" w:ascii="Times New Roman" w:hAnsi="Times New Roman" w:eastAsia="方正仿宋_GBK" w:cs="Times New Roman"/>
          <w:spacing w:val="0"/>
          <w:sz w:val="33"/>
          <w:szCs w:val="33"/>
          <w:lang w:val="en-US" w:eastAsia="zh-CN"/>
        </w:rPr>
        <w:t>15281226212</w:t>
      </w:r>
      <w:r>
        <w:rPr>
          <w:rFonts w:ascii="Times New Roman" w:hAnsi="Times New Roman" w:eastAsia="方正仿宋_GBK" w:cs="Times New Roman"/>
          <w:spacing w:val="0"/>
          <w:sz w:val="33"/>
          <w:szCs w:val="33"/>
        </w:rPr>
        <w:t>（市委人才办）；</w:t>
      </w:r>
    </w:p>
    <w:p>
      <w:pPr>
        <w:keepNext w:val="0"/>
        <w:keepLines w:val="0"/>
        <w:pageBreakBefore w:val="0"/>
        <w:widowControl w:val="0"/>
        <w:kinsoku/>
        <w:wordWrap/>
        <w:overflowPunct/>
        <w:topLinePunct w:val="0"/>
        <w:autoSpaceDE/>
        <w:autoSpaceDN/>
        <w:bidi w:val="0"/>
        <w:adjustRightInd/>
        <w:snapToGrid/>
        <w:ind w:left="0" w:right="0" w:firstLine="660" w:firstLineChars="200"/>
        <w:jc w:val="both"/>
        <w:textAlignment w:val="auto"/>
        <w:rPr>
          <w:rFonts w:ascii="Times New Roman" w:hAnsi="Times New Roman" w:eastAsia="方正仿宋_GBK" w:cs="Times New Roman"/>
          <w:spacing w:val="0"/>
          <w:sz w:val="33"/>
          <w:szCs w:val="33"/>
          <w:lang w:eastAsia="zh-CN"/>
        </w:rPr>
      </w:pPr>
      <w:r>
        <w:rPr>
          <w:rFonts w:ascii="Times New Roman" w:hAnsi="Times New Roman" w:eastAsia="方正仿宋_GBK" w:cs="Times New Roman"/>
          <w:spacing w:val="0"/>
          <w:sz w:val="33"/>
          <w:szCs w:val="33"/>
        </w:rPr>
        <w:t>地    址：</w:t>
      </w:r>
      <w:r>
        <w:rPr>
          <w:rFonts w:ascii="Times New Roman" w:hAnsi="Times New Roman" w:eastAsia="方正仿宋_GBK" w:cs="Times New Roman"/>
          <w:spacing w:val="0"/>
          <w:sz w:val="33"/>
          <w:szCs w:val="33"/>
          <w:lang w:eastAsia="zh-CN"/>
        </w:rPr>
        <w:t>东区临江路59号；</w:t>
      </w:r>
    </w:p>
    <w:p>
      <w:pPr>
        <w:keepNext w:val="0"/>
        <w:keepLines w:val="0"/>
        <w:pageBreakBefore w:val="0"/>
        <w:widowControl w:val="0"/>
        <w:kinsoku/>
        <w:wordWrap/>
        <w:overflowPunct/>
        <w:topLinePunct w:val="0"/>
        <w:autoSpaceDE/>
        <w:autoSpaceDN/>
        <w:bidi w:val="0"/>
        <w:adjustRightInd/>
        <w:snapToGrid/>
        <w:ind w:left="0" w:right="0" w:firstLine="660" w:firstLineChars="200"/>
        <w:jc w:val="both"/>
        <w:textAlignment w:val="auto"/>
        <w:rPr>
          <w:rFonts w:ascii="Times New Roman" w:hAnsi="Times New Roman" w:eastAsia="仿宋" w:cs="Times New Roman"/>
          <w:spacing w:val="0"/>
          <w:sz w:val="33"/>
          <w:szCs w:val="33"/>
        </w:rPr>
      </w:pPr>
      <w:r>
        <w:rPr>
          <w:rFonts w:ascii="Times New Roman" w:hAnsi="Times New Roman" w:eastAsia="方正仿宋_GBK" w:cs="Times New Roman"/>
          <w:spacing w:val="0"/>
          <w:sz w:val="33"/>
          <w:szCs w:val="33"/>
        </w:rPr>
        <w:t>邮政编码：617000。</w:t>
      </w:r>
    </w:p>
    <w:p>
      <w:pPr>
        <w:keepNext w:val="0"/>
        <w:keepLines w:val="0"/>
        <w:pageBreakBefore w:val="0"/>
        <w:widowControl w:val="0"/>
        <w:kinsoku/>
        <w:wordWrap/>
        <w:overflowPunct/>
        <w:topLinePunct w:val="0"/>
        <w:autoSpaceDE/>
        <w:autoSpaceDN/>
        <w:bidi w:val="0"/>
        <w:adjustRightInd/>
        <w:snapToGrid/>
        <w:ind w:left="0" w:right="0" w:firstLine="660" w:firstLineChars="200"/>
        <w:jc w:val="both"/>
        <w:textAlignment w:val="auto"/>
        <w:rPr>
          <w:rFonts w:ascii="Times New Roman" w:hAnsi="Times New Roman" w:eastAsia="方正仿宋_GBK" w:cs="Times New Roman"/>
          <w:spacing w:val="0"/>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20" w:firstLineChars="200"/>
        <w:jc w:val="both"/>
        <w:textAlignment w:val="auto"/>
        <w:rPr>
          <w:rFonts w:ascii="Times New Roman" w:hAnsi="Times New Roman" w:eastAsia="方正仿宋_GBK" w:cs="Times New Roman"/>
          <w:color w:val="000000"/>
          <w:spacing w:val="0"/>
          <w:sz w:val="33"/>
          <w:szCs w:val="33"/>
          <w:lang w:val="en-US" w:eastAsia="zh-CN" w:bidi="ar-SA"/>
        </w:rPr>
      </w:pPr>
      <w:r>
        <w:rPr>
          <w:rFonts w:ascii="Times New Roman" w:hAnsi="Times New Roman" w:eastAsia="方正仿宋_GBK" w:cs="Times New Roman"/>
          <w:color w:val="000000"/>
          <w:spacing w:val="-10"/>
          <w:sz w:val="33"/>
          <w:szCs w:val="33"/>
          <w:lang w:val="en-US" w:eastAsia="zh-CN" w:bidi="ar-SA"/>
        </w:rPr>
        <w:t>附件</w:t>
      </w:r>
      <w:r>
        <w:rPr>
          <w:rFonts w:ascii="Times New Roman" w:hAnsi="Times New Roman" w:eastAsia="方正仿宋_GBK" w:cs="Times New Roman"/>
          <w:color w:val="000000"/>
          <w:spacing w:val="0"/>
          <w:sz w:val="33"/>
          <w:szCs w:val="33"/>
          <w:lang w:val="en-US" w:eastAsia="zh-CN" w:bidi="ar-SA"/>
        </w:rPr>
        <w:t>：1.2024年度个人成果激励奖建议名单</w:t>
      </w:r>
    </w:p>
    <w:p>
      <w:pPr>
        <w:keepNext w:val="0"/>
        <w:keepLines w:val="0"/>
        <w:pageBreakBefore w:val="0"/>
        <w:widowControl w:val="0"/>
        <w:kinsoku/>
        <w:wordWrap/>
        <w:overflowPunct/>
        <w:topLinePunct w:val="0"/>
        <w:autoSpaceDE/>
        <w:autoSpaceDN/>
        <w:adjustRightInd/>
        <w:snapToGrid/>
        <w:spacing w:line="640" w:lineRule="exact"/>
        <w:ind w:firstLine="1564" w:firstLineChars="480"/>
        <w:rPr>
          <w:rFonts w:ascii="Times New Roman" w:hAnsi="Times New Roman" w:cs="Times New Roman"/>
          <w:color w:val="000000"/>
          <w:spacing w:val="-2"/>
          <w:lang w:val="en-US" w:eastAsia="zh-CN"/>
        </w:rPr>
      </w:pPr>
      <w:r>
        <w:rPr>
          <w:rFonts w:ascii="Times New Roman" w:hAnsi="Times New Roman" w:eastAsia="方正仿宋_GBK" w:cs="Times New Roman"/>
          <w:color w:val="000000"/>
          <w:spacing w:val="-2"/>
          <w:sz w:val="33"/>
          <w:szCs w:val="33"/>
          <w:lang w:val="en-US" w:eastAsia="zh-CN" w:bidi="ar-SA"/>
        </w:rPr>
        <w:t>2.2024年度用人单位人才培养奖建议名单</w:t>
      </w:r>
      <w:bookmarkStart w:id="0" w:name="_GoBack"/>
      <w:bookmarkEnd w:id="0"/>
    </w:p>
    <w:p>
      <w:pPr>
        <w:keepNext w:val="0"/>
        <w:keepLines w:val="0"/>
        <w:pageBreakBefore w:val="0"/>
        <w:widowControl w:val="0"/>
        <w:kinsoku/>
        <w:wordWrap/>
        <w:overflowPunct/>
        <w:topLinePunct w:val="0"/>
        <w:autoSpaceDE/>
        <w:autoSpaceDN/>
        <w:bidi w:val="0"/>
        <w:adjustRightInd/>
        <w:snapToGrid/>
        <w:ind w:left="0" w:right="0" w:firstLine="788" w:firstLineChars="200"/>
        <w:jc w:val="both"/>
        <w:textAlignment w:val="auto"/>
        <w:rPr>
          <w:rFonts w:ascii="Times New Roman" w:hAnsi="Times New Roman" w:eastAsia="方正仿宋_GBK" w:cs="Times New Roman"/>
          <w:spacing w:val="32"/>
          <w:sz w:val="33"/>
          <w:szCs w:val="33"/>
          <w:lang w:val="en-US" w:eastAsia="zh-CN"/>
        </w:rPr>
      </w:pPr>
    </w:p>
    <w:p>
      <w:pPr>
        <w:keepNext w:val="0"/>
        <w:keepLines w:val="0"/>
        <w:pageBreakBefore w:val="0"/>
        <w:widowControl w:val="0"/>
        <w:kinsoku/>
        <w:wordWrap/>
        <w:overflowPunct/>
        <w:topLinePunct w:val="0"/>
        <w:autoSpaceDE/>
        <w:autoSpaceDN/>
        <w:bidi w:val="0"/>
        <w:adjustRightInd/>
        <w:snapToGrid/>
        <w:ind w:left="0" w:right="0" w:firstLine="1980" w:firstLineChars="600"/>
        <w:jc w:val="both"/>
        <w:textAlignment w:val="auto"/>
        <w:rPr>
          <w:rFonts w:ascii="Times New Roman" w:hAnsi="Times New Roman" w:eastAsia="方正仿宋_GBK" w:cs="Times New Roman"/>
          <w:spacing w:val="0"/>
          <w:sz w:val="33"/>
          <w:szCs w:val="33"/>
          <w:lang w:val="en-US" w:eastAsia="zh-CN"/>
        </w:rPr>
      </w:pPr>
      <w:r>
        <w:rPr>
          <w:rFonts w:ascii="Times New Roman" w:hAnsi="Times New Roman" w:eastAsia="方正仿宋_GBK" w:cs="Times New Roman"/>
          <w:spacing w:val="0"/>
          <w:sz w:val="33"/>
          <w:szCs w:val="33"/>
          <w:lang w:val="en-US" w:eastAsia="zh-CN"/>
        </w:rPr>
        <w:t>中共攀枝花市委人才工作领导小组办公室</w:t>
      </w:r>
    </w:p>
    <w:p>
      <w:pPr>
        <w:keepNext w:val="0"/>
        <w:keepLines w:val="0"/>
        <w:pageBreakBefore w:val="0"/>
        <w:widowControl w:val="0"/>
        <w:kinsoku/>
        <w:wordWrap/>
        <w:overflowPunct/>
        <w:topLinePunct w:val="0"/>
        <w:autoSpaceDE/>
        <w:autoSpaceDN/>
        <w:adjustRightInd/>
        <w:snapToGrid/>
        <w:ind w:left="0" w:firstLine="3960" w:firstLineChars="1200"/>
        <w:rPr>
          <w:rFonts w:ascii="Times New Roman" w:hAnsi="Times New Roman" w:eastAsia="方正仿宋_GBK" w:cs="Times New Roman"/>
          <w:spacing w:val="0"/>
          <w:sz w:val="33"/>
          <w:szCs w:val="33"/>
          <w:lang w:val="en-US" w:eastAsia="zh-CN"/>
        </w:rPr>
      </w:pPr>
      <w:r>
        <w:rPr>
          <w:rFonts w:ascii="Times New Roman" w:hAnsi="Times New Roman" w:eastAsia="方正仿宋_GBK" w:cs="Times New Roman"/>
          <w:spacing w:val="0"/>
          <w:sz w:val="33"/>
          <w:szCs w:val="33"/>
          <w:lang w:val="en-US" w:eastAsia="zh-CN"/>
        </w:rPr>
        <w:t>2025年2月</w:t>
      </w:r>
      <w:r>
        <w:rPr>
          <w:rFonts w:hint="eastAsia" w:ascii="Times New Roman" w:hAnsi="Times New Roman" w:eastAsia="方正仿宋_GBK" w:cs="Times New Roman"/>
          <w:spacing w:val="0"/>
          <w:sz w:val="33"/>
          <w:szCs w:val="33"/>
          <w:lang w:val="en-US" w:eastAsia="zh-CN"/>
        </w:rPr>
        <w:t>18</w:t>
      </w:r>
      <w:r>
        <w:rPr>
          <w:rFonts w:ascii="Times New Roman" w:hAnsi="Times New Roman" w:eastAsia="方正仿宋_GBK" w:cs="Times New Roman"/>
          <w:spacing w:val="0"/>
          <w:sz w:val="33"/>
          <w:szCs w:val="33"/>
          <w:lang w:val="en-US" w:eastAsia="zh-CN"/>
        </w:rPr>
        <w:t>日</w:t>
      </w:r>
      <w:r>
        <w:rPr>
          <w:rFonts w:ascii="Times New Roman" w:hAnsi="Times New Roman" w:eastAsia="方正仿宋_GBK" w:cs="Times New Roman"/>
          <w:spacing w:val="0"/>
          <w:sz w:val="33"/>
          <w:szCs w:val="33"/>
          <w:lang w:val="en-US" w:eastAsia="zh-CN"/>
        </w:rPr>
        <w:br w:type="page"/>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方正黑体_GBK" w:cs="Times New Roman"/>
          <w:spacing w:val="-10"/>
          <w:sz w:val="33"/>
          <w:szCs w:val="33"/>
        </w:rPr>
      </w:pPr>
      <w:r>
        <w:rPr>
          <w:rFonts w:ascii="Times New Roman" w:hAnsi="Times New Roman" w:eastAsia="方正黑体_GBK" w:cs="Times New Roman"/>
          <w:spacing w:val="-10"/>
          <w:sz w:val="33"/>
          <w:szCs w:val="33"/>
        </w:rPr>
        <w:t>附件1</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方正黑体_GBK" w:cs="Times New Roman"/>
          <w:spacing w:val="-10"/>
          <w:sz w:val="33"/>
          <w:szCs w:val="33"/>
        </w:rPr>
      </w:pPr>
    </w:p>
    <w:p>
      <w:pPr>
        <w:keepNext w:val="0"/>
        <w:keepLines w:val="0"/>
        <w:pageBreakBefore w:val="0"/>
        <w:widowControl w:val="0"/>
        <w:kinsoku/>
        <w:wordWrap/>
        <w:overflowPunct/>
        <w:topLinePunct w:val="0"/>
        <w:autoSpaceDE/>
        <w:autoSpaceDN/>
        <w:adjustRightInd/>
        <w:snapToGrid/>
        <w:spacing w:line="0" w:lineRule="atLeast"/>
        <w:jc w:val="center"/>
        <w:rPr>
          <w:rFonts w:ascii="Times New Roman" w:hAnsi="Times New Roman" w:eastAsia="方正小标宋_GBK" w:cs="Times New Roman"/>
          <w:b/>
          <w:bCs/>
          <w:spacing w:val="-31"/>
          <w:sz w:val="38"/>
          <w:szCs w:val="38"/>
        </w:rPr>
      </w:pPr>
      <w:r>
        <w:rPr>
          <w:rFonts w:ascii="Times New Roman" w:hAnsi="Times New Roman" w:eastAsia="方正小标宋_GBK" w:cs="Times New Roman"/>
          <w:b/>
          <w:i w:val="0"/>
          <w:strike w:val="0"/>
          <w:dstrike w:val="0"/>
          <w:color w:val="000000"/>
          <w:sz w:val="38"/>
          <w:szCs w:val="38"/>
        </w:rPr>
        <w:t>2024年度个人成果激励奖建议名单</w:t>
      </w:r>
    </w:p>
    <w:tbl>
      <w:tblPr>
        <w:tblStyle w:val="7"/>
        <w:tblW w:w="9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3145"/>
        <w:gridCol w:w="1522"/>
        <w:gridCol w:w="4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blHeader/>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eastAsia="方正黑体_GBK" w:cs="Times New Roman"/>
                <w:b w:val="0"/>
                <w:i w:val="0"/>
                <w:color w:val="000000"/>
                <w:sz w:val="28"/>
              </w:rPr>
            </w:pPr>
            <w:r>
              <w:rPr>
                <w:rFonts w:hint="eastAsia" w:ascii="方正黑体_GBK" w:eastAsia="方正黑体_GBK" w:cs="Times New Roman"/>
                <w:b w:val="0"/>
                <w:i w:val="0"/>
                <w:color w:val="000000"/>
                <w:sz w:val="28"/>
              </w:rPr>
              <w:t>序号</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eastAsia="方正黑体_GBK" w:cs="Times New Roman"/>
                <w:b w:val="0"/>
                <w:i w:val="0"/>
                <w:color w:val="000000"/>
                <w:sz w:val="28"/>
              </w:rPr>
            </w:pPr>
            <w:r>
              <w:rPr>
                <w:rFonts w:hint="eastAsia" w:ascii="方正黑体_GBK" w:eastAsia="方正黑体_GBK" w:cs="Times New Roman"/>
                <w:b w:val="0"/>
                <w:i w:val="0"/>
                <w:color w:val="000000"/>
                <w:sz w:val="28"/>
              </w:rPr>
              <w:t>所在单位</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eastAsia="方正黑体_GBK" w:cs="Times New Roman"/>
                <w:b w:val="0"/>
                <w:i w:val="0"/>
                <w:color w:val="000000"/>
                <w:sz w:val="28"/>
              </w:rPr>
            </w:pPr>
            <w:r>
              <w:rPr>
                <w:rFonts w:hint="eastAsia" w:ascii="方正黑体_GBK" w:eastAsia="方正黑体_GBK" w:cs="Times New Roman"/>
                <w:b w:val="0"/>
                <w:i w:val="0"/>
                <w:color w:val="000000"/>
                <w:sz w:val="28"/>
              </w:rPr>
              <w:t>姓名</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eastAsia="方正黑体_GBK" w:cs="Times New Roman"/>
                <w:b w:val="0"/>
                <w:i w:val="0"/>
                <w:color w:val="000000"/>
                <w:sz w:val="28"/>
              </w:rPr>
            </w:pPr>
            <w:r>
              <w:rPr>
                <w:rFonts w:hint="eastAsia" w:ascii="方正黑体_GBK" w:eastAsia="方正黑体_GBK" w:cs="Times New Roman"/>
                <w:b w:val="0"/>
                <w:i w:val="0"/>
                <w:color w:val="000000"/>
                <w:sz w:val="28"/>
              </w:rPr>
              <w:t>所获奖项、荣誉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978"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hint="eastAsia" w:ascii="方正楷体_GBK" w:eastAsia="方正楷体_GBK" w:cs="Times New Roman"/>
                <w:b/>
                <w:bCs/>
                <w:i w:val="0"/>
                <w:color w:val="000000"/>
                <w:sz w:val="28"/>
              </w:rPr>
              <w:t>一、新获得认定三类人才对应荣誉称号、奖项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市实验学校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杜迎春</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2023年度“天府青城计划”教育领军人才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龙佰四川矿冶有限公司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刘长淼</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2023年度“天府峨眉计划”创新领军人才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攀枝花钢城集团有限公司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陈刚</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2022年度“天府青城计划”天府工匠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卿丽华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四川省名中医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胥刚</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李桂珍</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2023年度“天府青城计划”农业领军人才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攀钢集团矿业有限公司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王洪彬</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国家科学技术进步奖二等奖（排名第3）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李开华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四川省科学技术进步奖一等奖（排名第1）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攀钢集团（攀枝花）钛金属材料有限公司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徐聪</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四川省科学技术进步奖一等奖（排名第2）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盛卓</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四川省科学技术进步奖一等奖（排名第3）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吴国荣</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攀钢集团攀枝花钢钒有限公司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陶功明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韩振宇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享受国务院政府特殊津贴专家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中国十九冶集团有限公司工业建设分公司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刘建川</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2023年度“天府青城计划”技能领军人才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中国十九冶集团有限公司工业建设分公司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方钰洁</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全国技术能手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攀枝花技师学院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苏惠明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享受国务院政府特殊津贴专家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中国十九冶集团有限公司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秦瑞</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国家优质工程奖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978"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hint="eastAsia" w:ascii="方正楷体_GBK" w:eastAsia="方正楷体_GBK" w:cs="Times New Roman"/>
                <w:b/>
                <w:bCs/>
                <w:i w:val="0"/>
                <w:color w:val="000000"/>
                <w:sz w:val="28"/>
              </w:rPr>
              <w:t>二、新获得认定四类人才对应荣誉称号、奖项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市特殊教育学校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姜小梅</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市经贸旅游学校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邓玺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四川技能大师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市第三高级中学校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陈柏羽</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市第三高级中学校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张永萍</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市教育科学研究所</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宋真达</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市第七高级中学校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李丽娟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市第七高级中学校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郭刚</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市经贸旅游学校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钱芬</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市第十五中学校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朱国民</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市外国语学校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王丽萍</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28</w:t>
            </w:r>
          </w:p>
        </w:tc>
        <w:tc>
          <w:tcPr>
            <w:tcW w:w="314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攀枝花钢城集团有限公司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李洋</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四川技能大赛—2023年四川省工业和信息化技术技能大赛暨数字工匠大赛现代电气控制安装与调试赛项三等奖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29</w:t>
            </w:r>
          </w:p>
        </w:tc>
        <w:tc>
          <w:tcPr>
            <w:tcW w:w="31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李方勇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四川技能大赛—2023年四川省工业和信息化技术技能大赛暨数字工匠大赛川渝节能环保赛项二等奖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30</w:t>
            </w:r>
          </w:p>
        </w:tc>
        <w:tc>
          <w:tcPr>
            <w:tcW w:w="31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全国乡村振兴技能大赛四川省选拔赛电工赛项三等奖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31</w:t>
            </w:r>
          </w:p>
        </w:tc>
        <w:tc>
          <w:tcPr>
            <w:tcW w:w="31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朱胜良</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四川省工业和信息化技术技能大赛二等奖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四川国鑫机械制造有限公司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陈太均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四川技能大师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攀枝花瑞达水泥有限公司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张仕东</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四川技能大师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攀枝花市静石斋文化传播有限公司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蒋静</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四川技能大师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市文化艺术中心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宋文心</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四川省文化艺术政府奖——文华表演奖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市农业技术推广服务中心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王建芳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攀西无公害农产品监测中心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廖海燕</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张帮健</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李靖</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刘绍江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何涛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颜璟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张颖娟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李念</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攀枝花市名中医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市第二人民医院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殷波</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市第三人民医院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陈仁德</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市第三人民医院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辛一帆</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市疾病预防控制中心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蓝羲</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戴林桐</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宋本艳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陈建勋</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吉春冬</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张天鹰</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攀枝花市名中医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杨春光</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攀枝花市名中医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邹拥军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攀枝花市名中医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田巨龙</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胡强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邱宏</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第一批全国老中医专家学术经验继承指导教师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市妇幼保健院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邹奕</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市妇幼保健院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向友</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四川省技能大赛卫生健康职业技能竞赛妇幼健康技能竞赛三等奖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攀钢集团总医院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艾民</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四川省卫生健康中青年骨干人才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攀钢集团总医院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黎凤明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攀钢集团总医院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张钢花</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攀枝花市名中医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东区弄弄坪社区卫生服务中心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四川省基层卫生拔尖人才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仁和区人民医院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邓介华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四川省基层卫生拔尖人才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仁和区仁和社区卫生服务中心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罗文莲</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四川省基层卫生拔尖人才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仁和区仁和社区卫生服务中心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杨征</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攀枝花市名中医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米易县中医医院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和宇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攀枝花市名中医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米易县中医医院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程煜</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四川省基层卫生拔尖人才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米易县人民医院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刘刚</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盐边县惠民中心卫生院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李宗清</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攀枝花市名中医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蒋志强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刘姗</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朱学军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田从学</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吴恩辉</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李会容</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秦振涛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李东</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魏弦</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杨勇攀</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曹利华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代俊</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张靖</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廖红</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余艾琪</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四川省新文艺创新技能大赛桌面游戏设计师赛三等奖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滕志</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四川省科学技术进步奖三等奖（排名第1）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杨应东</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虎海波</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胡湘军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市书画院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梁云彬</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市民间文艺家协会</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李佩峰</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四川省技术能手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四川鸿舰重型机械制造有限责任公司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彭恂军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四川工匠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攀钢集团（攀枝花）钛金属材料有限公司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何勇胜</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四川工匠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攀钢集团钒钛资源股份有限公司攀枝花钒制品分公司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薛平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四川省技术能手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攀钢集团钒钛资源股份有限公司攀枝花钒制品分公司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王永钢</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肖强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余灿生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四川省科学技术进步奖三等奖（排名第1）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99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邓勇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四川省科学技术进步奖二等奖（排名第3）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攀钢集团攀枝花钢钒有限公司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郭华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四川省科技进步奖二等奖（排名第2）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邹明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四川省科学技术进步奖二等奖（排名第1）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路瑞芳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四川省学术和技术带头人后备人选、攀枝花市学术和技术带头人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朱福兴</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2023年度“天府青城计划”青年科技人才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董学强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余彬</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邱正秋</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陈均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张敏</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109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攀钢集团钛业有限责任公司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何查克</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四川技能大师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攀钢集团攀枝花钢钒有限公司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胥中平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四川技能大师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攀钢集团攀枝花钢钒有限公司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攀钢集团攀枝花钢钒有限公司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吕勇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攀钢集团工程技术有限公司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刘波</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四川省技术能手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攀钢集团工程技术有限公司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王福海</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中国十九冶集团有限公司工业建设分公司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熊德武</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中国十九冶集团有限公司勘察设计分公司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袁星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中国十九冶集团有限公司材料设备工程分公司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徐凤强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四川省技术能手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攀枝花技师学院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周树春</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四川工匠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978" w:type="dxa"/>
            <w:gridSpan w:val="4"/>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hint="eastAsia" w:ascii="方正楷体_GBK" w:eastAsia="方正楷体_GBK" w:cs="Times New Roman"/>
                <w:b/>
                <w:bCs/>
                <w:i w:val="0"/>
                <w:color w:val="000000"/>
                <w:sz w:val="28"/>
              </w:rPr>
              <w:t>三、新获得认定五类人才对应荣誉称号、奖项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119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攀枝花钢城集团有限公司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谢丽娟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市第三高级中学校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李敏</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市教育科学研究所</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彭涛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122</w:t>
            </w:r>
          </w:p>
        </w:tc>
        <w:tc>
          <w:tcPr>
            <w:tcW w:w="314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市外国语学校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黄静</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123</w:t>
            </w:r>
          </w:p>
        </w:tc>
        <w:tc>
          <w:tcPr>
            <w:tcW w:w="31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市第七高级中学校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丁艳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市第七高级中学校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刘越</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市第七高级中学校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张应杰</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市第七高级中学校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潘莹</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市特殊教育学校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吴冰晶</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129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市经贸旅游学校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陈麒先</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市经贸旅游学校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明安丽</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市经贸旅游学校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王川美</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市经贸旅游学校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刘红燕</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市经贸旅游学校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肖华彬</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东区教育科学研究室</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杨新广</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攀枝花市凤凰小学校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许佳佳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攀枝花市花城外国语学校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刁昱婷</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攀枝花市十九中小龙箐学校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林丹</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仁和区大田镇中心学校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李益春</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139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市第二初级中学校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余小龙</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四川省省运会田径项目冠军主教练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盐边县中学校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王永洪</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四川省省运会田径项目冠军主教练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市科技发展战略研究所</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黄晓丽</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市动物疾病预防控制中心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蒲杨柳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市文化艺术中心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杨丽</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刘培根</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王珏</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白冰</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兰建军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市中心医院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李诗洋</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149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市第二人民医院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刘范林</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市第三人民医院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余佳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市第三人民医院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仲英</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刘燕</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市中西医结合医院（攀枝花学院附属医院）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朱锋</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市妇幼保健院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张国忠</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攀钢集团总医院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唐芮鹏</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攀钢集团总医院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肖川</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仁和区人民医院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田长琼</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米易县人民医院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刘波</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159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市林业技术服务中心</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潘晶</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市气象台</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李永军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市委党校</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杨泾泾</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严春来</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刘东奇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唐伟伟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孙厚祥</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巩元勇</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张茜</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169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张学刚</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韩嘉平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张远</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朱奎松</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付建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李翔</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张毅</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常会</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罗学刚</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陶睿</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179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赵晏林</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郭宏福</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黄丽</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刘瑞峰</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张利萍</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张祥丽</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李仁莉</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杨学平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陈丹丹</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张健</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189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钟晓利</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第二届“攀西工匠杯”职业技能大赛养老护理一等奖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王荣蛟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甲卡拉铁</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代沙</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朱军保</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杨永利</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肖玉军</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沈杰</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唐力为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蔺雨阳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199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攀钢集团生活服务有限公司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甘艳梅</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第二届“攀西工匠杯”职业技能大赛烘焙一等奖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攀钢集团矿业有限公司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周川</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攀钢集团矿业有限公司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庞鑫</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熊雪刚</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方强</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彭琳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205</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李阳</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206</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汪渊</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207</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汪创伟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208</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陈燕</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209</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胡鹏</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210</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王建鑫</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211</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攀枝花钢铁研究院有限公司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任艳丽</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212</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攀钢集团钒钛资源股份有限公司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许楠</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213</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攀钢集团工程技术有限公司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查笑乐</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793"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214</w:t>
            </w:r>
          </w:p>
        </w:tc>
        <w:tc>
          <w:tcPr>
            <w:tcW w:w="31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攀钢集团工程技术有限公司</w:t>
            </w:r>
          </w:p>
        </w:tc>
        <w:tc>
          <w:tcPr>
            <w:tcW w:w="1522"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李麟</w:t>
            </w:r>
          </w:p>
        </w:tc>
        <w:tc>
          <w:tcPr>
            <w:tcW w:w="4518" w:type="dxa"/>
            <w:tcBorders>
              <w:top w:val="single" w:color="000000" w:sz="6" w:space="0"/>
              <w:left w:val="single" w:color="000000" w:sz="6" w:space="0"/>
              <w:bottom w:val="single" w:color="000000" w:sz="6" w:space="0"/>
              <w:right w:val="single" w:color="000000" w:sz="6"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攀枝花市学术和技术带头人后备人选</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方正小标宋_GBK" w:cs="Times New Roman"/>
          <w:b/>
          <w:bCs/>
          <w:spacing w:val="-31"/>
          <w:sz w:val="38"/>
          <w:szCs w:val="38"/>
        </w:rPr>
      </w:pPr>
    </w:p>
    <w:p>
      <w:pPr>
        <w:keepNext w:val="0"/>
        <w:keepLines w:val="0"/>
        <w:pageBreakBefore w:val="0"/>
        <w:widowControl w:val="0"/>
        <w:kinsoku/>
        <w:wordWrap/>
        <w:overflowPunct/>
        <w:topLinePunct w:val="0"/>
        <w:autoSpaceDE/>
        <w:autoSpaceDN/>
        <w:adjustRightInd/>
        <w:snapToGrid/>
        <w:spacing w:line="0" w:lineRule="atLeast"/>
        <w:jc w:val="center"/>
        <w:rPr>
          <w:rFonts w:ascii="Times New Roman" w:hAnsi="Times New Roman" w:eastAsia="方正小标宋_GBK" w:cs="Times New Roman"/>
          <w:b/>
          <w:bCs/>
          <w:spacing w:val="0"/>
          <w:sz w:val="38"/>
          <w:szCs w:val="38"/>
          <w:lang w:eastAsia="zh-CN"/>
        </w:rPr>
      </w:pPr>
      <w:r>
        <w:rPr>
          <w:rFonts w:ascii="Times New Roman" w:hAnsi="Times New Roman" w:eastAsia="方正小标宋_GBK" w:cs="Times New Roman"/>
          <w:b/>
          <w:bCs/>
          <w:spacing w:val="0"/>
          <w:sz w:val="38"/>
          <w:szCs w:val="38"/>
          <w:lang w:eastAsia="zh-CN"/>
        </w:rPr>
        <w:br w:type="page"/>
      </w:r>
    </w:p>
    <w:p>
      <w:pPr>
        <w:keepNext w:val="0"/>
        <w:keepLines w:val="0"/>
        <w:pageBreakBefore w:val="0"/>
        <w:widowControl w:val="0"/>
        <w:kinsoku/>
        <w:wordWrap/>
        <w:overflowPunct/>
        <w:topLinePunct w:val="0"/>
        <w:autoSpaceDE/>
        <w:autoSpaceDN/>
        <w:adjustRightInd/>
        <w:snapToGrid/>
        <w:spacing w:line="0" w:lineRule="atLeast"/>
        <w:rPr>
          <w:rFonts w:ascii="Times New Roman" w:hAnsi="Times New Roman" w:eastAsia="方正黑体_GBK" w:cs="Times New Roman"/>
          <w:spacing w:val="-16"/>
          <w:sz w:val="33"/>
          <w:szCs w:val="33"/>
        </w:rPr>
      </w:pPr>
      <w:r>
        <w:rPr>
          <w:rFonts w:ascii="Times New Roman" w:hAnsi="Times New Roman" w:eastAsia="方正黑体_GBK" w:cs="Times New Roman"/>
          <w:spacing w:val="-16"/>
          <w:sz w:val="33"/>
          <w:szCs w:val="33"/>
        </w:rPr>
        <w:t>附件2</w:t>
      </w:r>
    </w:p>
    <w:p>
      <w:pPr>
        <w:keepNext w:val="0"/>
        <w:keepLines w:val="0"/>
        <w:pageBreakBefore w:val="0"/>
        <w:widowControl w:val="0"/>
        <w:kinsoku/>
        <w:wordWrap/>
        <w:overflowPunct/>
        <w:topLinePunct w:val="0"/>
        <w:autoSpaceDE/>
        <w:autoSpaceDN/>
        <w:adjustRightInd/>
        <w:snapToGrid/>
        <w:spacing w:line="0" w:lineRule="atLeast"/>
        <w:rPr>
          <w:rFonts w:ascii="Times New Roman" w:hAnsi="Times New Roman" w:eastAsia="方正黑体_GBK" w:cs="Times New Roman"/>
          <w:spacing w:val="-16"/>
          <w:sz w:val="33"/>
          <w:szCs w:val="33"/>
        </w:rPr>
      </w:pPr>
    </w:p>
    <w:p>
      <w:pPr>
        <w:keepNext w:val="0"/>
        <w:keepLines w:val="0"/>
        <w:pageBreakBefore w:val="0"/>
        <w:widowControl w:val="0"/>
        <w:kinsoku/>
        <w:wordWrap/>
        <w:overflowPunct/>
        <w:topLinePunct w:val="0"/>
        <w:autoSpaceDE/>
        <w:autoSpaceDN/>
        <w:adjustRightInd/>
        <w:snapToGrid/>
        <w:spacing w:line="0" w:lineRule="atLeast"/>
        <w:jc w:val="center"/>
        <w:rPr>
          <w:rFonts w:ascii="Times New Roman" w:hAnsi="Times New Roman" w:eastAsia="方正黑体_GBK" w:cs="Times New Roman"/>
          <w:sz w:val="33"/>
          <w:szCs w:val="33"/>
        </w:rPr>
      </w:pPr>
      <w:r>
        <w:rPr>
          <w:rFonts w:ascii="Times New Roman" w:hAnsi="Times New Roman" w:eastAsia="方正小标宋_GBK" w:cs="Times New Roman"/>
          <w:b/>
          <w:i w:val="0"/>
          <w:strike w:val="0"/>
          <w:dstrike w:val="0"/>
          <w:color w:val="000000"/>
          <w:sz w:val="38"/>
          <w:szCs w:val="38"/>
        </w:rPr>
        <w:t>2024年度用人单位人才培养奖建议名单</w:t>
      </w:r>
    </w:p>
    <w:tbl>
      <w:tblPr>
        <w:tblStyle w:val="7"/>
        <w:tblW w:w="91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
        <w:gridCol w:w="1920"/>
        <w:gridCol w:w="475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2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方正黑体_GBK" w:eastAsia="方正黑体_GBK" w:cs="Times New Roman"/>
                <w:b w:val="0"/>
                <w:i w:val="0"/>
                <w:color w:val="000000"/>
                <w:sz w:val="28"/>
              </w:rPr>
            </w:pPr>
            <w:r>
              <w:rPr>
                <w:rFonts w:hint="eastAsia" w:ascii="方正黑体_GBK" w:eastAsia="方正黑体_GBK" w:cs="Times New Roman"/>
                <w:b w:val="0"/>
                <w:i w:val="0"/>
                <w:color w:val="000000"/>
                <w:sz w:val="28"/>
              </w:rPr>
              <w:t>序号</w:t>
            </w:r>
          </w:p>
        </w:tc>
        <w:tc>
          <w:tcPr>
            <w:tcW w:w="1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方正黑体_GBK" w:eastAsia="方正黑体_GBK" w:cs="Times New Roman"/>
                <w:b w:val="0"/>
                <w:i w:val="0"/>
                <w:color w:val="000000"/>
                <w:sz w:val="28"/>
              </w:rPr>
            </w:pPr>
            <w:r>
              <w:rPr>
                <w:rFonts w:hint="eastAsia" w:ascii="方正黑体_GBK" w:eastAsia="方正黑体_GBK" w:cs="Times New Roman"/>
                <w:b w:val="0"/>
                <w:i w:val="0"/>
                <w:color w:val="000000"/>
                <w:sz w:val="28"/>
              </w:rPr>
              <w:t>申报单位</w:t>
            </w:r>
          </w:p>
        </w:tc>
        <w:tc>
          <w:tcPr>
            <w:tcW w:w="475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方正黑体_GBK" w:eastAsia="方正黑体_GBK" w:cs="Times New Roman"/>
                <w:b w:val="0"/>
                <w:i w:val="0"/>
                <w:color w:val="000000"/>
                <w:sz w:val="28"/>
              </w:rPr>
            </w:pPr>
            <w:r>
              <w:rPr>
                <w:rFonts w:hint="eastAsia" w:ascii="方正黑体_GBK" w:eastAsia="方正黑体_GBK" w:cs="Times New Roman"/>
                <w:b w:val="0"/>
                <w:i w:val="0"/>
                <w:color w:val="000000"/>
                <w:sz w:val="28"/>
              </w:rPr>
              <w:t>申请事由</w:t>
            </w:r>
          </w:p>
        </w:tc>
        <w:tc>
          <w:tcPr>
            <w:tcW w:w="154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方正黑体_GBK" w:eastAsia="方正黑体_GBK" w:cs="Times New Roman"/>
                <w:b w:val="0"/>
                <w:i w:val="0"/>
                <w:color w:val="000000"/>
                <w:sz w:val="28"/>
              </w:rPr>
            </w:pPr>
            <w:r>
              <w:rPr>
                <w:rFonts w:ascii="方正黑体_GBK" w:eastAsia="方正黑体_GBK" w:cs="Times New Roman"/>
                <w:b w:val="0"/>
                <w:i w:val="0"/>
                <w:color w:val="000000"/>
                <w:sz w:val="28"/>
              </w:rPr>
              <w:t>奖励</w:t>
            </w:r>
            <w:r>
              <w:rPr>
                <w:rFonts w:hint="eastAsia" w:ascii="方正黑体_GBK" w:eastAsia="方正黑体_GBK" w:cs="Times New Roman"/>
                <w:b w:val="0"/>
                <w:i w:val="0"/>
                <w:color w:val="000000"/>
                <w:sz w:val="28"/>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2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1</w:t>
            </w:r>
          </w:p>
        </w:tc>
        <w:tc>
          <w:tcPr>
            <w:tcW w:w="1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市实验学校</w:t>
            </w:r>
          </w:p>
        </w:tc>
        <w:tc>
          <w:tcPr>
            <w:tcW w:w="475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培养杜迎春同志获得2023年度“天府青城计划”教育领军人才荣誉称号</w:t>
            </w:r>
          </w:p>
        </w:tc>
        <w:tc>
          <w:tcPr>
            <w:tcW w:w="1545" w:type="dxa"/>
            <w:vMerge w:val="restart"/>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培养人才获得认定三类人才对应荣誉称号、奖项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2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2</w:t>
            </w:r>
          </w:p>
        </w:tc>
        <w:tc>
          <w:tcPr>
            <w:tcW w:w="1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市中西医结合医院</w:t>
            </w:r>
          </w:p>
        </w:tc>
        <w:tc>
          <w:tcPr>
            <w:tcW w:w="475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培养卿丽华同志获得“四川省名中医”荣誉称号</w:t>
            </w:r>
          </w:p>
        </w:tc>
        <w:tc>
          <w:tcPr>
            <w:tcW w:w="15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2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3</w:t>
            </w:r>
          </w:p>
        </w:tc>
        <w:tc>
          <w:tcPr>
            <w:tcW w:w="1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攀枝花学院</w:t>
            </w:r>
          </w:p>
        </w:tc>
        <w:tc>
          <w:tcPr>
            <w:tcW w:w="475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strike w:val="0"/>
                <w:dstrike w:val="0"/>
                <w:color w:val="auto"/>
                <w:sz w:val="28"/>
              </w:rPr>
            </w:pPr>
            <w:r>
              <w:rPr>
                <w:rFonts w:ascii="Times New Roman" w:hAnsi="Times New Roman" w:eastAsia="方正仿宋_GBK" w:cs="Times New Roman"/>
                <w:b w:val="0"/>
                <w:i w:val="0"/>
                <w:strike w:val="0"/>
                <w:dstrike w:val="0"/>
                <w:color w:val="auto"/>
                <w:sz w:val="28"/>
              </w:rPr>
              <w:t>培养胥刚同志获得“四川省学术和技术带头人”荣誉称号</w:t>
            </w:r>
          </w:p>
        </w:tc>
        <w:tc>
          <w:tcPr>
            <w:tcW w:w="15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2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4</w:t>
            </w:r>
          </w:p>
        </w:tc>
        <w:tc>
          <w:tcPr>
            <w:tcW w:w="1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市农林科学院</w:t>
            </w:r>
          </w:p>
        </w:tc>
        <w:tc>
          <w:tcPr>
            <w:tcW w:w="475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培养李桂珍获得2023年度“天府青城计划”农业领军人才荣誉称号</w:t>
            </w:r>
          </w:p>
        </w:tc>
        <w:tc>
          <w:tcPr>
            <w:tcW w:w="15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2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5</w:t>
            </w:r>
          </w:p>
        </w:tc>
        <w:tc>
          <w:tcPr>
            <w:tcW w:w="1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攀钢集团有限公司</w:t>
            </w:r>
          </w:p>
        </w:tc>
        <w:tc>
          <w:tcPr>
            <w:tcW w:w="475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培养王洪彬、李开华等7名同志获得“国家科学技术进步奖二等奖”“四川省科学技术进步奖一等奖”“四川省学术和技术带头人”等荣誉称号</w:t>
            </w:r>
          </w:p>
        </w:tc>
        <w:tc>
          <w:tcPr>
            <w:tcW w:w="15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2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6</w:t>
            </w:r>
          </w:p>
        </w:tc>
        <w:tc>
          <w:tcPr>
            <w:tcW w:w="1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中国十九冶集团有限公司</w:t>
            </w:r>
          </w:p>
        </w:tc>
        <w:tc>
          <w:tcPr>
            <w:tcW w:w="475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strike w:val="0"/>
                <w:dstrike w:val="0"/>
                <w:color w:val="auto"/>
                <w:sz w:val="28"/>
              </w:rPr>
            </w:pPr>
            <w:r>
              <w:rPr>
                <w:rFonts w:ascii="Times New Roman" w:hAnsi="Times New Roman" w:eastAsia="方正仿宋_GBK" w:cs="Times New Roman"/>
                <w:b w:val="0"/>
                <w:i w:val="0"/>
                <w:strike w:val="0"/>
                <w:dstrike w:val="0"/>
                <w:color w:val="auto"/>
                <w:sz w:val="28"/>
              </w:rPr>
              <w:t>培养刘建川、方钰洁等4名同志获得“天府青城计划”“全国技术能手”等荣誉称号</w:t>
            </w:r>
          </w:p>
        </w:tc>
        <w:tc>
          <w:tcPr>
            <w:tcW w:w="15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2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7</w:t>
            </w:r>
          </w:p>
        </w:tc>
        <w:tc>
          <w:tcPr>
            <w:tcW w:w="1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攀枝花钢城集团有限公司</w:t>
            </w:r>
          </w:p>
        </w:tc>
        <w:tc>
          <w:tcPr>
            <w:tcW w:w="475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培养陈刚同志获得2022年度“天府青城计划”天府工匠荣誉称号</w:t>
            </w:r>
          </w:p>
        </w:tc>
        <w:tc>
          <w:tcPr>
            <w:tcW w:w="15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2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8</w:t>
            </w:r>
          </w:p>
        </w:tc>
        <w:tc>
          <w:tcPr>
            <w:tcW w:w="1920"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color w:val="000000"/>
                <w:sz w:val="28"/>
              </w:rPr>
            </w:pPr>
            <w:r>
              <w:rPr>
                <w:rFonts w:ascii="Times New Roman" w:hAnsi="Times New Roman" w:eastAsia="方正仿宋_GBK" w:cs="Times New Roman"/>
                <w:b w:val="0"/>
                <w:i w:val="0"/>
                <w:color w:val="000000"/>
                <w:sz w:val="28"/>
              </w:rPr>
              <w:t>龙佰四川矿冶有限公司</w:t>
            </w:r>
          </w:p>
        </w:tc>
        <w:tc>
          <w:tcPr>
            <w:tcW w:w="4755"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rPr>
                <w:rFonts w:ascii="Times New Roman" w:hAnsi="Times New Roman" w:eastAsia="方正仿宋_GBK" w:cs="Times New Roman"/>
                <w:b w:val="0"/>
                <w:i w:val="0"/>
                <w:strike w:val="0"/>
                <w:dstrike w:val="0"/>
                <w:color w:val="000000"/>
                <w:sz w:val="28"/>
              </w:rPr>
            </w:pPr>
            <w:r>
              <w:rPr>
                <w:rFonts w:ascii="Times New Roman" w:hAnsi="Times New Roman" w:eastAsia="方正仿宋_GBK" w:cs="Times New Roman"/>
                <w:b w:val="0"/>
                <w:i w:val="0"/>
                <w:strike w:val="0"/>
                <w:dstrike w:val="0"/>
                <w:color w:val="000000"/>
                <w:sz w:val="28"/>
              </w:rPr>
              <w:t>培养刘长淼同志获得2023年度“天府峨眉计划”创新领军人才荣誉称号</w:t>
            </w:r>
          </w:p>
        </w:tc>
        <w:tc>
          <w:tcPr>
            <w:tcW w:w="1545" w:type="dxa"/>
            <w:vMerge w:val="continue"/>
            <w:tcBorders>
              <w:top w:val="single" w:color="000000" w:sz="6" w:space="0"/>
              <w:left w:val="single" w:color="000000" w:sz="6" w:space="0"/>
              <w:bottom w:val="single" w:color="000000" w:sz="6" w:space="0"/>
              <w:right w:val="single" w:color="000000" w:sz="6" w:space="0"/>
              <w:tl2br w:val="nil"/>
              <w:tr2bl w:val="nil"/>
            </w:tcBorders>
            <w:noWrap/>
            <w:vAlign w:val="center"/>
          </w:tcPr>
          <w:p/>
        </w:tc>
      </w:tr>
    </w:tbl>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ascii="Times New Roman" w:hAnsi="Times New Roman" w:eastAsia="方正仿宋_GBK" w:cs="Times New Roman"/>
          <w:b/>
          <w:bCs/>
          <w:spacing w:val="0"/>
          <w:sz w:val="36"/>
          <w:szCs w:val="36"/>
          <w:lang w:val="en-US" w:eastAsia="zh-CN"/>
        </w:rPr>
      </w:pPr>
    </w:p>
    <w:sectPr>
      <w:footerReference r:id="rId3" w:type="default"/>
      <w:footerReference r:id="rId4" w:type="even"/>
      <w:pgSz w:w="11906" w:h="16838"/>
      <w:pgMar w:top="2098" w:right="1474" w:bottom="1984" w:left="1587" w:header="907"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永中仿宋"/>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永中宋体">
    <w:panose1 w:val="02010600030101010101"/>
    <w:charset w:val="86"/>
    <w:family w:val="auto"/>
    <w:pitch w:val="default"/>
    <w:sig w:usb0="00000803" w:usb1="080E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永中仿宋">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pBdr>
      <w:rPr>
        <w:rFonts w:hint="eastAsia" w:ascii="永中宋体" w:eastAsia="永中宋体"/>
        <w:sz w:val="28"/>
        <w:szCs w:val="28"/>
      </w:rPr>
    </w:pPr>
    <w:r>
      <w:rPr>
        <w:rStyle w:val="9"/>
        <w:rFonts w:hint="eastAsia" w:ascii="永中宋体" w:eastAsia="永中宋体"/>
        <w:sz w:val="28"/>
        <w:szCs w:val="28"/>
      </w:rPr>
      <w:t xml:space="preserve">— </w:t>
    </w:r>
    <w:r>
      <w:rPr>
        <w:rStyle w:val="9"/>
        <w:rFonts w:hint="eastAsia" w:ascii="永中宋体" w:eastAsia="永中宋体"/>
        <w:sz w:val="28"/>
        <w:szCs w:val="28"/>
      </w:rPr>
      <w:fldChar w:fldCharType="begin"/>
    </w:r>
    <w:r>
      <w:rPr>
        <w:rStyle w:val="9"/>
        <w:rFonts w:hint="eastAsia" w:ascii="永中宋体" w:eastAsia="永中宋体"/>
        <w:sz w:val="28"/>
        <w:szCs w:val="28"/>
      </w:rPr>
      <w:instrText xml:space="preserve">Page</w:instrText>
    </w:r>
    <w:r>
      <w:rPr>
        <w:rStyle w:val="9"/>
        <w:rFonts w:hint="eastAsia" w:ascii="永中宋体" w:eastAsia="永中宋体"/>
        <w:sz w:val="28"/>
        <w:szCs w:val="28"/>
      </w:rPr>
      <w:fldChar w:fldCharType="separate"/>
    </w:r>
    <w:r>
      <w:rPr>
        <w:rStyle w:val="9"/>
        <w:rFonts w:hint="eastAsia" w:ascii="永中宋体" w:eastAsia="永中宋体"/>
        <w:sz w:val="28"/>
        <w:szCs w:val="28"/>
      </w:rPr>
      <w:t>1</w:t>
    </w:r>
    <w:r>
      <w:rPr>
        <w:rStyle w:val="9"/>
        <w:rFonts w:hint="eastAsia" w:ascii="永中宋体" w:eastAsia="永中宋体"/>
        <w:sz w:val="28"/>
        <w:szCs w:val="28"/>
      </w:rPr>
      <w:fldChar w:fldCharType="end"/>
    </w:r>
    <w:r>
      <w:rPr>
        <w:rStyle w:val="9"/>
        <w:rFonts w:hint="eastAsia" w:ascii="永中宋体" w:eastAsia="永中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mQ3ODBlMWY0ZDE3YzA3YTg1ZDg1YzZiOTFmMDZiNDIifQ=="/>
  </w:docVars>
  <w:rsids>
    <w:rsidRoot w:val="00000000"/>
    <w:rsid w:val="3BFA355A"/>
    <w:rsid w:val="7BD67D0A"/>
    <w:rsid w:val="7F99392D"/>
    <w:rsid w:val="91FD7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customStyle="1" w:styleId="10">
    <w:name w:val="font21"/>
    <w:basedOn w:val="8"/>
    <w:qFormat/>
    <w:uiPriority w:val="0"/>
    <w:rPr>
      <w:rFonts w:ascii="方正仿宋_GBK" w:eastAsia="方正仿宋_GBK" w:cs="方正仿宋_GBK"/>
      <w:b/>
      <w:bCs/>
      <w:color w:val="000000"/>
      <w:sz w:val="20"/>
      <w:szCs w:val="20"/>
      <w:u w:val="none"/>
    </w:rPr>
  </w:style>
  <w:style w:type="character" w:customStyle="1" w:styleId="11">
    <w:name w:val="font41"/>
    <w:basedOn w:val="8"/>
    <w:qFormat/>
    <w:uiPriority w:val="0"/>
    <w:rPr>
      <w:rFonts w:ascii="Times New Roman" w:hAnsi="Times New Roman" w:cs="Times New Roman"/>
      <w:b/>
      <w:bCs/>
      <w:color w:val="000000"/>
      <w:sz w:val="20"/>
      <w:szCs w:val="20"/>
      <w:u w:val="none"/>
    </w:rPr>
  </w:style>
  <w:style w:type="character" w:customStyle="1" w:styleId="12">
    <w:name w:val="font11"/>
    <w:basedOn w:val="8"/>
    <w:qFormat/>
    <w:uiPriority w:val="0"/>
    <w:rPr>
      <w:rFonts w:ascii="方正仿宋_GBK" w:eastAsia="方正仿宋_GBK" w:cs="方正仿宋_GBK"/>
      <w:b/>
      <w:bCs/>
      <w:color w:val="000000"/>
      <w:sz w:val="20"/>
      <w:szCs w:val="20"/>
      <w:u w:val="none"/>
    </w:rPr>
  </w:style>
  <w:style w:type="character" w:customStyle="1" w:styleId="13">
    <w:name w:val="font31"/>
    <w:basedOn w:val="8"/>
    <w:qFormat/>
    <w:uiPriority w:val="0"/>
    <w:rPr>
      <w:rFonts w:ascii="方正仿宋_GBK" w:eastAsia="方正仿宋_GBK" w:cs="方正仿宋_GBK"/>
      <w:b/>
      <w:bCs/>
      <w:color w:val="000000"/>
      <w:sz w:val="20"/>
      <w:szCs w:val="20"/>
      <w:u w:val="none"/>
    </w:rPr>
  </w:style>
  <w:style w:type="character" w:customStyle="1" w:styleId="14">
    <w:name w:val="font51"/>
    <w:basedOn w:val="8"/>
    <w:qFormat/>
    <w:uiPriority w:val="0"/>
    <w:rPr>
      <w:rFonts w:ascii="方正仿宋_GBK" w:eastAsia="方正仿宋_GBK" w:cs="方正仿宋_GBK"/>
      <w:b/>
      <w:bCs/>
      <w:color w:val="000000"/>
      <w:sz w:val="20"/>
      <w:szCs w:val="20"/>
      <w:u w:val="none"/>
    </w:rPr>
  </w:style>
  <w:style w:type="character" w:customStyle="1" w:styleId="15">
    <w:name w:val="font61"/>
    <w:basedOn w:val="8"/>
    <w:qFormat/>
    <w:uiPriority w:val="0"/>
    <w:rPr>
      <w:rFonts w:ascii="方正仿宋_GBK" w:eastAsia="方正仿宋_GBK" w:cs="方正仿宋_GBK"/>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6648</Words>
  <Characters>7064</Characters>
  <Lines>1135</Lines>
  <Paragraphs>902</Paragraphs>
  <TotalTime>60</TotalTime>
  <ScaleCrop>false</ScaleCrop>
  <LinksUpToDate>false</LinksUpToDate>
  <CharactersWithSpaces>7074</CharactersWithSpaces>
  <Application>WPS Office_11.8.2.9695_F1E327BC-269C-435d-A152-05C5408002CA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2023-10-12T16:44:00Z</dcterms:created>
  <dc:creator>黄侗</dc:creator>
  <cp:lastModifiedBy>F和弦的B</cp:lastModifiedBy>
  <cp:lastPrinted>2025-02-07T02:57:00Z</cp:lastPrinted>
  <dcterms:modified xsi:type="dcterms:W3CDTF">2025-02-18T08:49:51Z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44ED3A3F7898404D83725A198EB4EA13_11</vt:lpwstr>
  </property>
</Properties>
</file>