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eastAsia="黑体"/>
          <w:color w:val="000000"/>
          <w:sz w:val="72"/>
          <w:szCs w:val="72"/>
        </w:rPr>
        <w:t>2019</w:t>
      </w:r>
      <w:r>
        <w:rPr>
          <w:rFonts w:hint="eastAsia"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eastAsia="方正小标宋简体"/>
          <w:color w:val="000000"/>
          <w:sz w:val="52"/>
          <w:szCs w:val="52"/>
        </w:rPr>
      </w:pPr>
      <w:bookmarkStart w:id="6" w:name="_Toc15378442"/>
      <w:bookmarkStart w:id="7" w:name="_Toc15396598"/>
      <w:bookmarkStart w:id="8" w:name="_Toc15396476"/>
      <w:bookmarkStart w:id="9" w:name="_Toc15377426"/>
      <w:bookmarkStart w:id="10" w:name="_Toc15377194"/>
      <w:r>
        <w:rPr>
          <w:rFonts w:hint="eastAsia" w:eastAsia="方正小标宋简体"/>
          <w:color w:val="000000"/>
          <w:sz w:val="52"/>
          <w:szCs w:val="52"/>
        </w:rPr>
        <w:t>四川省</w:t>
      </w:r>
      <w:bookmarkEnd w:id="0"/>
      <w:bookmarkStart w:id="11" w:name="_Toc15306268"/>
      <w:r>
        <w:rPr>
          <w:rFonts w:hint="eastAsia" w:eastAsia="方正小标宋简体"/>
          <w:color w:val="000000"/>
          <w:sz w:val="52"/>
          <w:szCs w:val="52"/>
        </w:rPr>
        <w:t>攀枝花市交通运输局</w:t>
      </w:r>
    </w:p>
    <w:p>
      <w:pPr>
        <w:adjustRightInd w:val="0"/>
        <w:snapToGrid w:val="0"/>
        <w:spacing w:line="360" w:lineRule="auto"/>
        <w:jc w:val="center"/>
        <w:outlineLvl w:val="0"/>
        <w:rPr>
          <w:rFonts w:eastAsia="方正小标宋简体"/>
          <w:color w:val="000000"/>
          <w:sz w:val="52"/>
          <w:szCs w:val="52"/>
        </w:rPr>
      </w:pPr>
      <w:r>
        <w:rPr>
          <w:rFonts w:hint="eastAsia" w:eastAsia="方正小标宋简体"/>
          <w:color w:val="000000"/>
          <w:sz w:val="52"/>
          <w:szCs w:val="52"/>
        </w:rPr>
        <w:t>部门决算</w:t>
      </w:r>
      <w:bookmarkEnd w:id="6"/>
      <w:bookmarkEnd w:id="7"/>
      <w:bookmarkEnd w:id="8"/>
      <w:bookmarkEnd w:id="9"/>
      <w:bookmarkEnd w:id="10"/>
      <w:bookmarkEnd w:id="11"/>
    </w:p>
    <w:p>
      <w:pPr>
        <w:widowControl/>
        <w:jc w:val="center"/>
        <w:rPr>
          <w:rFonts w:eastAsia="黑体"/>
          <w:color w:val="000000"/>
          <w:sz w:val="48"/>
          <w:szCs w:val="48"/>
        </w:rPr>
      </w:pPr>
      <w:r>
        <w:rPr>
          <w:rFonts w:eastAsia="方正小标宋简体"/>
          <w:color w:val="000000"/>
          <w:sz w:val="36"/>
          <w:szCs w:val="36"/>
        </w:rPr>
        <w:br w:type="page"/>
      </w:r>
      <w:r>
        <w:rPr>
          <w:rFonts w:hint="eastAsia" w:eastAsia="黑体"/>
          <w:color w:val="000000"/>
          <w:sz w:val="48"/>
          <w:szCs w:val="48"/>
        </w:rPr>
        <w:t>目录</w:t>
      </w:r>
    </w:p>
    <w:p>
      <w:pPr>
        <w:widowControl/>
        <w:jc w:val="center"/>
        <w:rPr>
          <w:rFonts w:eastAsia="黑体"/>
          <w:sz w:val="32"/>
          <w:szCs w:val="32"/>
        </w:rPr>
      </w:pPr>
    </w:p>
    <w:p>
      <w:pPr>
        <w:pStyle w:val="12"/>
        <w:rPr>
          <w:rFonts w:hint="eastAsia" w:ascii="仿宋_GB2312" w:hAnsi="Times New Roman" w:eastAsia="仿宋_GB2312"/>
          <w:sz w:val="32"/>
          <w:szCs w:val="32"/>
        </w:rPr>
      </w:pPr>
      <w:r>
        <w:rPr>
          <w:rFonts w:hint="eastAsia" w:ascii="仿宋_GB2312" w:hAnsi="Times New Roman" w:eastAsia="仿宋_GB2312"/>
          <w:sz w:val="32"/>
          <w:szCs w:val="32"/>
        </w:rPr>
        <w:t>公开时间：2020年9月21日</w:t>
      </w:r>
    </w:p>
    <w:p>
      <w:pPr>
        <w:rPr>
          <w:rFonts w:hint="eastAsia" w:ascii="仿宋_GB2312" w:eastAsia="仿宋_GB2312"/>
          <w:sz w:val="32"/>
          <w:szCs w:val="32"/>
        </w:rPr>
      </w:pPr>
    </w:p>
    <w:p>
      <w:pPr>
        <w:pStyle w:val="12"/>
        <w:adjustRightInd w:val="0"/>
        <w:snapToGrid w:val="0"/>
        <w:spacing w:before="0" w:line="440" w:lineRule="exact"/>
        <w:jc w:val="left"/>
        <w:rPr>
          <w:rFonts w:hint="eastAsia" w:ascii="仿宋_GB2312" w:hAnsi="Times New Roman" w:eastAsia="仿宋_GB2312"/>
          <w:sz w:val="32"/>
          <w:szCs w:val="32"/>
        </w:rPr>
      </w:pPr>
      <w:r>
        <w:rPr>
          <w:rFonts w:hint="eastAsia" w:ascii="仿宋_GB2312" w:hAnsi="Times New Roman" w:eastAsia="仿宋_GB2312"/>
          <w:sz w:val="32"/>
          <w:szCs w:val="32"/>
        </w:rPr>
        <w:t>第一部分部门概况……………………………………………4</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一、基本职能及主要工作…………………………………4</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二、机构设置………………………………………………9</w:t>
      </w:r>
    </w:p>
    <w:p>
      <w:pPr>
        <w:pStyle w:val="12"/>
        <w:adjustRightInd w:val="0"/>
        <w:snapToGrid w:val="0"/>
        <w:spacing w:before="0" w:line="440" w:lineRule="exact"/>
        <w:jc w:val="left"/>
        <w:rPr>
          <w:rFonts w:hint="eastAsia" w:ascii="仿宋_GB2312" w:hAnsi="Times New Roman" w:eastAsia="仿宋_GB2312"/>
          <w:sz w:val="32"/>
          <w:szCs w:val="32"/>
        </w:rPr>
      </w:pPr>
      <w:r>
        <w:rPr>
          <w:rFonts w:hint="eastAsia" w:ascii="仿宋_GB2312" w:hAnsi="Times New Roman" w:eastAsia="仿宋_GB2312"/>
          <w:sz w:val="32"/>
          <w:szCs w:val="32"/>
        </w:rPr>
        <w:t>第二部分度部门决算情况说明…………………………… 10</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一、收入支出决算总体情况说明…………………………10</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二、收入决算情况说明……………………………………11</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三、支出决算情况说明……………………………………11</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四、财政拨款收入支出决算总体情况说明………………12</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五、一般公共预算财政拨款支出决算情况说明…………13</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六、一般公共预算财政拨款基本支出决算情况说明…18</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七、“三公”经费财政拨款支出决算情况说明…………19</w:t>
      </w:r>
    </w:p>
    <w:p>
      <w:pPr>
        <w:pStyle w:val="13"/>
        <w:adjustRightInd w:val="0"/>
        <w:snapToGrid w:val="0"/>
        <w:spacing w:line="440" w:lineRule="exact"/>
        <w:jc w:val="left"/>
        <w:rPr>
          <w:rFonts w:hint="eastAsia" w:ascii="仿宋_GB2312" w:eastAsia="仿宋_GB2312"/>
          <w:sz w:val="32"/>
          <w:szCs w:val="32"/>
        </w:rPr>
      </w:pPr>
      <w:r>
        <w:rPr>
          <w:rFonts w:hint="eastAsia" w:ascii="仿宋_GB2312" w:eastAsia="仿宋_GB2312"/>
          <w:sz w:val="32"/>
          <w:szCs w:val="32"/>
        </w:rPr>
        <w:t>八、政府性基金预算支出决算情况说明…………………21</w:t>
      </w:r>
    </w:p>
    <w:p>
      <w:pPr>
        <w:pStyle w:val="13"/>
        <w:adjustRightInd w:val="0"/>
        <w:snapToGrid w:val="0"/>
        <w:spacing w:line="440" w:lineRule="exact"/>
        <w:ind w:leftChars="0"/>
        <w:jc w:val="left"/>
        <w:rPr>
          <w:rFonts w:hint="eastAsia" w:ascii="仿宋_GB2312" w:eastAsia="仿宋_GB2312"/>
          <w:sz w:val="32"/>
          <w:szCs w:val="32"/>
        </w:rPr>
      </w:pPr>
      <w:r>
        <w:rPr>
          <w:rFonts w:hint="eastAsia" w:ascii="仿宋_GB2312" w:eastAsia="仿宋_GB2312"/>
          <w:sz w:val="32"/>
          <w:szCs w:val="32"/>
        </w:rPr>
        <w:t>九、国有资本经营预算支出决算情况说明……………21</w:t>
      </w:r>
    </w:p>
    <w:p>
      <w:pPr>
        <w:adjustRightInd w:val="0"/>
        <w:snapToGrid w:val="0"/>
        <w:spacing w:line="440" w:lineRule="exact"/>
        <w:ind w:firstLine="480" w:firstLineChars="150"/>
        <w:jc w:val="left"/>
        <w:rPr>
          <w:rFonts w:hint="eastAsia" w:ascii="仿宋_GB2312" w:eastAsia="仿宋_GB2312"/>
          <w:sz w:val="32"/>
          <w:szCs w:val="32"/>
        </w:rPr>
      </w:pPr>
      <w:r>
        <w:rPr>
          <w:rStyle w:val="18"/>
          <w:rFonts w:hint="eastAsia" w:ascii="仿宋_GB2312" w:eastAsia="仿宋_GB2312"/>
          <w:color w:val="000000" w:themeColor="text1"/>
          <w:sz w:val="32"/>
          <w:szCs w:val="32"/>
        </w:rPr>
        <w:t>十、</w:t>
      </w:r>
      <w:r>
        <w:rPr>
          <w:rFonts w:hint="eastAsia" w:ascii="仿宋_GB2312" w:eastAsia="仿宋_GB2312"/>
          <w:sz w:val="32"/>
          <w:szCs w:val="32"/>
        </w:rPr>
        <w:t>其他重要事项的情况说明…………………………21</w:t>
      </w:r>
    </w:p>
    <w:p>
      <w:pPr>
        <w:pStyle w:val="12"/>
        <w:adjustRightInd w:val="0"/>
        <w:snapToGrid w:val="0"/>
        <w:spacing w:before="0" w:line="440" w:lineRule="exact"/>
        <w:jc w:val="left"/>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第三部分名词解释…………………………………………</w:t>
      </w:r>
      <w:r>
        <w:rPr>
          <w:rFonts w:hint="eastAsia" w:ascii="仿宋_GB2312" w:hAnsi="Times New Roman" w:eastAsia="仿宋_GB2312"/>
          <w:sz w:val="32"/>
          <w:szCs w:val="32"/>
          <w:lang w:val="en-US" w:eastAsia="zh-CN"/>
        </w:rPr>
        <w:t>36</w:t>
      </w:r>
    </w:p>
    <w:p>
      <w:pPr>
        <w:pStyle w:val="12"/>
        <w:adjustRightInd w:val="0"/>
        <w:snapToGrid w:val="0"/>
        <w:spacing w:before="0" w:line="440" w:lineRule="exact"/>
        <w:jc w:val="left"/>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第四部分附件………………………………………………</w:t>
      </w:r>
      <w:r>
        <w:rPr>
          <w:rFonts w:hint="eastAsia" w:ascii="仿宋_GB2312" w:hAnsi="Times New Roman" w:eastAsia="仿宋_GB2312"/>
          <w:sz w:val="32"/>
          <w:szCs w:val="32"/>
          <w:lang w:val="en-US" w:eastAsia="zh-CN"/>
        </w:rPr>
        <w:t>39</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附件1……………………………………………………</w:t>
      </w:r>
      <w:r>
        <w:rPr>
          <w:rFonts w:hint="eastAsia" w:ascii="仿宋_GB2312" w:eastAsia="仿宋_GB2312"/>
          <w:sz w:val="32"/>
          <w:szCs w:val="32"/>
          <w:lang w:val="en-US" w:eastAsia="zh-CN"/>
        </w:rPr>
        <w:t>39</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附件2……………………………………………………</w:t>
      </w:r>
      <w:r>
        <w:rPr>
          <w:rFonts w:hint="eastAsia" w:ascii="仿宋_GB2312" w:eastAsia="仿宋_GB2312"/>
          <w:sz w:val="32"/>
          <w:szCs w:val="32"/>
          <w:lang w:val="en-US" w:eastAsia="zh-CN"/>
        </w:rPr>
        <w:t>46</w:t>
      </w:r>
    </w:p>
    <w:p>
      <w:pPr>
        <w:pStyle w:val="12"/>
        <w:adjustRightInd w:val="0"/>
        <w:snapToGrid w:val="0"/>
        <w:spacing w:before="0" w:line="440" w:lineRule="exact"/>
        <w:jc w:val="left"/>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第五部分附表………………………………………………</w:t>
      </w:r>
      <w:r>
        <w:rPr>
          <w:rFonts w:hint="eastAsia" w:ascii="仿宋_GB2312" w:hAnsi="Times New Roman"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一、收入支出决算总表…………………………………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二、收入决算表…………………………………………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三、支出决算表…………………………………………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四、财政拨款收入支出决算总表………………………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五、财政拨款支出决算明细表…………………………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六、一般公共预算财政拨款支出决算表………………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七、一般公共预算财政拨款支出决算明细表……………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八、一般公共预算财政拨款基本支出决算表……………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九、一般公共预算财政拨款项目支出决算表……………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十、一般公共预算财政拨款“三公”经费支出决算表…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十一、政府性基金预算财政拨款收入支出决算表………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十二、政府性基金预算财政拨款“三公”经费支出决算表…</w:t>
      </w:r>
      <w:r>
        <w:rPr>
          <w:rFonts w:hint="eastAsia" w:ascii="仿宋_GB2312" w:eastAsia="仿宋_GB2312"/>
          <w:sz w:val="32"/>
          <w:szCs w:val="32"/>
          <w:lang w:val="en-US" w:eastAsia="zh-CN"/>
        </w:rPr>
        <w:t>61</w:t>
      </w:r>
    </w:p>
    <w:p>
      <w:pPr>
        <w:pStyle w:val="13"/>
        <w:adjustRightInd w:val="0"/>
        <w:snapToGrid w:val="0"/>
        <w:spacing w:line="440" w:lineRule="exact"/>
        <w:jc w:val="left"/>
        <w:rPr>
          <w:rFonts w:hint="default" w:ascii="仿宋_GB2312" w:eastAsia="仿宋_GB2312"/>
          <w:sz w:val="32"/>
          <w:szCs w:val="32"/>
          <w:lang w:val="en-US" w:eastAsia="zh-CN"/>
        </w:rPr>
      </w:pPr>
      <w:r>
        <w:rPr>
          <w:rFonts w:hint="eastAsia" w:ascii="仿宋_GB2312" w:eastAsia="仿宋_GB2312"/>
          <w:sz w:val="32"/>
          <w:szCs w:val="32"/>
        </w:rPr>
        <w:t>十三、国有资本经营预算支出决算表……………………</w:t>
      </w:r>
      <w:r>
        <w:rPr>
          <w:rFonts w:hint="eastAsia" w:ascii="仿宋_GB2312" w:eastAsia="仿宋_GB2312"/>
          <w:sz w:val="32"/>
          <w:szCs w:val="32"/>
          <w:lang w:val="en-US" w:eastAsia="zh-CN"/>
        </w:rPr>
        <w:t>61</w:t>
      </w:r>
    </w:p>
    <w:p>
      <w:pPr>
        <w:widowControl/>
        <w:spacing w:line="440" w:lineRule="exact"/>
        <w:jc w:val="left"/>
        <w:rPr>
          <w:rFonts w:hint="eastAsia" w:ascii="仿宋_GB2312" w:eastAsia="仿宋_GB2312"/>
          <w:bCs/>
          <w:kern w:val="44"/>
          <w:sz w:val="32"/>
          <w:szCs w:val="32"/>
        </w:rPr>
      </w:pPr>
      <w:bookmarkStart w:id="12" w:name="_Toc15377196"/>
      <w:bookmarkStart w:id="13" w:name="_Toc15396599"/>
      <w:r>
        <w:rPr>
          <w:rFonts w:hint="eastAsia" w:ascii="仿宋_GB2312" w:eastAsia="仿宋_GB2312"/>
          <w:b/>
          <w:sz w:val="32"/>
          <w:szCs w:val="32"/>
        </w:rPr>
        <w:br w:type="page"/>
      </w:r>
    </w:p>
    <w:p>
      <w:pPr>
        <w:pStyle w:val="2"/>
        <w:jc w:val="center"/>
        <w:rPr>
          <w:rStyle w:val="19"/>
          <w:rFonts w:eastAsia="黑体"/>
          <w:b w:val="0"/>
          <w:bCs w:val="0"/>
        </w:rPr>
      </w:pPr>
      <w:r>
        <w:rPr>
          <w:rFonts w:hint="eastAsia" w:eastAsia="黑体"/>
          <w:b w:val="0"/>
        </w:rPr>
        <w:t>第一部分</w:t>
      </w:r>
      <w:r>
        <w:rPr>
          <w:rStyle w:val="19"/>
          <w:rFonts w:hint="eastAsia" w:eastAsia="黑体"/>
          <w:b w:val="0"/>
          <w:bCs w:val="0"/>
        </w:rPr>
        <w:t>部门概况</w:t>
      </w:r>
      <w:bookmarkEnd w:id="12"/>
      <w:bookmarkEnd w:id="13"/>
    </w:p>
    <w:p>
      <w:pPr>
        <w:pStyle w:val="3"/>
        <w:rPr>
          <w:rStyle w:val="20"/>
          <w:rFonts w:eastAsia="仿宋" w:cs="Times New Roman"/>
          <w:b w:val="0"/>
          <w:bCs w:val="0"/>
        </w:rPr>
      </w:pPr>
      <w:bookmarkStart w:id="14" w:name="_Toc15396600"/>
      <w:bookmarkStart w:id="15" w:name="_Toc15377197"/>
      <w:r>
        <w:rPr>
          <w:rFonts w:hint="eastAsia" w:ascii="Times New Roman" w:hAnsi="Times New Roman" w:eastAsia="黑体" w:cs="Times New Roman"/>
          <w:b w:val="0"/>
          <w:color w:val="000000"/>
        </w:rPr>
        <w:t>一、基</w:t>
      </w:r>
      <w:r>
        <w:rPr>
          <w:rStyle w:val="20"/>
          <w:rFonts w:hint="eastAsia" w:eastAsia="黑体" w:cs="Times New Roman"/>
          <w:b w:val="0"/>
          <w:bCs w:val="0"/>
        </w:rPr>
        <w:t>本职能及主要工作</w:t>
      </w:r>
      <w:bookmarkEnd w:id="14"/>
      <w:bookmarkEnd w:id="15"/>
    </w:p>
    <w:p>
      <w:pPr>
        <w:pStyle w:val="6"/>
        <w:adjustRightInd w:val="0"/>
        <w:snapToGrid w:val="0"/>
        <w:spacing w:before="93" w:line="600" w:lineRule="exact"/>
        <w:ind w:firstLine="674" w:firstLineChars="210"/>
        <w:outlineLvl w:val="2"/>
        <w:rPr>
          <w:rFonts w:ascii="Times New Roman" w:eastAsia="仿宋"/>
          <w:b/>
          <w:bCs/>
          <w:color w:val="000000"/>
          <w:sz w:val="32"/>
          <w:szCs w:val="32"/>
        </w:rPr>
      </w:pPr>
      <w:bookmarkStart w:id="16" w:name="_Toc15377198"/>
      <w:bookmarkStart w:id="17" w:name="_Toc15378445"/>
      <w:r>
        <w:rPr>
          <w:rFonts w:hint="eastAsia" w:ascii="Times New Roman" w:eastAsia="仿宋"/>
          <w:b/>
          <w:bCs/>
          <w:color w:val="000000"/>
          <w:sz w:val="32"/>
          <w:szCs w:val="32"/>
        </w:rPr>
        <w:t>（一）主要职能。</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2、负责本系统、本部门依法行政工作，落实行政执法责任制；指导公路、水路行业有关体制改革和机制转换工作；参与拟定物流业发展战略和规划。</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3、承担道路、水路交通运输市场监管责任，组织实施并监督执行道路、水路运输有关政策、技术标准和运营规范；指导城乡客运管理工作，指导出租车行业管理工作；会同有关部门制定运输价格。</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4、承担水上交通安全监管责任。负责水上交通管制</w:t>
      </w:r>
      <w:r>
        <w:rPr>
          <w:rFonts w:hint="eastAsia" w:ascii="仿宋_GB2312" w:eastAsia="仿宋_GB2312" w:hAnsiTheme="minorEastAsia"/>
          <w:sz w:val="32"/>
          <w:szCs w:val="32"/>
        </w:rPr>
        <w:t>，运输船舶及相关水上设施、渔船检验、登记和防止污染、通讯导航、危险品运输的监督管理工作；负责船员管理相关工作；指导水上交通安全事故、船舶及相关水上设施污染事故的应急处置，依法组织和参与事故调查处理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5、负责提出公路、水路固定资产投资规模和方向、市</w:t>
      </w:r>
      <w:r>
        <w:rPr>
          <w:rFonts w:hint="eastAsia" w:ascii="仿宋_GB2312" w:eastAsia="仿宋_GB2312" w:hAnsiTheme="minorEastAsia"/>
          <w:sz w:val="32"/>
          <w:szCs w:val="32"/>
        </w:rPr>
        <w:t>财政资金安排建议，按照程序报批国家、省、市规划内和年度计划规模内固定资产投资项目。指导交通运输行业审计工作。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使用管理工作，指导交通运输行业特许经营管理，会同有关部门组织实施交通运输行业职业资格管理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7、指导公路、水路行业安全生产和应急管理工作。按规定组织协调国家、省、市重点物资、危险货物运输和紧急客货运输</w:t>
      </w:r>
      <w:r>
        <w:rPr>
          <w:rFonts w:hint="eastAsia" w:ascii="仿宋_GB2312" w:eastAsia="仿宋_GB2312" w:hAnsiTheme="minorEastAsia"/>
          <w:sz w:val="32"/>
          <w:szCs w:val="32"/>
        </w:rPr>
        <w:t>。负责全市干线路网运行监测和协调；组织协调地方交通战备工作，承担国防动员有关工作。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9、负责公路、水路有关涉外工作，开展经济技术交流和合作，指导全市交通运输行业招商引资和利用外部资金工作。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10、承担市政府公布的有关行政审批事项。</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11、</w:t>
      </w:r>
      <w:r>
        <w:rPr>
          <w:rFonts w:hint="eastAsia" w:ascii="仿宋_GB2312" w:eastAsia="仿宋_GB2312" w:hAnsiTheme="minorEastAsia"/>
          <w:sz w:val="32"/>
          <w:szCs w:val="32"/>
        </w:rPr>
        <w:t>负责交通运输领域综合行政执法工作。</w:t>
      </w:r>
    </w:p>
    <w:p>
      <w:pPr>
        <w:snapToGrid w:val="0"/>
        <w:spacing w:line="360" w:lineRule="auto"/>
        <w:ind w:firstLine="640" w:firstLineChars="200"/>
        <w:rPr>
          <w:rFonts w:ascii="仿宋_GB2312" w:eastAsia="仿宋_GB2312" w:hAnsiTheme="minorEastAsia"/>
          <w:sz w:val="32"/>
          <w:szCs w:val="32"/>
        </w:rPr>
      </w:pPr>
      <w:r>
        <w:rPr>
          <w:rFonts w:ascii="仿宋_GB2312" w:eastAsia="仿宋_GB2312" w:hAnsiTheme="minorEastAsia"/>
          <w:sz w:val="32"/>
          <w:szCs w:val="32"/>
        </w:rPr>
        <w:t>12</w:t>
      </w:r>
      <w:r>
        <w:rPr>
          <w:rFonts w:hint="eastAsia" w:ascii="仿宋_GB2312" w:eastAsia="仿宋_GB2312" w:hAnsiTheme="minorEastAsia"/>
          <w:sz w:val="32"/>
          <w:szCs w:val="32"/>
        </w:rPr>
        <w:t>、承办市政府交办的其他事项。</w:t>
      </w:r>
    </w:p>
    <w:bookmarkEnd w:id="16"/>
    <w:bookmarkEnd w:id="17"/>
    <w:p>
      <w:pPr>
        <w:pStyle w:val="6"/>
        <w:adjustRightInd w:val="0"/>
        <w:snapToGrid w:val="0"/>
        <w:spacing w:before="93" w:line="600" w:lineRule="exact"/>
        <w:ind w:firstLine="672" w:firstLineChars="210"/>
        <w:outlineLvl w:val="2"/>
        <w:rPr>
          <w:bCs/>
          <w:color w:val="000000"/>
          <w:sz w:val="32"/>
          <w:szCs w:val="32"/>
        </w:rPr>
      </w:pPr>
      <w:bookmarkStart w:id="18" w:name="_Toc15378446"/>
      <w:bookmarkStart w:id="19" w:name="_Toc15377199"/>
      <w:r>
        <w:rPr>
          <w:rFonts w:hint="eastAsia"/>
          <w:bCs/>
          <w:color w:val="000000"/>
          <w:sz w:val="32"/>
          <w:szCs w:val="32"/>
        </w:rPr>
        <w:t>（二）</w:t>
      </w:r>
      <w:r>
        <w:rPr>
          <w:bCs/>
          <w:color w:val="000000"/>
          <w:sz w:val="32"/>
          <w:szCs w:val="32"/>
        </w:rPr>
        <w:t>2019年重点工作完成情况。</w:t>
      </w:r>
      <w:bookmarkEnd w:id="18"/>
      <w:bookmarkEnd w:id="19"/>
    </w:p>
    <w:p>
      <w:pPr>
        <w:ind w:firstLine="680"/>
        <w:rPr>
          <w:rFonts w:ascii="仿宋_GB2312" w:eastAsia="仿宋_GB2312"/>
          <w:sz w:val="32"/>
          <w:szCs w:val="32"/>
        </w:rPr>
      </w:pPr>
      <w:r>
        <w:rPr>
          <w:rFonts w:hint="eastAsia" w:ascii="仿宋_GB2312" w:eastAsia="仿宋_GB2312"/>
          <w:sz w:val="32"/>
          <w:szCs w:val="32"/>
        </w:rPr>
        <w:t>1、扎实推进综合交通运输体系建设。2019年全市交通运输投资创“十三五”以来新高，完成投资27.6亿元，同比增长超70%。一是高速公路建设实现新跨越。攀枝花至大理（四川境）高速公路累计完成投资55亿元，预计今年建成通车；攀枝花至宜宾高速宁南至攀枝花段控制性工程开工，攀枝花至盐源高速和绕城东段高速公路已完成工可报告评审。</w:t>
      </w:r>
      <w:r>
        <w:rPr>
          <w:rFonts w:hint="eastAsia" w:ascii="仿宋_GB2312" w:eastAsia="仿宋_GB2312"/>
          <w:bCs/>
          <w:sz w:val="32"/>
          <w:szCs w:val="32"/>
        </w:rPr>
        <w:t>二是</w:t>
      </w:r>
      <w:r>
        <w:rPr>
          <w:rFonts w:hint="eastAsia" w:ascii="仿宋_GB2312" w:eastAsia="仿宋_GB2312"/>
          <w:sz w:val="32"/>
          <w:szCs w:val="32"/>
        </w:rPr>
        <w:t>国省干线建设取得新成效。持续推进国省干线大中修和病危桥维修加固，完成大中修里程56公里。金沙江三堆子大桥建成通车。</w:t>
      </w:r>
      <w:r>
        <w:rPr>
          <w:rFonts w:hint="eastAsia" w:ascii="仿宋_GB2312" w:eastAsia="仿宋_GB2312"/>
          <w:bCs/>
          <w:sz w:val="32"/>
          <w:szCs w:val="32"/>
        </w:rPr>
        <w:t>三是</w:t>
      </w:r>
      <w:r>
        <w:rPr>
          <w:rFonts w:hint="eastAsia" w:ascii="仿宋_GB2312" w:eastAsia="仿宋_GB2312"/>
          <w:sz w:val="32"/>
          <w:szCs w:val="32"/>
        </w:rPr>
        <w:t>农村公路建设有了新进展。全面推进脱贫攻坚，助力美丽乡村发展，新改建农村公路168.8公里，完成省级目标任务80公里的210%，工作进度位于全省前列。</w:t>
      </w:r>
    </w:p>
    <w:p>
      <w:pPr>
        <w:ind w:firstLine="640" w:firstLineChars="200"/>
        <w:rPr>
          <w:rFonts w:ascii="仿宋_GB2312" w:eastAsia="仿宋_GB2312"/>
          <w:sz w:val="32"/>
          <w:szCs w:val="32"/>
        </w:rPr>
      </w:pPr>
      <w:r>
        <w:rPr>
          <w:rFonts w:hint="eastAsia" w:ascii="仿宋_GB2312" w:eastAsia="仿宋_GB2312"/>
          <w:sz w:val="32"/>
          <w:szCs w:val="32"/>
        </w:rPr>
        <w:t>2、持续推动交通运输行业转型升级。</w:t>
      </w:r>
      <w:r>
        <w:rPr>
          <w:rFonts w:hint="eastAsia" w:ascii="仿宋_GB2312" w:eastAsia="仿宋_GB2312"/>
          <w:bCs/>
          <w:sz w:val="32"/>
          <w:szCs w:val="32"/>
        </w:rPr>
        <w:t>一是</w:t>
      </w:r>
      <w:r>
        <w:rPr>
          <w:rFonts w:hint="eastAsia" w:ascii="仿宋_GB2312" w:eastAsia="仿宋_GB2312"/>
          <w:sz w:val="32"/>
          <w:szCs w:val="32"/>
        </w:rPr>
        <w:t>基础设施“补短板”加快落地。积极推进机场迁建前期工作，成功纳入中国民用航空发展“十三五”中期调整范围。</w:t>
      </w:r>
      <w:r>
        <w:rPr>
          <w:rFonts w:hint="eastAsia" w:ascii="仿宋_GB2312" w:eastAsia="仿宋_GB2312"/>
          <w:bCs/>
          <w:sz w:val="32"/>
          <w:szCs w:val="32"/>
        </w:rPr>
        <w:t>二是</w:t>
      </w:r>
      <w:r>
        <w:rPr>
          <w:rFonts w:hint="eastAsia" w:ascii="仿宋_GB2312" w:eastAsia="仿宋_GB2312"/>
          <w:sz w:val="32"/>
          <w:szCs w:val="32"/>
        </w:rPr>
        <w:t>运输结构调整加速推进。出台《推进运输结构调整三年行动方案》，重点推进密地物流园区公铁联运、马店河港口公铁水联运项目规划建设，货运行业小、散、弱现状有效改善。全年完成公路运输客运量2360万人次、公路货运量11966万吨、水路客运量40万人、水路货运量28万吨，增幅均超10%。</w:t>
      </w:r>
      <w:r>
        <w:rPr>
          <w:rFonts w:hint="eastAsia" w:ascii="仿宋_GB2312" w:eastAsia="仿宋_GB2312"/>
          <w:bCs/>
          <w:sz w:val="32"/>
          <w:szCs w:val="32"/>
        </w:rPr>
        <w:t>三是</w:t>
      </w:r>
      <w:r>
        <w:rPr>
          <w:rFonts w:hint="eastAsia" w:ascii="仿宋_GB2312" w:eastAsia="仿宋_GB2312"/>
          <w:sz w:val="32"/>
          <w:szCs w:val="32"/>
        </w:rPr>
        <w:t>道路货运不断升级。引导攀钢等企业通过积微物联平台获取货运配载信息，有效减少货运返空率。探索推进交邮合作，开通县级邮路2条、乡级邮路7条，助推一批物流企业扎根农村，工作做法得到省厅领导认可。</w:t>
      </w:r>
    </w:p>
    <w:p>
      <w:pPr>
        <w:ind w:firstLine="640" w:firstLineChars="200"/>
        <w:rPr>
          <w:rFonts w:ascii="仿宋_GB2312" w:eastAsia="仿宋_GB2312"/>
          <w:sz w:val="32"/>
          <w:szCs w:val="32"/>
        </w:rPr>
      </w:pPr>
      <w:r>
        <w:rPr>
          <w:rFonts w:hint="eastAsia" w:ascii="仿宋_GB2312" w:eastAsia="仿宋_GB2312"/>
          <w:sz w:val="32"/>
          <w:szCs w:val="32"/>
        </w:rPr>
        <w:t>3、稳步提升交通运输公共服务能力。</w:t>
      </w:r>
      <w:r>
        <w:rPr>
          <w:rFonts w:hint="eastAsia" w:ascii="仿宋_GB2312" w:eastAsia="仿宋_GB2312"/>
          <w:bCs/>
          <w:sz w:val="32"/>
          <w:szCs w:val="32"/>
        </w:rPr>
        <w:t>一是</w:t>
      </w:r>
      <w:r>
        <w:rPr>
          <w:rFonts w:hint="eastAsia" w:ascii="仿宋_GB2312" w:eastAsia="仿宋_GB2312"/>
          <w:sz w:val="32"/>
          <w:szCs w:val="32"/>
        </w:rPr>
        <w:t>航空出行更加便捷。保安营机场航线增至11个，旅客吞吐量突破54万人次，增长40</w:t>
      </w:r>
      <w:r>
        <w:rPr>
          <w:rFonts w:ascii="仿宋_GB2312" w:eastAsia="仿宋_GB2312"/>
          <w:sz w:val="32"/>
          <w:szCs w:val="32"/>
        </w:rPr>
        <w:t> </w:t>
      </w:r>
      <w:r>
        <w:rPr>
          <w:rFonts w:hint="eastAsia" w:ascii="仿宋_GB2312" w:eastAsia="仿宋_GB2312"/>
          <w:sz w:val="32"/>
          <w:szCs w:val="32"/>
        </w:rPr>
        <w:t>%，增幅居全省前列。</w:t>
      </w:r>
      <w:r>
        <w:rPr>
          <w:rFonts w:hint="eastAsia" w:ascii="仿宋_GB2312" w:eastAsia="仿宋_GB2312"/>
          <w:bCs/>
          <w:sz w:val="32"/>
          <w:szCs w:val="32"/>
        </w:rPr>
        <w:t>二是</w:t>
      </w:r>
      <w:r>
        <w:rPr>
          <w:rFonts w:hint="eastAsia" w:ascii="仿宋_GB2312" w:eastAsia="仿宋_GB2312"/>
          <w:sz w:val="32"/>
          <w:szCs w:val="32"/>
        </w:rPr>
        <w:t>城市公交体系不断完善。健全完善城市公共交通补贴机制，财政对公交划拨1.2亿元补贴。新增及优化公交线路17条，实现所有线路无人售票，累计发行交通一卡通2.22万张。三是补员点设置更加合理。注重深化改革，投资120万元，建成6路公交首末站和长途客运补员点，规范了乘车秩序。四是道路客运创新发展。出台《攀枝花市网络预约出租汽车经营服务管理实施细则》，开展巡游出租汽车运价调整，结束我市出租汽车长达8年未调价的历史；积极争取5000-7000万元中央车购税补助资金，已经省厅上报交通运输部核查。新增通客车建制村65个，实现所有建制村100%通客车。积极推进交旅融合发展，开通攀枝花至木里直通车，满足藏区群众到攀就医就学和旅游需求，得到市委、市政府高度肯定。</w:t>
      </w:r>
    </w:p>
    <w:p>
      <w:pPr>
        <w:ind w:firstLine="640"/>
        <w:rPr>
          <w:rFonts w:ascii="仿宋_GB2312" w:eastAsia="仿宋_GB2312"/>
          <w:sz w:val="32"/>
          <w:szCs w:val="32"/>
        </w:rPr>
      </w:pPr>
      <w:r>
        <w:rPr>
          <w:rFonts w:hint="eastAsia" w:ascii="仿宋_GB2312" w:eastAsia="仿宋_GB2312"/>
          <w:sz w:val="32"/>
          <w:szCs w:val="32"/>
        </w:rPr>
        <w:t>4、圆满完成抢通保运保生产任务。去年7月成昆铁路断道以后，在省厅的大力支持下，切实做好客运运力保障工作，投入客运班车5144班次、运送旅客6.1万人次，圆满完成了开学和节假日旅客运输任务。2019年12月和2020年1月16日恢复了2趟攀枝花至成都客运列车，比原定通客运时间提前了半年。积极协调成都局、昆明局集团公司有序做好动车开行前期准备工作，2020年1月9日，正式开通成昆铁路复线扩能改造工程攀枝花南至昆明动车，开启了攀枝花“动车时代”。</w:t>
      </w:r>
    </w:p>
    <w:p>
      <w:pPr>
        <w:ind w:firstLine="640" w:firstLineChars="200"/>
        <w:rPr>
          <w:rFonts w:ascii="仿宋_GB2312" w:eastAsia="仿宋_GB2312"/>
          <w:sz w:val="32"/>
          <w:szCs w:val="32"/>
        </w:rPr>
      </w:pPr>
      <w:r>
        <w:rPr>
          <w:rFonts w:hint="eastAsia" w:ascii="仿宋_GB2312" w:eastAsia="仿宋_GB2312"/>
          <w:sz w:val="32"/>
          <w:szCs w:val="32"/>
        </w:rPr>
        <w:t>5、积极构建交通运输行业治理新格局。精简压缩交通35项政务服务事项办结时限至50%以上，实现群众办事“最多跑一次”。开展安全生产检查1300余次，排查整改隐患700余起（处），开展防汛、消防应急演练30次，应急处置能力不断提升。切实维护交通行业秩序，全年共查处出租车拒载、议价违规行为139起，非法客运行为133起，货车超限、抛洒污染违规行为462起，累计罚款246万元。</w:t>
      </w:r>
    </w:p>
    <w:p>
      <w:pPr>
        <w:ind w:firstLine="640" w:firstLineChars="200"/>
        <w:rPr>
          <w:rFonts w:ascii="仿宋_GB2312" w:eastAsia="仿宋_GB2312"/>
          <w:sz w:val="32"/>
          <w:szCs w:val="32"/>
        </w:rPr>
      </w:pPr>
      <w:r>
        <w:rPr>
          <w:rFonts w:hint="eastAsia" w:ascii="仿宋_GB2312" w:eastAsia="仿宋_GB2312"/>
          <w:sz w:val="32"/>
          <w:szCs w:val="32"/>
        </w:rPr>
        <w:t>6、深入落实绿色交通发展理念。印发《攀枝花市人民政府办公室关于促进道路货运健康发展的通知》，督促200余家企业安装计量设备，冲洗进城货运车辆8000余台次。全年投入新能源公交车辆70台，累计投入215台。投入230万元开展公交车辆尾气整治专项行动。积极研究换电重卡，圆满完成10万辆在籍车辆ETC安装。建立货源企业、运输企业、从业人员灰黑名单制度和工作档案，纳入信用管理体系。全年共查处脏车3000余台次，现场整改1500余台次，劝返183台次，将8家企业、48名驾驶员纳入灰名单，1家企业、1名驾驶员纳入黑名单。</w:t>
      </w:r>
    </w:p>
    <w:p>
      <w:pPr>
        <w:ind w:firstLine="640" w:firstLineChars="200"/>
        <w:rPr>
          <w:rFonts w:ascii="仿宋_GB2312" w:eastAsia="仿宋_GB2312"/>
          <w:sz w:val="32"/>
          <w:szCs w:val="32"/>
        </w:rPr>
      </w:pPr>
      <w:r>
        <w:rPr>
          <w:rFonts w:hint="eastAsia" w:ascii="仿宋_GB2312" w:eastAsia="仿宋_GB2312"/>
          <w:sz w:val="32"/>
          <w:szCs w:val="32"/>
        </w:rPr>
        <w:t>7、党的建设得到全面加强。圆满完成“不忘初心</w:t>
      </w:r>
      <w:r>
        <w:rPr>
          <w:rFonts w:hint="eastAsia" w:ascii="仿宋_GB2312" w:eastAsia="仿宋_GB2312"/>
          <w:sz w:val="32"/>
          <w:szCs w:val="32"/>
          <w:lang w:eastAsia="zh-CN"/>
        </w:rPr>
        <w:t>、</w:t>
      </w:r>
      <w:r>
        <w:rPr>
          <w:rFonts w:hint="eastAsia" w:ascii="仿宋_GB2312" w:eastAsia="仿宋_GB2312"/>
          <w:sz w:val="32"/>
          <w:szCs w:val="32"/>
        </w:rPr>
        <w:t>牢记使命”主题教育</w:t>
      </w:r>
      <w:bookmarkStart w:id="74" w:name="_GoBack"/>
      <w:bookmarkEnd w:id="74"/>
      <w:r>
        <w:rPr>
          <w:rFonts w:hint="eastAsia" w:ascii="仿宋_GB2312" w:eastAsia="仿宋_GB2312"/>
          <w:sz w:val="32"/>
          <w:szCs w:val="32"/>
        </w:rPr>
        <w:t>，抓好成昆铁路中断抢通保运生产工作，作为我市主题教育成果上报省委。全力打造“交心通达、为民惠民”党建交通品牌，完善公交、公路养护、交通建设等领域党建子品牌。扎实开展党风廉政建设和反腐败工作，及时发现和解决苗头性、倾向性问题。2019年，交通运输系统开除2人，撤职2人，降职1人，降低岗位等级1人，党内严重警告3人，党内警告3人，警告3人，诫勉谈话1人。</w:t>
      </w:r>
    </w:p>
    <w:p>
      <w:pPr>
        <w:pStyle w:val="3"/>
        <w:rPr>
          <w:rStyle w:val="20"/>
          <w:rFonts w:ascii="黑体" w:hAnsi="黑体" w:eastAsia="黑体" w:cs="Times New Roman"/>
          <w:b w:val="0"/>
          <w:bCs w:val="0"/>
        </w:rPr>
      </w:pPr>
      <w:bookmarkStart w:id="20" w:name="_Toc15377200"/>
      <w:bookmarkStart w:id="21" w:name="_Toc15396601"/>
      <w:r>
        <w:rPr>
          <w:rFonts w:hint="eastAsia" w:ascii="黑体" w:hAnsi="黑体" w:eastAsia="黑体" w:cs="Times New Roman"/>
          <w:b w:val="0"/>
          <w:color w:val="000000"/>
        </w:rPr>
        <w:t>二、机</w:t>
      </w:r>
      <w:r>
        <w:rPr>
          <w:rStyle w:val="20"/>
          <w:rFonts w:hint="eastAsia" w:ascii="黑体" w:hAnsi="黑体" w:eastAsia="黑体" w:cs="Times New Roman"/>
          <w:b w:val="0"/>
          <w:bCs w:val="0"/>
        </w:rPr>
        <w:t>构设置</w:t>
      </w:r>
      <w:bookmarkEnd w:id="20"/>
      <w:bookmarkEnd w:id="21"/>
    </w:p>
    <w:p>
      <w:pPr>
        <w:ind w:firstLine="800" w:firstLineChars="250"/>
        <w:rPr>
          <w:rFonts w:ascii="仿宋_GB2312" w:eastAsia="仿宋_GB2312"/>
          <w:sz w:val="32"/>
          <w:szCs w:val="32"/>
        </w:rPr>
      </w:pPr>
      <w:r>
        <w:rPr>
          <w:rFonts w:hint="eastAsia" w:ascii="仿宋_GB2312" w:eastAsia="仿宋_GB2312"/>
          <w:sz w:val="32"/>
          <w:szCs w:val="32"/>
        </w:rPr>
        <w:t>攀枝花市交通运输局下属二级单位九个，其中参照公务员法管理的事业单位</w:t>
      </w:r>
      <w:r>
        <w:rPr>
          <w:rFonts w:hint="eastAsia" w:ascii="仿宋_GB2312" w:eastAsia="仿宋_GB2312"/>
          <w:bCs/>
          <w:sz w:val="32"/>
          <w:szCs w:val="32"/>
        </w:rPr>
        <w:t>五个</w:t>
      </w:r>
      <w:r>
        <w:rPr>
          <w:rFonts w:hint="eastAsia" w:ascii="仿宋_GB2312" w:eastAsia="仿宋_GB2312"/>
          <w:sz w:val="32"/>
          <w:szCs w:val="32"/>
        </w:rPr>
        <w:t>，其他事业单位三个，国有企业一个。</w:t>
      </w:r>
    </w:p>
    <w:p>
      <w:pPr>
        <w:pStyle w:val="6"/>
        <w:adjustRightInd w:val="0"/>
        <w:snapToGrid w:val="0"/>
        <w:spacing w:before="93" w:line="600" w:lineRule="exact"/>
        <w:ind w:firstLine="672" w:firstLineChars="210"/>
        <w:rPr>
          <w:color w:val="000000"/>
          <w:sz w:val="32"/>
          <w:szCs w:val="32"/>
        </w:rPr>
      </w:pPr>
      <w:r>
        <w:rPr>
          <w:rFonts w:hint="eastAsia"/>
          <w:color w:val="000000"/>
          <w:sz w:val="32"/>
          <w:szCs w:val="32"/>
        </w:rPr>
        <w:t>纳入攀枝花市交通运输局</w:t>
      </w:r>
      <w:r>
        <w:rPr>
          <w:color w:val="000000"/>
          <w:sz w:val="32"/>
          <w:szCs w:val="32"/>
        </w:rPr>
        <w:t>2019</w:t>
      </w:r>
      <w:r>
        <w:rPr>
          <w:rFonts w:hint="eastAsia"/>
          <w:color w:val="000000"/>
          <w:sz w:val="32"/>
          <w:szCs w:val="32"/>
        </w:rPr>
        <w:t>年度部门决算编制范围的二级预算单位包括：攀枝花市交通运输管理处</w:t>
      </w:r>
      <w:bookmarkStart w:id="22" w:name="_Toc15377202"/>
      <w:bookmarkStart w:id="23" w:name="_Toc15377433"/>
      <w:bookmarkStart w:id="24" w:name="_Toc15306276"/>
      <w:bookmarkStart w:id="25" w:name="_Toc15378449"/>
      <w:r>
        <w:rPr>
          <w:rFonts w:hint="eastAsia"/>
          <w:color w:val="000000"/>
          <w:sz w:val="32"/>
          <w:szCs w:val="32"/>
        </w:rPr>
        <w:t>，攀枝花市交通运输综合行政执法支队</w:t>
      </w:r>
      <w:bookmarkEnd w:id="22"/>
      <w:bookmarkEnd w:id="23"/>
      <w:bookmarkEnd w:id="24"/>
      <w:bookmarkEnd w:id="25"/>
      <w:bookmarkStart w:id="26" w:name="_Toc15377434"/>
      <w:bookmarkStart w:id="27" w:name="_Toc15377203"/>
      <w:bookmarkStart w:id="28" w:name="_Toc15306277"/>
      <w:bookmarkStart w:id="29" w:name="_Toc15378450"/>
      <w:r>
        <w:rPr>
          <w:rFonts w:hint="eastAsia"/>
          <w:color w:val="000000"/>
          <w:sz w:val="32"/>
          <w:szCs w:val="32"/>
        </w:rPr>
        <w:t>，攀枝花市公路管理处（含攀枝花市交通建设工程造价站），</w:t>
      </w:r>
      <w:bookmarkEnd w:id="26"/>
      <w:bookmarkEnd w:id="27"/>
      <w:bookmarkEnd w:id="28"/>
      <w:bookmarkEnd w:id="29"/>
      <w:r>
        <w:rPr>
          <w:rFonts w:hint="eastAsia"/>
          <w:color w:val="000000"/>
          <w:sz w:val="32"/>
          <w:szCs w:val="32"/>
        </w:rPr>
        <w:t>攀枝花市地方海事局，攀枝花市交通建设工程质量监督站。</w:t>
      </w:r>
    </w:p>
    <w:p>
      <w:pPr>
        <w:pStyle w:val="2"/>
        <w:ind w:right="440"/>
        <w:jc w:val="right"/>
        <w:rPr>
          <w:rStyle w:val="19"/>
          <w:rFonts w:eastAsia="黑体"/>
          <w:b w:val="0"/>
          <w:bCs w:val="0"/>
        </w:rPr>
      </w:pPr>
      <w:r>
        <w:rPr>
          <w:rFonts w:hint="eastAsia" w:eastAsia="黑体"/>
          <w:b w:val="0"/>
          <w:color w:val="000000"/>
        </w:rPr>
        <w:t>第二部分</w:t>
      </w:r>
      <w:r>
        <w:rPr>
          <w:rStyle w:val="19"/>
          <w:rFonts w:eastAsia="黑体"/>
          <w:b w:val="0"/>
          <w:bCs w:val="0"/>
        </w:rPr>
        <w:t>2019</w:t>
      </w:r>
      <w:r>
        <w:rPr>
          <w:rStyle w:val="19"/>
          <w:rFonts w:hint="eastAsia" w:eastAsia="黑体"/>
          <w:b w:val="0"/>
          <w:bCs w:val="0"/>
        </w:rPr>
        <w:t>年度部门决算情况说明</w:t>
      </w:r>
    </w:p>
    <w:p>
      <w:pPr>
        <w:pStyle w:val="31"/>
        <w:numPr>
          <w:ilvl w:val="0"/>
          <w:numId w:val="1"/>
        </w:numPr>
        <w:spacing w:line="600" w:lineRule="exact"/>
        <w:ind w:firstLineChars="0"/>
        <w:outlineLvl w:val="1"/>
        <w:rPr>
          <w:rStyle w:val="20"/>
          <w:rFonts w:eastAsia="黑体"/>
          <w:b w:val="0"/>
        </w:rPr>
      </w:pPr>
      <w:r>
        <w:rPr>
          <w:rFonts w:hint="eastAsia" w:eastAsia="黑体"/>
          <w:color w:val="000000"/>
          <w:sz w:val="32"/>
          <w:szCs w:val="32"/>
        </w:rPr>
        <w:t>收</w:t>
      </w:r>
      <w:r>
        <w:rPr>
          <w:rStyle w:val="20"/>
          <w:rFonts w:hint="eastAsia" w:eastAsia="黑体"/>
        </w:rPr>
        <w:t>入支出决算总体情况说明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2019年度收入39366.72万元，比2018年度收入31735.92万元增加7630.8万元，增长24%。主要变动原因是2019年省级交通建设补助资金及上级政府还贷二级收费公路化债资金较2018年有增加。</w:t>
      </w:r>
    </w:p>
    <w:p>
      <w:pPr>
        <w:spacing w:line="60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sz w:val="32"/>
          <w:szCs w:val="32"/>
        </w:rPr>
        <w:t>2019年度支出总计47202.18万元。与2018年支出33016.86万元相比，支出总计增加14185.32万元，增长42.96%。主要变动原因是公路养护支出（大中修）及以前年度公路建设还本付息支出较上年有增加。</w:t>
      </w:r>
    </w:p>
    <w:p>
      <w:pPr>
        <w:spacing w:line="600" w:lineRule="exact"/>
        <w:ind w:firstLine="640" w:firstLineChars="200"/>
        <w:rPr>
          <w:rFonts w:eastAsia="仿宋"/>
          <w:color w:val="000000" w:themeColor="text1"/>
          <w:sz w:val="32"/>
          <w:szCs w:val="32"/>
        </w:rPr>
      </w:pPr>
      <w:r>
        <w:rPr>
          <w:rFonts w:hint="eastAsia" w:eastAsia="仿宋"/>
          <w:color w:val="000000" w:themeColor="text1"/>
          <w:sz w:val="32"/>
          <w:szCs w:val="32"/>
        </w:rPr>
        <w:t>（图</w:t>
      </w:r>
      <w:r>
        <w:rPr>
          <w:rFonts w:eastAsia="仿宋"/>
          <w:color w:val="000000" w:themeColor="text1"/>
          <w:sz w:val="32"/>
          <w:szCs w:val="32"/>
        </w:rPr>
        <w:t>1</w:t>
      </w:r>
      <w:r>
        <w:rPr>
          <w:rFonts w:hint="eastAsia" w:eastAsia="仿宋"/>
          <w:color w:val="000000" w:themeColor="text1"/>
          <w:sz w:val="32"/>
          <w:szCs w:val="32"/>
        </w:rPr>
        <w:t>：收、支决算总计变动情况图）（柱状图）</w:t>
      </w:r>
    </w:p>
    <w:p>
      <w:pPr>
        <w:widowControl/>
        <w:jc w:val="left"/>
        <w:rPr>
          <w:rFonts w:eastAsia="仿宋"/>
          <w:color w:val="000000"/>
          <w:kern w:val="0"/>
          <w:sz w:val="32"/>
          <w:szCs w:val="32"/>
        </w:rPr>
      </w:pPr>
      <w:r>
        <w:drawing>
          <wp:inline distT="0" distB="0" distL="0" distR="0">
            <wp:extent cx="5010150" cy="31527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eastAsia="仿宋"/>
          <w:color w:val="000000"/>
          <w:sz w:val="32"/>
          <w:szCs w:val="32"/>
        </w:rPr>
        <w:br w:type="page"/>
      </w:r>
    </w:p>
    <w:p>
      <w:pPr>
        <w:pStyle w:val="31"/>
        <w:numPr>
          <w:ilvl w:val="0"/>
          <w:numId w:val="1"/>
        </w:numPr>
        <w:spacing w:line="600" w:lineRule="exact"/>
        <w:ind w:firstLineChars="0"/>
        <w:outlineLvl w:val="1"/>
        <w:rPr>
          <w:rStyle w:val="20"/>
          <w:rFonts w:eastAsia="黑体"/>
          <w:b w:val="0"/>
        </w:rPr>
      </w:pPr>
      <w:bookmarkStart w:id="30" w:name="_Toc15377206"/>
      <w:bookmarkStart w:id="31" w:name="_Toc15396604"/>
      <w:r>
        <w:rPr>
          <w:rFonts w:hint="eastAsia" w:eastAsia="黑体"/>
          <w:color w:val="000000"/>
          <w:sz w:val="32"/>
          <w:szCs w:val="32"/>
        </w:rPr>
        <w:t>收</w:t>
      </w:r>
      <w:r>
        <w:rPr>
          <w:rStyle w:val="20"/>
          <w:rFonts w:hint="eastAsia" w:eastAsia="黑体"/>
          <w:b w:val="0"/>
        </w:rPr>
        <w:t>入决算情况说明</w:t>
      </w:r>
      <w:bookmarkEnd w:id="30"/>
      <w:bookmarkEnd w:id="31"/>
    </w:p>
    <w:p>
      <w:pPr>
        <w:spacing w:line="600" w:lineRule="exact"/>
        <w:ind w:firstLine="640" w:firstLineChars="200"/>
        <w:outlineLvl w:val="1"/>
        <w:rPr>
          <w:rFonts w:hint="eastAsia" w:ascii="仿宋_GB2312" w:eastAsia="仿宋_GB2312"/>
          <w:color w:val="000000"/>
          <w:sz w:val="32"/>
          <w:szCs w:val="32"/>
        </w:rPr>
      </w:pPr>
      <w:r>
        <w:rPr>
          <w:rFonts w:hint="eastAsia" w:ascii="仿宋_GB2312" w:eastAsia="仿宋_GB2312"/>
          <w:color w:val="000000"/>
          <w:sz w:val="32"/>
          <w:szCs w:val="32"/>
        </w:rPr>
        <w:t>2019年本年收入合计39366.72万元，其中：一般公共预算财政拨款收入38154.74万元，占96.92%；政府性基金预算财政拨款收入243.4万元，占0.62%；其他收入968.58万元，占2.46%。</w:t>
      </w:r>
    </w:p>
    <w:p>
      <w:pPr>
        <w:spacing w:line="360" w:lineRule="auto"/>
        <w:ind w:firstLine="640" w:firstLineChars="200"/>
        <w:rPr>
          <w:rFonts w:eastAsia="仿宋"/>
          <w:color w:val="000000" w:themeColor="text1"/>
          <w:sz w:val="32"/>
          <w:szCs w:val="32"/>
        </w:rPr>
      </w:pPr>
      <w:r>
        <w:rPr>
          <w:rFonts w:hint="eastAsia" w:eastAsia="仿宋"/>
          <w:color w:val="000000" w:themeColor="text1"/>
          <w:sz w:val="32"/>
          <w:szCs w:val="32"/>
        </w:rPr>
        <w:t>（图</w:t>
      </w:r>
      <w:r>
        <w:rPr>
          <w:rFonts w:eastAsia="仿宋"/>
          <w:color w:val="000000" w:themeColor="text1"/>
          <w:sz w:val="32"/>
          <w:szCs w:val="32"/>
        </w:rPr>
        <w:t>2</w:t>
      </w:r>
      <w:r>
        <w:rPr>
          <w:rFonts w:hint="eastAsia" w:eastAsia="仿宋"/>
          <w:color w:val="000000" w:themeColor="text1"/>
          <w:sz w:val="32"/>
          <w:szCs w:val="32"/>
        </w:rPr>
        <w:t>：收入决算结构图）（饼状图）</w:t>
      </w:r>
    </w:p>
    <w:p>
      <w:pPr>
        <w:ind w:firstLine="640" w:firstLineChars="200"/>
        <w:rPr>
          <w:rFonts w:eastAsia="仿宋_GB2312"/>
          <w:color w:val="FF0000"/>
          <w:sz w:val="32"/>
          <w:szCs w:val="32"/>
        </w:rPr>
      </w:pPr>
      <w:r>
        <w:rPr>
          <w:rFonts w:eastAsia="仿宋_GB2312"/>
          <w:color w:val="FF0000"/>
          <w:sz w:val="32"/>
          <w:szCs w:val="32"/>
        </w:rPr>
        <w:drawing>
          <wp:inline distT="0" distB="0" distL="0" distR="0">
            <wp:extent cx="4876800" cy="3686175"/>
            <wp:effectExtent l="0" t="0" r="0" b="0"/>
            <wp:docPr id="48"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1"/>
        <w:numPr>
          <w:ilvl w:val="0"/>
          <w:numId w:val="1"/>
        </w:numPr>
        <w:spacing w:line="600" w:lineRule="exact"/>
        <w:ind w:firstLineChars="0"/>
        <w:outlineLvl w:val="1"/>
        <w:rPr>
          <w:rStyle w:val="20"/>
          <w:rFonts w:eastAsia="黑体"/>
          <w:b w:val="0"/>
        </w:rPr>
      </w:pPr>
      <w:bookmarkStart w:id="32" w:name="_Toc15377207"/>
      <w:bookmarkStart w:id="33" w:name="_Toc15396605"/>
      <w:r>
        <w:rPr>
          <w:rFonts w:hint="eastAsia" w:eastAsia="黑体"/>
          <w:color w:val="000000"/>
          <w:sz w:val="32"/>
          <w:szCs w:val="32"/>
        </w:rPr>
        <w:t>支</w:t>
      </w:r>
      <w:r>
        <w:rPr>
          <w:rStyle w:val="20"/>
          <w:rFonts w:hint="eastAsia" w:eastAsia="黑体"/>
          <w:b w:val="0"/>
        </w:rPr>
        <w:t>出决算情况说明</w:t>
      </w:r>
      <w:bookmarkEnd w:id="32"/>
      <w:bookmarkEnd w:id="33"/>
    </w:p>
    <w:p>
      <w:pPr>
        <w:spacing w:line="600" w:lineRule="exact"/>
        <w:ind w:firstLine="640" w:firstLineChars="200"/>
        <w:outlineLvl w:val="1"/>
        <w:rPr>
          <w:rFonts w:hint="eastAsia" w:ascii="仿宋_GB2312" w:eastAsia="仿宋_GB2312"/>
          <w:color w:val="000000"/>
          <w:sz w:val="32"/>
          <w:szCs w:val="32"/>
        </w:rPr>
      </w:pPr>
      <w:r>
        <w:rPr>
          <w:rFonts w:hint="eastAsia" w:ascii="仿宋_GB2312" w:eastAsia="仿宋_GB2312"/>
          <w:color w:val="000000"/>
          <w:sz w:val="32"/>
          <w:szCs w:val="32"/>
        </w:rPr>
        <w:t>2019年本年支出合计47202.18万元，其中：基本支出16582.57万元，占35.13%；项目支出30619.61万元，占64.87%。</w:t>
      </w:r>
    </w:p>
    <w:p>
      <w:pPr>
        <w:spacing w:line="600" w:lineRule="exact"/>
        <w:ind w:firstLine="640" w:firstLineChars="200"/>
        <w:rPr>
          <w:rFonts w:eastAsia="仿宋"/>
          <w:color w:val="000000" w:themeColor="text1"/>
          <w:sz w:val="32"/>
          <w:szCs w:val="32"/>
        </w:rPr>
      </w:pPr>
      <w:r>
        <w:rPr>
          <w:rFonts w:hint="eastAsia" w:eastAsia="仿宋"/>
          <w:color w:val="000000" w:themeColor="text1"/>
          <w:sz w:val="32"/>
          <w:szCs w:val="32"/>
        </w:rPr>
        <w:t>（图</w:t>
      </w:r>
      <w:r>
        <w:rPr>
          <w:rFonts w:eastAsia="仿宋"/>
          <w:color w:val="000000" w:themeColor="text1"/>
          <w:sz w:val="32"/>
          <w:szCs w:val="32"/>
        </w:rPr>
        <w:t>3</w:t>
      </w:r>
      <w:r>
        <w:rPr>
          <w:rFonts w:hint="eastAsia" w:eastAsia="仿宋"/>
          <w:color w:val="000000" w:themeColor="text1"/>
          <w:sz w:val="32"/>
          <w:szCs w:val="32"/>
        </w:rPr>
        <w:t>：支出决算结构图）（饼状图）</w:t>
      </w:r>
    </w:p>
    <w:p>
      <w:pPr>
        <w:ind w:firstLine="640" w:firstLineChars="200"/>
        <w:rPr>
          <w:rFonts w:eastAsia="仿宋_GB2312"/>
          <w:color w:val="FF0000"/>
          <w:sz w:val="32"/>
          <w:szCs w:val="32"/>
        </w:rPr>
      </w:pPr>
      <w:r>
        <w:rPr>
          <w:rFonts w:hint="eastAsia" w:eastAsia="仿宋_GB2312"/>
          <w:color w:val="FF0000"/>
          <w:sz w:val="32"/>
          <w:szCs w:val="32"/>
        </w:rPr>
        <w:t>\</w:t>
      </w:r>
      <w:r>
        <w:rPr>
          <w:rFonts w:eastAsia="仿宋_GB2312"/>
          <w:color w:val="FF0000"/>
          <w:sz w:val="32"/>
          <w:szCs w:val="32"/>
        </w:rPr>
        <w:drawing>
          <wp:inline distT="0" distB="0" distL="0" distR="0">
            <wp:extent cx="4572000" cy="3105150"/>
            <wp:effectExtent l="0" t="0" r="0" b="0"/>
            <wp:docPr id="49"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0"/>
          <w:rFonts w:eastAsia="黑体"/>
          <w:b w:val="0"/>
        </w:rPr>
      </w:pPr>
      <w:bookmarkStart w:id="34" w:name="_Toc15377208"/>
      <w:bookmarkStart w:id="35" w:name="_Toc15396606"/>
      <w:r>
        <w:rPr>
          <w:rFonts w:hint="eastAsia" w:eastAsia="黑体"/>
          <w:color w:val="000000"/>
          <w:sz w:val="32"/>
          <w:szCs w:val="32"/>
        </w:rPr>
        <w:t>四、财</w:t>
      </w:r>
      <w:r>
        <w:rPr>
          <w:rStyle w:val="20"/>
          <w:rFonts w:hint="eastAsia" w:eastAsia="黑体"/>
          <w:b w:val="0"/>
        </w:rPr>
        <w:t>政拨款收入支出决算总体情况说明</w:t>
      </w:r>
      <w:bookmarkEnd w:id="34"/>
      <w:bookmarkEnd w:id="35"/>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2019年财政拨款收入总计38398.14万元。与2018年拨款收入30729.67万元相比，财政拨款收入增加7668.47万元，增长24.95%。主要变动原因是省级交通建设补助资金与上级补助的政府还贷二级收费公路化债资金较上年有所增加。</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2019年财政拨款支出总计45485.29万元。与2018年32728.91万元相比，财政拨款支出增加12756.38万元，增长38.98%。主要变动原因是公路养护支出及以前年度公路建设贷款还本付息较上年有增加。</w:t>
      </w:r>
    </w:p>
    <w:p>
      <w:pPr>
        <w:spacing w:line="600" w:lineRule="exact"/>
        <w:ind w:firstLine="640" w:firstLineChars="200"/>
        <w:rPr>
          <w:rFonts w:eastAsia="仿宋"/>
          <w:color w:val="000000" w:themeColor="text1"/>
          <w:sz w:val="32"/>
          <w:szCs w:val="32"/>
        </w:rPr>
      </w:pPr>
      <w:r>
        <w:rPr>
          <w:rFonts w:hint="eastAsia" w:eastAsia="仿宋"/>
          <w:color w:val="000000" w:themeColor="text1"/>
          <w:sz w:val="32"/>
          <w:szCs w:val="32"/>
        </w:rPr>
        <w:t>（图</w:t>
      </w:r>
      <w:r>
        <w:rPr>
          <w:rFonts w:eastAsia="仿宋"/>
          <w:color w:val="000000" w:themeColor="text1"/>
          <w:sz w:val="32"/>
          <w:szCs w:val="32"/>
        </w:rPr>
        <w:t>4</w:t>
      </w:r>
      <w:r>
        <w:rPr>
          <w:rFonts w:hint="eastAsia" w:eastAsia="仿宋"/>
          <w:color w:val="000000" w:themeColor="text1"/>
          <w:sz w:val="32"/>
          <w:szCs w:val="32"/>
        </w:rPr>
        <w:t>：财政拨款收、支决算总计变动情况）（柱状图）</w:t>
      </w:r>
    </w:p>
    <w:p>
      <w:pPr>
        <w:ind w:firstLine="641"/>
        <w:rPr>
          <w:rFonts w:eastAsia="仿宋"/>
          <w:b/>
          <w:color w:val="00B050"/>
          <w:sz w:val="32"/>
          <w:szCs w:val="32"/>
        </w:rPr>
      </w:pPr>
    </w:p>
    <w:p>
      <w:pPr>
        <w:ind w:firstLine="641"/>
        <w:rPr>
          <w:rFonts w:eastAsia="仿宋"/>
          <w:b/>
          <w:color w:val="00B050"/>
          <w:sz w:val="32"/>
          <w:szCs w:val="32"/>
        </w:rPr>
      </w:pPr>
      <w:r>
        <w:rPr>
          <w:rFonts w:eastAsia="仿宋"/>
          <w:b/>
          <w:color w:val="00B050"/>
          <w:sz w:val="32"/>
          <w:szCs w:val="32"/>
        </w:rPr>
        <w:drawing>
          <wp:inline distT="0" distB="0" distL="0" distR="0">
            <wp:extent cx="4572000" cy="2743200"/>
            <wp:effectExtent l="19050" t="0" r="19050" b="0"/>
            <wp:docPr id="50"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0"/>
          <w:rFonts w:eastAsia="黑体"/>
          <w:b w:val="0"/>
        </w:rPr>
      </w:pPr>
      <w:bookmarkStart w:id="36" w:name="_Toc15377209"/>
      <w:bookmarkStart w:id="37" w:name="_Toc15396607"/>
      <w:r>
        <w:rPr>
          <w:rFonts w:hint="eastAsia" w:eastAsia="黑体"/>
          <w:color w:val="000000"/>
          <w:sz w:val="32"/>
          <w:szCs w:val="32"/>
        </w:rPr>
        <w:t>五、</w:t>
      </w:r>
      <w:r>
        <w:rPr>
          <w:rFonts w:hint="eastAsia" w:eastAsia="黑体"/>
          <w:b/>
          <w:color w:val="000000"/>
          <w:sz w:val="32"/>
          <w:szCs w:val="32"/>
        </w:rPr>
        <w:t>一</w:t>
      </w:r>
      <w:r>
        <w:rPr>
          <w:rStyle w:val="20"/>
          <w:rFonts w:hint="eastAsia" w:eastAsia="黑体"/>
          <w:b w:val="0"/>
        </w:rPr>
        <w:t>般公共预算财政拨款支出决算情况说明</w:t>
      </w:r>
      <w:bookmarkEnd w:id="36"/>
      <w:bookmarkEnd w:id="37"/>
    </w:p>
    <w:p>
      <w:pPr>
        <w:spacing w:line="600" w:lineRule="exact"/>
        <w:ind w:firstLine="642" w:firstLineChars="200"/>
        <w:outlineLvl w:val="2"/>
        <w:rPr>
          <w:rFonts w:eastAsia="仿宋"/>
          <w:b/>
          <w:color w:val="000000"/>
          <w:sz w:val="32"/>
          <w:szCs w:val="32"/>
        </w:rPr>
      </w:pPr>
      <w:bookmarkStart w:id="38" w:name="_Toc15377210"/>
      <w:r>
        <w:rPr>
          <w:rFonts w:hint="eastAsia" w:eastAsia="仿宋"/>
          <w:b/>
          <w:color w:val="000000"/>
          <w:sz w:val="32"/>
          <w:szCs w:val="32"/>
        </w:rPr>
        <w:t>（一）一般公共预算财政拨款支出决算总体情况</w:t>
      </w:r>
      <w:bookmarkEnd w:id="38"/>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一般公共预算财政拨款38154.74万元，支出45241.89万元，占本年支出合计47202.18万元的95.85%。与2018年一般公共预算财政拨款支出32728.91万元相比，拨款支出增加12512.98万元，增长38.23%。主要变动原因是基本支出中的工资支出、项目支出中的公路养护支出、政府还贷二级收费公路化债支出较上年增加有增加。</w:t>
      </w:r>
    </w:p>
    <w:p>
      <w:pPr>
        <w:spacing w:line="600" w:lineRule="exact"/>
        <w:ind w:firstLine="640" w:firstLineChars="200"/>
        <w:rPr>
          <w:rFonts w:eastAsia="仿宋"/>
          <w:color w:val="000000" w:themeColor="text1"/>
          <w:sz w:val="32"/>
          <w:szCs w:val="32"/>
        </w:rPr>
      </w:pPr>
      <w:r>
        <w:rPr>
          <w:rFonts w:hint="eastAsia" w:eastAsia="仿宋"/>
          <w:color w:val="000000" w:themeColor="text1"/>
          <w:sz w:val="32"/>
          <w:szCs w:val="32"/>
        </w:rPr>
        <w:t>（图</w:t>
      </w:r>
      <w:r>
        <w:rPr>
          <w:rFonts w:eastAsia="仿宋"/>
          <w:color w:val="000000" w:themeColor="text1"/>
          <w:sz w:val="32"/>
          <w:szCs w:val="32"/>
        </w:rPr>
        <w:t>5</w:t>
      </w:r>
      <w:r>
        <w:rPr>
          <w:rFonts w:hint="eastAsia" w:eastAsia="仿宋"/>
          <w:color w:val="000000" w:themeColor="text1"/>
          <w:sz w:val="32"/>
          <w:szCs w:val="32"/>
        </w:rPr>
        <w:t>：一般公共预算财政拨款支出决算变动情况）（柱状图）</w:t>
      </w:r>
    </w:p>
    <w:p>
      <w:pPr>
        <w:spacing w:line="360" w:lineRule="auto"/>
        <w:ind w:firstLine="640" w:firstLineChars="200"/>
        <w:rPr>
          <w:rFonts w:eastAsia="仿宋"/>
          <w:color w:val="000000" w:themeColor="text1"/>
          <w:sz w:val="32"/>
          <w:szCs w:val="32"/>
        </w:rPr>
      </w:pPr>
    </w:p>
    <w:p>
      <w:pPr>
        <w:spacing w:line="360" w:lineRule="auto"/>
        <w:ind w:firstLine="640" w:firstLineChars="200"/>
        <w:rPr>
          <w:rFonts w:eastAsia="仿宋"/>
          <w:color w:val="000000" w:themeColor="text1"/>
          <w:sz w:val="32"/>
          <w:szCs w:val="32"/>
        </w:rPr>
      </w:pPr>
      <w:r>
        <w:rPr>
          <w:rFonts w:eastAsia="仿宋"/>
          <w:color w:val="000000" w:themeColor="text1"/>
          <w:sz w:val="32"/>
          <w:szCs w:val="32"/>
        </w:rPr>
        <w:drawing>
          <wp:inline distT="0" distB="0" distL="0" distR="0">
            <wp:extent cx="4772025" cy="4248150"/>
            <wp:effectExtent l="19050" t="0" r="9525" b="0"/>
            <wp:docPr id="52"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eastAsia="仿宋"/>
          <w:b/>
          <w:color w:val="000000"/>
          <w:sz w:val="32"/>
          <w:szCs w:val="32"/>
        </w:rPr>
      </w:pPr>
      <w:bookmarkStart w:id="39" w:name="_Toc15377211"/>
      <w:r>
        <w:rPr>
          <w:rFonts w:hint="eastAsia" w:eastAsia="仿宋"/>
          <w:b/>
          <w:color w:val="000000"/>
          <w:sz w:val="32"/>
          <w:szCs w:val="32"/>
        </w:rPr>
        <w:t>（二）一般公共预算财政拨款支出决算结构情况</w:t>
      </w:r>
      <w:bookmarkEnd w:id="39"/>
    </w:p>
    <w:p>
      <w:pPr>
        <w:spacing w:line="600" w:lineRule="exact"/>
        <w:ind w:firstLine="640"/>
        <w:rPr>
          <w:rFonts w:hint="eastAsia" w:ascii="仿宋_GB2312" w:eastAsia="仿宋_GB2312"/>
          <w:color w:val="000000" w:themeColor="text1"/>
          <w:sz w:val="32"/>
          <w:szCs w:val="32"/>
        </w:rPr>
      </w:pPr>
      <w:r>
        <w:rPr>
          <w:rFonts w:hint="eastAsia" w:ascii="仿宋_GB2312" w:eastAsia="仿宋_GB2312"/>
          <w:color w:val="000000"/>
          <w:sz w:val="32"/>
          <w:szCs w:val="32"/>
        </w:rPr>
        <w:t>2019年一般公共预算财</w:t>
      </w:r>
      <w:r>
        <w:rPr>
          <w:rFonts w:hint="eastAsia" w:ascii="仿宋_GB2312" w:eastAsia="仿宋_GB2312"/>
          <w:color w:val="000000" w:themeColor="text1"/>
          <w:sz w:val="32"/>
          <w:szCs w:val="32"/>
        </w:rPr>
        <w:t>政拨款支出45241.89万元，主要用于以下方面:一般公共服务（类</w:t>
      </w:r>
      <w:r>
        <w:rPr>
          <w:rFonts w:hint="eastAsia" w:ascii="仿宋_GB2312" w:eastAsia="仿宋_GB2312"/>
          <w:b/>
          <w:color w:val="000000" w:themeColor="text1"/>
          <w:sz w:val="32"/>
          <w:szCs w:val="32"/>
        </w:rPr>
        <w:t>）</w:t>
      </w:r>
      <w:r>
        <w:rPr>
          <w:rFonts w:hint="eastAsia" w:ascii="仿宋_GB2312" w:eastAsia="仿宋_GB2312"/>
          <w:color w:val="000000" w:themeColor="text1"/>
          <w:sz w:val="32"/>
          <w:szCs w:val="32"/>
        </w:rPr>
        <w:t>支出18.47万元，占0.04%；社会保障和就业支出585.49万元，占1.29%；节能环保支出140万元，占0.31%；城乡社区支出13676.18万元，占30.23%；交通运输支出30450.53万元，占67.31%；住房保障支出308.02万元，占0.68%；其他支出63.2万元，占0.14%。</w:t>
      </w:r>
    </w:p>
    <w:p>
      <w:pPr>
        <w:spacing w:line="600" w:lineRule="exact"/>
        <w:ind w:firstLine="640" w:firstLineChars="200"/>
        <w:rPr>
          <w:rFonts w:eastAsia="仿宋"/>
          <w:color w:val="000000"/>
          <w:sz w:val="32"/>
          <w:szCs w:val="32"/>
        </w:rPr>
      </w:pPr>
      <w:r>
        <w:rPr>
          <w:rFonts w:hint="eastAsia" w:eastAsia="仿宋"/>
          <w:color w:val="000000"/>
          <w:sz w:val="32"/>
          <w:szCs w:val="32"/>
        </w:rPr>
        <w:t>（图</w:t>
      </w:r>
      <w:r>
        <w:rPr>
          <w:rFonts w:eastAsia="仿宋"/>
          <w:color w:val="000000"/>
          <w:sz w:val="32"/>
          <w:szCs w:val="32"/>
        </w:rPr>
        <w:t>6</w:t>
      </w:r>
      <w:r>
        <w:rPr>
          <w:rFonts w:hint="eastAsia" w:eastAsia="仿宋"/>
          <w:color w:val="000000"/>
          <w:sz w:val="32"/>
          <w:szCs w:val="32"/>
        </w:rPr>
        <w:t>：一般公共预算财政拨款支出决算结构）（饼状图）</w:t>
      </w:r>
    </w:p>
    <w:p>
      <w:pPr>
        <w:spacing w:line="360" w:lineRule="auto"/>
        <w:ind w:firstLine="640" w:firstLineChars="200"/>
        <w:rPr>
          <w:rFonts w:eastAsia="仿宋"/>
          <w:color w:val="000000"/>
          <w:sz w:val="32"/>
          <w:szCs w:val="32"/>
        </w:rPr>
      </w:pPr>
    </w:p>
    <w:p>
      <w:pPr>
        <w:spacing w:line="360" w:lineRule="auto"/>
        <w:ind w:firstLine="640" w:firstLineChars="200"/>
        <w:rPr>
          <w:rFonts w:eastAsia="仿宋"/>
          <w:color w:val="000000"/>
          <w:sz w:val="32"/>
          <w:szCs w:val="32"/>
        </w:rPr>
      </w:pPr>
      <w:r>
        <w:rPr>
          <w:rFonts w:eastAsia="仿宋"/>
          <w:color w:val="000000"/>
          <w:sz w:val="32"/>
          <w:szCs w:val="32"/>
        </w:rPr>
        <w:drawing>
          <wp:inline distT="0" distB="0" distL="0" distR="0">
            <wp:extent cx="5400675" cy="4533900"/>
            <wp:effectExtent l="0" t="0" r="0" b="0"/>
            <wp:docPr id="53"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仿宋"/>
          <w:b/>
          <w:sz w:val="32"/>
          <w:szCs w:val="32"/>
        </w:rPr>
      </w:pPr>
      <w:bookmarkStart w:id="40" w:name="_Toc15377212"/>
      <w:r>
        <w:rPr>
          <w:rFonts w:hint="eastAsia" w:eastAsia="仿宋"/>
          <w:b/>
          <w:sz w:val="32"/>
          <w:szCs w:val="32"/>
        </w:rPr>
        <w:t>（三）一般公共预算财政拨款支出决算具体情况</w:t>
      </w:r>
    </w:p>
    <w:p>
      <w:pPr>
        <w:spacing w:line="600" w:lineRule="exact"/>
        <w:ind w:firstLine="640" w:firstLineChars="200"/>
        <w:outlineLvl w:val="2"/>
        <w:rPr>
          <w:rFonts w:hint="eastAsia" w:ascii="仿宋_GB2312" w:eastAsia="仿宋_GB2312"/>
          <w:sz w:val="32"/>
          <w:szCs w:val="32"/>
        </w:rPr>
      </w:pPr>
      <w:r>
        <w:rPr>
          <w:rFonts w:hint="eastAsia" w:ascii="仿宋_GB2312" w:eastAsia="仿宋_GB2312"/>
          <w:sz w:val="32"/>
          <w:szCs w:val="32"/>
        </w:rPr>
        <w:t>2019年一般公共预算支出决算数为45241.89万元，</w:t>
      </w:r>
      <w:r>
        <w:rPr>
          <w:rStyle w:val="17"/>
          <w:rFonts w:hint="eastAsia" w:ascii="仿宋_GB2312" w:eastAsia="仿宋_GB2312"/>
          <w:b w:val="0"/>
          <w:sz w:val="32"/>
          <w:szCs w:val="32"/>
        </w:rPr>
        <w:t>完成预算（含结转结余）87.12%。其中：</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1.一般公共服务支出（类）发展与改革事务（款）战略规划与实施（项）:支出决算为8万元，完成预算100%。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2.一般公共服务支出（类）人力资源事务（款）其他人力资源事务支出（项）:支出决算为2万元，完成预算（含结转结余）100%。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3.一般公共服务支出（类）组织事务（款）其他组织事务支出（项）:支出决算为8.47万元，完成预算100%。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4.社会保障和就业支出（类）行政事业单位离退休（款）未归口管理的行政事业单位离退休（项）:支出决算为221.69万元，完成预算100%。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5.社会保障和就业支出（类）行政事业单位离退休（款）机关事业单位基本养老保险缴费支出（项）:支出决算为297.15万元，完成预算100%。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6.社会保障和就业支出（类）抚恤（款）死亡抚恤（项）:支出决算为66.65万元，完成预算100%。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7.节能环保支出（类）污染防治（款）其他污染防治支出（项）:支出决算为50万元，完成预算100%。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8.节能环保支出（类）其他节能环保支出（款）其他节能环保支出（项）:支出决算为90万元，完成预算（含结转结余）100%。</w:t>
      </w:r>
    </w:p>
    <w:p>
      <w:pPr>
        <w:spacing w:line="600" w:lineRule="exact"/>
        <w:ind w:firstLine="640" w:firstLineChars="200"/>
        <w:rPr>
          <w:rStyle w:val="17"/>
          <w:rFonts w:hint="eastAsia" w:ascii="仿宋_GB2312" w:eastAsia="仿宋_GB2312"/>
          <w:b w:val="0"/>
          <w:bCs/>
          <w:sz w:val="32"/>
          <w:szCs w:val="32"/>
        </w:rPr>
      </w:pPr>
      <w:r>
        <w:rPr>
          <w:rFonts w:hint="eastAsia" w:ascii="仿宋_GB2312" w:eastAsia="仿宋_GB2312"/>
          <w:sz w:val="32"/>
          <w:szCs w:val="32"/>
        </w:rPr>
        <w:t>9.城乡社区支出（类）城乡社区公共设施（款）其他城乡社区公共设施支出（项）：支出决算为251.76万元，</w:t>
      </w:r>
      <w:r>
        <w:rPr>
          <w:rStyle w:val="17"/>
          <w:rFonts w:hint="eastAsia" w:ascii="仿宋_GB2312" w:eastAsia="仿宋_GB2312"/>
          <w:b w:val="0"/>
          <w:sz w:val="32"/>
          <w:szCs w:val="32"/>
        </w:rPr>
        <w:t>完成预算100%。</w:t>
      </w:r>
    </w:p>
    <w:p>
      <w:pPr>
        <w:spacing w:line="600" w:lineRule="exact"/>
        <w:ind w:firstLine="640" w:firstLineChars="200"/>
        <w:rPr>
          <w:rStyle w:val="17"/>
          <w:rFonts w:hint="eastAsia" w:ascii="仿宋_GB2312" w:eastAsia="仿宋_GB2312"/>
          <w:b w:val="0"/>
          <w:bCs/>
          <w:sz w:val="32"/>
          <w:szCs w:val="32"/>
        </w:rPr>
      </w:pPr>
      <w:r>
        <w:rPr>
          <w:rFonts w:hint="eastAsia" w:ascii="仿宋_GB2312" w:eastAsia="仿宋_GB2312"/>
          <w:sz w:val="32"/>
          <w:szCs w:val="32"/>
        </w:rPr>
        <w:t>10.城乡社区支出（类）其他城乡社区支出（款）其他城乡社区支出（项）：支出决算为13424.42万元，</w:t>
      </w:r>
      <w:r>
        <w:rPr>
          <w:rStyle w:val="17"/>
          <w:rFonts w:hint="eastAsia" w:ascii="仿宋_GB2312" w:eastAsia="仿宋_GB2312"/>
          <w:b w:val="0"/>
          <w:sz w:val="32"/>
          <w:szCs w:val="32"/>
        </w:rPr>
        <w:t>完成预算（含结转结余）81.98%。</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11.交通运输支出（类）公路水路运输（款）行政运行（项）:支出决算为3499.49万元，完成预算100%。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12.交通运输支出（类）公路水路运输（款）一般行政管理事务（项）:支出决算为108万元，完成预算100%。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13.交通运输支出（类）公路水路运输（款）公路建设（项）:支出决算为180万元，完成预算（结转结余）100%。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14.交通运输支出（类）公路水路运输（款）公路养护（项）:支出决算为8074.78万元，完成预算（含结转结余）72.30%。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15.交通运输支出（类）公路水路运输（款）公路和运输安全（项）:支出决算为50万元，完成预算100%。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16.交通运输支出（类）公路水路运输（款）公路运输管理（项）:支出决算为2013.42万元，完成预算（含结转结余）91.66%。</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17.交通运输支出（类）公路水路运输（款）航道维护（项）:支出决算为4.76万元，完成预算100%。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18.交通运输支出（类）公路水路运输（款）海事管理（项）:支出决算为8.97万元，完成预算（含结转结余）3.83%。</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19.交通运输支出（类）公路水路运输（款）水路运输管理支出（项）:支出决算为21万元，完成预算100%。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20.交通运输支出（类）公路水路运输（款）取消政府还贷二级公路收费专项支出（项）:支出决算为12781.16万元，完成预算（含结转结余）100%。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21.交通运输支出（类）公路水路运输（款）其他公路水路运输支出（项）:支出决算为406.12万元，完成预算100%。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22.交通运输支出（类）成品油价格改革对交通运输的补贴（款）对出租车的补贴（项）:支出决算为2675.83万元，完成预算100%。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23.交通运输支出（类）成品油价格改革对交通运输的补贴（款）成品油价格改革补贴其他支出（项）:支出决算为4.5万元，完成预算（含结转结余）2%。</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24.交通运输支出（类）车辆购置税支出（款）车辆购置税用于公路等基础设施建设支出（项）:支出决算为622.50万元，完成预算100%。</w:t>
      </w:r>
    </w:p>
    <w:p>
      <w:pPr>
        <w:spacing w:line="600" w:lineRule="exact"/>
        <w:ind w:firstLine="640" w:firstLineChars="200"/>
        <w:rPr>
          <w:rFonts w:hint="eastAsia" w:ascii="仿宋_GB2312" w:eastAsia="仿宋_GB2312"/>
          <w:sz w:val="32"/>
          <w:szCs w:val="32"/>
        </w:rPr>
      </w:pPr>
      <w:r>
        <w:rPr>
          <w:rStyle w:val="17"/>
          <w:rFonts w:hint="eastAsia" w:ascii="仿宋_GB2312" w:eastAsia="仿宋_GB2312"/>
          <w:b w:val="0"/>
          <w:sz w:val="32"/>
          <w:szCs w:val="32"/>
        </w:rPr>
        <w:t>25.住房保障支出（类）住房改革支出（款）住房公积金（项）:支出决算为308.02万元，完成预算100%。</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26.其他支出（类）其他支出（款）其他支出（项）:支出决算为63.2万元，完成预算79%。决算数小于预算数的主要原因是按照合同进度支付款项，剩余资金已结转到2020年继续支付。</w:t>
      </w:r>
    </w:p>
    <w:p>
      <w:pPr>
        <w:spacing w:line="600" w:lineRule="exact"/>
        <w:ind w:firstLine="640" w:firstLineChars="200"/>
        <w:rPr>
          <w:rStyle w:val="17"/>
          <w:rFonts w:hint="eastAsia" w:ascii="仿宋_GB2312" w:eastAsia="仿宋_GB2312"/>
          <w:b w:val="0"/>
          <w:bCs/>
          <w:sz w:val="32"/>
          <w:szCs w:val="32"/>
        </w:rPr>
      </w:pPr>
      <w:r>
        <w:rPr>
          <w:rStyle w:val="17"/>
          <w:rFonts w:hint="eastAsia" w:ascii="仿宋_GB2312" w:eastAsia="仿宋_GB2312"/>
          <w:b w:val="0"/>
          <w:sz w:val="32"/>
          <w:szCs w:val="32"/>
        </w:rPr>
        <w:t>当年预算中，除第26项“其他支出”外，其他本年资金均使用完毕。部分以前年度滚存结转结余资金，因工程项目或专项未完结，按规定继续结转使用。</w:t>
      </w:r>
    </w:p>
    <w:bookmarkEnd w:id="40"/>
    <w:p>
      <w:pPr>
        <w:tabs>
          <w:tab w:val="right" w:pos="8306"/>
        </w:tabs>
        <w:spacing w:line="600" w:lineRule="exact"/>
        <w:ind w:firstLine="640"/>
        <w:outlineLvl w:val="1"/>
        <w:rPr>
          <w:rStyle w:val="20"/>
        </w:rPr>
      </w:pPr>
      <w:bookmarkStart w:id="41" w:name="_Toc15396608"/>
      <w:bookmarkStart w:id="42" w:name="_Toc15377214"/>
      <w:r>
        <w:rPr>
          <w:rFonts w:hint="eastAsia" w:eastAsia="黑体"/>
          <w:color w:val="000000"/>
          <w:sz w:val="32"/>
          <w:szCs w:val="32"/>
        </w:rPr>
        <w:t>六</w:t>
      </w:r>
      <w:r>
        <w:rPr>
          <w:rFonts w:hint="eastAsia" w:eastAsia="黑体"/>
          <w:b/>
          <w:color w:val="000000"/>
          <w:sz w:val="32"/>
          <w:szCs w:val="32"/>
        </w:rPr>
        <w:t>、一</w:t>
      </w:r>
      <w:r>
        <w:rPr>
          <w:rStyle w:val="20"/>
          <w:rFonts w:hint="eastAsia" w:eastAsia="黑体"/>
          <w:b w:val="0"/>
        </w:rPr>
        <w:t>般公共预算财政拨款基本支出决算情况说明</w:t>
      </w:r>
      <w:bookmarkEnd w:id="41"/>
      <w:bookmarkEnd w:id="42"/>
      <w:r>
        <w:rPr>
          <w:rStyle w:val="20"/>
          <w:rFonts w:eastAsia="黑体"/>
          <w:b w:val="0"/>
        </w:rPr>
        <w:tab/>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2019年一般公共预算财政拨款基本支出16554.37万元，其中：</w:t>
      </w:r>
    </w:p>
    <w:p>
      <w:pPr>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人员经费15972.39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eastAsia="仿宋_GB2312"/>
          <w:color w:val="000000"/>
          <w:sz w:val="32"/>
          <w:szCs w:val="32"/>
        </w:rPr>
        <w:br w:type="textWrapping"/>
      </w:r>
      <w:r>
        <w:rPr>
          <w:rFonts w:hint="eastAsia" w:eastAsia="仿宋"/>
          <w:color w:val="000000"/>
          <w:sz w:val="32"/>
          <w:szCs w:val="32"/>
        </w:rPr>
        <w:t>　</w:t>
      </w:r>
      <w:r>
        <w:rPr>
          <w:rFonts w:hint="eastAsia" w:eastAsia="仿宋"/>
          <w:color w:val="000000" w:themeColor="text1"/>
          <w:sz w:val="32"/>
          <w:szCs w:val="32"/>
        </w:rPr>
        <w:t>　</w:t>
      </w:r>
      <w:r>
        <w:rPr>
          <w:rFonts w:hint="eastAsia" w:ascii="仿宋_GB2312" w:eastAsia="仿宋_GB2312"/>
          <w:color w:val="000000" w:themeColor="text1"/>
          <w:sz w:val="32"/>
          <w:szCs w:val="32"/>
        </w:rPr>
        <w:t>日常公用经费581.98</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eastAsia="黑体"/>
          <w:b w:val="0"/>
        </w:rPr>
      </w:pPr>
      <w:bookmarkStart w:id="43" w:name="_Toc15396609"/>
      <w:bookmarkStart w:id="44" w:name="_Toc15377215"/>
      <w:r>
        <w:rPr>
          <w:rFonts w:hint="eastAsia" w:eastAsia="黑体"/>
          <w:color w:val="000000"/>
          <w:sz w:val="32"/>
          <w:szCs w:val="32"/>
        </w:rPr>
        <w:t>七、</w:t>
      </w:r>
      <w:r>
        <w:rPr>
          <w:rStyle w:val="20"/>
          <w:rFonts w:hint="eastAsia" w:eastAsia="黑体"/>
        </w:rPr>
        <w:t>“</w:t>
      </w:r>
      <w:r>
        <w:rPr>
          <w:rStyle w:val="20"/>
          <w:rFonts w:hint="eastAsia" w:eastAsia="黑体"/>
          <w:b w:val="0"/>
        </w:rPr>
        <w:t>三公”经费财政拨款支出决算情况说明</w:t>
      </w:r>
      <w:bookmarkEnd w:id="43"/>
      <w:bookmarkEnd w:id="44"/>
    </w:p>
    <w:p>
      <w:pPr>
        <w:spacing w:line="600" w:lineRule="exact"/>
        <w:ind w:firstLine="640"/>
        <w:outlineLvl w:val="2"/>
        <w:rPr>
          <w:rFonts w:eastAsia="仿宋"/>
          <w:b/>
          <w:color w:val="000000"/>
          <w:sz w:val="32"/>
          <w:szCs w:val="32"/>
        </w:rPr>
      </w:pPr>
      <w:bookmarkStart w:id="45" w:name="_Toc15377216"/>
      <w:r>
        <w:rPr>
          <w:rFonts w:hint="eastAsia" w:eastAsia="仿宋"/>
          <w:b/>
          <w:color w:val="000000"/>
          <w:sz w:val="32"/>
          <w:szCs w:val="32"/>
        </w:rPr>
        <w:t>（一）“三公”经费财政拨款支出决算总体情况说明</w:t>
      </w:r>
      <w:bookmarkEnd w:id="45"/>
    </w:p>
    <w:p>
      <w:pPr>
        <w:spacing w:line="600" w:lineRule="exact"/>
        <w:ind w:firstLine="640"/>
        <w:rPr>
          <w:rFonts w:eastAsia="仿宋"/>
          <w:color w:val="auto"/>
          <w:sz w:val="32"/>
          <w:szCs w:val="32"/>
        </w:rPr>
      </w:pPr>
      <w:r>
        <w:rPr>
          <w:rFonts w:eastAsia="仿宋"/>
          <w:color w:val="auto"/>
          <w:sz w:val="32"/>
          <w:szCs w:val="32"/>
        </w:rPr>
        <w:t>2019</w:t>
      </w:r>
      <w:r>
        <w:rPr>
          <w:rFonts w:hint="eastAsia" w:eastAsia="仿宋"/>
          <w:color w:val="auto"/>
          <w:sz w:val="32"/>
          <w:szCs w:val="32"/>
        </w:rPr>
        <w:t>年“三公”经费财政拨款支出决算为</w:t>
      </w:r>
      <w:r>
        <w:rPr>
          <w:rFonts w:eastAsia="仿宋"/>
          <w:color w:val="auto"/>
          <w:sz w:val="32"/>
          <w:szCs w:val="32"/>
        </w:rPr>
        <w:t>44.23</w:t>
      </w:r>
      <w:r>
        <w:rPr>
          <w:rFonts w:hint="eastAsia" w:eastAsia="仿宋"/>
          <w:color w:val="auto"/>
          <w:sz w:val="32"/>
          <w:szCs w:val="32"/>
        </w:rPr>
        <w:t>万元，完成预算</w:t>
      </w:r>
      <w:r>
        <w:rPr>
          <w:rFonts w:eastAsia="仿宋"/>
          <w:color w:val="auto"/>
          <w:sz w:val="32"/>
          <w:szCs w:val="32"/>
        </w:rPr>
        <w:t>63.94%</w:t>
      </w:r>
      <w:r>
        <w:rPr>
          <w:rFonts w:hint="eastAsia" w:eastAsia="仿宋"/>
          <w:color w:val="auto"/>
          <w:sz w:val="32"/>
          <w:szCs w:val="32"/>
        </w:rPr>
        <w:t>。</w:t>
      </w:r>
    </w:p>
    <w:p>
      <w:pPr>
        <w:spacing w:line="600" w:lineRule="exact"/>
        <w:ind w:firstLine="640"/>
        <w:outlineLvl w:val="2"/>
        <w:rPr>
          <w:rFonts w:eastAsia="仿宋"/>
          <w:b/>
          <w:color w:val="000000"/>
          <w:sz w:val="32"/>
          <w:szCs w:val="32"/>
        </w:rPr>
      </w:pPr>
      <w:bookmarkStart w:id="46" w:name="_Toc15377217"/>
      <w:r>
        <w:rPr>
          <w:rFonts w:hint="eastAsia" w:eastAsia="仿宋"/>
          <w:b/>
          <w:color w:val="000000"/>
          <w:sz w:val="32"/>
          <w:szCs w:val="32"/>
        </w:rPr>
        <w:t>（二）“三公”经费财政拨款支出决算具体情况说明</w:t>
      </w:r>
      <w:bookmarkEnd w:id="46"/>
    </w:p>
    <w:p>
      <w:pPr>
        <w:spacing w:line="600" w:lineRule="exact"/>
        <w:ind w:firstLine="640"/>
        <w:rPr>
          <w:rFonts w:eastAsia="仿宋"/>
          <w:color w:val="000000"/>
          <w:sz w:val="32"/>
          <w:szCs w:val="32"/>
        </w:rPr>
      </w:pPr>
      <w:r>
        <w:rPr>
          <w:rFonts w:eastAsia="仿宋"/>
          <w:color w:val="000000"/>
          <w:sz w:val="32"/>
          <w:szCs w:val="32"/>
        </w:rPr>
        <w:t>2019</w:t>
      </w:r>
      <w:r>
        <w:rPr>
          <w:rFonts w:hint="eastAsia" w:eastAsia="仿宋"/>
          <w:color w:val="000000"/>
          <w:sz w:val="32"/>
          <w:szCs w:val="32"/>
        </w:rPr>
        <w:t>年“三公”经费财政拨款支出决算中，因公出国（境）费支出决算0万元；公务用车购置及运行维护费支出决算39.68万元，占</w:t>
      </w:r>
      <w:r>
        <w:rPr>
          <w:rFonts w:eastAsia="仿宋"/>
          <w:color w:val="000000"/>
          <w:sz w:val="32"/>
          <w:szCs w:val="32"/>
        </w:rPr>
        <w:t>90%</w:t>
      </w:r>
      <w:r>
        <w:rPr>
          <w:rFonts w:hint="eastAsia" w:eastAsia="仿宋"/>
          <w:color w:val="000000"/>
          <w:sz w:val="32"/>
          <w:szCs w:val="32"/>
        </w:rPr>
        <w:t>；公务接待费支出决算4.55万元，占1</w:t>
      </w:r>
      <w:r>
        <w:rPr>
          <w:rFonts w:eastAsia="仿宋"/>
          <w:color w:val="000000"/>
          <w:sz w:val="32"/>
          <w:szCs w:val="32"/>
        </w:rPr>
        <w:t>0%</w:t>
      </w:r>
      <w:r>
        <w:rPr>
          <w:rFonts w:hint="eastAsia" w:eastAsia="仿宋"/>
          <w:color w:val="000000"/>
          <w:sz w:val="32"/>
          <w:szCs w:val="32"/>
        </w:rPr>
        <w:t>。具体情况如下：</w:t>
      </w:r>
    </w:p>
    <w:p>
      <w:pPr>
        <w:spacing w:line="600" w:lineRule="exact"/>
        <w:ind w:firstLine="640"/>
        <w:rPr>
          <w:rFonts w:eastAsia="仿宋"/>
          <w:color w:val="000000"/>
          <w:sz w:val="32"/>
          <w:szCs w:val="32"/>
        </w:rPr>
      </w:pPr>
      <w:r>
        <w:rPr>
          <w:rFonts w:hint="eastAsia" w:eastAsia="仿宋"/>
          <w:color w:val="000000"/>
          <w:sz w:val="32"/>
          <w:szCs w:val="32"/>
        </w:rPr>
        <w:t>（图</w:t>
      </w:r>
      <w:r>
        <w:rPr>
          <w:rFonts w:eastAsia="仿宋"/>
          <w:color w:val="000000"/>
          <w:sz w:val="32"/>
          <w:szCs w:val="32"/>
        </w:rPr>
        <w:t>7</w:t>
      </w:r>
      <w:r>
        <w:rPr>
          <w:rFonts w:hint="eastAsia" w:eastAsia="仿宋"/>
          <w:color w:val="000000"/>
          <w:sz w:val="32"/>
          <w:szCs w:val="32"/>
        </w:rPr>
        <w:t>：“三公”经费财政拨款支出结构）（饼状图）</w:t>
      </w:r>
    </w:p>
    <w:p>
      <w:pPr>
        <w:spacing w:line="360" w:lineRule="auto"/>
        <w:ind w:firstLine="641"/>
        <w:rPr>
          <w:rFonts w:eastAsia="仿宋_GB2312"/>
          <w:b/>
          <w:color w:val="000000"/>
          <w:sz w:val="32"/>
          <w:szCs w:val="32"/>
        </w:rPr>
      </w:pPr>
      <w:r>
        <w:rPr>
          <w:rFonts w:eastAsia="仿宋_GB2312"/>
          <w:b/>
          <w:color w:val="000000"/>
          <w:sz w:val="32"/>
          <w:szCs w:val="32"/>
        </w:rPr>
        <w:drawing>
          <wp:inline distT="0" distB="0" distL="0" distR="0">
            <wp:extent cx="4057650" cy="2390775"/>
            <wp:effectExtent l="19050" t="0" r="19050" b="0"/>
            <wp:docPr id="55"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0元</w:t>
      </w:r>
      <w:r>
        <w:rPr>
          <w:rStyle w:val="17"/>
          <w:rFonts w:hint="eastAsia" w:ascii="仿宋_GB2312" w:eastAsia="仿宋_GB2312"/>
          <w:b w:val="0"/>
          <w:bCs/>
          <w:color w:val="000000"/>
          <w:sz w:val="32"/>
          <w:szCs w:val="32"/>
        </w:rPr>
        <w:t>。</w:t>
      </w:r>
      <w:r>
        <w:rPr>
          <w:rFonts w:hint="eastAsia" w:ascii="仿宋_GB2312" w:eastAsia="仿宋_GB2312"/>
          <w:color w:val="000000"/>
          <w:sz w:val="32"/>
          <w:szCs w:val="32"/>
        </w:rPr>
        <w:t>全年没有安排因公出国（境）。</w:t>
      </w:r>
    </w:p>
    <w:p>
      <w:pPr>
        <w:spacing w:line="600" w:lineRule="exact"/>
        <w:ind w:firstLine="643"/>
        <w:rPr>
          <w:rFonts w:hint="eastAsia"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39.68万元,</w:t>
      </w:r>
      <w:r>
        <w:rPr>
          <w:rStyle w:val="17"/>
          <w:rFonts w:hint="eastAsia" w:ascii="仿宋_GB2312" w:eastAsia="仿宋_GB2312"/>
          <w:b w:val="0"/>
          <w:bCs/>
          <w:color w:val="000000"/>
          <w:sz w:val="32"/>
          <w:szCs w:val="32"/>
        </w:rPr>
        <w:t>完成预算</w:t>
      </w:r>
      <w:r>
        <w:rPr>
          <w:rStyle w:val="17"/>
          <w:rFonts w:hint="eastAsia" w:ascii="仿宋_GB2312" w:eastAsia="仿宋_GB2312"/>
          <w:bCs/>
          <w:color w:val="000000"/>
          <w:sz w:val="32"/>
          <w:szCs w:val="32"/>
        </w:rPr>
        <w:t>100</w:t>
      </w:r>
      <w:r>
        <w:rPr>
          <w:rStyle w:val="17"/>
          <w:rFonts w:hint="eastAsia" w:ascii="仿宋_GB2312" w:eastAsia="仿宋_GB2312"/>
          <w:b w:val="0"/>
          <w:bCs/>
          <w:color w:val="000000"/>
          <w:sz w:val="32"/>
          <w:szCs w:val="32"/>
        </w:rPr>
        <w:t>%。</w:t>
      </w:r>
      <w:r>
        <w:rPr>
          <w:rFonts w:hint="eastAsia" w:ascii="仿宋_GB2312" w:eastAsia="仿宋_GB2312"/>
          <w:color w:val="000000"/>
          <w:sz w:val="32"/>
          <w:szCs w:val="32"/>
        </w:rPr>
        <w:t>公务用车购置及运行维护费支出决算比2018年减少66.11万元，下降62.49%。主要原因是1、2019年没有新购车辆；2、政府压缩经费后，各部门减少了上路的次数。</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元。截至2019年12月底，单位共有公务用车68辆，其中：特种技术专业用车42辆、其他用车20辆、应急保障用车3辆、执法执勤用车3辆。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公务用车运行维护费支出39.68</w:t>
      </w:r>
      <w:r>
        <w:rPr>
          <w:rFonts w:hint="eastAsia" w:ascii="仿宋_GB2312" w:eastAsia="仿宋_GB2312"/>
          <w:color w:val="000000"/>
          <w:sz w:val="32"/>
          <w:szCs w:val="32"/>
        </w:rPr>
        <w:t>万元。主要用于交通运输综合执法、公路建设及养护检查等所需的公务用车燃料费、维修费、过路过桥费、保险费等支出。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4.55万元，</w:t>
      </w:r>
      <w:r>
        <w:rPr>
          <w:rStyle w:val="17"/>
          <w:rFonts w:hint="eastAsia" w:ascii="仿宋_GB2312" w:eastAsia="仿宋_GB2312"/>
          <w:b w:val="0"/>
          <w:bCs/>
          <w:color w:val="000000"/>
          <w:sz w:val="32"/>
          <w:szCs w:val="32"/>
        </w:rPr>
        <w:t>完成预算</w:t>
      </w:r>
      <w:r>
        <w:rPr>
          <w:rStyle w:val="17"/>
          <w:rFonts w:hint="eastAsia" w:ascii="仿宋_GB2312" w:eastAsia="仿宋_GB2312"/>
          <w:bCs/>
          <w:color w:val="000000"/>
          <w:sz w:val="32"/>
          <w:szCs w:val="32"/>
        </w:rPr>
        <w:t>49</w:t>
      </w:r>
      <w:r>
        <w:rPr>
          <w:rStyle w:val="17"/>
          <w:rFonts w:hint="eastAsia" w:ascii="仿宋_GB2312" w:eastAsia="仿宋_GB2312"/>
          <w:b w:val="0"/>
          <w:bCs/>
          <w:color w:val="000000"/>
          <w:sz w:val="32"/>
          <w:szCs w:val="32"/>
        </w:rPr>
        <w:t>%。</w:t>
      </w:r>
      <w:r>
        <w:rPr>
          <w:rFonts w:hint="eastAsia" w:ascii="仿宋_GB2312" w:eastAsia="仿宋_GB2312"/>
          <w:color w:val="000000"/>
          <w:sz w:val="32"/>
          <w:szCs w:val="32"/>
        </w:rPr>
        <w:t>公务接待费支出决算比2018年减少1.83万元，下降28.68%。主要原因是需要接待的公务次数比上年较少。其中：</w:t>
      </w:r>
    </w:p>
    <w:p>
      <w:pPr>
        <w:spacing w:line="600" w:lineRule="exact"/>
        <w:ind w:firstLine="640"/>
        <w:rPr>
          <w:rFonts w:hint="default" w:ascii="仿宋_GB2312" w:eastAsia="仿宋_GB2312"/>
          <w:color w:val="FF0000"/>
          <w:sz w:val="32"/>
          <w:szCs w:val="32"/>
          <w:lang w:val="en-US" w:eastAsia="zh-CN"/>
        </w:rPr>
      </w:pPr>
      <w:r>
        <w:rPr>
          <w:rFonts w:hint="eastAsia" w:ascii="仿宋_GB2312" w:eastAsia="仿宋_GB2312"/>
          <w:b/>
          <w:color w:val="000000"/>
          <w:sz w:val="32"/>
          <w:szCs w:val="32"/>
        </w:rPr>
        <w:t>国内公务接待支出</w:t>
      </w:r>
      <w:r>
        <w:rPr>
          <w:rFonts w:hint="eastAsia" w:ascii="仿宋_GB2312" w:eastAsia="仿宋_GB2312"/>
          <w:color w:val="000000"/>
          <w:sz w:val="32"/>
          <w:szCs w:val="32"/>
        </w:rPr>
        <w:t>4.55万元，主要用于上级部门来攀检查接待、接洽高速公路规划评审、民航评审、铁路规划评审等业务活动开支的交通费、住宿费、用餐费等。国内公务接待38批次，339人次（不包括陪同人员），共计支出4.55万元，</w:t>
      </w:r>
      <w:r>
        <w:rPr>
          <w:rFonts w:hint="eastAsia" w:ascii="仿宋_GB2312" w:eastAsia="仿宋_GB2312"/>
          <w:color w:val="000000"/>
          <w:sz w:val="32"/>
          <w:szCs w:val="32"/>
          <w:lang w:eastAsia="zh-CN"/>
        </w:rPr>
        <w:t>主要</w:t>
      </w:r>
      <w:r>
        <w:rPr>
          <w:rFonts w:hint="eastAsia" w:ascii="仿宋_GB2312" w:eastAsia="仿宋_GB2312"/>
          <w:color w:val="000000"/>
          <w:sz w:val="32"/>
          <w:szCs w:val="32"/>
        </w:rPr>
        <w:t>内容包括：</w:t>
      </w:r>
      <w:r>
        <w:rPr>
          <w:rFonts w:hint="eastAsia" w:ascii="仿宋_GB2312" w:eastAsia="仿宋_GB2312"/>
          <w:color w:val="auto"/>
          <w:sz w:val="32"/>
          <w:szCs w:val="32"/>
          <w:lang w:eastAsia="zh-CN"/>
        </w:rPr>
        <w:t>汛期交通安全生产交叉检查接待，来宾</w:t>
      </w:r>
      <w:r>
        <w:rPr>
          <w:rFonts w:hint="eastAsia" w:ascii="仿宋_GB2312" w:eastAsia="仿宋_GB2312"/>
          <w:color w:val="auto"/>
          <w:sz w:val="32"/>
          <w:szCs w:val="32"/>
          <w:lang w:val="en-US" w:eastAsia="zh-CN"/>
        </w:rPr>
        <w:t>5人，接待费1341元；省交通运输厅大件运输许可服务大走访活动，来宾9人，接待费用2069元；接待华坪政府赴攀对接交通工作人员，来宾8人，接待费用1780元；省交通运输厅来攀调研工作，来宾10人，接待费用2585元等。</w:t>
      </w:r>
      <w:r>
        <w:rPr>
          <w:rFonts w:hint="eastAsia" w:ascii="仿宋_GB2312" w:eastAsia="仿宋_GB2312"/>
          <w:color w:val="FF0000"/>
          <w:sz w:val="32"/>
          <w:szCs w:val="32"/>
          <w:lang w:val="en-US" w:eastAsia="zh-CN"/>
        </w:rPr>
        <w:t>。</w:t>
      </w:r>
    </w:p>
    <w:p>
      <w:pPr>
        <w:spacing w:line="600" w:lineRule="exact"/>
        <w:ind w:firstLine="640"/>
        <w:outlineLvl w:val="1"/>
        <w:rPr>
          <w:rStyle w:val="20"/>
          <w:rFonts w:eastAsia="黑体"/>
        </w:rPr>
      </w:pPr>
      <w:bookmarkStart w:id="47" w:name="_Toc15396610"/>
      <w:bookmarkStart w:id="48" w:name="_Toc15377218"/>
      <w:r>
        <w:rPr>
          <w:rFonts w:hint="eastAsia" w:eastAsia="黑体"/>
          <w:color w:val="000000"/>
          <w:sz w:val="32"/>
          <w:szCs w:val="32"/>
        </w:rPr>
        <w:t>八、</w:t>
      </w:r>
      <w:r>
        <w:rPr>
          <w:rStyle w:val="20"/>
          <w:rFonts w:hint="eastAsia" w:eastAsia="黑体"/>
          <w:b w:val="0"/>
        </w:rPr>
        <w:t>政府性基金预算支出决算情况说明</w:t>
      </w:r>
      <w:bookmarkEnd w:id="47"/>
      <w:bookmarkEnd w:id="48"/>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2019年政府性基金预算拨款支出243.4万元，全部用于项目支出。</w:t>
      </w:r>
    </w:p>
    <w:p>
      <w:pPr>
        <w:numPr>
          <w:ilvl w:val="0"/>
          <w:numId w:val="2"/>
        </w:numPr>
        <w:spacing w:line="600" w:lineRule="exact"/>
        <w:ind w:firstLine="640"/>
        <w:outlineLvl w:val="1"/>
        <w:rPr>
          <w:rStyle w:val="20"/>
          <w:rFonts w:eastAsia="黑体"/>
          <w:b w:val="0"/>
        </w:rPr>
      </w:pPr>
      <w:bookmarkStart w:id="49" w:name="_Toc15396611"/>
      <w:bookmarkStart w:id="50" w:name="_Toc15377219"/>
      <w:r>
        <w:rPr>
          <w:rStyle w:val="20"/>
          <w:rFonts w:hint="eastAsia" w:eastAsia="黑体"/>
          <w:b w:val="0"/>
        </w:rPr>
        <w:t>国有资本经营预算支出决算情况说明</w:t>
      </w:r>
      <w:bookmarkEnd w:id="49"/>
      <w:bookmarkEnd w:id="50"/>
    </w:p>
    <w:p>
      <w:pPr>
        <w:spacing w:line="600" w:lineRule="exact"/>
        <w:ind w:firstLine="640"/>
        <w:rPr>
          <w:rFonts w:hint="eastAsia" w:ascii="仿宋_GB2312" w:eastAsia="仿宋_GB2312"/>
          <w:sz w:val="44"/>
          <w:szCs w:val="44"/>
        </w:rPr>
      </w:pPr>
      <w:r>
        <w:rPr>
          <w:rFonts w:hint="eastAsia" w:ascii="仿宋_GB2312" w:eastAsia="仿宋_GB2312"/>
          <w:color w:val="000000"/>
          <w:sz w:val="32"/>
          <w:szCs w:val="32"/>
        </w:rPr>
        <w:t>2019年国有资本经营预算拨款支出0元。</w:t>
      </w:r>
    </w:p>
    <w:p>
      <w:pPr>
        <w:spacing w:line="600" w:lineRule="exact"/>
        <w:ind w:firstLine="800" w:firstLineChars="250"/>
        <w:outlineLvl w:val="1"/>
        <w:rPr>
          <w:rStyle w:val="20"/>
          <w:rFonts w:eastAsia="黑体"/>
        </w:rPr>
      </w:pPr>
      <w:bookmarkStart w:id="51" w:name="_Toc15377221"/>
      <w:bookmarkStart w:id="52" w:name="_Toc15396612"/>
      <w:r>
        <w:rPr>
          <w:rFonts w:hint="eastAsia" w:eastAsia="黑体"/>
          <w:color w:val="000000"/>
          <w:sz w:val="32"/>
          <w:szCs w:val="32"/>
        </w:rPr>
        <w:t>十</w:t>
      </w:r>
      <w:r>
        <w:rPr>
          <w:rStyle w:val="20"/>
          <w:rFonts w:hint="eastAsia" w:eastAsia="黑体"/>
        </w:rPr>
        <w:t>、</w:t>
      </w:r>
      <w:r>
        <w:rPr>
          <w:rStyle w:val="20"/>
          <w:rFonts w:hint="eastAsia" w:eastAsia="黑体"/>
          <w:b w:val="0"/>
        </w:rPr>
        <w:t>其他重要事项的情况说明</w:t>
      </w:r>
      <w:bookmarkEnd w:id="51"/>
      <w:bookmarkEnd w:id="52"/>
    </w:p>
    <w:p>
      <w:pPr>
        <w:spacing w:line="600" w:lineRule="exact"/>
        <w:ind w:firstLine="642" w:firstLineChars="200"/>
        <w:outlineLvl w:val="2"/>
        <w:rPr>
          <w:rFonts w:eastAsia="仿宋"/>
          <w:color w:val="000000"/>
          <w:sz w:val="32"/>
          <w:szCs w:val="32"/>
        </w:rPr>
      </w:pPr>
      <w:bookmarkStart w:id="53" w:name="_Toc15377222"/>
      <w:r>
        <w:rPr>
          <w:rFonts w:hint="eastAsia" w:eastAsia="仿宋"/>
          <w:b/>
          <w:color w:val="000000"/>
          <w:sz w:val="32"/>
          <w:szCs w:val="32"/>
        </w:rPr>
        <w:t>（一）机关运行经费支出情况</w:t>
      </w:r>
      <w:bookmarkEnd w:id="53"/>
    </w:p>
    <w:p>
      <w:pPr>
        <w:spacing w:line="600" w:lineRule="exact"/>
        <w:ind w:firstLine="640" w:firstLineChars="200"/>
        <w:rPr>
          <w:rFonts w:hint="eastAsia" w:ascii="仿宋_GB2312" w:eastAsia="仿宋_GB2312"/>
          <w:b/>
          <w:color w:val="FF0000"/>
          <w:sz w:val="32"/>
          <w:szCs w:val="32"/>
        </w:rPr>
      </w:pPr>
      <w:r>
        <w:rPr>
          <w:rFonts w:hint="eastAsia" w:ascii="仿宋_GB2312" w:eastAsia="仿宋_GB2312"/>
          <w:color w:val="000000"/>
          <w:sz w:val="32"/>
          <w:szCs w:val="32"/>
        </w:rPr>
        <w:t>2019年，攀枝花市交通运输局（汇总）机关运行经费支出581.98万元，比2018年减少14.75万元，下降2.5%</w:t>
      </w:r>
      <w:r>
        <w:rPr>
          <w:rFonts w:hint="eastAsia" w:ascii="仿宋_GB2312" w:eastAsia="仿宋_GB2312"/>
          <w:color w:val="000000" w:themeColor="text1"/>
          <w:sz w:val="32"/>
          <w:szCs w:val="32"/>
        </w:rPr>
        <w:t>主要原因是我局坚决贯彻党和国家厉行勤俭节约的要求，尽力压缩办公经费。</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54" w:name="_Toc15377223"/>
      <w:r>
        <w:rPr>
          <w:rFonts w:hint="eastAsia" w:eastAsia="仿宋"/>
          <w:b/>
          <w:color w:val="000000"/>
          <w:sz w:val="32"/>
          <w:szCs w:val="32"/>
        </w:rPr>
        <w:t>（二）政府采购支出情况</w:t>
      </w:r>
      <w:bookmarkEnd w:id="54"/>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2019年，攀枝花市交通运输局（汇总）政府采购支出总额9.7万元，其中：政府采购货物支出9.7万元。主要用于办公设备更新购置。授予中小企业合同金额9.7万元，占政府采购支出总额的100%。</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55" w:name="_Toc15377224"/>
      <w:r>
        <w:rPr>
          <w:rFonts w:hint="eastAsia"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eastAsia="仿宋"/>
          <w:b/>
          <w:color w:val="FF0000"/>
          <w:sz w:val="32"/>
          <w:szCs w:val="32"/>
        </w:rPr>
      </w:pPr>
      <w:r>
        <w:rPr>
          <w:rFonts w:hint="eastAsia" w:ascii="仿宋_GB2312" w:eastAsia="仿宋_GB2312"/>
          <w:color w:val="000000"/>
          <w:sz w:val="32"/>
          <w:szCs w:val="32"/>
        </w:rPr>
        <w:t>截至2019年12月31日，攀枝花市交通运输局（汇总）共有车辆68辆，其中：特种技术专业用车42辆、其他用车20辆、应急保障用车3辆、执法执勤用车3辆。</w:t>
      </w:r>
      <w:r>
        <w:rPr>
          <w:rFonts w:hint="eastAsia" w:ascii="仿宋_GB2312" w:eastAsia="仿宋_GB2312"/>
          <w:color w:val="000000" w:themeColor="text1"/>
          <w:sz w:val="32"/>
          <w:szCs w:val="32"/>
        </w:rPr>
        <w:t>其他用车主要是用于公路建设养护的普通货车。单价50万元以上通用设备1台</w:t>
      </w:r>
      <w:r>
        <w:rPr>
          <w:rFonts w:hint="eastAsia" w:eastAsia="仿宋_GB2312"/>
          <w:color w:val="000000" w:themeColor="text1"/>
          <w:sz w:val="32"/>
          <w:szCs w:val="32"/>
        </w:rPr>
        <w:t>（套）。</w:t>
      </w:r>
    </w:p>
    <w:p>
      <w:pPr>
        <w:autoSpaceDE w:val="0"/>
        <w:autoSpaceDN w:val="0"/>
        <w:adjustRightInd w:val="0"/>
        <w:spacing w:line="600" w:lineRule="exact"/>
        <w:ind w:firstLine="642" w:firstLineChars="200"/>
        <w:jc w:val="left"/>
        <w:outlineLvl w:val="2"/>
        <w:rPr>
          <w:rFonts w:eastAsia="仿宋"/>
          <w:b/>
          <w:color w:val="000000"/>
          <w:sz w:val="32"/>
          <w:szCs w:val="32"/>
        </w:rPr>
      </w:pPr>
      <w:r>
        <w:rPr>
          <w:rFonts w:hint="eastAsia" w:eastAsia="仿宋"/>
          <w:b/>
          <w:color w:val="000000"/>
          <w:sz w:val="32"/>
          <w:szCs w:val="32"/>
        </w:rPr>
        <w:t>（四）预算绩效管理情况。</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根据预算绩效管理要求，本部门（单位）在年初预算编制阶段，组织对机场大巴运营补贴等项目开展了预算事前绩效评估，对</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个项目编制了绩效目标。年终执行完毕后，对84个项目开展了绩效目标完成情况自评。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本部门按要求对2019年部门整体支出开展绩效自评，从评价情况来看,整体绩效完成情况较好。因本部门无专项预算项目，因此本部门未组织开展项目支出绩效评价。</w:t>
      </w:r>
    </w:p>
    <w:p>
      <w:pPr>
        <w:spacing w:line="580" w:lineRule="exact"/>
        <w:ind w:firstLine="640"/>
        <w:rPr>
          <w:rFonts w:hint="eastAsia" w:eastAsia="仿宋_GB2312"/>
          <w:sz w:val="32"/>
          <w:szCs w:val="32"/>
        </w:rPr>
      </w:pPr>
      <w:r>
        <w:rPr>
          <w:rFonts w:eastAsia="楷体_GB2312"/>
          <w:sz w:val="32"/>
          <w:szCs w:val="32"/>
        </w:rPr>
        <w:t>1.</w:t>
      </w:r>
      <w:r>
        <w:rPr>
          <w:rFonts w:hint="eastAsia" w:eastAsia="楷体_GB2312"/>
          <w:sz w:val="32"/>
          <w:szCs w:val="32"/>
        </w:rPr>
        <w:t>项目绩效目标完成情况。</w:t>
      </w:r>
    </w:p>
    <w:p>
      <w:pPr>
        <w:ind w:firstLine="640"/>
        <w:rPr>
          <w:rFonts w:hint="eastAsia" w:ascii="仿宋_GB2312" w:hAnsi="黑体" w:eastAsia="仿宋_GB2312"/>
          <w:sz w:val="32"/>
          <w:szCs w:val="32"/>
        </w:rPr>
      </w:pPr>
      <w:r>
        <w:rPr>
          <w:rFonts w:hint="eastAsia" w:ascii="仿宋_GB2312" w:eastAsia="仿宋_GB2312"/>
          <w:sz w:val="32"/>
          <w:szCs w:val="32"/>
        </w:rPr>
        <w:t>本部门在2019年度部门决算中反映攀枝花市公路管理处公路网命名车购税项目、金沙江大道绿化养护项目、攀枝花市运输管理处</w:t>
      </w:r>
      <w:r>
        <w:rPr>
          <w:rFonts w:hint="eastAsia" w:ascii="仿宋_GB2312" w:hAnsi="仿宋_GB2312" w:eastAsia="仿宋_GB2312" w:cs="仿宋_GB2312"/>
          <w:bCs/>
          <w:sz w:val="32"/>
          <w:szCs w:val="32"/>
        </w:rPr>
        <w:t>12328热线工作项目、市交通运输局机关</w:t>
      </w:r>
      <w:r>
        <w:rPr>
          <w:rFonts w:hint="eastAsia" w:ascii="仿宋_GB2312" w:hAnsi="黑体" w:eastAsia="仿宋_GB2312"/>
          <w:sz w:val="32"/>
          <w:szCs w:val="32"/>
        </w:rPr>
        <w:t>机场迁建选址技术咨询服务项目、机场大巴运营5个项目绩效目标完成情况。</w:t>
      </w:r>
    </w:p>
    <w:p>
      <w:pPr>
        <w:widowControl/>
        <w:spacing w:line="600" w:lineRule="exact"/>
        <w:ind w:firstLine="627" w:firstLineChars="196"/>
        <w:jc w:val="left"/>
        <w:rPr>
          <w:rFonts w:hint="eastAsia" w:ascii="仿宋_GB2312" w:eastAsia="仿宋_GB2312"/>
          <w:sz w:val="32"/>
          <w:szCs w:val="32"/>
        </w:rPr>
      </w:pPr>
      <w:r>
        <w:rPr>
          <w:rFonts w:hint="eastAsia" w:ascii="仿宋_GB2312" w:eastAsia="仿宋_GB2312"/>
          <w:sz w:val="32"/>
          <w:szCs w:val="32"/>
        </w:rPr>
        <w:t>（1）市公路管理处公路网命名车购税项目绩效目标完成情况综述。项目全年预算数255万元，执行数为255万元，完成预算的100%。通过项目实施，完善的公路网标示体系，安全、高效、便捷的公路交通出行。</w:t>
      </w:r>
    </w:p>
    <w:p>
      <w:pPr>
        <w:numPr>
          <w:ilvl w:val="255"/>
          <w:numId w:val="0"/>
        </w:numPr>
        <w:spacing w:line="580" w:lineRule="exact"/>
        <w:ind w:firstLine="640"/>
        <w:rPr>
          <w:rFonts w:hint="eastAsia" w:ascii="仿宋_GB2312" w:eastAsia="仿宋_GB2312"/>
          <w:sz w:val="32"/>
          <w:szCs w:val="32"/>
        </w:rPr>
      </w:pP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（2）市公路管理处金沙江大道绿化养护项目绩效目标完成情况综述。项目全年预算数233万元，执行数为233万元，完成预算的100%。通过项目实施，美化公路两旁的环境，营造了“畅安舒美”的公路通行环境。</w:t>
      </w:r>
    </w:p>
    <w:p>
      <w:pPr>
        <w:pStyle w:val="8"/>
        <w:numPr>
          <w:ilvl w:val="0"/>
          <w:numId w:val="3"/>
        </w:numPr>
        <w:spacing w:line="600" w:lineRule="exact"/>
        <w:ind w:firstLine="643"/>
        <w:rPr>
          <w:rFonts w:hint="eastAsia" w:ascii="仿宋_GB2312" w:hAnsi="仿宋_GB2312" w:eastAsia="仿宋_GB2312" w:cs="仿宋_GB2312"/>
          <w:color w:val="2B2B2B"/>
          <w:sz w:val="32"/>
          <w:szCs w:val="32"/>
          <w:shd w:val="clear" w:color="auto" w:fill="FFFFFF"/>
        </w:rPr>
      </w:pPr>
      <w:r>
        <w:rPr>
          <w:rFonts w:hint="eastAsia" w:ascii="仿宋_GB2312" w:eastAsia="仿宋_GB2312"/>
          <w:sz w:val="32"/>
          <w:szCs w:val="32"/>
        </w:rPr>
        <w:t>市运输管理处</w:t>
      </w:r>
      <w:r>
        <w:rPr>
          <w:rFonts w:hint="eastAsia" w:ascii="仿宋_GB2312" w:hAnsi="仿宋_GB2312" w:eastAsia="仿宋_GB2312" w:cs="仿宋_GB2312"/>
          <w:bCs/>
          <w:sz w:val="32"/>
          <w:szCs w:val="32"/>
        </w:rPr>
        <w:t>12328热线工作</w:t>
      </w:r>
      <w:r>
        <w:rPr>
          <w:rFonts w:hint="eastAsia" w:ascii="仿宋_GB2312" w:hAnsi="Times New Roman" w:eastAsia="仿宋_GB2312"/>
          <w:sz w:val="32"/>
          <w:szCs w:val="32"/>
        </w:rPr>
        <w:t>绩效目标完成情况综述。项目全年预算数</w:t>
      </w:r>
      <w:r>
        <w:rPr>
          <w:rFonts w:hint="eastAsia" w:ascii="仿宋_GB2312" w:eastAsia="仿宋_GB2312"/>
          <w:sz w:val="32"/>
          <w:szCs w:val="32"/>
        </w:rPr>
        <w:t>5</w:t>
      </w:r>
      <w:r>
        <w:rPr>
          <w:rFonts w:hint="eastAsia" w:ascii="仿宋_GB2312" w:hAnsi="Times New Roman" w:eastAsia="仿宋_GB2312"/>
          <w:sz w:val="32"/>
          <w:szCs w:val="32"/>
        </w:rPr>
        <w:t>万元，执行数为</w:t>
      </w:r>
      <w:r>
        <w:rPr>
          <w:rFonts w:hint="eastAsia" w:ascii="仿宋_GB2312" w:eastAsia="仿宋_GB2312"/>
          <w:sz w:val="32"/>
          <w:szCs w:val="32"/>
        </w:rPr>
        <w:t>5</w:t>
      </w:r>
      <w:r>
        <w:rPr>
          <w:rFonts w:hint="eastAsia" w:ascii="仿宋_GB2312" w:hAnsi="Times New Roman" w:eastAsia="仿宋_GB2312"/>
          <w:sz w:val="32"/>
          <w:szCs w:val="32"/>
        </w:rPr>
        <w:t>万元，完成预算的</w:t>
      </w:r>
      <w:r>
        <w:rPr>
          <w:rFonts w:hint="eastAsia" w:ascii="仿宋_GB2312" w:eastAsia="仿宋_GB2312"/>
          <w:sz w:val="32"/>
          <w:szCs w:val="32"/>
        </w:rPr>
        <w:t>100</w:t>
      </w:r>
      <w:r>
        <w:rPr>
          <w:rFonts w:hint="eastAsia" w:ascii="仿宋_GB2312" w:hAnsi="Times New Roman" w:eastAsia="仿宋_GB2312"/>
          <w:sz w:val="32"/>
          <w:szCs w:val="32"/>
        </w:rPr>
        <w:t>%。通过项目实施，</w:t>
      </w:r>
      <w:r>
        <w:rPr>
          <w:rFonts w:hint="eastAsia" w:ascii="仿宋_GB2312" w:hAnsi="仿宋_GB2312" w:eastAsia="仿宋_GB2312" w:cs="仿宋_GB2312"/>
          <w:color w:val="2B2B2B"/>
          <w:sz w:val="32"/>
          <w:szCs w:val="32"/>
          <w:shd w:val="clear" w:color="auto" w:fill="FFFFFF"/>
        </w:rPr>
        <w:t>12328热线服务为群众提供了高质量的答疑服务，较好地树立交通形象，提升了服务质量。</w:t>
      </w:r>
    </w:p>
    <w:p>
      <w:pPr>
        <w:pStyle w:val="8"/>
        <w:numPr>
          <w:ilvl w:val="0"/>
          <w:numId w:val="3"/>
        </w:numPr>
        <w:spacing w:line="600" w:lineRule="exact"/>
        <w:ind w:firstLine="643"/>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bCs/>
          <w:sz w:val="32"/>
          <w:szCs w:val="32"/>
        </w:rPr>
        <w:t>市交通运输局机关</w:t>
      </w:r>
      <w:r>
        <w:rPr>
          <w:rFonts w:hint="eastAsia" w:ascii="仿宋_GB2312" w:hAnsi="黑体" w:eastAsia="仿宋_GB2312"/>
          <w:sz w:val="32"/>
          <w:szCs w:val="32"/>
        </w:rPr>
        <w:t>机场迁建选址技术咨询服务项目</w:t>
      </w:r>
      <w:r>
        <w:rPr>
          <w:rFonts w:hint="eastAsia" w:ascii="仿宋_GB2312" w:hAnsi="Times New Roman" w:eastAsia="仿宋_GB2312"/>
          <w:sz w:val="32"/>
          <w:szCs w:val="32"/>
        </w:rPr>
        <w:t>绩效目标完成情况综述。项目全年预算数</w:t>
      </w:r>
      <w:r>
        <w:rPr>
          <w:rFonts w:hint="eastAsia" w:ascii="仿宋_GB2312" w:eastAsia="仿宋_GB2312"/>
          <w:sz w:val="32"/>
          <w:szCs w:val="32"/>
        </w:rPr>
        <w:t>58.4</w:t>
      </w:r>
      <w:r>
        <w:rPr>
          <w:rFonts w:hint="eastAsia" w:ascii="仿宋_GB2312" w:hAnsi="Times New Roman" w:eastAsia="仿宋_GB2312"/>
          <w:sz w:val="32"/>
          <w:szCs w:val="32"/>
        </w:rPr>
        <w:t>万元，执行数为</w:t>
      </w:r>
      <w:r>
        <w:rPr>
          <w:rFonts w:hint="eastAsia" w:ascii="仿宋_GB2312" w:eastAsia="仿宋_GB2312"/>
          <w:sz w:val="32"/>
          <w:szCs w:val="32"/>
        </w:rPr>
        <w:t>58.4</w:t>
      </w:r>
      <w:r>
        <w:rPr>
          <w:rFonts w:hint="eastAsia" w:ascii="仿宋_GB2312" w:hAnsi="Times New Roman" w:eastAsia="仿宋_GB2312"/>
          <w:sz w:val="32"/>
          <w:szCs w:val="32"/>
        </w:rPr>
        <w:t>万元，完成预算的</w:t>
      </w:r>
      <w:r>
        <w:rPr>
          <w:rFonts w:hint="eastAsia" w:ascii="仿宋_GB2312" w:eastAsia="仿宋_GB2312"/>
          <w:sz w:val="32"/>
          <w:szCs w:val="32"/>
        </w:rPr>
        <w:t>100</w:t>
      </w:r>
      <w:r>
        <w:rPr>
          <w:rFonts w:hint="eastAsia" w:ascii="仿宋_GB2312" w:hAnsi="Times New Roman" w:eastAsia="仿宋_GB2312"/>
          <w:sz w:val="32"/>
          <w:szCs w:val="32"/>
        </w:rPr>
        <w:t>%。通过项目实施，</w:t>
      </w:r>
      <w:r>
        <w:rPr>
          <w:rFonts w:hint="eastAsia" w:ascii="仿宋_GB2312" w:hAnsi="仿宋_GB2312" w:eastAsia="仿宋_GB2312" w:cs="仿宋_GB2312"/>
          <w:color w:val="2B2B2B"/>
          <w:sz w:val="32"/>
          <w:szCs w:val="32"/>
          <w:shd w:val="clear" w:color="auto" w:fill="FFFFFF"/>
        </w:rPr>
        <w:t>为机场迁建选取首选场址，为未来我市民航发展奠定基础。</w:t>
      </w:r>
    </w:p>
    <w:p>
      <w:pPr>
        <w:pStyle w:val="8"/>
        <w:numPr>
          <w:ilvl w:val="0"/>
          <w:numId w:val="3"/>
        </w:numPr>
        <w:spacing w:line="600" w:lineRule="exact"/>
        <w:ind w:firstLine="643"/>
        <w:rPr>
          <w:rFonts w:hint="eastAsia" w:ascii="仿宋_GB2312" w:hAnsi="仿宋_GB2312" w:eastAsia="仿宋_GB2312" w:cs="仿宋_GB2312"/>
          <w:color w:val="2B2B2B"/>
          <w:sz w:val="32"/>
          <w:szCs w:val="32"/>
          <w:shd w:val="clear" w:color="auto" w:fill="FFFFFF"/>
        </w:rPr>
      </w:pPr>
      <w:r>
        <w:rPr>
          <w:rFonts w:hint="eastAsia" w:ascii="仿宋_GB2312" w:hAnsi="黑体" w:eastAsia="仿宋_GB2312"/>
          <w:sz w:val="32"/>
          <w:szCs w:val="32"/>
        </w:rPr>
        <w:t>市交通</w:t>
      </w:r>
      <w:r>
        <w:rPr>
          <w:rFonts w:hint="eastAsia" w:ascii="仿宋_GB2312" w:hAnsi="仿宋_GB2312" w:eastAsia="仿宋_GB2312" w:cs="仿宋_GB2312"/>
          <w:bCs/>
          <w:sz w:val="32"/>
          <w:szCs w:val="32"/>
        </w:rPr>
        <w:t>运输局机关</w:t>
      </w:r>
      <w:r>
        <w:rPr>
          <w:rFonts w:hint="eastAsia" w:ascii="仿宋_GB2312" w:hAnsi="黑体" w:eastAsia="仿宋_GB2312"/>
          <w:sz w:val="32"/>
          <w:szCs w:val="32"/>
        </w:rPr>
        <w:t>机场大巴运营项目</w:t>
      </w:r>
      <w:r>
        <w:rPr>
          <w:rFonts w:hint="eastAsia" w:ascii="仿宋_GB2312" w:hAnsi="Times New Roman" w:eastAsia="仿宋_GB2312"/>
          <w:sz w:val="32"/>
          <w:szCs w:val="32"/>
        </w:rPr>
        <w:t>绩效目标完成情况综述。项目全年预算数</w:t>
      </w:r>
      <w:r>
        <w:rPr>
          <w:rFonts w:hint="eastAsia" w:ascii="仿宋_GB2312" w:eastAsia="仿宋_GB2312"/>
          <w:sz w:val="32"/>
          <w:szCs w:val="32"/>
        </w:rPr>
        <w:t>60</w:t>
      </w:r>
      <w:r>
        <w:rPr>
          <w:rFonts w:hint="eastAsia" w:ascii="仿宋_GB2312" w:hAnsi="Times New Roman" w:eastAsia="仿宋_GB2312"/>
          <w:sz w:val="32"/>
          <w:szCs w:val="32"/>
        </w:rPr>
        <w:t>万元，执行数为</w:t>
      </w:r>
      <w:r>
        <w:rPr>
          <w:rFonts w:hint="eastAsia" w:ascii="仿宋_GB2312" w:eastAsia="仿宋_GB2312"/>
          <w:sz w:val="32"/>
          <w:szCs w:val="32"/>
        </w:rPr>
        <w:t>60</w:t>
      </w:r>
      <w:r>
        <w:rPr>
          <w:rFonts w:hint="eastAsia" w:ascii="仿宋_GB2312" w:hAnsi="Times New Roman" w:eastAsia="仿宋_GB2312"/>
          <w:sz w:val="32"/>
          <w:szCs w:val="32"/>
        </w:rPr>
        <w:t>万元，完成预算的</w:t>
      </w:r>
      <w:r>
        <w:rPr>
          <w:rFonts w:hint="eastAsia" w:ascii="仿宋_GB2312" w:eastAsia="仿宋_GB2312"/>
          <w:sz w:val="32"/>
          <w:szCs w:val="32"/>
        </w:rPr>
        <w:t>100</w:t>
      </w:r>
      <w:r>
        <w:rPr>
          <w:rFonts w:hint="eastAsia" w:ascii="仿宋_GB2312" w:hAnsi="Times New Roman" w:eastAsia="仿宋_GB2312"/>
          <w:sz w:val="32"/>
          <w:szCs w:val="32"/>
        </w:rPr>
        <w:t>%。通过项目实施满足了广大乘客往返机场的出行需求。</w:t>
      </w:r>
    </w:p>
    <w:p>
      <w:pPr>
        <w:spacing w:line="580" w:lineRule="exact"/>
        <w:ind w:firstLine="640" w:firstLineChars="200"/>
        <w:rPr>
          <w:rFonts w:eastAsia="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type="textWrapping"/>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公路网命名</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攀枝花市公路管理处</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blPrEx>
          <w:tblCellMar>
            <w:top w:w="0" w:type="dxa"/>
            <w:left w:w="0" w:type="dxa"/>
            <w:bottom w:w="0" w:type="dxa"/>
            <w:right w:w="0" w:type="dxa"/>
          </w:tblCellMar>
        </w:tblPrEx>
        <w:trPr>
          <w:trHeight w:val="119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构建一个统一规范清晰、完善的公路网标示体系，营造安全、高效、便捷的公路交通出行环境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构建一个统一规范清晰、完善的公路网标示体系，营造安全、高效、便捷的公路交通出行环境</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标牌367套、百米桩3470块，里程桩362块等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标牌367套、百米桩3470块，里程桩362块等</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公路网命名车购质量检测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公路网命名车购税设计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施工图设计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施工图设计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验收合格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验收合格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检测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设计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评审合格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评审合格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公路网命名车购税工程费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2435905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2435905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公路网命名车购质量检测费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8895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8895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公路网命名车购税设计费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105200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105200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指标1：安全、高效、便捷的公路交通出行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安全、高效、便捷的公路交通出行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安全、高效、便捷的公路交通出行</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上级部门和群众满意度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上级部门和群众满意度达到95%以上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上级部门和群众满意度达到95%以上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 xml:space="preserve"> 指标1：上级部门和群众满意度</w:t>
            </w:r>
          </w:p>
        </w:tc>
      </w:tr>
    </w:tbl>
    <w:p>
      <w:pPr>
        <w:spacing w:line="580" w:lineRule="exact"/>
        <w:ind w:left="630"/>
        <w:rPr>
          <w:rFonts w:eastAsia="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type="textWrapping"/>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攀枝花金沙江大道东段绿化养护费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攀枝花市公路管理处</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2014年6月-2017年6月攀枝花金沙江大道东段绿化养护费，2019年办理财务决算，并支付。</w:t>
            </w:r>
          </w:p>
          <w:p>
            <w:pPr>
              <w:keepNext/>
              <w:keepLines/>
              <w:widowControl/>
              <w:spacing w:before="340" w:after="330" w:line="578" w:lineRule="auto"/>
              <w:jc w:val="center"/>
              <w:textAlignment w:val="center"/>
              <w:outlineLvl w:val="0"/>
              <w:rPr>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2014年6月-2017年6月攀枝花金沙江大道东段绿化养护费，2019年办理财务决算，并支付。</w:t>
            </w:r>
          </w:p>
          <w:p>
            <w:pPr>
              <w:keepNext/>
              <w:keepLines/>
              <w:widowControl/>
              <w:spacing w:before="340" w:after="330" w:line="578" w:lineRule="auto"/>
              <w:jc w:val="center"/>
              <w:textAlignment w:val="center"/>
              <w:outlineLvl w:val="0"/>
              <w:rPr>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攀枝花金沙江大道东段绿化养护费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迎宾大道金沙江大道东段（渡金线）2014年6月-2017年6月三年绿化养护费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完成三年绿化养护费</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指标1：攀枝花金沙江大道东段绿化养护费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指标1：2019年1月-12月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2019年1月-12月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于2019年10月已支付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攀枝花金沙江大道东段绿化养护费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233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233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指标1：美化公路两旁环境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美化公路两旁环境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美化公路两旁环境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群众和上级满意度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群众和上级满意度达到95%以上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群众和上级满意度达到95%以上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指标1：群众和上级满意度</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type="textWrapping"/>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b/>
                <w:bCs/>
                <w:color w:val="000000"/>
                <w:kern w:val="0"/>
                <w:sz w:val="36"/>
                <w:szCs w:val="36"/>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12328热线工作经费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攀枝花市交通运输管理处</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推进交通运输服务质量和行业形象提升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服务质量和行业形象得到一定提升，完成了设定目标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每天24小时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24小时值守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相关培训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投诉回复率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办理实效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信息咨询5日内；意见建议10日内；投诉举报30日内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按时回复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电话值守时间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24小时全天候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全天候</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3750元/月，全年共计4.5万元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4.5万元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培训成本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2500元，全年共计0.5万元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0.5万元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桥梁纽带作用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全力打造综合信息智慧服务平台，更好地倾听群众声音，了解群众需求，打造交通运输服务窗口的良好形象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达到设定目标效果</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投诉及咨询人员满意度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93%</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type="textWrapping"/>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b/>
                <w:bCs/>
                <w:color w:val="000000"/>
                <w:kern w:val="0"/>
                <w:sz w:val="36"/>
                <w:szCs w:val="36"/>
              </w:rPr>
            </w:pPr>
          </w:p>
        </w:tc>
      </w:tr>
      <w:tr>
        <w:tblPrEx>
          <w:tblCellMar>
            <w:top w:w="0" w:type="dxa"/>
            <w:left w:w="0" w:type="dxa"/>
            <w:bottom w:w="0" w:type="dxa"/>
            <w:right w:w="0" w:type="dxa"/>
          </w:tblCellMar>
        </w:tblPrEx>
        <w:trPr>
          <w:trHeight w:val="119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t>机场迁建选址技术咨询服务费</w:t>
            </w:r>
          </w:p>
          <w:p>
            <w:pPr>
              <w:keepNext/>
              <w:keepLines/>
              <w:widowControl/>
              <w:spacing w:before="340" w:after="330" w:line="578" w:lineRule="auto"/>
              <w:jc w:val="center"/>
              <w:textAlignment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br w:type="textWrapping"/>
            </w:r>
            <w:r>
              <w:rPr>
                <w:rFonts w:hint="eastAsia"/>
              </w:rPr>
              <w:t>开展攀枝花机场迁建民用运输机场场址选址阶段相关咨询服务，完成选址报告及附属报告。</w:t>
            </w:r>
          </w:p>
          <w:p>
            <w:pPr>
              <w:keepNext/>
              <w:keepLines/>
              <w:widowControl/>
              <w:spacing w:before="340" w:after="330" w:line="578" w:lineRule="auto"/>
              <w:jc w:val="center"/>
              <w:textAlignment w:val="center"/>
              <w:outlineLvl w:val="0"/>
              <w:rPr>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rPr>
              <w:br w:type="textWrapping"/>
            </w:r>
            <w:r>
              <w:rPr>
                <w:rFonts w:hint="eastAsia"/>
              </w:rPr>
              <w:t>开展攀枝花机场迁建民用运输机场场址选址阶段相关咨询服务，完成选址报告及附属报告。</w:t>
            </w:r>
          </w:p>
          <w:p>
            <w:pPr>
              <w:keepNext/>
              <w:keepLines/>
              <w:widowControl/>
              <w:spacing w:before="340" w:after="330" w:line="578" w:lineRule="auto"/>
              <w:jc w:val="center"/>
              <w:textAlignment w:val="center"/>
              <w:outlineLvl w:val="0"/>
              <w:rPr>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开展1个机场迁建选址论证工作。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提交选址报告及附属报告。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2019年9月前完成。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支付合同金额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为攀枝花市民航发展提供理论依据。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为机场迁建选取首选场址，为未来我市民航发展奠定基础。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bl>
    <w:p>
      <w:pPr>
        <w:spacing w:line="580" w:lineRule="exact"/>
        <w:ind w:left="630"/>
        <w:rPr>
          <w:rFonts w:eastAsia="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type="textWrapping"/>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机场大巴运营补贴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攀枝花市交通运输局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blPrEx>
          <w:tblCellMar>
            <w:top w:w="0" w:type="dxa"/>
            <w:left w:w="0" w:type="dxa"/>
            <w:bottom w:w="0" w:type="dxa"/>
            <w:right w:w="0" w:type="dxa"/>
          </w:tblCellMar>
        </w:tblPrEx>
        <w:trPr>
          <w:trHeight w:val="119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spacing w:before="340" w:after="330" w:line="578" w:lineRule="auto"/>
              <w:jc w:val="center"/>
              <w:outlineLvl w:val="0"/>
              <w:rPr>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满足广大乘客往返机场出行需求</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r>
              <w:rPr>
                <w:rFonts w:hint="eastAsia"/>
                <w:sz w:val="20"/>
                <w:szCs w:val="20"/>
              </w:rPr>
              <w:t>满足广大乘客往返机场出行需求</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客运车辆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5辆客运车辆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5辆客运车辆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补足上座率达到盈亏平衡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补足上座率达到65%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按照工作计划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2019年1-12月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2019年1-12月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补贴班线达到盈亏平衡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补足上座率到65%，按票价15元/人计算，全年补贴安排60万元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60万元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满足群众出行需求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满足攀枝花市区至保安营机场出行需求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乘客满意度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乘客满意度</w:t>
            </w:r>
          </w:p>
        </w:tc>
      </w:tr>
    </w:tbl>
    <w:p>
      <w:pPr>
        <w:spacing w:line="580" w:lineRule="exact"/>
        <w:ind w:left="630"/>
        <w:rPr>
          <w:rFonts w:eastAsia="仿宋_GB2312"/>
          <w:sz w:val="32"/>
          <w:szCs w:val="32"/>
        </w:rPr>
      </w:pPr>
    </w:p>
    <w:p>
      <w:pPr>
        <w:spacing w:line="580" w:lineRule="exact"/>
        <w:ind w:left="630"/>
        <w:rPr>
          <w:rFonts w:eastAsia="仿宋_GB2312"/>
          <w:sz w:val="32"/>
          <w:szCs w:val="32"/>
        </w:rPr>
      </w:pPr>
      <w:r>
        <w:rPr>
          <w:rFonts w:eastAsia="楷体_GB2312"/>
          <w:sz w:val="32"/>
          <w:szCs w:val="32"/>
        </w:rPr>
        <w:t>2.</w:t>
      </w:r>
      <w:r>
        <w:rPr>
          <w:rFonts w:hint="eastAsia" w:eastAsia="楷体_GB2312"/>
          <w:sz w:val="32"/>
          <w:szCs w:val="32"/>
        </w:rPr>
        <w:t>部门绩效评价结果。</w:t>
      </w:r>
    </w:p>
    <w:p>
      <w:pPr>
        <w:spacing w:line="580" w:lineRule="exact"/>
        <w:ind w:firstLine="640" w:firstLineChars="200"/>
        <w:rPr>
          <w:rFonts w:eastAsia="仿宋_GB2312"/>
          <w:sz w:val="32"/>
          <w:szCs w:val="32"/>
        </w:rPr>
      </w:pPr>
      <w:r>
        <w:rPr>
          <w:rFonts w:hint="eastAsia" w:eastAsia="仿宋_GB2312"/>
          <w:sz w:val="32"/>
          <w:szCs w:val="32"/>
        </w:rPr>
        <w:t>本部门按要求对</w:t>
      </w:r>
      <w:r>
        <w:rPr>
          <w:rFonts w:eastAsia="仿宋_GB2312"/>
          <w:sz w:val="32"/>
          <w:szCs w:val="32"/>
        </w:rPr>
        <w:t>2019</w:t>
      </w:r>
      <w:r>
        <w:rPr>
          <w:rFonts w:hint="eastAsia" w:eastAsia="仿宋_GB2312"/>
          <w:sz w:val="32"/>
          <w:szCs w:val="32"/>
        </w:rPr>
        <w:t>年部门整体支出绩效评价情况开展自评，《交通部门</w:t>
      </w:r>
      <w:r>
        <w:rPr>
          <w:rFonts w:eastAsia="仿宋_GB2312"/>
          <w:sz w:val="32"/>
          <w:szCs w:val="32"/>
        </w:rPr>
        <w:t>2019</w:t>
      </w:r>
      <w:r>
        <w:rPr>
          <w:rFonts w:hint="eastAsia" w:eastAsia="仿宋_GB2312"/>
          <w:sz w:val="32"/>
          <w:szCs w:val="32"/>
        </w:rPr>
        <w:t>年部门整体支出绩效评价报告》见附件（附件</w:t>
      </w:r>
      <w:r>
        <w:rPr>
          <w:rFonts w:eastAsia="仿宋_GB2312"/>
          <w:sz w:val="32"/>
          <w:szCs w:val="32"/>
        </w:rPr>
        <w:t>1</w:t>
      </w:r>
      <w:r>
        <w:rPr>
          <w:rFonts w:hint="eastAsia" w:eastAsia="仿宋_GB2312"/>
          <w:sz w:val="32"/>
          <w:szCs w:val="32"/>
        </w:rPr>
        <w:t>）。</w:t>
      </w:r>
    </w:p>
    <w:p>
      <w:pPr>
        <w:widowControl/>
        <w:jc w:val="left"/>
        <w:rPr>
          <w:rFonts w:eastAsia="仿宋_GB2312"/>
          <w:b/>
          <w:color w:val="000000"/>
          <w:sz w:val="32"/>
          <w:szCs w:val="32"/>
        </w:rPr>
      </w:pPr>
      <w:r>
        <w:rPr>
          <w:rFonts w:eastAsia="仿宋_GB2312"/>
          <w:b/>
          <w:color w:val="000000"/>
          <w:sz w:val="32"/>
          <w:szCs w:val="32"/>
        </w:rPr>
        <w:br w:type="page"/>
      </w:r>
    </w:p>
    <w:p>
      <w:pPr>
        <w:numPr>
          <w:ilvl w:val="0"/>
          <w:numId w:val="4"/>
        </w:numPr>
        <w:spacing w:line="600" w:lineRule="exact"/>
        <w:ind w:firstLine="660" w:firstLineChars="150"/>
        <w:jc w:val="center"/>
        <w:outlineLvl w:val="0"/>
        <w:rPr>
          <w:rStyle w:val="19"/>
          <w:rFonts w:eastAsia="黑体"/>
          <w:b w:val="0"/>
        </w:rPr>
      </w:pPr>
      <w:bookmarkStart w:id="56" w:name="_Toc15377225"/>
      <w:bookmarkStart w:id="57" w:name="_Toc15396613"/>
      <w:r>
        <w:rPr>
          <w:rFonts w:hint="eastAsia" w:eastAsia="黑体"/>
          <w:color w:val="000000"/>
          <w:sz w:val="44"/>
          <w:szCs w:val="44"/>
        </w:rPr>
        <w:t>名</w:t>
      </w:r>
      <w:r>
        <w:rPr>
          <w:rStyle w:val="19"/>
          <w:rFonts w:hint="eastAsia" w:eastAsia="黑体"/>
          <w:b w:val="0"/>
        </w:rPr>
        <w:t>词解释</w:t>
      </w:r>
      <w:bookmarkEnd w:id="56"/>
      <w:bookmarkEnd w:id="57"/>
    </w:p>
    <w:p>
      <w:pPr>
        <w:spacing w:line="600" w:lineRule="exact"/>
        <w:jc w:val="left"/>
        <w:rPr>
          <w:b/>
          <w:color w:val="000000"/>
          <w:sz w:val="44"/>
          <w:szCs w:val="44"/>
        </w:rPr>
      </w:pP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财政拨款收入：指单位从同级财政部门取得的财政预算资金。</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事业收入：指事业单位开展专业业务活动及辅助活动取得的收入。如…（二级预算单位事业收入情况）等。</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经营收入：指事业单位在专业业务活动及其辅助活动之外开展非独立核算经营活动取得的收入。如…（二级预算单位经营收入情况）等。</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其他收入：指单位取得的除上述收入以外的各项收入。主要是…（收入类型）等。</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年初结转和结余：指以前年度尚未完成、结转到本年按有关规定继续使用的资金。</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结余分配：指事业单位按照事业单位会计制度的规定从非财政补助结余中分配的事业基金和职工福利基金等。</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、年末结转和结余：指单位按有关规定结转到下年或以后年度继续使用的资金。</w:t>
      </w:r>
    </w:p>
    <w:p>
      <w:pPr>
        <w:ind w:firstLine="640" w:firstLineChars="200"/>
        <w:rPr>
          <w:rFonts w:eastAsia="仿宋_GB2312"/>
          <w:color w:val="000000"/>
          <w:sz w:val="32"/>
          <w:szCs w:val="32"/>
        </w:rPr>
      </w:pPr>
      <w:r>
        <w:rPr>
          <w:rFonts w:eastAsia="仿宋_GB2312"/>
          <w:color w:val="000000"/>
          <w:sz w:val="32"/>
          <w:szCs w:val="32"/>
        </w:rPr>
        <w:t>9.</w:t>
      </w:r>
      <w:r>
        <w:rPr>
          <w:rFonts w:hint="eastAsia" w:eastAsia="仿宋_GB2312"/>
          <w:color w:val="000000"/>
          <w:sz w:val="32"/>
          <w:szCs w:val="32"/>
        </w:rPr>
        <w:t>一般公共服务（类）…（款）…（项）：指……。</w:t>
      </w:r>
    </w:p>
    <w:p>
      <w:pPr>
        <w:ind w:firstLine="640" w:firstLineChars="200"/>
        <w:rPr>
          <w:rFonts w:eastAsia="仿宋_GB2312"/>
          <w:color w:val="000000"/>
          <w:sz w:val="32"/>
          <w:szCs w:val="32"/>
        </w:rPr>
      </w:pPr>
      <w:r>
        <w:rPr>
          <w:rFonts w:eastAsia="仿宋_GB2312"/>
          <w:color w:val="000000"/>
          <w:sz w:val="32"/>
          <w:szCs w:val="32"/>
        </w:rPr>
        <w:t>10.</w:t>
      </w:r>
      <w:r>
        <w:rPr>
          <w:rFonts w:hint="eastAsia" w:eastAsia="仿宋_GB2312"/>
          <w:color w:val="000000"/>
          <w:sz w:val="32"/>
          <w:szCs w:val="32"/>
        </w:rPr>
        <w:t>外交（类）…（款）…（项）：指……。</w:t>
      </w:r>
    </w:p>
    <w:p>
      <w:pPr>
        <w:ind w:firstLine="640" w:firstLineChars="200"/>
        <w:rPr>
          <w:rFonts w:eastAsia="仿宋_GB2312"/>
          <w:color w:val="000000"/>
          <w:sz w:val="32"/>
          <w:szCs w:val="32"/>
        </w:rPr>
      </w:pPr>
      <w:r>
        <w:rPr>
          <w:rFonts w:eastAsia="仿宋_GB2312"/>
          <w:color w:val="000000"/>
          <w:sz w:val="32"/>
          <w:szCs w:val="32"/>
        </w:rPr>
        <w:t>11.</w:t>
      </w:r>
      <w:r>
        <w:rPr>
          <w:rFonts w:hint="eastAsia" w:eastAsia="仿宋_GB2312"/>
          <w:color w:val="000000"/>
          <w:sz w:val="32"/>
          <w:szCs w:val="32"/>
        </w:rPr>
        <w:t>公共安全（类）…（款）…（项）：指……。</w:t>
      </w:r>
    </w:p>
    <w:p>
      <w:pPr>
        <w:ind w:firstLine="640" w:firstLineChars="200"/>
        <w:rPr>
          <w:rFonts w:eastAsia="仿宋_GB2312"/>
          <w:color w:val="000000"/>
          <w:sz w:val="32"/>
          <w:szCs w:val="32"/>
        </w:rPr>
      </w:pPr>
      <w:r>
        <w:rPr>
          <w:rFonts w:eastAsia="仿宋_GB2312"/>
          <w:color w:val="000000"/>
          <w:sz w:val="32"/>
          <w:szCs w:val="32"/>
        </w:rPr>
        <w:t>12.</w:t>
      </w:r>
      <w:r>
        <w:rPr>
          <w:rFonts w:hint="eastAsia" w:eastAsia="仿宋_GB2312"/>
          <w:color w:val="000000"/>
          <w:sz w:val="32"/>
          <w:szCs w:val="32"/>
        </w:rPr>
        <w:t>教育（类）…（款）…（项）：指……。</w:t>
      </w:r>
    </w:p>
    <w:p>
      <w:pPr>
        <w:ind w:firstLine="640" w:firstLineChars="200"/>
        <w:rPr>
          <w:rFonts w:eastAsia="仿宋_GB2312"/>
          <w:color w:val="000000"/>
          <w:sz w:val="32"/>
          <w:szCs w:val="32"/>
        </w:rPr>
      </w:pPr>
      <w:r>
        <w:rPr>
          <w:rFonts w:eastAsia="仿宋_GB2312"/>
          <w:color w:val="000000"/>
          <w:sz w:val="32"/>
          <w:szCs w:val="32"/>
        </w:rPr>
        <w:t>13.</w:t>
      </w:r>
      <w:r>
        <w:rPr>
          <w:rFonts w:hint="eastAsia" w:eastAsia="仿宋_GB2312"/>
          <w:color w:val="000000"/>
          <w:sz w:val="32"/>
          <w:szCs w:val="32"/>
        </w:rPr>
        <w:t>科学技术（类）…（款）…（项）：指……。</w:t>
      </w:r>
    </w:p>
    <w:p>
      <w:pPr>
        <w:ind w:firstLine="640" w:firstLineChars="200"/>
        <w:rPr>
          <w:rFonts w:eastAsia="仿宋_GB2312"/>
          <w:color w:val="000000"/>
          <w:sz w:val="32"/>
          <w:szCs w:val="32"/>
        </w:rPr>
      </w:pPr>
      <w:r>
        <w:rPr>
          <w:rFonts w:eastAsia="仿宋_GB2312"/>
          <w:color w:val="000000"/>
          <w:sz w:val="32"/>
          <w:szCs w:val="32"/>
        </w:rPr>
        <w:t>14.</w:t>
      </w:r>
      <w:r>
        <w:rPr>
          <w:rFonts w:hint="eastAsia" w:eastAsia="仿宋_GB2312"/>
          <w:color w:val="000000"/>
          <w:sz w:val="32"/>
          <w:szCs w:val="32"/>
        </w:rPr>
        <w:t>文化体育与传媒（类）…（款）…（项）：指……。</w:t>
      </w:r>
    </w:p>
    <w:p>
      <w:pPr>
        <w:ind w:firstLine="640" w:firstLineChars="200"/>
        <w:rPr>
          <w:rFonts w:eastAsia="仿宋_GB2312"/>
          <w:color w:val="000000"/>
          <w:sz w:val="32"/>
          <w:szCs w:val="32"/>
        </w:rPr>
      </w:pPr>
      <w:r>
        <w:rPr>
          <w:rFonts w:eastAsia="仿宋_GB2312"/>
          <w:color w:val="000000"/>
          <w:sz w:val="32"/>
          <w:szCs w:val="32"/>
        </w:rPr>
        <w:t>15.</w:t>
      </w:r>
      <w:r>
        <w:rPr>
          <w:rFonts w:hint="eastAsia" w:eastAsia="仿宋_GB2312"/>
          <w:color w:val="000000"/>
          <w:sz w:val="32"/>
          <w:szCs w:val="32"/>
        </w:rPr>
        <w:t>社会保障和就业（类）…（款）…（项）：指……。</w:t>
      </w:r>
    </w:p>
    <w:p>
      <w:pPr>
        <w:ind w:firstLine="640" w:firstLineChars="200"/>
        <w:rPr>
          <w:rFonts w:eastAsia="仿宋_GB2312"/>
          <w:color w:val="000000"/>
          <w:sz w:val="32"/>
          <w:szCs w:val="32"/>
        </w:rPr>
      </w:pPr>
      <w:r>
        <w:rPr>
          <w:rFonts w:eastAsia="仿宋_GB2312"/>
          <w:color w:val="000000"/>
          <w:sz w:val="32"/>
          <w:szCs w:val="32"/>
        </w:rPr>
        <w:t>16.</w:t>
      </w:r>
      <w:r>
        <w:rPr>
          <w:rFonts w:hint="eastAsia" w:eastAsia="仿宋_GB2312"/>
          <w:color w:val="000000"/>
          <w:sz w:val="32"/>
          <w:szCs w:val="32"/>
        </w:rPr>
        <w:t>医疗卫生与计划生育（类）…（款）…（项）：指……。</w:t>
      </w:r>
    </w:p>
    <w:p>
      <w:pPr>
        <w:ind w:firstLine="640" w:firstLineChars="200"/>
        <w:rPr>
          <w:rFonts w:eastAsia="仿宋_GB2312"/>
          <w:color w:val="000000"/>
          <w:sz w:val="32"/>
          <w:szCs w:val="32"/>
        </w:rPr>
      </w:pPr>
      <w:r>
        <w:rPr>
          <w:rFonts w:eastAsia="仿宋_GB2312"/>
          <w:color w:val="000000"/>
          <w:sz w:val="32"/>
          <w:szCs w:val="32"/>
        </w:rPr>
        <w:t>17.</w:t>
      </w:r>
      <w:r>
        <w:rPr>
          <w:rFonts w:hint="eastAsia" w:eastAsia="仿宋_GB2312"/>
          <w:color w:val="000000"/>
          <w:sz w:val="32"/>
          <w:szCs w:val="32"/>
        </w:rPr>
        <w:t>节能环保（类）…（款）…（项）：指……。</w:t>
      </w:r>
    </w:p>
    <w:p>
      <w:pPr>
        <w:ind w:firstLine="640" w:firstLineChars="200"/>
        <w:rPr>
          <w:rFonts w:eastAsia="仿宋_GB2312"/>
          <w:color w:val="000000"/>
          <w:sz w:val="32"/>
          <w:szCs w:val="32"/>
        </w:rPr>
      </w:pPr>
      <w:r>
        <w:rPr>
          <w:rFonts w:eastAsia="仿宋_GB2312"/>
          <w:color w:val="000000"/>
          <w:sz w:val="32"/>
          <w:szCs w:val="32"/>
        </w:rPr>
        <w:t>18.</w:t>
      </w:r>
      <w:r>
        <w:rPr>
          <w:rFonts w:hint="eastAsia" w:eastAsia="仿宋_GB2312"/>
          <w:color w:val="000000"/>
          <w:sz w:val="32"/>
          <w:szCs w:val="32"/>
        </w:rPr>
        <w:t>城乡社区（类）…（款）…（项）：指……。</w:t>
      </w:r>
    </w:p>
    <w:p>
      <w:pPr>
        <w:ind w:firstLine="640" w:firstLineChars="200"/>
        <w:rPr>
          <w:rFonts w:eastAsia="仿宋_GB2312"/>
          <w:color w:val="000000"/>
          <w:sz w:val="32"/>
          <w:szCs w:val="32"/>
        </w:rPr>
      </w:pPr>
      <w:r>
        <w:rPr>
          <w:rFonts w:eastAsia="仿宋_GB2312"/>
          <w:color w:val="000000"/>
          <w:sz w:val="32"/>
          <w:szCs w:val="32"/>
        </w:rPr>
        <w:t>19.</w:t>
      </w:r>
      <w:r>
        <w:rPr>
          <w:rFonts w:hint="eastAsia" w:eastAsia="仿宋_GB2312"/>
          <w:color w:val="000000"/>
          <w:sz w:val="32"/>
          <w:szCs w:val="32"/>
        </w:rPr>
        <w:t>农林水（类）…（款）…（项）：指……。</w:t>
      </w:r>
    </w:p>
    <w:p>
      <w:pPr>
        <w:ind w:firstLine="640" w:firstLineChars="200"/>
        <w:rPr>
          <w:rFonts w:eastAsia="仿宋_GB2312"/>
          <w:color w:val="000000"/>
          <w:sz w:val="32"/>
          <w:szCs w:val="32"/>
        </w:rPr>
      </w:pPr>
      <w:r>
        <w:rPr>
          <w:rFonts w:eastAsia="仿宋_GB2312"/>
          <w:color w:val="000000"/>
          <w:sz w:val="32"/>
          <w:szCs w:val="32"/>
        </w:rPr>
        <w:t>20.</w:t>
      </w:r>
      <w:r>
        <w:rPr>
          <w:rFonts w:hint="eastAsia" w:eastAsia="仿宋_GB2312"/>
          <w:color w:val="000000"/>
          <w:sz w:val="32"/>
          <w:szCs w:val="32"/>
        </w:rPr>
        <w:t>交通运输（类）…（款）…（项）：指……。</w:t>
      </w:r>
    </w:p>
    <w:p>
      <w:pPr>
        <w:ind w:firstLine="640" w:firstLineChars="200"/>
        <w:rPr>
          <w:rFonts w:eastAsia="仿宋_GB2312"/>
          <w:color w:val="000000"/>
          <w:sz w:val="32"/>
          <w:szCs w:val="32"/>
        </w:rPr>
      </w:pPr>
      <w:r>
        <w:rPr>
          <w:rFonts w:eastAsia="仿宋_GB2312"/>
          <w:color w:val="000000"/>
          <w:sz w:val="32"/>
          <w:szCs w:val="32"/>
        </w:rPr>
        <w:t>21.</w:t>
      </w:r>
      <w:r>
        <w:rPr>
          <w:rFonts w:hint="eastAsia" w:eastAsia="仿宋_GB2312"/>
          <w:color w:val="000000"/>
          <w:sz w:val="32"/>
          <w:szCs w:val="32"/>
        </w:rPr>
        <w:t>资源勘探信息等（类）…（款）…（项）：指……。</w:t>
      </w:r>
    </w:p>
    <w:p>
      <w:pPr>
        <w:ind w:firstLine="640" w:firstLineChars="200"/>
        <w:rPr>
          <w:rFonts w:eastAsia="仿宋_GB2312"/>
          <w:color w:val="000000"/>
          <w:sz w:val="32"/>
          <w:szCs w:val="32"/>
        </w:rPr>
      </w:pPr>
      <w:r>
        <w:rPr>
          <w:rFonts w:eastAsia="仿宋_GB2312"/>
          <w:color w:val="000000"/>
          <w:sz w:val="32"/>
          <w:szCs w:val="32"/>
        </w:rPr>
        <w:t>22.</w:t>
      </w:r>
      <w:r>
        <w:rPr>
          <w:rFonts w:hint="eastAsia" w:eastAsia="仿宋_GB2312"/>
          <w:color w:val="000000"/>
          <w:sz w:val="32"/>
          <w:szCs w:val="32"/>
        </w:rPr>
        <w:t>商业服务业（类）…（款）…（项）：指……。</w:t>
      </w:r>
    </w:p>
    <w:p>
      <w:pPr>
        <w:ind w:firstLine="640" w:firstLineChars="200"/>
        <w:rPr>
          <w:rFonts w:eastAsia="仿宋_GB2312"/>
          <w:color w:val="000000"/>
          <w:sz w:val="32"/>
          <w:szCs w:val="32"/>
        </w:rPr>
      </w:pPr>
      <w:r>
        <w:rPr>
          <w:rFonts w:eastAsia="仿宋_GB2312"/>
          <w:color w:val="000000"/>
          <w:sz w:val="32"/>
          <w:szCs w:val="32"/>
        </w:rPr>
        <w:t>23.</w:t>
      </w:r>
      <w:r>
        <w:rPr>
          <w:rFonts w:hint="eastAsia" w:eastAsia="仿宋_GB2312"/>
          <w:color w:val="000000"/>
          <w:sz w:val="32"/>
          <w:szCs w:val="32"/>
        </w:rPr>
        <w:t>金融（类）…（款）…（项）：指……。</w:t>
      </w:r>
    </w:p>
    <w:p>
      <w:pPr>
        <w:ind w:firstLine="640" w:firstLineChars="200"/>
        <w:rPr>
          <w:rFonts w:eastAsia="仿宋_GB2312"/>
          <w:color w:val="000000"/>
          <w:sz w:val="32"/>
          <w:szCs w:val="32"/>
        </w:rPr>
      </w:pPr>
      <w:r>
        <w:rPr>
          <w:rFonts w:eastAsia="仿宋_GB2312"/>
          <w:color w:val="000000"/>
          <w:sz w:val="32"/>
          <w:szCs w:val="32"/>
        </w:rPr>
        <w:t>24.</w:t>
      </w:r>
      <w:r>
        <w:rPr>
          <w:rFonts w:hint="eastAsia" w:eastAsia="仿宋_GB2312"/>
          <w:color w:val="000000"/>
          <w:sz w:val="32"/>
          <w:szCs w:val="32"/>
        </w:rPr>
        <w:t>国土海洋气象等（类）…（款）…（项）：指……。</w:t>
      </w:r>
    </w:p>
    <w:p>
      <w:pPr>
        <w:ind w:firstLine="640" w:firstLineChars="200"/>
        <w:rPr>
          <w:rFonts w:eastAsia="仿宋_GB2312"/>
          <w:color w:val="000000"/>
          <w:sz w:val="32"/>
          <w:szCs w:val="32"/>
        </w:rPr>
      </w:pPr>
      <w:r>
        <w:rPr>
          <w:rFonts w:eastAsia="仿宋_GB2312"/>
          <w:color w:val="000000"/>
          <w:sz w:val="32"/>
          <w:szCs w:val="32"/>
        </w:rPr>
        <w:t>25.</w:t>
      </w:r>
      <w:r>
        <w:rPr>
          <w:rFonts w:hint="eastAsia" w:eastAsia="仿宋_GB2312"/>
          <w:color w:val="000000"/>
          <w:sz w:val="32"/>
          <w:szCs w:val="32"/>
        </w:rPr>
        <w:t>住房保障（类）…（款）…（项）：指……。</w:t>
      </w:r>
    </w:p>
    <w:p>
      <w:pPr>
        <w:ind w:firstLine="640" w:firstLineChars="200"/>
        <w:rPr>
          <w:rFonts w:eastAsia="仿宋_GB2312"/>
          <w:color w:val="000000"/>
          <w:sz w:val="32"/>
          <w:szCs w:val="32"/>
        </w:rPr>
      </w:pPr>
      <w:r>
        <w:rPr>
          <w:rFonts w:eastAsia="仿宋_GB2312"/>
          <w:color w:val="000000"/>
          <w:sz w:val="32"/>
          <w:szCs w:val="32"/>
        </w:rPr>
        <w:t>26.</w:t>
      </w:r>
      <w:r>
        <w:rPr>
          <w:rFonts w:hint="eastAsia" w:eastAsia="仿宋_GB2312"/>
          <w:color w:val="000000"/>
          <w:sz w:val="32"/>
          <w:szCs w:val="32"/>
        </w:rPr>
        <w:t>粮油物资储备（类）…（款）…（项）：指……。</w:t>
      </w:r>
    </w:p>
    <w:p>
      <w:pPr>
        <w:ind w:firstLine="640" w:firstLineChars="200"/>
        <w:rPr>
          <w:rFonts w:eastAsia="仿宋_GB2312"/>
          <w:color w:val="000000"/>
          <w:sz w:val="32"/>
          <w:szCs w:val="32"/>
        </w:rPr>
      </w:pP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rPr>
        <w:t>……</w:t>
      </w:r>
    </w:p>
    <w:p>
      <w:pPr>
        <w:spacing w:line="600" w:lineRule="exact"/>
        <w:ind w:firstLine="640"/>
        <w:rPr>
          <w:rFonts w:eastAsia="仿宋"/>
          <w:b/>
          <w:color w:val="000000"/>
          <w:sz w:val="32"/>
          <w:szCs w:val="32"/>
        </w:rPr>
      </w:pPr>
      <w:r>
        <w:rPr>
          <w:rFonts w:hint="eastAsia" w:eastAsia="仿宋"/>
          <w:b/>
          <w:color w:val="000000"/>
          <w:sz w:val="32"/>
          <w:szCs w:val="32"/>
        </w:rPr>
        <w:t>（解释本部门决算报表中全部功能分类科目至项级，请参照《</w:t>
      </w:r>
      <w:r>
        <w:rPr>
          <w:rFonts w:eastAsia="仿宋"/>
          <w:b/>
          <w:color w:val="000000"/>
          <w:sz w:val="32"/>
          <w:szCs w:val="32"/>
        </w:rPr>
        <w:t>2019</w:t>
      </w:r>
      <w:r>
        <w:rPr>
          <w:rFonts w:hint="eastAsia" w:eastAsia="仿宋"/>
          <w:b/>
          <w:color w:val="000000"/>
          <w:sz w:val="32"/>
          <w:szCs w:val="32"/>
        </w:rPr>
        <w:t>年政府收支分类科目》增减内容。）</w:t>
      </w:r>
    </w:p>
    <w:p>
      <w:pPr>
        <w:ind w:firstLine="640" w:firstLineChars="200"/>
        <w:rPr>
          <w:rFonts w:eastAsia="仿宋_GB2312"/>
          <w:color w:val="000000"/>
          <w:sz w:val="32"/>
          <w:szCs w:val="32"/>
        </w:rPr>
      </w:pPr>
      <w:r>
        <w:rPr>
          <w:rFonts w:eastAsia="仿宋_GB2312"/>
          <w:color w:val="000000"/>
          <w:sz w:val="32"/>
          <w:szCs w:val="32"/>
        </w:rPr>
        <w:t>27.</w:t>
      </w:r>
      <w:r>
        <w:rPr>
          <w:rFonts w:hint="eastAsia" w:eastAsia="仿宋_GB2312"/>
          <w:color w:val="000000"/>
          <w:sz w:val="32"/>
          <w:szCs w:val="32"/>
        </w:rPr>
        <w:t>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28.</w:t>
      </w:r>
      <w:r>
        <w:rPr>
          <w:rFonts w:hint="eastAsia" w:eastAsia="仿宋_GB2312"/>
          <w:color w:val="000000"/>
          <w:sz w:val="32"/>
          <w:szCs w:val="32"/>
        </w:rPr>
        <w:t>项目支出：指在基本支出之外为完成特定行政任务和事业发展目标所发生的支出。</w:t>
      </w:r>
    </w:p>
    <w:p>
      <w:pPr>
        <w:ind w:firstLine="640" w:firstLineChars="200"/>
        <w:rPr>
          <w:rFonts w:eastAsia="仿宋_GB2312"/>
          <w:color w:val="000000"/>
          <w:sz w:val="32"/>
          <w:szCs w:val="32"/>
        </w:rPr>
      </w:pPr>
      <w:r>
        <w:rPr>
          <w:rFonts w:eastAsia="仿宋_GB2312"/>
          <w:color w:val="000000"/>
          <w:sz w:val="32"/>
          <w:szCs w:val="32"/>
        </w:rPr>
        <w:t>29.</w:t>
      </w:r>
      <w:r>
        <w:rPr>
          <w:rFonts w:hint="eastAsia" w:eastAsia="仿宋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出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行经。</w:t>
      </w:r>
    </w:p>
    <w:p>
      <w:pPr>
        <w:pStyle w:val="30"/>
        <w:spacing w:line="560" w:lineRule="exact"/>
        <w:ind w:firstLine="640" w:firstLineChars="200"/>
        <w:rPr>
          <w:rFonts w:ascii="Times New Roman" w:hAnsi="Times New Roman" w:eastAsia="仿宋_GB2312" w:cs="Times New Roman"/>
          <w:sz w:val="32"/>
          <w:szCs w:val="32"/>
        </w:rPr>
      </w:pPr>
    </w:p>
    <w:p>
      <w:pPr>
        <w:ind w:firstLine="642" w:firstLineChars="200"/>
        <w:rPr>
          <w:rFonts w:eastAsia="仿宋"/>
          <w:b/>
          <w:color w:val="000000"/>
          <w:sz w:val="32"/>
          <w:szCs w:val="32"/>
        </w:rPr>
      </w:pPr>
      <w:r>
        <w:rPr>
          <w:rFonts w:hint="eastAsia"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9"/>
          <w:rFonts w:eastAsia="黑体"/>
          <w:b w:val="0"/>
        </w:rPr>
      </w:pPr>
      <w:bookmarkStart w:id="58" w:name="_Toc15377226"/>
      <w:r>
        <w:rPr>
          <w:b/>
          <w:color w:val="000000"/>
          <w:sz w:val="44"/>
          <w:szCs w:val="44"/>
        </w:rPr>
        <w:br w:type="page"/>
      </w:r>
      <w:bookmarkStart w:id="59" w:name="_Toc15396614"/>
      <w:r>
        <w:rPr>
          <w:rFonts w:hint="eastAsia" w:eastAsia="黑体"/>
          <w:color w:val="000000"/>
          <w:sz w:val="44"/>
          <w:szCs w:val="44"/>
        </w:rPr>
        <w:t>第</w:t>
      </w:r>
      <w:r>
        <w:rPr>
          <w:rStyle w:val="19"/>
          <w:rFonts w:hint="eastAsia" w:eastAsia="黑体"/>
          <w:b w:val="0"/>
        </w:rPr>
        <w:t>四部分附件</w:t>
      </w:r>
      <w:bookmarkEnd w:id="59"/>
    </w:p>
    <w:p>
      <w:pPr>
        <w:spacing w:line="600" w:lineRule="exact"/>
        <w:jc w:val="left"/>
        <w:outlineLvl w:val="0"/>
        <w:rPr>
          <w:rFonts w:eastAsia="方正小标宋简体"/>
          <w:sz w:val="32"/>
          <w:szCs w:val="32"/>
        </w:rPr>
      </w:pPr>
      <w:r>
        <w:rPr>
          <w:rFonts w:hint="eastAsia" w:eastAsia="黑体"/>
          <w:sz w:val="32"/>
          <w:szCs w:val="32"/>
        </w:rPr>
        <w:t>附件</w:t>
      </w:r>
      <w:r>
        <w:rPr>
          <w:rFonts w:eastAsia="黑体"/>
          <w:sz w:val="32"/>
          <w:szCs w:val="32"/>
        </w:rPr>
        <w:t>1</w:t>
      </w:r>
    </w:p>
    <w:p>
      <w:pPr>
        <w:spacing w:line="580" w:lineRule="exact"/>
        <w:jc w:val="center"/>
        <w:rPr>
          <w:rFonts w:eastAsia="方正小标宋简体"/>
          <w:sz w:val="44"/>
          <w:szCs w:val="44"/>
        </w:rPr>
      </w:pPr>
    </w:p>
    <w:p>
      <w:pPr>
        <w:spacing w:line="600" w:lineRule="exact"/>
        <w:jc w:val="center"/>
        <w:rPr>
          <w:rFonts w:eastAsia="方正小标宋简体"/>
          <w:color w:val="000000"/>
          <w:kern w:val="0"/>
          <w:sz w:val="40"/>
          <w:szCs w:val="44"/>
          <w:lang w:val="zh-CN"/>
        </w:rPr>
      </w:pPr>
      <w:r>
        <w:rPr>
          <w:rFonts w:hint="eastAsia" w:eastAsia="方正小标宋简体"/>
          <w:color w:val="000000"/>
          <w:kern w:val="0"/>
          <w:sz w:val="40"/>
          <w:szCs w:val="44"/>
        </w:rPr>
        <w:t>交通运输</w:t>
      </w:r>
      <w:r>
        <w:rPr>
          <w:rFonts w:hint="eastAsia" w:eastAsia="方正小标宋简体"/>
          <w:color w:val="000000"/>
          <w:kern w:val="0"/>
          <w:sz w:val="40"/>
          <w:szCs w:val="44"/>
          <w:lang w:val="zh-CN"/>
        </w:rPr>
        <w:t>部门</w:t>
      </w:r>
      <w:r>
        <w:rPr>
          <w:rFonts w:eastAsia="方正小标宋简体"/>
          <w:color w:val="000000"/>
          <w:kern w:val="0"/>
          <w:sz w:val="40"/>
          <w:szCs w:val="44"/>
        </w:rPr>
        <w:t>2019年部门</w:t>
      </w:r>
      <w:r>
        <w:rPr>
          <w:rFonts w:hint="eastAsia"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rPr>
        <w:t>一、</w:t>
      </w:r>
      <w:r>
        <w:rPr>
          <w:rFonts w:hint="eastAsia" w:eastAsia="黑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（一）机构组成。</w:t>
      </w:r>
    </w:p>
    <w:p>
      <w:pPr>
        <w:ind w:firstLine="636"/>
        <w:rPr>
          <w:rFonts w:ascii="仿宋_GB2312" w:hAnsi="宋体" w:eastAsia="仿宋_GB2312"/>
          <w:color w:val="000000"/>
          <w:sz w:val="32"/>
          <w:szCs w:val="32"/>
        </w:rPr>
      </w:pPr>
      <w:r>
        <w:rPr>
          <w:rFonts w:hint="eastAsia" w:ascii="仿宋_GB2312" w:hAnsi="宋体" w:eastAsia="仿宋_GB2312"/>
          <w:color w:val="000000"/>
          <w:sz w:val="32"/>
          <w:szCs w:val="32"/>
        </w:rPr>
        <w:t>攀枝花市交通运输局下设5个二级财政预算单位，分别是市交通运输管理处、市地方海事局、市公路管理处、市交通建设工程质量监督站、市交通运输综合行政执法支队。</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（二）机构职能。</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2、负责本系统、本部门依法行政工作，落实行政执法责任制；指导公路、水路行业有关体制改革和机制转换工作；参与拟定物流业发展战略和规划。</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3、承担道路、水路交通运输市场监管责任，组织实施并监督执行道路、水路运输有关政策、技术标准和运营规范；指导城乡客运管理工作，指导出租车行业管理工作；会同有关部门制定运输价格。</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5、负责提出公路、水路固定资产投资规模和方向、市财政资金安排建议，按照程序报批国家、省、市规划内和年度计划规模内固定资产投资项目。指导交通运输行业审计工作。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使用管理工作，指导交通运输行业特许经营管理，会同有关部门组织实施交通运输行业职业资格管理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9、负责公路、水路有关涉外工作，开展经济技术交流和合作，指导全市交通运输行业招商引资和利用外部资金工作。</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10、承担市政府公布的有关行政审批事项。</w:t>
      </w:r>
    </w:p>
    <w:p>
      <w:pPr>
        <w:snapToGrid w:val="0"/>
        <w:spacing w:line="360" w:lineRule="auto"/>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hAnsiTheme="minorEastAsia"/>
          <w:sz w:val="32"/>
          <w:szCs w:val="32"/>
        </w:rPr>
        <w:t>11、承办市政府交办的其他事项。</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（三）人员概况。</w:t>
      </w:r>
    </w:p>
    <w:p>
      <w:pPr>
        <w:ind w:firstLine="636"/>
        <w:rPr>
          <w:rFonts w:ascii="仿宋_GB2312" w:hAnsi="黑体" w:eastAsia="仿宋_GB2312"/>
          <w:sz w:val="32"/>
          <w:szCs w:val="32"/>
        </w:rPr>
      </w:pPr>
      <w:r>
        <w:rPr>
          <w:rFonts w:hint="eastAsia" w:ascii="仿宋_GB2312" w:hAnsi="黑体" w:eastAsia="仿宋_GB2312"/>
          <w:sz w:val="32"/>
          <w:szCs w:val="32"/>
        </w:rPr>
        <w:t>2019年交通运输局核定人员编制数53名，其中：行政编制46名，机关后勤事业编制7名。2019年底实有人员50名，其中：公务员43名，工勤人员6名，编内聘用人员1名。离休人员2名。</w:t>
      </w:r>
    </w:p>
    <w:p>
      <w:pPr>
        <w:ind w:firstLine="636"/>
        <w:rPr>
          <w:rFonts w:ascii="仿宋_GB2312" w:hAnsi="仿宋_GB2312" w:eastAsia="仿宋_GB2312" w:cs="仿宋_GB2312"/>
          <w:snapToGrid w:val="0"/>
          <w:sz w:val="32"/>
          <w:szCs w:val="32"/>
        </w:rPr>
      </w:pPr>
      <w:r>
        <w:rPr>
          <w:rFonts w:hint="eastAsia" w:ascii="仿宋_GB2312" w:hAnsi="仿宋_GB2312" w:eastAsia="仿宋_GB2312" w:cs="仿宋_GB2312"/>
          <w:color w:val="2B2B2B"/>
          <w:sz w:val="32"/>
          <w:szCs w:val="32"/>
          <w:shd w:val="clear" w:color="auto" w:fill="FFFFFF"/>
        </w:rPr>
        <w:t>运管处核定编制数38人。2019年末公共预算财政拨款开支人数32人</w:t>
      </w:r>
      <w:r>
        <w:rPr>
          <w:rFonts w:hint="eastAsia" w:ascii="仿宋_GB2312" w:hAnsi="仿宋_GB2312" w:eastAsia="仿宋_GB2312" w:cs="仿宋_GB2312"/>
          <w:snapToGrid w:val="0"/>
          <w:sz w:val="32"/>
          <w:szCs w:val="32"/>
        </w:rPr>
        <w:t>（其中参公人员21人、工勤人员11人），临聘人员17人，离休人员1人，退休人员25人。</w:t>
      </w:r>
    </w:p>
    <w:p>
      <w:pPr>
        <w:ind w:firstLine="636"/>
        <w:rPr>
          <w:rFonts w:ascii="仿宋_GB2312" w:hAnsi="仿宋" w:eastAsia="仿宋_GB2312"/>
          <w:kern w:val="10"/>
          <w:sz w:val="32"/>
          <w:szCs w:val="32"/>
        </w:rPr>
      </w:pPr>
      <w:r>
        <w:rPr>
          <w:rFonts w:hint="eastAsia" w:ascii="仿宋_GB2312" w:hAnsi="仿宋" w:eastAsia="仿宋_GB2312"/>
          <w:kern w:val="10"/>
          <w:sz w:val="32"/>
          <w:szCs w:val="32"/>
        </w:rPr>
        <w:t>海事局机构编制18名，领导职数9名，现实有在职人员14名，退休人员3名。原市水上应急救援中心在职人员4人。2019年6月和9月，因机构改革，水上应急救援中心2人连人带编划转市应急管理局，2人调入市交通建设工程造价站。其中：2人的相关人员经费和公用经费已调至应急管理局，另2 人因在海事局工作，相关人员经费及公用经费仍在海事局核算。</w:t>
      </w:r>
    </w:p>
    <w:p>
      <w:pPr>
        <w:ind w:firstLine="636"/>
        <w:rPr>
          <w:rFonts w:ascii="仿宋_GB2312" w:eastAsia="仿宋_GB2312"/>
          <w:sz w:val="32"/>
          <w:szCs w:val="32"/>
        </w:rPr>
      </w:pPr>
      <w:r>
        <w:rPr>
          <w:rFonts w:hint="eastAsia" w:ascii="仿宋_GB2312" w:hAnsi="仿宋_GB2312" w:eastAsia="仿宋_GB2312" w:cs="仿宋_GB2312"/>
          <w:sz w:val="32"/>
          <w:szCs w:val="32"/>
        </w:rPr>
        <w:t>市交通运输综合行政执法支队</w:t>
      </w:r>
      <w:r>
        <w:rPr>
          <w:rFonts w:hint="eastAsia" w:ascii="仿宋_GB2312" w:eastAsia="仿宋_GB2312"/>
          <w:sz w:val="32"/>
          <w:szCs w:val="32"/>
        </w:rPr>
        <w:t>2019年年末正式职工为69名（核定行政编制96名），退休人员9名，2016年8月开始退休人员的工资由社保负担，财政负担治理超限运输管理项目聘用人员86人。</w:t>
      </w:r>
    </w:p>
    <w:p>
      <w:pPr>
        <w:ind w:firstLine="636"/>
        <w:rPr>
          <w:rFonts w:ascii="仿宋_GB2312" w:eastAsia="仿宋_GB2312"/>
          <w:sz w:val="32"/>
          <w:szCs w:val="32"/>
        </w:rPr>
      </w:pPr>
      <w:r>
        <w:rPr>
          <w:rFonts w:hint="eastAsia" w:ascii="仿宋_GB2312" w:hAnsi="仿宋" w:eastAsia="仿宋_GB2312"/>
          <w:kern w:val="10"/>
          <w:sz w:val="32"/>
          <w:szCs w:val="32"/>
        </w:rPr>
        <w:t>质监站</w:t>
      </w:r>
      <w:r>
        <w:rPr>
          <w:rFonts w:hint="eastAsia" w:ascii="仿宋_GB2312" w:eastAsia="仿宋_GB2312"/>
          <w:sz w:val="32"/>
          <w:szCs w:val="32"/>
        </w:rPr>
        <w:t>核定编制人数为18人，2019年末实有在编人数15人。</w:t>
      </w:r>
    </w:p>
    <w:p>
      <w:pPr>
        <w:spacing w:line="600" w:lineRule="exact"/>
        <w:ind w:firstLine="627" w:firstLineChars="196"/>
        <w:rPr>
          <w:rFonts w:eastAsia="仿宋_GB2312"/>
          <w:color w:val="000000"/>
          <w:kern w:val="0"/>
          <w:sz w:val="32"/>
          <w:szCs w:val="32"/>
          <w:shd w:val="clear" w:color="auto" w:fill="FFFFFF"/>
        </w:rPr>
      </w:pPr>
      <w:r>
        <w:rPr>
          <w:rFonts w:hint="eastAsia" w:ascii="仿宋_GB2312" w:hAnsi="仿宋_GB2312" w:eastAsia="仿宋_GB2312"/>
          <w:sz w:val="32"/>
          <w:szCs w:val="32"/>
        </w:rPr>
        <w:t>公管处人员编制</w:t>
      </w:r>
      <w:r>
        <w:rPr>
          <w:rFonts w:hint="eastAsia" w:ascii="仿宋_GB2312" w:eastAsia="仿宋_GB2312"/>
          <w:sz w:val="32"/>
          <w:szCs w:val="32"/>
        </w:rPr>
        <w:t>36</w:t>
      </w:r>
      <w:r>
        <w:rPr>
          <w:rFonts w:hint="eastAsia" w:ascii="仿宋_GB2312" w:hAnsi="仿宋_GB2312" w:eastAsia="仿宋_GB2312"/>
          <w:sz w:val="32"/>
          <w:szCs w:val="32"/>
        </w:rPr>
        <w:t>人（其中：公管处</w:t>
      </w:r>
      <w:r>
        <w:rPr>
          <w:rFonts w:hint="eastAsia" w:ascii="仿宋_GB2312" w:eastAsia="仿宋_GB2312"/>
          <w:sz w:val="32"/>
          <w:szCs w:val="32"/>
        </w:rPr>
        <w:t>27</w:t>
      </w:r>
      <w:r>
        <w:rPr>
          <w:rFonts w:hint="eastAsia" w:ascii="仿宋_GB2312" w:hAnsi="仿宋_GB2312" w:eastAsia="仿宋_GB2312"/>
          <w:sz w:val="32"/>
          <w:szCs w:val="32"/>
        </w:rPr>
        <w:t>人，造价站</w:t>
      </w:r>
      <w:r>
        <w:rPr>
          <w:rFonts w:hint="eastAsia" w:ascii="仿宋_GB2312" w:eastAsia="仿宋_GB2312"/>
          <w:sz w:val="32"/>
          <w:szCs w:val="32"/>
        </w:rPr>
        <w:t>9</w:t>
      </w:r>
      <w:r>
        <w:rPr>
          <w:rFonts w:hint="eastAsia" w:ascii="仿宋_GB2312" w:hAnsi="仿宋_GB2312" w:eastAsia="仿宋_GB2312"/>
          <w:sz w:val="32"/>
          <w:szCs w:val="32"/>
        </w:rPr>
        <w:t>人），实有正式职工</w:t>
      </w:r>
      <w:r>
        <w:rPr>
          <w:rFonts w:hint="eastAsia" w:ascii="仿宋_GB2312" w:eastAsia="仿宋_GB2312"/>
          <w:sz w:val="32"/>
          <w:szCs w:val="32"/>
        </w:rPr>
        <w:t>32</w:t>
      </w:r>
      <w:r>
        <w:rPr>
          <w:rFonts w:hint="eastAsia" w:ascii="仿宋_GB2312" w:hAnsi="仿宋_GB2312" w:eastAsia="仿宋_GB2312"/>
          <w:sz w:val="32"/>
          <w:szCs w:val="32"/>
        </w:rPr>
        <w:t>人（公管处</w:t>
      </w:r>
      <w:r>
        <w:rPr>
          <w:rFonts w:hint="eastAsia" w:ascii="仿宋_GB2312" w:eastAsia="仿宋_GB2312"/>
          <w:sz w:val="32"/>
          <w:szCs w:val="32"/>
        </w:rPr>
        <w:t>23</w:t>
      </w:r>
      <w:r>
        <w:rPr>
          <w:rFonts w:hint="eastAsia" w:ascii="仿宋_GB2312" w:hAnsi="仿宋_GB2312" w:eastAsia="仿宋_GB2312"/>
          <w:sz w:val="32"/>
          <w:szCs w:val="32"/>
        </w:rPr>
        <w:t>人，造价站</w:t>
      </w:r>
      <w:r>
        <w:rPr>
          <w:rFonts w:hint="eastAsia" w:ascii="仿宋_GB2312" w:eastAsia="仿宋_GB2312"/>
          <w:sz w:val="32"/>
          <w:szCs w:val="32"/>
        </w:rPr>
        <w:t>9</w:t>
      </w:r>
      <w:r>
        <w:rPr>
          <w:rFonts w:hint="eastAsia" w:ascii="仿宋_GB2312" w:hAnsi="仿宋_GB2312" w:eastAsia="仿宋_GB2312"/>
          <w:sz w:val="32"/>
          <w:szCs w:val="32"/>
        </w:rPr>
        <w:t>人）,退休职工</w:t>
      </w:r>
      <w:r>
        <w:rPr>
          <w:rFonts w:hint="eastAsia" w:ascii="仿宋_GB2312" w:eastAsia="仿宋_GB2312"/>
          <w:sz w:val="32"/>
          <w:szCs w:val="32"/>
        </w:rPr>
        <w:t>12</w:t>
      </w:r>
      <w:r>
        <w:rPr>
          <w:rFonts w:hint="eastAsia" w:ascii="仿宋_GB2312" w:hAnsi="仿宋_GB2312" w:eastAsia="仿宋_GB2312"/>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hint="eastAsia" w:eastAsia="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（一）部门财政资金收入情况。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2019年度收入39366.72万元，比2018年度收入31735.92万元增加7630.8万元，增长24%。主要变动原因是2019年省级交通建设补助资金及上级政府还贷二级收费公路化债资金较2018年有增加。</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int="eastAsia" w:eastAsia="仿宋_GB2312"/>
          <w:color w:val="000000"/>
          <w:kern w:val="0"/>
          <w:sz w:val="32"/>
          <w:szCs w:val="32"/>
          <w:shd w:val="clear" w:color="auto" w:fill="FFFFFF"/>
          <w:lang w:val="zh-CN"/>
        </w:rPr>
        <w:t>（二）部门财政资金支出情况。</w:t>
      </w:r>
    </w:p>
    <w:p>
      <w:pPr>
        <w:spacing w:line="600" w:lineRule="exact"/>
        <w:ind w:firstLine="640" w:firstLineChars="200"/>
        <w:rPr>
          <w:rFonts w:hint="eastAsia" w:ascii="仿宋_GB2312" w:eastAsia="仿宋_GB2312"/>
          <w:color w:val="000000"/>
          <w:kern w:val="0"/>
          <w:sz w:val="32"/>
          <w:szCs w:val="32"/>
          <w:shd w:val="clear" w:color="auto" w:fill="FFFFFF"/>
        </w:rPr>
      </w:pPr>
      <w:r>
        <w:rPr>
          <w:rFonts w:hint="eastAsia" w:ascii="仿宋_GB2312" w:eastAsia="仿宋_GB2312"/>
          <w:color w:val="000000"/>
          <w:sz w:val="32"/>
          <w:szCs w:val="32"/>
        </w:rPr>
        <w:t>2019年度支出总计47202.18万元。与2018年支出33016.86万元相比，支出总计增加14185.32万元，增长42.96%。主要变动原因是公路养护支出（大中修）及以前年度公路建设还本付息支出较上年有增加。</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hint="eastAsia" w:eastAsia="黑体"/>
          <w:color w:val="000000"/>
          <w:kern w:val="0"/>
          <w:sz w:val="32"/>
          <w:szCs w:val="32"/>
          <w:shd w:val="clear" w:color="auto" w:fill="FFFFFF"/>
        </w:rPr>
        <w:t>三、部门整体预算绩效管理情况</w:t>
      </w:r>
    </w:p>
    <w:p>
      <w:pPr>
        <w:spacing w:line="580" w:lineRule="exact"/>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（一）部门预算管理。</w:t>
      </w:r>
    </w:p>
    <w:p>
      <w:pPr>
        <w:pStyle w:val="14"/>
        <w:shd w:val="clear" w:color="auto" w:fill="FFFFFF"/>
        <w:spacing w:before="0" w:beforeAutospacing="0" w:after="150" w:afterAutospacing="0" w:line="495" w:lineRule="atLeast"/>
        <w:ind w:firstLine="640" w:firstLineChars="200"/>
        <w:rPr>
          <w:rFonts w:hint="eastAsia" w:ascii="仿宋_GB2312" w:eastAsia="仿宋_GB2312" w:hAnsiTheme="minorEastAsia"/>
          <w:color w:val="666666"/>
          <w:sz w:val="32"/>
          <w:szCs w:val="32"/>
        </w:rPr>
      </w:pPr>
      <w:r>
        <w:rPr>
          <w:rFonts w:hint="eastAsia" w:ascii="仿宋_GB2312" w:eastAsia="仿宋_GB2312" w:hAnsiTheme="minorEastAsia"/>
          <w:color w:val="666666"/>
          <w:sz w:val="32"/>
          <w:szCs w:val="32"/>
        </w:rPr>
        <w:t>.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财务管理上，按照国家相关法律法规，制定了机关财务、公物购置使用、接待、会务、差旅等管理制度，并严格按照制度管理和执行，防范风险，保证财政资金的安全和高效运行。2019年，根据我局年初工作规划和重点工作，围绕市委、市政府的工作部署，积极履行职责，强化管理，较好地完成了年度工作目标，同时加强预算收支的管理，建立健全内部管理制度，严格内部管理流程，部门整体支出管理得到了提升。</w:t>
      </w:r>
    </w:p>
    <w:p>
      <w:pPr>
        <w:spacing w:line="580" w:lineRule="exact"/>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（二）专项预算管理。</w:t>
      </w:r>
    </w:p>
    <w:p>
      <w:pPr>
        <w:widowControl/>
        <w:spacing w:line="480" w:lineRule="auto"/>
        <w:ind w:firstLine="480"/>
        <w:rPr>
          <w:rFonts w:hint="eastAsia" w:ascii="仿宋_GB2312" w:eastAsia="仿宋_GB2312" w:cs="宋体" w:hAnsiTheme="minorEastAsia"/>
          <w:color w:val="333333"/>
          <w:kern w:val="0"/>
          <w:sz w:val="32"/>
          <w:szCs w:val="32"/>
          <w:shd w:val="clear" w:color="auto" w:fill="FFFFFF"/>
        </w:rPr>
      </w:pPr>
      <w:r>
        <w:rPr>
          <w:rFonts w:hint="eastAsia" w:ascii="仿宋_GB2312" w:eastAsia="仿宋_GB2312" w:cs="宋体" w:hAnsiTheme="minorEastAsia"/>
          <w:color w:val="333333"/>
          <w:kern w:val="0"/>
          <w:sz w:val="32"/>
          <w:szCs w:val="32"/>
          <w:shd w:val="clear" w:color="auto" w:fill="FFFFFF"/>
        </w:rPr>
        <w:t>加强各单位的预算资金管理，减少预算资金使用的随意性，对预算的事前、事中、事后进行全过程控制，加大对预算编制与执行的监督管理力度，提高预算资金使用效率。同时，提高各单位人员对预算资金使用效益的认识，把预算资金是否发挥使用效益与各岗位是否履职尽责相结合，将预算资金使用的效率和效益作为对各岗位人员工作考核评价的重要内容之一。精细测算支出额度，把需求核准核实，充分发挥财政资金的效益。各单位加强对项目实施进度的实时监控，要求项目承担单位对项目实施过程中的进度异常，实施范围调整等及时报批或备案，对达成政府采购标准的项目支出，严格执行政府采购流程优选供应商。</w:t>
      </w:r>
    </w:p>
    <w:p>
      <w:pPr>
        <w:spacing w:line="580" w:lineRule="exact"/>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（三）结果应用情况。</w:t>
      </w:r>
    </w:p>
    <w:p>
      <w:pPr>
        <w:widowControl/>
        <w:spacing w:line="480" w:lineRule="auto"/>
        <w:ind w:firstLine="480"/>
        <w:rPr>
          <w:rFonts w:hint="eastAsia" w:ascii="仿宋_GB2312" w:eastAsia="仿宋_GB2312" w:cs="宋体" w:hAnsiTheme="minorEastAsia"/>
          <w:color w:val="333333"/>
          <w:kern w:val="0"/>
          <w:sz w:val="32"/>
          <w:szCs w:val="32"/>
          <w:shd w:val="clear" w:color="auto" w:fill="FFFFFF"/>
        </w:rPr>
      </w:pPr>
      <w:r>
        <w:rPr>
          <w:rFonts w:hint="eastAsia" w:ascii="仿宋_GB2312" w:eastAsia="仿宋_GB2312" w:cs="宋体" w:hAnsiTheme="minorEastAsia"/>
          <w:color w:val="333333"/>
          <w:kern w:val="0"/>
          <w:sz w:val="32"/>
          <w:szCs w:val="32"/>
          <w:shd w:val="clear" w:color="auto" w:fill="FFFFFF"/>
        </w:rPr>
        <w:t>绩效自评结果将在我局门户网站上进行公开，并对绩效评价不理想的项目及时整改。</w:t>
      </w:r>
    </w:p>
    <w:p>
      <w:pPr>
        <w:spacing w:line="580" w:lineRule="exact"/>
        <w:ind w:firstLine="640" w:firstLineChars="200"/>
        <w:rPr>
          <w:rFonts w:cs="黑体" w:asciiTheme="minorEastAsia" w:hAnsiTheme="minorEastAsia" w:eastAsiaTheme="minorEastAsia"/>
          <w:sz w:val="32"/>
          <w:szCs w:val="32"/>
        </w:rPr>
      </w:pPr>
      <w:r>
        <w:rPr>
          <w:rFonts w:cs="黑体" w:asciiTheme="minorEastAsia" w:hAnsiTheme="minorEastAsia" w:eastAsiaTheme="minorEastAsia"/>
          <w:sz w:val="32"/>
          <w:szCs w:val="32"/>
        </w:rPr>
        <w:t>四、评价结论及建议</w:t>
      </w:r>
    </w:p>
    <w:p>
      <w:pPr>
        <w:spacing w:line="580" w:lineRule="exact"/>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（一）评价结论。</w:t>
      </w:r>
    </w:p>
    <w:p>
      <w:pPr>
        <w:pStyle w:val="14"/>
        <w:shd w:val="clear" w:color="auto" w:fill="FFFFFF"/>
        <w:spacing w:before="0" w:after="150" w:line="495" w:lineRule="atLeast"/>
        <w:rPr>
          <w:rFonts w:hint="eastAsia" w:cs="仿宋_GB2312" w:asciiTheme="minorEastAsia" w:hAnsiTheme="minorEastAsia" w:eastAsiaTheme="minorEastAsia"/>
          <w:sz w:val="32"/>
          <w:szCs w:val="32"/>
        </w:rPr>
      </w:pPr>
      <w:r>
        <w:rPr>
          <w:rFonts w:asciiTheme="minorEastAsia" w:hAnsiTheme="minorEastAsia" w:eastAsiaTheme="minorEastAsia"/>
          <w:color w:val="666666"/>
          <w:sz w:val="32"/>
          <w:szCs w:val="32"/>
        </w:rPr>
        <w:t> </w:t>
      </w:r>
      <w:r>
        <w:rPr>
          <w:rFonts w:hint="eastAsia" w:eastAsia="仿宋_GB2312" w:asciiTheme="minorEastAsia" w:hAnsiTheme="minorEastAsia"/>
          <w:color w:val="666666"/>
          <w:sz w:val="32"/>
          <w:szCs w:val="32"/>
        </w:rPr>
        <w:t> </w:t>
      </w:r>
      <w:r>
        <w:rPr>
          <w:rFonts w:hint="eastAsia" w:ascii="仿宋_GB2312" w:eastAsia="仿宋_GB2312" w:hAnsiTheme="minorEastAsia"/>
          <w:color w:val="666666"/>
          <w:sz w:val="32"/>
          <w:szCs w:val="32"/>
        </w:rPr>
        <w:t>根据此次整体绩效评价自评，我部门2019年整体支出，严格按照国家的相关财务管理制度规定，财务制度健全、会计核算规范，依照计划管理使用。</w:t>
      </w:r>
    </w:p>
    <w:p>
      <w:pPr>
        <w:pStyle w:val="14"/>
        <w:shd w:val="clear" w:color="auto" w:fill="FFFFFF"/>
        <w:spacing w:before="0" w:after="150" w:line="495" w:lineRule="atLeast"/>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（二）存在问题。</w:t>
      </w:r>
    </w:p>
    <w:p>
      <w:pPr>
        <w:snapToGrid w:val="0"/>
        <w:spacing w:line="360" w:lineRule="auto"/>
        <w:ind w:firstLine="640" w:firstLineChars="200"/>
        <w:rPr>
          <w:rFonts w:hint="eastAsia" w:cs="仿宋_GB2312" w:asciiTheme="minorEastAsia" w:hAnsiTheme="minorEastAsia" w:eastAsiaTheme="minorEastAsia"/>
          <w:sz w:val="32"/>
          <w:szCs w:val="32"/>
        </w:rPr>
      </w:pPr>
      <w:r>
        <w:rPr>
          <w:rFonts w:hint="eastAsia" w:ascii="仿宋_GB2312" w:eastAsia="仿宋_GB2312" w:hAnsiTheme="minorEastAsia"/>
          <w:sz w:val="32"/>
          <w:szCs w:val="32"/>
        </w:rPr>
        <w:t>人员素质有待进一步提高。由于预算绩效管理工作开展时间短，涉及面广，专业性强，加上缺乏系统的培训，对预算绩效管理理解不充分，对预算绩效管理业务不精通，在一定程度上影响了绩效评价工作质量。</w:t>
      </w:r>
    </w:p>
    <w:p>
      <w:pPr>
        <w:snapToGrid w:val="0"/>
        <w:spacing w:line="360" w:lineRule="auto"/>
        <w:ind w:firstLine="640" w:firstLineChars="200"/>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t>（三）改进建议。</w:t>
      </w:r>
    </w:p>
    <w:p>
      <w:pPr>
        <w:snapToGrid w:val="0"/>
        <w:spacing w:line="36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加强学习培训，提升业务能力。由于绩效评价工作要求高，工作量大，涉及项目业务、财务、效益多方面的专业知识，只有通过进行多方位多层次的学习培训，努力提高相关人员素质，才能真正将预算绩效管理工作落实到位。</w:t>
      </w:r>
    </w:p>
    <w:p>
      <w:pPr>
        <w:snapToGrid w:val="0"/>
        <w:spacing w:line="360" w:lineRule="auto"/>
        <w:ind w:firstLine="640" w:firstLineChars="200"/>
        <w:rPr>
          <w:rFonts w:hint="eastAsia" w:ascii="仿宋_GB2312" w:eastAsia="仿宋_GB2312" w:cs="仿宋_GB2312" w:hAnsiTheme="minorEastAsia"/>
          <w:sz w:val="32"/>
          <w:szCs w:val="32"/>
        </w:rPr>
      </w:pPr>
      <w:r>
        <w:rPr>
          <w:rFonts w:hint="eastAsia" w:ascii="仿宋_GB2312" w:eastAsia="仿宋_GB2312" w:hAnsiTheme="minorEastAsia"/>
          <w:sz w:val="32"/>
          <w:szCs w:val="32"/>
        </w:rPr>
        <w:t>2、加大宣传力度，树立绩效管理理念。通过各种媒介、各种形式和渠道，加大绩效管理理念宣传，创造良好社会舆论氛围，不断提高绩效意识，发挥部门在预算绩效管理中的主体作用。</w:t>
      </w:r>
    </w:p>
    <w:p>
      <w:pPr>
        <w:widowControl/>
        <w:jc w:val="left"/>
        <w:rPr>
          <w:rFonts w:eastAsia="仿宋_GB2312"/>
          <w:sz w:val="32"/>
          <w:szCs w:val="32"/>
        </w:rPr>
      </w:pPr>
      <w:r>
        <w:rPr>
          <w:rFonts w:eastAsia="仿宋_GB2312"/>
          <w:sz w:val="32"/>
          <w:szCs w:val="32"/>
        </w:rPr>
        <w:br w:type="page"/>
      </w:r>
    </w:p>
    <w:p>
      <w:pPr>
        <w:spacing w:line="580" w:lineRule="exact"/>
        <w:rPr>
          <w:rFonts w:eastAsia="仿宋_GB2312"/>
          <w:sz w:val="32"/>
          <w:szCs w:val="32"/>
        </w:rPr>
      </w:pPr>
      <w:r>
        <w:rPr>
          <w:rFonts w:hint="eastAsia" w:eastAsia="黑体"/>
          <w:sz w:val="32"/>
          <w:szCs w:val="32"/>
        </w:rPr>
        <w:t>附件</w:t>
      </w:r>
      <w:r>
        <w:rPr>
          <w:rFonts w:eastAsia="黑体"/>
          <w:sz w:val="32"/>
          <w:szCs w:val="32"/>
        </w:rPr>
        <w:t>2</w:t>
      </w:r>
    </w:p>
    <w:p>
      <w:pPr>
        <w:spacing w:line="580" w:lineRule="exact"/>
        <w:ind w:firstLine="640" w:firstLineChars="200"/>
        <w:rPr>
          <w:rFonts w:eastAsia="仿宋_GB2312"/>
          <w:sz w:val="32"/>
          <w:szCs w:val="32"/>
        </w:rPr>
      </w:pPr>
    </w:p>
    <w:p>
      <w:pPr>
        <w:spacing w:line="600" w:lineRule="exact"/>
        <w:jc w:val="center"/>
        <w:rPr>
          <w:rFonts w:hint="eastAsia" w:eastAsia="方正小标宋简体"/>
          <w:color w:val="000000"/>
          <w:kern w:val="0"/>
          <w:sz w:val="44"/>
          <w:szCs w:val="44"/>
        </w:rPr>
      </w:pPr>
      <w:r>
        <w:rPr>
          <w:rFonts w:hint="eastAsia" w:eastAsia="方正小标宋简体"/>
          <w:color w:val="000000"/>
          <w:kern w:val="0"/>
          <w:sz w:val="44"/>
          <w:szCs w:val="44"/>
        </w:rPr>
        <w:t>攀枝花市公路管理处</w:t>
      </w:r>
    </w:p>
    <w:p>
      <w:pPr>
        <w:spacing w:line="600" w:lineRule="exact"/>
        <w:jc w:val="center"/>
        <w:rPr>
          <w:rFonts w:eastAsia="方正小标宋简体"/>
          <w:color w:val="000000"/>
          <w:kern w:val="0"/>
          <w:sz w:val="44"/>
          <w:szCs w:val="44"/>
          <w:lang w:val="zh-CN"/>
        </w:rPr>
      </w:pPr>
      <w:r>
        <w:rPr>
          <w:rFonts w:hint="eastAsia" w:eastAsia="方正小标宋简体"/>
          <w:color w:val="000000"/>
          <w:kern w:val="0"/>
          <w:sz w:val="44"/>
          <w:szCs w:val="44"/>
        </w:rPr>
        <w:t>公路网命名</w:t>
      </w:r>
      <w:r>
        <w:rPr>
          <w:rFonts w:hint="eastAsia" w:eastAsia="方正小标宋简体"/>
          <w:color w:val="000000"/>
          <w:kern w:val="0"/>
          <w:sz w:val="44"/>
          <w:szCs w:val="44"/>
          <w:lang w:val="zh-CN"/>
        </w:rPr>
        <w:t>项目</w:t>
      </w:r>
      <w:r>
        <w:rPr>
          <w:rFonts w:eastAsia="方正小标宋简体"/>
          <w:color w:val="000000"/>
          <w:kern w:val="0"/>
          <w:sz w:val="44"/>
          <w:szCs w:val="44"/>
        </w:rPr>
        <w:t>2019</w:t>
      </w:r>
      <w:r>
        <w:rPr>
          <w:rFonts w:hint="eastAsia" w:eastAsia="方正小标宋简体"/>
          <w:color w:val="000000"/>
          <w:kern w:val="0"/>
          <w:sz w:val="44"/>
          <w:szCs w:val="44"/>
        </w:rPr>
        <w:t>年</w:t>
      </w:r>
      <w:r>
        <w:rPr>
          <w:rFonts w:hint="eastAsia"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（一）项目基本情况。</w:t>
      </w:r>
    </w:p>
    <w:p>
      <w:pPr>
        <w:widowControl/>
        <w:spacing w:line="600" w:lineRule="exact"/>
        <w:ind w:firstLine="640" w:firstLineChars="200"/>
        <w:rPr>
          <w:rFonts w:ascii="仿宋_GB2312" w:hAnsi="仿宋" w:eastAsia="仿宋_GB2312"/>
          <w:sz w:val="32"/>
          <w:szCs w:val="32"/>
        </w:rPr>
      </w:pPr>
      <w:r>
        <w:rPr>
          <w:rFonts w:hint="eastAsia" w:ascii="仿宋_GB2312" w:eastAsia="仿宋_GB2312"/>
          <w:bCs/>
          <w:color w:val="000000"/>
          <w:sz w:val="32"/>
          <w:szCs w:val="32"/>
        </w:rPr>
        <w:t>根据交通部相关工作安排，组织完成我市境内300公里国道里程碑、百米桩的更换安</w:t>
      </w:r>
      <w:r>
        <w:rPr>
          <w:rFonts w:hint="eastAsia" w:ascii="仿宋_GB2312" w:eastAsia="仿宋_GB2312"/>
          <w:color w:val="000000"/>
          <w:sz w:val="32"/>
          <w:szCs w:val="32"/>
        </w:rPr>
        <w:t>装工作，</w:t>
      </w:r>
      <w:r>
        <w:rPr>
          <w:rFonts w:hint="eastAsia" w:ascii="仿宋_GB2312" w:hAnsi="仿宋" w:eastAsia="仿宋_GB2312"/>
          <w:sz w:val="32"/>
          <w:szCs w:val="32"/>
        </w:rPr>
        <w:t>构建了一个统一规范清晰、完善的攀枝花市公路网标示体系，营造安全、高效、便捷的公路交通出行环境。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（1）产出指标完成情况：数量指标: 公路网命名车购税工程（标牌367套、百米桩3470块，里程桩362块等）234.59万元，公路网命名车购质量检测0.89万元，公路网命名车购税设计10.52万元，指标完成率为100%；质量指标：工程质量验收合格，指标完成率为100%；时效指标：按照绩效规定的时间内2019年12月完成工作，指标完成率100%；成本指标：年初预算安排资金为255万元，实际支出255万元，指标完成率为100%。</w:t>
      </w:r>
    </w:p>
    <w:p>
      <w:pPr>
        <w:widowControl/>
        <w:spacing w:line="600" w:lineRule="exact"/>
        <w:ind w:firstLine="627" w:firstLineChars="196"/>
        <w:jc w:val="left"/>
        <w:rPr>
          <w:rFonts w:ascii="仿宋_GB2312" w:eastAsia="仿宋_GB2312"/>
          <w:sz w:val="32"/>
          <w:szCs w:val="32"/>
        </w:rPr>
      </w:pPr>
      <w:r>
        <w:rPr>
          <w:rFonts w:hint="eastAsia" w:ascii="仿宋_GB2312" w:eastAsia="仿宋_GB2312"/>
          <w:sz w:val="32"/>
          <w:szCs w:val="32"/>
        </w:rPr>
        <w:t>（2）效益指标完成情况：完善的公路网标示体系，安全、高效、便捷的公路交通出行。</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（3）满意度指标完成情况：群众及上级部门满意度95%以上。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hint="eastAsia"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1．资金计划。项目计划255万元，为中央车购税补助资金。</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2．资金到位。及时到位资金255万元。</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3．资金使用。按工程进度，及时拨付资金。资金拨付合规合法、预算相符。截止2019年底已全部拨付完毕。</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（一）项目组织架构及实施流程。</w:t>
      </w:r>
    </w:p>
    <w:p>
      <w:pPr>
        <w:ind w:firstLine="720"/>
        <w:rPr>
          <w:rFonts w:hint="eastAsia" w:ascii="仿宋_GB2312" w:eastAsia="仿宋_GB2312"/>
          <w:sz w:val="32"/>
          <w:szCs w:val="32"/>
          <w:lang w:val="zh-CN"/>
        </w:rPr>
      </w:pPr>
      <w:r>
        <w:rPr>
          <w:rFonts w:hint="eastAsia" w:ascii="仿宋_GB2312" w:eastAsia="仿宋_GB2312"/>
          <w:sz w:val="32"/>
          <w:szCs w:val="32"/>
          <w:lang w:val="zh-CN"/>
        </w:rPr>
        <w:t>项目业主为市公路管理处，对项目实施进行总体管理。实施单位为市公路养护管理总段，总段根据项目实施进度，向项目业主请款，公路管理处核定工程量后，据实拨付资金。</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（二）项目管理情况。</w:t>
      </w:r>
      <w:r>
        <w:rPr>
          <w:rFonts w:hint="eastAsia" w:eastAsia="仿宋_GB2312"/>
          <w:sz w:val="32"/>
          <w:szCs w:val="32"/>
          <w:lang w:val="zh-CN"/>
        </w:rPr>
        <w:t>项目实施单位严格执行相关法律法规及项目管理制度等情况，</w:t>
      </w:r>
      <w:r>
        <w:rPr>
          <w:rFonts w:hint="eastAsia" w:ascii="仿宋_GB2312" w:eastAsia="仿宋_GB2312" w:cs="宋体" w:hAnsiTheme="minorEastAsia"/>
          <w:color w:val="333333"/>
          <w:kern w:val="0"/>
          <w:sz w:val="32"/>
          <w:szCs w:val="32"/>
          <w:shd w:val="clear" w:color="auto" w:fill="FFFFFF"/>
        </w:rPr>
        <w:t>加强单位的预算资金管理，减少预算资金使用的随意性，</w:t>
      </w:r>
      <w:r>
        <w:rPr>
          <w:rFonts w:hint="eastAsia" w:eastAsia="仿宋_GB2312"/>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（三）项目监管情况。</w:t>
      </w:r>
      <w:r>
        <w:rPr>
          <w:rFonts w:hint="eastAsia" w:ascii="仿宋_GB2312" w:eastAsia="仿宋_GB2312" w:cs="宋体" w:hAnsiTheme="minor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（一）项目完成情况。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共完成更换标牌367套、百米桩3470块，里程桩362块等）234.59万元，公路网命名车购质量检测0.89万元；工程质量验收合格；按照绩效规定的时间内2019年12月完成工作；年初预算安排资金为255万元，实际支出255万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（二）项目效益情况。</w:t>
      </w:r>
    </w:p>
    <w:p>
      <w:pPr>
        <w:widowControl/>
        <w:spacing w:line="600" w:lineRule="exact"/>
        <w:ind w:firstLine="627" w:firstLineChars="196"/>
        <w:jc w:val="left"/>
        <w:rPr>
          <w:rFonts w:ascii="仿宋_GB2312" w:eastAsia="仿宋_GB2312"/>
          <w:sz w:val="32"/>
          <w:szCs w:val="32"/>
        </w:rPr>
      </w:pPr>
      <w:r>
        <w:rPr>
          <w:rFonts w:hint="eastAsia" w:ascii="仿宋_GB2312" w:eastAsia="仿宋_GB2312"/>
          <w:sz w:val="32"/>
          <w:szCs w:val="32"/>
        </w:rPr>
        <w:t>构建了完善的公路网标示体系，为公众提供了安全、高效、便捷的公路交通出行。</w:t>
      </w:r>
    </w:p>
    <w:p>
      <w:pPr>
        <w:adjustRightInd w:val="0"/>
        <w:snapToGrid w:val="0"/>
        <w:spacing w:line="600" w:lineRule="exact"/>
        <w:ind w:firstLine="720"/>
        <w:rPr>
          <w:rFonts w:eastAsia="黑体"/>
          <w:sz w:val="32"/>
          <w:szCs w:val="32"/>
        </w:rPr>
      </w:pPr>
      <w:r>
        <w:rPr>
          <w:rFonts w:hint="eastAsia"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（一）评价结论。</w:t>
      </w:r>
    </w:p>
    <w:p>
      <w:pPr>
        <w:adjustRightInd w:val="0"/>
        <w:snapToGrid w:val="0"/>
        <w:spacing w:line="600" w:lineRule="exact"/>
        <w:ind w:firstLine="640" w:firstLineChars="200"/>
        <w:rPr>
          <w:rFonts w:eastAsia="仿宋_GB2312"/>
          <w:sz w:val="32"/>
          <w:szCs w:val="32"/>
          <w:bdr w:val="single" w:color="auto" w:sz="4" w:space="0"/>
          <w:lang w:val="zh-CN"/>
        </w:rPr>
      </w:pPr>
      <w:r>
        <w:rPr>
          <w:rFonts w:hint="eastAsia" w:eastAsia="仿宋_GB2312"/>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（三）相关建议。</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p>
    <w:p>
      <w:pPr>
        <w:spacing w:line="600" w:lineRule="exact"/>
        <w:jc w:val="center"/>
        <w:rPr>
          <w:rFonts w:hint="eastAsia" w:eastAsia="方正小标宋简体"/>
          <w:color w:val="000000"/>
          <w:kern w:val="0"/>
          <w:sz w:val="44"/>
          <w:szCs w:val="44"/>
        </w:rPr>
      </w:pPr>
      <w:r>
        <w:rPr>
          <w:rFonts w:hint="eastAsia" w:eastAsia="方正小标宋简体"/>
          <w:color w:val="000000"/>
          <w:kern w:val="0"/>
          <w:sz w:val="44"/>
          <w:szCs w:val="44"/>
        </w:rPr>
        <w:t>攀枝花市公路管理处</w:t>
      </w:r>
    </w:p>
    <w:p>
      <w:pPr>
        <w:spacing w:line="600" w:lineRule="exact"/>
        <w:jc w:val="center"/>
        <w:rPr>
          <w:rFonts w:eastAsia="方正小标宋简体"/>
          <w:color w:val="000000"/>
          <w:kern w:val="0"/>
          <w:sz w:val="44"/>
          <w:szCs w:val="44"/>
          <w:lang w:val="zh-CN"/>
        </w:rPr>
      </w:pPr>
      <w:r>
        <w:rPr>
          <w:rFonts w:hint="eastAsia" w:ascii="方正小标宋_GBK" w:eastAsia="方正小标宋_GBK"/>
          <w:color w:val="000000"/>
          <w:sz w:val="44"/>
          <w:szCs w:val="44"/>
        </w:rPr>
        <w:t>金沙江大道东段绿化养护</w:t>
      </w:r>
      <w:r>
        <w:rPr>
          <w:rFonts w:hint="eastAsia" w:eastAsia="方正小标宋简体"/>
          <w:color w:val="000000"/>
          <w:kern w:val="0"/>
          <w:sz w:val="44"/>
          <w:szCs w:val="44"/>
          <w:lang w:val="zh-CN"/>
        </w:rPr>
        <w:t>项目</w:t>
      </w:r>
      <w:r>
        <w:rPr>
          <w:rFonts w:eastAsia="方正小标宋简体"/>
          <w:color w:val="000000"/>
          <w:kern w:val="0"/>
          <w:sz w:val="44"/>
          <w:szCs w:val="44"/>
        </w:rPr>
        <w:t>2019</w:t>
      </w:r>
      <w:r>
        <w:rPr>
          <w:rFonts w:hint="eastAsia" w:eastAsia="方正小标宋简体"/>
          <w:color w:val="000000"/>
          <w:kern w:val="0"/>
          <w:sz w:val="44"/>
          <w:szCs w:val="44"/>
        </w:rPr>
        <w:t>年</w:t>
      </w:r>
      <w:r>
        <w:rPr>
          <w:rFonts w:hint="eastAsia"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（一）项目基本情况。</w:t>
      </w:r>
    </w:p>
    <w:p>
      <w:pPr>
        <w:widowControl/>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用于市迎宾大道金沙江大道东段（渡金线）2014年6月-2017年6月三年绿化养护。旨在</w:t>
      </w:r>
      <w:r>
        <w:rPr>
          <w:rFonts w:hint="eastAsia" w:ascii="仿宋_GB2312" w:eastAsia="仿宋_GB2312"/>
          <w:sz w:val="32"/>
          <w:szCs w:val="32"/>
        </w:rPr>
        <w:t>美化公路两旁的环境，营造 “畅安舒美”的公路通行环境。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（二）项目绩效目标。</w:t>
      </w:r>
    </w:p>
    <w:p>
      <w:pPr>
        <w:widowControl/>
        <w:spacing w:line="600" w:lineRule="exact"/>
        <w:ind w:firstLine="640" w:firstLineChars="200"/>
        <w:jc w:val="left"/>
        <w:rPr>
          <w:rFonts w:ascii="仿宋_GB2312" w:eastAsia="仿宋_GB2312"/>
          <w:color w:val="000000"/>
          <w:sz w:val="32"/>
          <w:szCs w:val="32"/>
        </w:rPr>
      </w:pPr>
      <w:r>
        <w:rPr>
          <w:rFonts w:hint="eastAsia" w:ascii="仿宋_GB2312" w:eastAsia="仿宋_GB2312"/>
          <w:sz w:val="32"/>
          <w:szCs w:val="32"/>
        </w:rPr>
        <w:t>产出指标完成情况：</w:t>
      </w:r>
      <w:r>
        <w:rPr>
          <w:rFonts w:hint="eastAsia" w:ascii="仿宋_GB2312" w:eastAsia="仿宋_GB2312"/>
          <w:color w:val="000000"/>
          <w:sz w:val="32"/>
          <w:szCs w:val="32"/>
        </w:rPr>
        <w:t>数量指标：迎宾大道金沙江大道东段（渡金线）2014年6月-2017年6月三年绿化养护费，完成全部工程量，指标完成率为100%；质量指标：工程质量达到合格，指标完成率为100%；时效指标：2019年6月执行完毕，指标完成率100%；成本指标：项目资金233万元，实际支付233万元，指标完成率100%。</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效益指标完成情况：美化公路两旁的环境，营造了“畅安舒美”的公路通行环境。</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满意度指标完成情况：群众及上级部门满意度95%以上。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hint="eastAsia"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（二）资金计划、到位及使用情况（可用表格形式反映）。</w:t>
      </w:r>
    </w:p>
    <w:p>
      <w:pPr>
        <w:adjustRightInd w:val="0"/>
        <w:snapToGrid w:val="0"/>
        <w:spacing w:line="600" w:lineRule="exact"/>
        <w:ind w:firstLine="720"/>
        <w:rPr>
          <w:rFonts w:hint="eastAsia" w:eastAsia="仿宋_GB2312"/>
          <w:sz w:val="32"/>
          <w:szCs w:val="32"/>
          <w:lang w:val="zh-CN"/>
        </w:rPr>
      </w:pPr>
      <w:r>
        <w:rPr>
          <w:rFonts w:eastAsia="楷体_GB2312"/>
          <w:sz w:val="32"/>
          <w:szCs w:val="32"/>
          <w:lang w:val="zh-CN"/>
        </w:rPr>
        <w:t>1</w:t>
      </w:r>
      <w:r>
        <w:rPr>
          <w:rFonts w:hint="eastAsia" w:eastAsia="楷体_GB2312"/>
          <w:sz w:val="32"/>
          <w:szCs w:val="32"/>
          <w:lang w:val="zh-CN"/>
        </w:rPr>
        <w:t>．资金计划。</w:t>
      </w:r>
      <w:r>
        <w:rPr>
          <w:rFonts w:hint="eastAsia" w:eastAsia="仿宋_GB2312"/>
          <w:sz w:val="32"/>
          <w:szCs w:val="32"/>
          <w:lang w:val="zh-CN"/>
        </w:rPr>
        <w:t>项目计划233万元。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hint="eastAsia" w:eastAsia="楷体_GB2312"/>
          <w:sz w:val="32"/>
          <w:szCs w:val="32"/>
          <w:lang w:val="zh-CN"/>
        </w:rPr>
        <w:t>．资金到位。</w:t>
      </w:r>
      <w:r>
        <w:rPr>
          <w:rFonts w:hint="eastAsia" w:eastAsia="仿宋_GB2312"/>
          <w:sz w:val="32"/>
          <w:szCs w:val="32"/>
          <w:lang w:val="zh-CN"/>
        </w:rPr>
        <w:t>及时到位资金233万元。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hint="eastAsia" w:eastAsia="楷体_GB2312"/>
          <w:sz w:val="32"/>
          <w:szCs w:val="32"/>
          <w:lang w:val="zh-CN"/>
        </w:rPr>
        <w:t>．资金使用。</w:t>
      </w:r>
      <w:r>
        <w:rPr>
          <w:rFonts w:hint="eastAsia" w:eastAsia="仿宋_GB2312"/>
          <w:sz w:val="32"/>
          <w:szCs w:val="32"/>
          <w:lang w:val="zh-CN"/>
        </w:rPr>
        <w:t>按工程进度，及时拨付资金。资金拨付合规合法、预算相符。截止2019年底已全部拨付完毕。</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（一）项目组织架构及实施流程。</w:t>
      </w:r>
    </w:p>
    <w:p>
      <w:pPr>
        <w:ind w:firstLine="720"/>
        <w:rPr>
          <w:rFonts w:hint="eastAsia" w:ascii="仿宋_GB2312" w:eastAsia="仿宋_GB2312"/>
          <w:sz w:val="32"/>
          <w:szCs w:val="32"/>
          <w:lang w:val="zh-CN"/>
        </w:rPr>
      </w:pPr>
      <w:r>
        <w:rPr>
          <w:rFonts w:hint="eastAsia" w:ascii="仿宋_GB2312" w:eastAsia="仿宋_GB2312"/>
          <w:sz w:val="32"/>
          <w:szCs w:val="32"/>
          <w:lang w:val="zh-CN"/>
        </w:rPr>
        <w:t>项目业主为市公路管理处，对项目实施进行总体管理。实施单位为</w:t>
      </w:r>
      <w:r>
        <w:rPr>
          <w:rFonts w:hint="eastAsia" w:ascii="仿宋_GB2312" w:eastAsia="仿宋_GB2312"/>
          <w:color w:val="000000"/>
          <w:sz w:val="32"/>
          <w:szCs w:val="32"/>
        </w:rPr>
        <w:t>市林业局所属国有企业攀枝花市鸿森原理有限公司</w:t>
      </w:r>
      <w:r>
        <w:rPr>
          <w:rFonts w:hint="eastAsia" w:ascii="仿宋_GB2312" w:eastAsia="仿宋_GB2312"/>
          <w:sz w:val="32"/>
          <w:szCs w:val="32"/>
          <w:lang w:val="zh-CN"/>
        </w:rPr>
        <w:t>，实施单位在项目完成后，向项目业主请款，公路管理处核定工程量后，据实拨付资金。</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（二）项目管理情况。</w:t>
      </w:r>
      <w:r>
        <w:rPr>
          <w:rFonts w:hint="eastAsia" w:eastAsia="仿宋_GB2312"/>
          <w:sz w:val="32"/>
          <w:szCs w:val="32"/>
          <w:lang w:val="zh-CN"/>
        </w:rPr>
        <w:t>项目实施单位严格执行相关法律法规及项目管理制度等情况，</w:t>
      </w:r>
      <w:r>
        <w:rPr>
          <w:rFonts w:hint="eastAsia" w:ascii="仿宋_GB2312" w:eastAsia="仿宋_GB2312" w:cs="宋体" w:hAnsiTheme="minorEastAsia"/>
          <w:color w:val="333333"/>
          <w:kern w:val="0"/>
          <w:sz w:val="32"/>
          <w:szCs w:val="32"/>
          <w:shd w:val="clear" w:color="auto" w:fill="FFFFFF"/>
        </w:rPr>
        <w:t>加强单位的预算资金管理，减少预算资金使用的随意性，</w:t>
      </w:r>
      <w:r>
        <w:rPr>
          <w:rFonts w:hint="eastAsia" w:eastAsia="仿宋_GB2312"/>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（三）项目监管情况。</w:t>
      </w:r>
      <w:r>
        <w:rPr>
          <w:rFonts w:hint="eastAsia" w:ascii="仿宋_GB2312" w:eastAsia="仿宋_GB2312" w:cs="宋体" w:hAnsiTheme="minor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（一）项目完成情况。</w:t>
      </w:r>
    </w:p>
    <w:p>
      <w:pPr>
        <w:widowControl/>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迎宾大道金沙江大道东段（渡金线）2014年6月-2017年6月三年绿化养护费，完成全部工程量。工程质量达到合格；2019年6月执行完毕；成本指标：项目资金233万元，实际支付233万元。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（二）项目效益情况。</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美化公路两旁的环境，营造了“畅安舒美”的公路通行环境。</w:t>
      </w:r>
    </w:p>
    <w:p>
      <w:pPr>
        <w:adjustRightInd w:val="0"/>
        <w:snapToGrid w:val="0"/>
        <w:spacing w:line="600" w:lineRule="exact"/>
        <w:ind w:firstLine="720"/>
        <w:rPr>
          <w:rFonts w:eastAsia="黑体"/>
          <w:sz w:val="32"/>
          <w:szCs w:val="32"/>
        </w:rPr>
      </w:pPr>
      <w:r>
        <w:rPr>
          <w:rFonts w:hint="eastAsia"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（一）评价结论。</w:t>
      </w:r>
    </w:p>
    <w:p>
      <w:pPr>
        <w:adjustRightInd w:val="0"/>
        <w:snapToGrid w:val="0"/>
        <w:spacing w:line="600" w:lineRule="exact"/>
        <w:ind w:firstLine="640" w:firstLineChars="200"/>
        <w:rPr>
          <w:rFonts w:eastAsia="仿宋_GB2312"/>
          <w:sz w:val="32"/>
          <w:szCs w:val="32"/>
          <w:bdr w:val="single" w:color="auto" w:sz="4" w:space="0"/>
          <w:lang w:val="zh-CN"/>
        </w:rPr>
      </w:pPr>
      <w:r>
        <w:rPr>
          <w:rFonts w:hint="eastAsia" w:eastAsia="仿宋_GB2312"/>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（三）相关建议。</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p>
    <w:p>
      <w:pPr>
        <w:spacing w:line="580" w:lineRule="exact"/>
        <w:ind w:firstLine="640"/>
        <w:rPr>
          <w:rFonts w:eastAsia="仿宋_GB2312"/>
          <w:sz w:val="32"/>
          <w:szCs w:val="32"/>
        </w:rPr>
      </w:pPr>
    </w:p>
    <w:p>
      <w:pPr>
        <w:spacing w:line="580" w:lineRule="exact"/>
        <w:ind w:firstLine="640"/>
        <w:rPr>
          <w:rFonts w:hint="eastAsia" w:eastAsia="仿宋_GB2312"/>
          <w:sz w:val="32"/>
          <w:szCs w:val="32"/>
        </w:rPr>
      </w:pPr>
    </w:p>
    <w:p>
      <w:pPr>
        <w:spacing w:line="580" w:lineRule="exact"/>
        <w:ind w:firstLine="640"/>
        <w:rPr>
          <w:rFonts w:hint="eastAsia" w:eastAsia="仿宋_GB2312"/>
          <w:sz w:val="32"/>
          <w:szCs w:val="32"/>
        </w:rPr>
      </w:pPr>
    </w:p>
    <w:p>
      <w:pPr>
        <w:spacing w:line="580" w:lineRule="exact"/>
        <w:ind w:firstLine="640"/>
        <w:rPr>
          <w:rFonts w:hint="eastAsia" w:eastAsia="仿宋_GB2312"/>
          <w:sz w:val="32"/>
          <w:szCs w:val="32"/>
        </w:rPr>
      </w:pPr>
    </w:p>
    <w:p>
      <w:pPr>
        <w:spacing w:line="580" w:lineRule="exact"/>
        <w:ind w:firstLine="640"/>
        <w:rPr>
          <w:rFonts w:hint="eastAsia" w:eastAsia="仿宋_GB2312"/>
          <w:sz w:val="32"/>
          <w:szCs w:val="32"/>
        </w:rPr>
      </w:pPr>
    </w:p>
    <w:p>
      <w:pPr>
        <w:spacing w:line="580" w:lineRule="exact"/>
        <w:ind w:firstLine="640"/>
        <w:rPr>
          <w:rFonts w:hint="eastAsia" w:eastAsia="仿宋_GB2312"/>
          <w:sz w:val="32"/>
          <w:szCs w:val="32"/>
        </w:rPr>
      </w:pPr>
    </w:p>
    <w:p>
      <w:pPr>
        <w:spacing w:line="580" w:lineRule="exact"/>
        <w:ind w:firstLine="640"/>
        <w:rPr>
          <w:rFonts w:hint="eastAsia" w:eastAsia="仿宋_GB2312"/>
          <w:sz w:val="32"/>
          <w:szCs w:val="32"/>
        </w:rPr>
      </w:pPr>
    </w:p>
    <w:p>
      <w:pPr>
        <w:spacing w:line="600" w:lineRule="exact"/>
        <w:jc w:val="center"/>
        <w:rPr>
          <w:rFonts w:hint="eastAsia" w:eastAsia="方正小标宋简体"/>
          <w:color w:val="000000"/>
          <w:kern w:val="0"/>
          <w:sz w:val="44"/>
          <w:szCs w:val="44"/>
        </w:rPr>
      </w:pPr>
      <w:r>
        <w:rPr>
          <w:rFonts w:hint="eastAsia" w:eastAsia="方正小标宋简体"/>
          <w:color w:val="000000"/>
          <w:kern w:val="0"/>
          <w:sz w:val="44"/>
          <w:szCs w:val="44"/>
        </w:rPr>
        <w:t>攀枝花市运输管理处</w:t>
      </w:r>
    </w:p>
    <w:p>
      <w:pPr>
        <w:spacing w:line="600" w:lineRule="exact"/>
        <w:jc w:val="center"/>
        <w:rPr>
          <w:rFonts w:eastAsia="方正小标宋简体"/>
          <w:color w:val="000000"/>
          <w:kern w:val="0"/>
          <w:sz w:val="44"/>
          <w:szCs w:val="44"/>
          <w:lang w:val="zh-CN"/>
        </w:rPr>
      </w:pPr>
      <w:r>
        <w:rPr>
          <w:rFonts w:hint="eastAsia" w:ascii="方正小标宋_GBK" w:eastAsia="方正小标宋_GBK"/>
          <w:color w:val="000000"/>
          <w:sz w:val="44"/>
          <w:szCs w:val="44"/>
        </w:rPr>
        <w:t>12328热线工作</w:t>
      </w:r>
      <w:r>
        <w:rPr>
          <w:rFonts w:hint="eastAsia" w:eastAsia="方正小标宋简体"/>
          <w:color w:val="000000"/>
          <w:kern w:val="0"/>
          <w:sz w:val="44"/>
          <w:szCs w:val="44"/>
          <w:lang w:val="zh-CN"/>
        </w:rPr>
        <w:t>项目</w:t>
      </w:r>
      <w:r>
        <w:rPr>
          <w:rFonts w:eastAsia="方正小标宋简体"/>
          <w:color w:val="000000"/>
          <w:kern w:val="0"/>
          <w:sz w:val="44"/>
          <w:szCs w:val="44"/>
        </w:rPr>
        <w:t>2019</w:t>
      </w:r>
      <w:r>
        <w:rPr>
          <w:rFonts w:hint="eastAsia" w:eastAsia="方正小标宋简体"/>
          <w:color w:val="000000"/>
          <w:kern w:val="0"/>
          <w:sz w:val="44"/>
          <w:szCs w:val="44"/>
        </w:rPr>
        <w:t>年</w:t>
      </w:r>
      <w:r>
        <w:rPr>
          <w:rFonts w:hint="eastAsia"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（一）项目基本情况。</w:t>
      </w:r>
    </w:p>
    <w:p>
      <w:pPr>
        <w:widowControl/>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用于交通12328热线工作专项经费。</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（二）项目绩效目标。</w:t>
      </w:r>
    </w:p>
    <w:p>
      <w:pPr>
        <w:pStyle w:val="8"/>
        <w:spacing w:line="60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完成情况：数量指标：交通热线24小时值守，保持值守人员3人轮流在岗，平均每月接热线电话500个左右；质量指标：按时支付劳务费；时效指标：2019年底支付完毕；成本指标：全年预算5万元，实际支付5万元，执行率100%。</w:t>
      </w:r>
    </w:p>
    <w:p>
      <w:pPr>
        <w:pStyle w:val="8"/>
        <w:spacing w:line="600" w:lineRule="exact"/>
        <w:ind w:firstLine="643"/>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效益指标完成情况：</w:t>
      </w:r>
      <w:r>
        <w:rPr>
          <w:rFonts w:hint="eastAsia" w:ascii="仿宋_GB2312" w:hAnsi="仿宋_GB2312" w:eastAsia="仿宋_GB2312" w:cs="仿宋_GB2312"/>
          <w:color w:val="2B2B2B"/>
          <w:sz w:val="32"/>
          <w:szCs w:val="32"/>
          <w:shd w:val="clear" w:color="auto" w:fill="FFFFFF"/>
        </w:rPr>
        <w:t>12328热线服务为群众提供了高质量的答疑服务，较好地树立交通形象，提升了服务质量。</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满意度指标完成情况：</w:t>
      </w:r>
      <w:r>
        <w:rPr>
          <w:rFonts w:hint="eastAsia" w:ascii="仿宋_GB2312" w:hAnsi="微软雅黑" w:eastAsia="仿宋_GB2312" w:cs="仿宋_GB2312"/>
          <w:color w:val="2B2B2B"/>
          <w:sz w:val="32"/>
          <w:szCs w:val="32"/>
          <w:shd w:val="clear" w:color="auto" w:fill="FFFFFF"/>
        </w:rPr>
        <w:t>达到群众满意度90%以上。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hint="eastAsia"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（二）资金计划、到位及使用情况（可用表格形式反映）。</w:t>
      </w:r>
    </w:p>
    <w:p>
      <w:pPr>
        <w:adjustRightInd w:val="0"/>
        <w:snapToGrid w:val="0"/>
        <w:spacing w:line="600" w:lineRule="exact"/>
        <w:ind w:firstLine="720"/>
        <w:rPr>
          <w:rFonts w:hint="eastAsia" w:eastAsia="仿宋_GB2312"/>
          <w:sz w:val="32"/>
          <w:szCs w:val="32"/>
          <w:lang w:val="zh-CN"/>
        </w:rPr>
      </w:pPr>
      <w:r>
        <w:rPr>
          <w:rFonts w:eastAsia="楷体_GB2312"/>
          <w:sz w:val="32"/>
          <w:szCs w:val="32"/>
          <w:lang w:val="zh-CN"/>
        </w:rPr>
        <w:t>1</w:t>
      </w:r>
      <w:r>
        <w:rPr>
          <w:rFonts w:hint="eastAsia" w:eastAsia="楷体_GB2312"/>
          <w:sz w:val="32"/>
          <w:szCs w:val="32"/>
          <w:lang w:val="zh-CN"/>
        </w:rPr>
        <w:t>．资金计划。</w:t>
      </w:r>
      <w:r>
        <w:rPr>
          <w:rFonts w:hint="eastAsia" w:eastAsia="仿宋_GB2312"/>
          <w:sz w:val="32"/>
          <w:szCs w:val="32"/>
          <w:lang w:val="zh-CN"/>
        </w:rPr>
        <w:t>项目计划5万元。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hint="eastAsia" w:eastAsia="楷体_GB2312"/>
          <w:sz w:val="32"/>
          <w:szCs w:val="32"/>
          <w:lang w:val="zh-CN"/>
        </w:rPr>
        <w:t>．资金到位。</w:t>
      </w:r>
      <w:r>
        <w:rPr>
          <w:rFonts w:hint="eastAsia" w:eastAsia="仿宋_GB2312"/>
          <w:sz w:val="32"/>
          <w:szCs w:val="32"/>
          <w:lang w:val="zh-CN"/>
        </w:rPr>
        <w:t>及时到位资金5万元。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hint="eastAsia" w:eastAsia="楷体_GB2312"/>
          <w:sz w:val="32"/>
          <w:szCs w:val="32"/>
          <w:lang w:val="zh-CN"/>
        </w:rPr>
        <w:t>．资金使用。</w:t>
      </w:r>
      <w:r>
        <w:rPr>
          <w:rFonts w:hint="eastAsia" w:eastAsia="仿宋_GB2312"/>
          <w:sz w:val="32"/>
          <w:szCs w:val="32"/>
          <w:lang w:val="zh-CN"/>
        </w:rPr>
        <w:t>用于热线工作相关人员及日常工作的开支。</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（一）项目组织架构及实施流程。</w:t>
      </w:r>
    </w:p>
    <w:p>
      <w:pPr>
        <w:ind w:firstLine="720"/>
        <w:rPr>
          <w:rFonts w:hint="eastAsia" w:ascii="仿宋_GB2312" w:eastAsia="仿宋_GB2312"/>
          <w:sz w:val="32"/>
          <w:szCs w:val="32"/>
          <w:lang w:val="zh-CN"/>
        </w:rPr>
      </w:pPr>
      <w:r>
        <w:rPr>
          <w:rFonts w:hint="eastAsia" w:ascii="仿宋_GB2312" w:eastAsia="仿宋_GB2312"/>
          <w:sz w:val="32"/>
          <w:szCs w:val="32"/>
          <w:lang w:val="zh-CN"/>
        </w:rPr>
        <w:t>项目实施单位为市交通运输管理处，对项目实施进行总体管理。严格按照经费支出相关规定进行管理。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（二）项目管理情况。</w:t>
      </w:r>
      <w:r>
        <w:rPr>
          <w:rFonts w:hint="eastAsia" w:eastAsia="仿宋_GB2312"/>
          <w:sz w:val="32"/>
          <w:szCs w:val="32"/>
          <w:lang w:val="zh-CN"/>
        </w:rPr>
        <w:t>项目实施单位严格执行相关法律法规及项目管理制度等情况，</w:t>
      </w:r>
      <w:r>
        <w:rPr>
          <w:rFonts w:hint="eastAsia" w:ascii="仿宋_GB2312" w:eastAsia="仿宋_GB2312" w:cs="宋体" w:hAnsiTheme="minorEastAsia"/>
          <w:color w:val="333333"/>
          <w:kern w:val="0"/>
          <w:sz w:val="32"/>
          <w:szCs w:val="32"/>
          <w:shd w:val="clear" w:color="auto" w:fill="FFFFFF"/>
        </w:rPr>
        <w:t>加强单位的预算资金管理，减少预算资金使用的随意性，</w:t>
      </w:r>
      <w:r>
        <w:rPr>
          <w:rFonts w:hint="eastAsia" w:eastAsia="仿宋_GB2312"/>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（三）项目监管情况。</w:t>
      </w:r>
      <w:r>
        <w:rPr>
          <w:rFonts w:hint="eastAsia" w:ascii="仿宋_GB2312" w:eastAsia="仿宋_GB2312" w:cs="宋体" w:hAnsiTheme="minor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（一）项目完成情况。</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24小时值守，保持值守人员3人轮流在岗，平均每月接热线电话500个左右，按时支付劳务费，达到了2019年设定的数量指标、成本指标等，全年预算5万元，实际支付5万元，执行率100%。</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（二）项目效益情况。</w:t>
      </w:r>
    </w:p>
    <w:p>
      <w:pPr>
        <w:adjustRightInd w:val="0"/>
        <w:snapToGrid w:val="0"/>
        <w:spacing w:line="600" w:lineRule="exact"/>
        <w:ind w:firstLine="72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12328热线服务为群众提供了高质量的答疑服务，较好地树立交通形象，提升了服务质量。</w:t>
      </w:r>
    </w:p>
    <w:p>
      <w:pPr>
        <w:adjustRightInd w:val="0"/>
        <w:snapToGrid w:val="0"/>
        <w:spacing w:line="600" w:lineRule="exact"/>
        <w:ind w:firstLine="720"/>
        <w:rPr>
          <w:rFonts w:eastAsia="黑体"/>
          <w:sz w:val="32"/>
          <w:szCs w:val="32"/>
        </w:rPr>
      </w:pPr>
      <w:r>
        <w:rPr>
          <w:rFonts w:hint="eastAsia"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（一）评价结论。</w:t>
      </w:r>
    </w:p>
    <w:p>
      <w:pPr>
        <w:adjustRightInd w:val="0"/>
        <w:snapToGrid w:val="0"/>
        <w:spacing w:line="600" w:lineRule="exact"/>
        <w:ind w:firstLine="640" w:firstLineChars="200"/>
        <w:rPr>
          <w:rFonts w:eastAsia="仿宋_GB2312"/>
          <w:sz w:val="32"/>
          <w:szCs w:val="32"/>
          <w:bdr w:val="single" w:color="auto" w:sz="4" w:space="0"/>
          <w:lang w:val="zh-CN"/>
        </w:rPr>
      </w:pPr>
      <w:r>
        <w:rPr>
          <w:rFonts w:hint="eastAsia" w:eastAsia="仿宋_GB2312"/>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（三）相关建议。</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p>
    <w:p>
      <w:pPr>
        <w:spacing w:line="580" w:lineRule="exact"/>
        <w:ind w:firstLine="640"/>
        <w:rPr>
          <w:rFonts w:eastAsia="仿宋_GB2312"/>
          <w:sz w:val="32"/>
          <w:szCs w:val="32"/>
        </w:rPr>
      </w:pPr>
    </w:p>
    <w:p>
      <w:pPr>
        <w:widowControl/>
        <w:jc w:val="left"/>
        <w:rPr>
          <w:rStyle w:val="19"/>
          <w:rFonts w:eastAsia="黑体"/>
          <w:b w:val="0"/>
        </w:rPr>
      </w:pPr>
    </w:p>
    <w:p>
      <w:pPr>
        <w:widowControl/>
        <w:jc w:val="left"/>
        <w:rPr>
          <w:rStyle w:val="19"/>
          <w:rFonts w:eastAsia="黑体"/>
          <w:b w:val="0"/>
        </w:rPr>
      </w:pPr>
      <w:r>
        <w:rPr>
          <w:rStyle w:val="19"/>
          <w:rFonts w:eastAsia="黑体"/>
          <w:b w:val="0"/>
        </w:rPr>
        <w:br w:type="page"/>
      </w:r>
    </w:p>
    <w:p>
      <w:pPr>
        <w:spacing w:line="600" w:lineRule="exact"/>
        <w:jc w:val="center"/>
        <w:rPr>
          <w:rFonts w:hint="eastAsia" w:eastAsia="方正小标宋简体"/>
          <w:color w:val="000000"/>
          <w:kern w:val="0"/>
          <w:sz w:val="44"/>
          <w:szCs w:val="44"/>
        </w:rPr>
      </w:pPr>
      <w:r>
        <w:rPr>
          <w:rFonts w:hint="eastAsia" w:eastAsia="方正小标宋简体"/>
          <w:color w:val="000000"/>
          <w:kern w:val="0"/>
          <w:sz w:val="44"/>
          <w:szCs w:val="44"/>
        </w:rPr>
        <w:t>攀枝花市交通运输局</w:t>
      </w:r>
    </w:p>
    <w:p>
      <w:pPr>
        <w:spacing w:line="600" w:lineRule="exact"/>
        <w:jc w:val="center"/>
        <w:rPr>
          <w:rFonts w:eastAsia="方正小标宋简体"/>
          <w:color w:val="000000"/>
          <w:kern w:val="0"/>
          <w:sz w:val="44"/>
          <w:szCs w:val="44"/>
          <w:lang w:val="zh-CN"/>
        </w:rPr>
      </w:pPr>
      <w:r>
        <w:rPr>
          <w:rFonts w:hint="eastAsia" w:ascii="方正小标宋_GBK" w:eastAsia="方正小标宋_GBK"/>
          <w:color w:val="000000"/>
          <w:sz w:val="44"/>
          <w:szCs w:val="44"/>
        </w:rPr>
        <w:t>机场迁建选址技术咨询服务项目</w:t>
      </w:r>
      <w:r>
        <w:rPr>
          <w:rFonts w:eastAsia="方正小标宋简体"/>
          <w:color w:val="000000"/>
          <w:kern w:val="0"/>
          <w:sz w:val="44"/>
          <w:szCs w:val="44"/>
        </w:rPr>
        <w:t>2019</w:t>
      </w:r>
      <w:r>
        <w:rPr>
          <w:rFonts w:hint="eastAsia" w:eastAsia="方正小标宋简体"/>
          <w:color w:val="000000"/>
          <w:kern w:val="0"/>
          <w:sz w:val="44"/>
          <w:szCs w:val="44"/>
        </w:rPr>
        <w:t>年</w:t>
      </w:r>
      <w:r>
        <w:rPr>
          <w:rFonts w:hint="eastAsia"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（一）项目基本情况。</w:t>
      </w:r>
    </w:p>
    <w:p>
      <w:pPr>
        <w:widowControl/>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用于开展攀枝花机场迁建民用运输机场场址选址阶段相关咨询服务，完成选址报告及附属报告。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（二）项目绩效目标。</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产出指标完成情况：数量指标：开展了1个机场迁建选址论证工作；质量指标：提交选址报告及附属报告；时效指标：在2019年9月前完成；成本指标:支付合同价58.4万元。</w:t>
      </w:r>
    </w:p>
    <w:p>
      <w:pPr>
        <w:pStyle w:val="8"/>
        <w:spacing w:line="600" w:lineRule="exact"/>
        <w:ind w:firstLine="643"/>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效益指标完成情况：</w:t>
      </w:r>
      <w:r>
        <w:rPr>
          <w:rFonts w:hint="eastAsia" w:ascii="仿宋_GB2312" w:hAnsi="仿宋_GB2312" w:eastAsia="仿宋_GB2312" w:cs="仿宋_GB2312"/>
          <w:color w:val="2B2B2B"/>
          <w:sz w:val="32"/>
          <w:szCs w:val="32"/>
          <w:shd w:val="clear" w:color="auto" w:fill="FFFFFF"/>
        </w:rPr>
        <w:t>为攀枝花市民航发展提供理论依据；为机场迁建选取首选场址，为未来我市民航发展奠定基础。</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hint="eastAsia"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（二）资金计划、到位及使用情况（可用表格形式反映）。</w:t>
      </w:r>
    </w:p>
    <w:p>
      <w:pPr>
        <w:adjustRightInd w:val="0"/>
        <w:snapToGrid w:val="0"/>
        <w:spacing w:line="600" w:lineRule="exact"/>
        <w:ind w:firstLine="720"/>
        <w:rPr>
          <w:rFonts w:hint="eastAsia" w:eastAsia="仿宋_GB2312"/>
          <w:sz w:val="32"/>
          <w:szCs w:val="32"/>
          <w:lang w:val="zh-CN"/>
        </w:rPr>
      </w:pPr>
      <w:r>
        <w:rPr>
          <w:rFonts w:eastAsia="楷体_GB2312"/>
          <w:sz w:val="32"/>
          <w:szCs w:val="32"/>
          <w:lang w:val="zh-CN"/>
        </w:rPr>
        <w:t>1</w:t>
      </w:r>
      <w:r>
        <w:rPr>
          <w:rFonts w:hint="eastAsia" w:eastAsia="楷体_GB2312"/>
          <w:sz w:val="32"/>
          <w:szCs w:val="32"/>
          <w:lang w:val="zh-CN"/>
        </w:rPr>
        <w:t>．资金计划。</w:t>
      </w:r>
      <w:r>
        <w:rPr>
          <w:rFonts w:hint="eastAsia" w:eastAsia="仿宋_GB2312"/>
          <w:sz w:val="32"/>
          <w:szCs w:val="32"/>
          <w:lang w:val="zh-CN"/>
        </w:rPr>
        <w:t>项目计划58.4万元。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hint="eastAsia" w:eastAsia="楷体_GB2312"/>
          <w:sz w:val="32"/>
          <w:szCs w:val="32"/>
          <w:lang w:val="zh-CN"/>
        </w:rPr>
        <w:t>．资金到位。</w:t>
      </w:r>
      <w:r>
        <w:rPr>
          <w:rFonts w:hint="eastAsia" w:eastAsia="仿宋_GB2312"/>
          <w:sz w:val="32"/>
          <w:szCs w:val="32"/>
          <w:lang w:val="zh-CN"/>
        </w:rPr>
        <w:t>及时到位资金58.4万元。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hint="eastAsia" w:eastAsia="楷体_GB2312"/>
          <w:sz w:val="32"/>
          <w:szCs w:val="32"/>
          <w:lang w:val="zh-CN"/>
        </w:rPr>
        <w:t>．资金使用。</w:t>
      </w:r>
      <w:r>
        <w:rPr>
          <w:rFonts w:hint="eastAsia" w:eastAsia="仿宋_GB2312"/>
          <w:sz w:val="32"/>
          <w:szCs w:val="32"/>
          <w:lang w:val="zh-CN"/>
        </w:rPr>
        <w:t>用于委托相关专业机构进行机场选址相关工作的论证、报告。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（一）项目组织架构及实施流程。</w:t>
      </w:r>
    </w:p>
    <w:p>
      <w:pPr>
        <w:ind w:firstLine="720"/>
        <w:rPr>
          <w:rFonts w:hint="eastAsia" w:ascii="仿宋_GB2312" w:eastAsia="仿宋_GB2312"/>
          <w:sz w:val="32"/>
          <w:szCs w:val="32"/>
          <w:lang w:val="zh-CN"/>
        </w:rPr>
      </w:pPr>
      <w:r>
        <w:rPr>
          <w:rFonts w:hint="eastAsia" w:ascii="仿宋_GB2312" w:eastAsia="仿宋_GB2312"/>
          <w:sz w:val="32"/>
          <w:szCs w:val="32"/>
          <w:lang w:val="zh-CN"/>
        </w:rPr>
        <w:t>项目实施单位为市交通运输局，对项目实施进行总体管理。严格按照经费支出相关规定进行管理。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（二）项目管理情况。</w:t>
      </w:r>
      <w:r>
        <w:rPr>
          <w:rFonts w:hint="eastAsia" w:eastAsia="仿宋_GB2312"/>
          <w:sz w:val="32"/>
          <w:szCs w:val="32"/>
          <w:lang w:val="zh-CN"/>
        </w:rPr>
        <w:t>项目实施单位严格执行相关法律法规及项目管理制度等情况，</w:t>
      </w:r>
      <w:r>
        <w:rPr>
          <w:rFonts w:hint="eastAsia" w:ascii="仿宋_GB2312" w:eastAsia="仿宋_GB2312" w:cs="宋体" w:hAnsiTheme="minorEastAsia"/>
          <w:color w:val="333333"/>
          <w:kern w:val="0"/>
          <w:sz w:val="32"/>
          <w:szCs w:val="32"/>
          <w:shd w:val="clear" w:color="auto" w:fill="FFFFFF"/>
        </w:rPr>
        <w:t>加强单位的预算资金管理，减少预算资金使用的随意性，</w:t>
      </w:r>
      <w:r>
        <w:rPr>
          <w:rFonts w:hint="eastAsia" w:eastAsia="仿宋_GB2312"/>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（三）项目监管情况。</w:t>
      </w:r>
      <w:r>
        <w:rPr>
          <w:rFonts w:hint="eastAsia" w:ascii="仿宋_GB2312" w:eastAsia="仿宋_GB2312" w:cs="宋体" w:hAnsiTheme="minor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hint="eastAsia" w:ascii="仿宋_GB2312" w:hAnsi="仿宋_GB2312" w:eastAsia="仿宋_GB2312" w:cs="仿宋_GB2312"/>
          <w:sz w:val="32"/>
          <w:szCs w:val="32"/>
        </w:rPr>
      </w:pPr>
      <w:r>
        <w:rPr>
          <w:rFonts w:hint="eastAsia" w:eastAsia="楷体_GB2312"/>
          <w:b/>
          <w:sz w:val="32"/>
          <w:szCs w:val="32"/>
          <w:lang w:val="zh-CN"/>
        </w:rPr>
        <w:t>（一）项目完成情况。</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开展1个机场迁建选址论证工作；提交选址报告及附属报告；在2019年9月前完成；合同成本58.4万元。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（二）项目效益情况。</w:t>
      </w:r>
    </w:p>
    <w:p>
      <w:pPr>
        <w:adjustRightInd w:val="0"/>
        <w:snapToGrid w:val="0"/>
        <w:spacing w:line="600" w:lineRule="exact"/>
        <w:ind w:firstLine="720"/>
        <w:rPr>
          <w:rFonts w:hint="eastAsia"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为攀枝花市民航发展提供理论依据；为机场迁建选取首选场址，为未来我市民航发展奠定基础。</w:t>
      </w:r>
    </w:p>
    <w:p>
      <w:pPr>
        <w:adjustRightInd w:val="0"/>
        <w:snapToGrid w:val="0"/>
        <w:spacing w:line="600" w:lineRule="exact"/>
        <w:ind w:firstLine="720"/>
        <w:rPr>
          <w:rFonts w:eastAsia="黑体"/>
          <w:sz w:val="32"/>
          <w:szCs w:val="32"/>
        </w:rPr>
      </w:pPr>
      <w:r>
        <w:rPr>
          <w:rFonts w:hint="eastAsia"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（一）评价结论。</w:t>
      </w:r>
    </w:p>
    <w:p>
      <w:pPr>
        <w:adjustRightInd w:val="0"/>
        <w:snapToGrid w:val="0"/>
        <w:spacing w:line="600" w:lineRule="exact"/>
        <w:ind w:firstLine="640" w:firstLineChars="200"/>
        <w:rPr>
          <w:rFonts w:eastAsia="仿宋_GB2312"/>
          <w:sz w:val="32"/>
          <w:szCs w:val="32"/>
          <w:bdr w:val="single" w:color="auto" w:sz="4" w:space="0"/>
          <w:lang w:val="zh-CN"/>
        </w:rPr>
      </w:pPr>
      <w:r>
        <w:rPr>
          <w:rFonts w:hint="eastAsia" w:eastAsia="仿宋_GB2312"/>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（三）相关建议。</w:t>
      </w:r>
    </w:p>
    <w:p>
      <w:pPr>
        <w:adjustRightInd w:val="0"/>
        <w:snapToGrid w:val="0"/>
        <w:spacing w:line="600" w:lineRule="exact"/>
        <w:ind w:firstLine="640" w:firstLineChars="200"/>
        <w:rPr>
          <w:rFonts w:hint="eastAsia" w:eastAsia="仿宋_GB2312"/>
          <w:sz w:val="32"/>
          <w:szCs w:val="32"/>
          <w:lang w:val="zh-CN"/>
        </w:rPr>
      </w:pPr>
      <w:r>
        <w:rPr>
          <w:rFonts w:hint="eastAsia" w:eastAsia="仿宋_GB2312"/>
          <w:sz w:val="32"/>
          <w:szCs w:val="32"/>
          <w:lang w:val="zh-CN"/>
        </w:rPr>
        <w:t>无</w:t>
      </w: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adjustRightInd w:val="0"/>
        <w:snapToGrid w:val="0"/>
        <w:spacing w:line="600" w:lineRule="exact"/>
        <w:ind w:firstLine="640" w:firstLineChars="200"/>
        <w:rPr>
          <w:rFonts w:hint="eastAsia" w:eastAsia="仿宋_GB2312"/>
          <w:sz w:val="32"/>
          <w:szCs w:val="32"/>
          <w:lang w:val="zh-CN"/>
        </w:rPr>
      </w:pPr>
    </w:p>
    <w:p>
      <w:pPr>
        <w:spacing w:line="600" w:lineRule="exact"/>
        <w:jc w:val="center"/>
        <w:rPr>
          <w:rFonts w:hint="eastAsia" w:eastAsia="方正小标宋简体"/>
          <w:color w:val="000000"/>
          <w:kern w:val="0"/>
          <w:sz w:val="44"/>
          <w:szCs w:val="44"/>
        </w:rPr>
      </w:pPr>
      <w:r>
        <w:rPr>
          <w:rFonts w:hint="eastAsia" w:eastAsia="方正小标宋简体"/>
          <w:color w:val="000000"/>
          <w:kern w:val="0"/>
          <w:sz w:val="44"/>
          <w:szCs w:val="44"/>
        </w:rPr>
        <w:t>攀枝花市交通运输局</w:t>
      </w:r>
    </w:p>
    <w:p>
      <w:pPr>
        <w:spacing w:line="600" w:lineRule="exact"/>
        <w:jc w:val="center"/>
        <w:rPr>
          <w:rFonts w:eastAsia="方正小标宋简体"/>
          <w:color w:val="000000"/>
          <w:kern w:val="0"/>
          <w:sz w:val="44"/>
          <w:szCs w:val="44"/>
          <w:lang w:val="zh-CN"/>
        </w:rPr>
      </w:pPr>
      <w:r>
        <w:rPr>
          <w:rFonts w:hint="eastAsia" w:ascii="方正小标宋_GBK" w:eastAsia="方正小标宋_GBK"/>
          <w:color w:val="000000"/>
          <w:sz w:val="44"/>
          <w:szCs w:val="44"/>
        </w:rPr>
        <w:t>机场大巴运营补贴</w:t>
      </w:r>
      <w:r>
        <w:rPr>
          <w:rFonts w:hint="eastAsia" w:eastAsia="方正小标宋简体"/>
          <w:color w:val="000000"/>
          <w:kern w:val="0"/>
          <w:sz w:val="44"/>
          <w:szCs w:val="44"/>
          <w:lang w:val="zh-CN"/>
        </w:rPr>
        <w:t>项目</w:t>
      </w:r>
      <w:r>
        <w:rPr>
          <w:rFonts w:eastAsia="方正小标宋简体"/>
          <w:color w:val="000000"/>
          <w:kern w:val="0"/>
          <w:sz w:val="44"/>
          <w:szCs w:val="44"/>
        </w:rPr>
        <w:t>2019</w:t>
      </w:r>
      <w:r>
        <w:rPr>
          <w:rFonts w:hint="eastAsia" w:eastAsia="方正小标宋简体"/>
          <w:color w:val="000000"/>
          <w:kern w:val="0"/>
          <w:sz w:val="44"/>
          <w:szCs w:val="44"/>
        </w:rPr>
        <w:t>年</w:t>
      </w:r>
      <w:r>
        <w:rPr>
          <w:rFonts w:hint="eastAsia"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hint="eastAsia" w:eastAsia="黑体"/>
          <w:sz w:val="32"/>
          <w:szCs w:val="32"/>
        </w:rPr>
        <w:t>一、</w:t>
      </w:r>
      <w:r>
        <w:rPr>
          <w:rFonts w:hint="eastAsia"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（一）项目基本情况。</w:t>
      </w:r>
    </w:p>
    <w:p>
      <w:pPr>
        <w:widowControl/>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用于补贴机场大巴运营亏损。</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（二）项目绩效目标。</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产出指标完成情况：数量指标：补贴5辆客运车辆；质量指标；补足上座率，达到盈亏平衡点；时效指标：按照工作计划，2019年底前全部支付完毕；成本指标：按上座率65%，票价15元/人计算，全年补贴安排60万元</w:t>
      </w:r>
    </w:p>
    <w:p>
      <w:pPr>
        <w:pStyle w:val="8"/>
        <w:spacing w:line="600" w:lineRule="exact"/>
        <w:ind w:firstLine="643"/>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sz w:val="32"/>
          <w:szCs w:val="32"/>
        </w:rPr>
        <w:t>效益指标完成情况：</w:t>
      </w:r>
      <w:r>
        <w:rPr>
          <w:rFonts w:hint="eastAsia" w:ascii="仿宋_GB2312" w:hAnsi="仿宋_GB2312" w:eastAsia="仿宋_GB2312" w:cs="仿宋_GB2312"/>
          <w:color w:val="2B2B2B"/>
          <w:sz w:val="32"/>
          <w:szCs w:val="32"/>
          <w:shd w:val="clear" w:color="auto" w:fill="FFFFFF"/>
        </w:rPr>
        <w:t>满足攀枝花市区至保安营机场出行需求</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满意度指标完成情况：</w:t>
      </w:r>
      <w:r>
        <w:rPr>
          <w:rFonts w:hint="eastAsia" w:ascii="仿宋_GB2312" w:hAnsi="微软雅黑" w:eastAsia="仿宋_GB2312" w:cs="仿宋_GB2312"/>
          <w:color w:val="2B2B2B"/>
          <w:sz w:val="32"/>
          <w:szCs w:val="32"/>
          <w:shd w:val="clear" w:color="auto" w:fill="FFFFFF"/>
        </w:rPr>
        <w:t>达到群众满意度90%以上。</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hint="eastAsia"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（二）资金计划、到位及使用情况（可用表格形式反映）。</w:t>
      </w:r>
    </w:p>
    <w:p>
      <w:pPr>
        <w:adjustRightInd w:val="0"/>
        <w:snapToGrid w:val="0"/>
        <w:spacing w:line="600" w:lineRule="exact"/>
        <w:ind w:firstLine="720"/>
        <w:rPr>
          <w:rFonts w:hint="eastAsia" w:eastAsia="仿宋_GB2312"/>
          <w:sz w:val="32"/>
          <w:szCs w:val="32"/>
          <w:lang w:val="zh-CN"/>
        </w:rPr>
      </w:pPr>
      <w:r>
        <w:rPr>
          <w:rFonts w:eastAsia="楷体_GB2312"/>
          <w:sz w:val="32"/>
          <w:szCs w:val="32"/>
          <w:lang w:val="zh-CN"/>
        </w:rPr>
        <w:t>1</w:t>
      </w:r>
      <w:r>
        <w:rPr>
          <w:rFonts w:hint="eastAsia" w:eastAsia="楷体_GB2312"/>
          <w:sz w:val="32"/>
          <w:szCs w:val="32"/>
          <w:lang w:val="zh-CN"/>
        </w:rPr>
        <w:t>．资金计划。</w:t>
      </w:r>
      <w:r>
        <w:rPr>
          <w:rFonts w:hint="eastAsia" w:eastAsia="仿宋_GB2312"/>
          <w:sz w:val="32"/>
          <w:szCs w:val="32"/>
          <w:lang w:val="zh-CN"/>
        </w:rPr>
        <w:t>项目计划60万元。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hint="eastAsia" w:eastAsia="楷体_GB2312"/>
          <w:sz w:val="32"/>
          <w:szCs w:val="32"/>
          <w:lang w:val="zh-CN"/>
        </w:rPr>
        <w:t>．资金到位。</w:t>
      </w:r>
      <w:r>
        <w:rPr>
          <w:rFonts w:hint="eastAsia" w:eastAsia="仿宋_GB2312"/>
          <w:sz w:val="32"/>
          <w:szCs w:val="32"/>
          <w:lang w:val="zh-CN"/>
        </w:rPr>
        <w:t>及时到位资金60万元。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hint="eastAsia" w:eastAsia="楷体_GB2312"/>
          <w:sz w:val="32"/>
          <w:szCs w:val="32"/>
          <w:lang w:val="zh-CN"/>
        </w:rPr>
        <w:t>．资金使用。</w:t>
      </w:r>
      <w:r>
        <w:rPr>
          <w:rFonts w:hint="eastAsia" w:eastAsia="仿宋_GB2312"/>
          <w:sz w:val="32"/>
          <w:szCs w:val="32"/>
          <w:lang w:val="zh-CN"/>
        </w:rPr>
        <w:t>用于补贴机场大巴运营亏损。</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hint="eastAsia" w:eastAsia="黑体"/>
          <w:sz w:val="32"/>
          <w:szCs w:val="32"/>
        </w:rPr>
        <w:t>三、项目实施及管理情况</w:t>
      </w:r>
    </w:p>
    <w:p>
      <w:pPr>
        <w:adjustRightInd w:val="0"/>
        <w:snapToGrid w:val="0"/>
        <w:spacing w:line="600" w:lineRule="exact"/>
        <w:ind w:firstLine="720"/>
        <w:rPr>
          <w:rFonts w:hint="eastAsia" w:eastAsia="楷体_GB2312"/>
          <w:b/>
          <w:sz w:val="32"/>
          <w:szCs w:val="32"/>
          <w:lang w:val="zh-CN"/>
        </w:rPr>
      </w:pPr>
      <w:r>
        <w:rPr>
          <w:rFonts w:hint="eastAsia" w:eastAsia="楷体_GB2312"/>
          <w:b/>
          <w:sz w:val="32"/>
          <w:szCs w:val="32"/>
          <w:lang w:val="zh-CN"/>
        </w:rPr>
        <w:t>（一）项目组织架构及实施流程。</w:t>
      </w:r>
    </w:p>
    <w:p>
      <w:pPr>
        <w:ind w:firstLine="720"/>
        <w:rPr>
          <w:rFonts w:hint="eastAsia" w:ascii="仿宋_GB2312" w:eastAsia="仿宋_GB2312"/>
          <w:sz w:val="32"/>
          <w:szCs w:val="32"/>
          <w:lang w:val="zh-CN"/>
        </w:rPr>
      </w:pPr>
      <w:r>
        <w:rPr>
          <w:rFonts w:hint="eastAsia" w:ascii="仿宋_GB2312" w:eastAsia="仿宋_GB2312"/>
          <w:sz w:val="32"/>
          <w:szCs w:val="32"/>
          <w:lang w:val="zh-CN"/>
        </w:rPr>
        <w:t>项目实施单位为市交通运输局，对项目实施进行总体管理。严格按照经费支出相关规定进行管理。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（二）项目管理情况。</w:t>
      </w:r>
      <w:r>
        <w:rPr>
          <w:rFonts w:hint="eastAsia" w:eastAsia="仿宋_GB2312"/>
          <w:sz w:val="32"/>
          <w:szCs w:val="32"/>
          <w:lang w:val="zh-CN"/>
        </w:rPr>
        <w:t>项目实施单位严格执行相关法律法规及项目管理制度等情况，</w:t>
      </w:r>
      <w:r>
        <w:rPr>
          <w:rFonts w:hint="eastAsia" w:ascii="仿宋_GB2312" w:eastAsia="仿宋_GB2312" w:cs="宋体" w:hAnsiTheme="minorEastAsia"/>
          <w:color w:val="333333"/>
          <w:kern w:val="0"/>
          <w:sz w:val="32"/>
          <w:szCs w:val="32"/>
          <w:shd w:val="clear" w:color="auto" w:fill="FFFFFF"/>
        </w:rPr>
        <w:t>加强单位的预算资金管理，减少预算资金使用的随意性，</w:t>
      </w:r>
      <w:r>
        <w:rPr>
          <w:rFonts w:hint="eastAsia" w:eastAsia="仿宋_GB2312"/>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hint="eastAsia" w:eastAsia="楷体_GB2312"/>
          <w:b/>
          <w:sz w:val="32"/>
          <w:szCs w:val="32"/>
          <w:lang w:val="zh-CN"/>
        </w:rPr>
        <w:t>（三）项目监管情况。</w:t>
      </w:r>
      <w:r>
        <w:rPr>
          <w:rFonts w:hint="eastAsia" w:ascii="仿宋_GB2312" w:eastAsia="仿宋_GB2312" w:cs="宋体" w:hAnsiTheme="minor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hint="eastAsia"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（一）项目完成情况。</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补贴5辆客运车辆；补足上座率，达到盈亏平衡点；按照工作计划，2019年底前全部支付完毕；按上座率65%，票价15元/人计算，全年补贴安排60万元</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（二）项目效益情况。</w:t>
      </w:r>
    </w:p>
    <w:p>
      <w:pPr>
        <w:pStyle w:val="8"/>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满足攀枝花市区至保安营机场出行需求；</w:t>
      </w:r>
      <w:r>
        <w:rPr>
          <w:rFonts w:hint="eastAsia" w:ascii="仿宋_GB2312" w:hAnsi="微软雅黑" w:eastAsia="仿宋_GB2312" w:cs="仿宋_GB2312"/>
          <w:color w:val="2B2B2B"/>
          <w:sz w:val="32"/>
          <w:szCs w:val="32"/>
          <w:shd w:val="clear" w:color="auto" w:fill="FFFFFF"/>
        </w:rPr>
        <w:t>达到群众满意度90%以上。</w:t>
      </w:r>
    </w:p>
    <w:p>
      <w:pPr>
        <w:adjustRightInd w:val="0"/>
        <w:snapToGrid w:val="0"/>
        <w:spacing w:line="600" w:lineRule="exact"/>
        <w:ind w:firstLine="720"/>
        <w:rPr>
          <w:rFonts w:eastAsia="黑体"/>
          <w:sz w:val="32"/>
          <w:szCs w:val="32"/>
        </w:rPr>
      </w:pPr>
      <w:r>
        <w:rPr>
          <w:rFonts w:hint="eastAsia"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（一）评价结论。</w:t>
      </w:r>
    </w:p>
    <w:p>
      <w:pPr>
        <w:adjustRightInd w:val="0"/>
        <w:snapToGrid w:val="0"/>
        <w:spacing w:line="600" w:lineRule="exact"/>
        <w:ind w:firstLine="640" w:firstLineChars="200"/>
        <w:rPr>
          <w:rFonts w:eastAsia="仿宋_GB2312"/>
          <w:sz w:val="32"/>
          <w:szCs w:val="32"/>
          <w:bdr w:val="single" w:color="auto" w:sz="4" w:space="0"/>
          <w:lang w:val="zh-CN"/>
        </w:rPr>
      </w:pPr>
      <w:r>
        <w:rPr>
          <w:rFonts w:hint="eastAsia" w:eastAsia="仿宋_GB2312"/>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hint="eastAsia" w:eastAsia="楷体_GB2312"/>
          <w:b/>
          <w:sz w:val="32"/>
          <w:szCs w:val="32"/>
          <w:lang w:val="zh-CN"/>
        </w:rPr>
        <w:t>（三）相关建议。</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无</w:t>
      </w:r>
    </w:p>
    <w:p>
      <w:pPr>
        <w:spacing w:line="600" w:lineRule="exact"/>
        <w:jc w:val="center"/>
        <w:outlineLvl w:val="0"/>
        <w:rPr>
          <w:rStyle w:val="19"/>
          <w:rFonts w:eastAsia="黑体"/>
          <w:b w:val="0"/>
        </w:rPr>
      </w:pPr>
    </w:p>
    <w:p>
      <w:pPr>
        <w:spacing w:line="600" w:lineRule="exact"/>
        <w:jc w:val="center"/>
        <w:outlineLvl w:val="0"/>
        <w:rPr>
          <w:rFonts w:hint="eastAsia" w:eastAsia="黑体"/>
          <w:color w:val="000000"/>
          <w:sz w:val="44"/>
          <w:szCs w:val="44"/>
        </w:rPr>
      </w:pPr>
      <w:bookmarkStart w:id="60" w:name="_Toc15396618"/>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Fonts w:hint="eastAsia" w:eastAsia="黑体"/>
          <w:color w:val="000000"/>
          <w:sz w:val="44"/>
          <w:szCs w:val="44"/>
        </w:rPr>
      </w:pPr>
    </w:p>
    <w:p>
      <w:pPr>
        <w:spacing w:line="600" w:lineRule="exact"/>
        <w:jc w:val="center"/>
        <w:outlineLvl w:val="0"/>
        <w:rPr>
          <w:rStyle w:val="19"/>
          <w:rFonts w:eastAsia="黑体"/>
          <w:b w:val="0"/>
        </w:rPr>
      </w:pPr>
      <w:r>
        <w:rPr>
          <w:rFonts w:hint="eastAsia" w:eastAsia="黑体"/>
          <w:color w:val="000000"/>
          <w:sz w:val="44"/>
          <w:szCs w:val="44"/>
        </w:rPr>
        <w:t>第</w:t>
      </w:r>
      <w:r>
        <w:rPr>
          <w:rStyle w:val="19"/>
          <w:rFonts w:hint="eastAsia" w:eastAsia="黑体"/>
          <w:b w:val="0"/>
        </w:rPr>
        <w:t>五部分附表</w:t>
      </w:r>
      <w:bookmarkEnd w:id="58"/>
      <w:bookmarkEnd w:id="60"/>
    </w:p>
    <w:p>
      <w:pPr>
        <w:spacing w:line="600" w:lineRule="exact"/>
        <w:jc w:val="center"/>
        <w:outlineLvl w:val="0"/>
        <w:rPr>
          <w:rFonts w:eastAsia="仿宋"/>
          <w:b/>
          <w:color w:val="000000"/>
          <w:sz w:val="44"/>
          <w:szCs w:val="44"/>
        </w:rPr>
      </w:pPr>
    </w:p>
    <w:p>
      <w:pPr>
        <w:pStyle w:val="3"/>
        <w:rPr>
          <w:rFonts w:ascii="Times New Roman" w:hAnsi="Times New Roman" w:eastAsia="仿宋" w:cs="Times New Roman"/>
          <w:color w:val="000000"/>
        </w:rPr>
      </w:pPr>
      <w:bookmarkStart w:id="61" w:name="_Toc15396619"/>
      <w:r>
        <w:rPr>
          <w:rFonts w:hint="eastAsia" w:ascii="Times New Roman" w:hAnsi="Times New Roman" w:eastAsia="仿宋" w:cs="Times New Roman"/>
          <w:b w:val="0"/>
          <w:color w:val="000000"/>
        </w:rPr>
        <w:t>一、收</w:t>
      </w:r>
      <w:r>
        <w:rPr>
          <w:rStyle w:val="20"/>
          <w:rFonts w:hint="eastAsia" w:eastAsia="仿宋" w:cs="Times New Roman"/>
          <w:b w:val="0"/>
          <w:bCs w:val="0"/>
        </w:rPr>
        <w:t>入支出决算总表</w:t>
      </w:r>
      <w:bookmarkEnd w:id="61"/>
    </w:p>
    <w:p>
      <w:pPr>
        <w:pStyle w:val="3"/>
        <w:rPr>
          <w:rFonts w:ascii="Times New Roman" w:hAnsi="Times New Roman" w:eastAsia="仿宋" w:cs="Times New Roman"/>
          <w:color w:val="000000"/>
        </w:rPr>
      </w:pPr>
      <w:bookmarkStart w:id="62" w:name="_Toc15396620"/>
      <w:r>
        <w:rPr>
          <w:rFonts w:hint="eastAsia" w:ascii="Times New Roman" w:hAnsi="Times New Roman" w:eastAsia="仿宋" w:cs="Times New Roman"/>
          <w:b w:val="0"/>
          <w:color w:val="000000"/>
        </w:rPr>
        <w:t>二、收</w:t>
      </w:r>
      <w:r>
        <w:rPr>
          <w:rStyle w:val="20"/>
          <w:rFonts w:hint="eastAsia" w:eastAsia="仿宋" w:cs="Times New Roman"/>
          <w:b w:val="0"/>
          <w:bCs w:val="0"/>
        </w:rPr>
        <w:t>入决算表</w:t>
      </w:r>
      <w:bookmarkEnd w:id="62"/>
    </w:p>
    <w:p>
      <w:pPr>
        <w:pStyle w:val="3"/>
        <w:rPr>
          <w:rFonts w:ascii="Times New Roman" w:hAnsi="Times New Roman" w:eastAsia="仿宋" w:cs="Times New Roman"/>
          <w:color w:val="000000"/>
        </w:rPr>
      </w:pPr>
      <w:bookmarkStart w:id="63" w:name="_Toc15396621"/>
      <w:r>
        <w:rPr>
          <w:rStyle w:val="20"/>
          <w:rFonts w:hint="eastAsia" w:eastAsia="仿宋" w:cs="Times New Roman"/>
          <w:b w:val="0"/>
          <w:bCs w:val="0"/>
        </w:rPr>
        <w:t>三、</w:t>
      </w:r>
      <w:r>
        <w:rPr>
          <w:rFonts w:hint="eastAsia" w:ascii="Times New Roman" w:hAnsi="Times New Roman" w:eastAsia="仿宋" w:cs="Times New Roman"/>
          <w:b w:val="0"/>
          <w:color w:val="000000"/>
        </w:rPr>
        <w:t>支</w:t>
      </w:r>
      <w:r>
        <w:rPr>
          <w:rStyle w:val="20"/>
          <w:rFonts w:hint="eastAsia" w:eastAsia="仿宋" w:cs="Times New Roman"/>
          <w:b w:val="0"/>
          <w:bCs w:val="0"/>
        </w:rPr>
        <w:t>出决算表</w:t>
      </w:r>
      <w:bookmarkEnd w:id="63"/>
    </w:p>
    <w:p>
      <w:pPr>
        <w:pStyle w:val="3"/>
        <w:rPr>
          <w:rFonts w:ascii="Times New Roman" w:hAnsi="Times New Roman" w:eastAsia="仿宋" w:cs="Times New Roman"/>
          <w:b w:val="0"/>
          <w:color w:val="000000"/>
        </w:rPr>
      </w:pPr>
      <w:bookmarkStart w:id="64" w:name="_Toc15396622"/>
      <w:r>
        <w:rPr>
          <w:rStyle w:val="20"/>
          <w:rFonts w:hint="eastAsia" w:eastAsia="仿宋" w:cs="Times New Roman"/>
          <w:b w:val="0"/>
          <w:bCs w:val="0"/>
        </w:rPr>
        <w:t>四、</w:t>
      </w:r>
      <w:r>
        <w:rPr>
          <w:rFonts w:hint="eastAsia" w:ascii="Times New Roman" w:hAnsi="Times New Roman" w:eastAsia="仿宋" w:cs="Times New Roman"/>
          <w:b w:val="0"/>
          <w:color w:val="000000"/>
        </w:rPr>
        <w:t>财</w:t>
      </w:r>
      <w:r>
        <w:rPr>
          <w:rStyle w:val="20"/>
          <w:rFonts w:hint="eastAsia" w:eastAsia="仿宋" w:cs="Times New Roman"/>
          <w:b w:val="0"/>
          <w:bCs w:val="0"/>
        </w:rPr>
        <w:t>政拨款收入支出决算总表</w:t>
      </w:r>
      <w:bookmarkEnd w:id="64"/>
    </w:p>
    <w:p>
      <w:pPr>
        <w:pStyle w:val="3"/>
        <w:rPr>
          <w:rStyle w:val="20"/>
          <w:rFonts w:eastAsia="仿宋" w:cs="Times New Roman"/>
          <w:b w:val="0"/>
          <w:bCs w:val="0"/>
        </w:rPr>
      </w:pPr>
      <w:bookmarkStart w:id="65" w:name="_Toc15396623"/>
      <w:r>
        <w:rPr>
          <w:rStyle w:val="20"/>
          <w:rFonts w:hint="eastAsia" w:eastAsia="仿宋" w:cs="Times New Roman"/>
          <w:b w:val="0"/>
          <w:bCs w:val="0"/>
        </w:rPr>
        <w:t>五、</w:t>
      </w:r>
      <w:r>
        <w:rPr>
          <w:rFonts w:hint="eastAsia" w:ascii="Times New Roman" w:hAnsi="Times New Roman" w:eastAsia="仿宋" w:cs="Times New Roman"/>
          <w:b w:val="0"/>
          <w:color w:val="000000"/>
        </w:rPr>
        <w:t>财</w:t>
      </w:r>
      <w:r>
        <w:rPr>
          <w:rStyle w:val="20"/>
          <w:rFonts w:hint="eastAsia" w:eastAsia="仿宋" w:cs="Times New Roman"/>
          <w:b w:val="0"/>
          <w:bCs w:val="0"/>
        </w:rPr>
        <w:t>政拨款支出决算明细表</w:t>
      </w:r>
      <w:bookmarkEnd w:id="65"/>
      <w:bookmarkStart w:id="66" w:name="_Toc15396624"/>
    </w:p>
    <w:p>
      <w:pPr>
        <w:pStyle w:val="3"/>
        <w:rPr>
          <w:rFonts w:ascii="Times New Roman" w:hAnsi="Times New Roman" w:eastAsia="仿宋" w:cs="Times New Roman"/>
          <w:color w:val="000000"/>
        </w:rPr>
      </w:pPr>
      <w:r>
        <w:rPr>
          <w:rStyle w:val="20"/>
          <w:rFonts w:hint="eastAsia" w:eastAsia="仿宋" w:cs="Times New Roman"/>
          <w:b w:val="0"/>
          <w:bCs w:val="0"/>
        </w:rPr>
        <w:t>六、</w:t>
      </w:r>
      <w:r>
        <w:rPr>
          <w:rFonts w:hint="eastAsia" w:ascii="Times New Roman" w:hAnsi="Times New Roman" w:eastAsia="仿宋" w:cs="Times New Roman"/>
          <w:b w:val="0"/>
          <w:color w:val="000000"/>
        </w:rPr>
        <w:t>一</w:t>
      </w:r>
      <w:r>
        <w:rPr>
          <w:rStyle w:val="20"/>
          <w:rFonts w:hint="eastAsia" w:eastAsia="仿宋" w:cs="Times New Roman"/>
          <w:b w:val="0"/>
          <w:bCs w:val="0"/>
        </w:rPr>
        <w:t>般公共预算财政拨款支出决算表</w:t>
      </w:r>
      <w:bookmarkEnd w:id="66"/>
    </w:p>
    <w:p>
      <w:pPr>
        <w:pStyle w:val="3"/>
        <w:rPr>
          <w:rFonts w:ascii="Times New Roman" w:hAnsi="Times New Roman" w:eastAsia="仿宋" w:cs="Times New Roman"/>
          <w:color w:val="000000"/>
        </w:rPr>
      </w:pPr>
      <w:bookmarkStart w:id="67" w:name="_Toc15396625"/>
      <w:r>
        <w:rPr>
          <w:rStyle w:val="20"/>
          <w:rFonts w:hint="eastAsia" w:eastAsia="仿宋" w:cs="Times New Roman"/>
          <w:b w:val="0"/>
          <w:bCs w:val="0"/>
        </w:rPr>
        <w:t>七、</w:t>
      </w:r>
      <w:r>
        <w:rPr>
          <w:rFonts w:hint="eastAsia" w:ascii="Times New Roman" w:hAnsi="Times New Roman" w:eastAsia="仿宋" w:cs="Times New Roman"/>
          <w:b w:val="0"/>
          <w:color w:val="000000"/>
        </w:rPr>
        <w:t>一</w:t>
      </w:r>
      <w:r>
        <w:rPr>
          <w:rStyle w:val="20"/>
          <w:rFonts w:hint="eastAsia" w:eastAsia="仿宋" w:cs="Times New Roman"/>
          <w:b w:val="0"/>
          <w:bCs w:val="0"/>
        </w:rPr>
        <w:t>般公共预算财政拨款支出决算明细表</w:t>
      </w:r>
      <w:bookmarkEnd w:id="67"/>
    </w:p>
    <w:p>
      <w:pPr>
        <w:pStyle w:val="3"/>
        <w:rPr>
          <w:rFonts w:ascii="Times New Roman" w:hAnsi="Times New Roman" w:eastAsia="仿宋" w:cs="Times New Roman"/>
          <w:color w:val="000000"/>
        </w:rPr>
      </w:pPr>
      <w:bookmarkStart w:id="68" w:name="_Toc15396626"/>
      <w:r>
        <w:rPr>
          <w:rStyle w:val="20"/>
          <w:rFonts w:hint="eastAsia" w:eastAsia="仿宋" w:cs="Times New Roman"/>
          <w:b w:val="0"/>
          <w:bCs w:val="0"/>
        </w:rPr>
        <w:t>八、</w:t>
      </w:r>
      <w:r>
        <w:rPr>
          <w:rFonts w:hint="eastAsia" w:ascii="Times New Roman" w:hAnsi="Times New Roman" w:eastAsia="仿宋" w:cs="Times New Roman"/>
          <w:b w:val="0"/>
          <w:color w:val="000000"/>
        </w:rPr>
        <w:t>一</w:t>
      </w:r>
      <w:r>
        <w:rPr>
          <w:rStyle w:val="20"/>
          <w:rFonts w:hint="eastAsia" w:eastAsia="仿宋" w:cs="Times New Roman"/>
          <w:b w:val="0"/>
          <w:bCs w:val="0"/>
        </w:rPr>
        <w:t>般公共预算财政拨款基本支出决算表</w:t>
      </w:r>
      <w:bookmarkEnd w:id="68"/>
    </w:p>
    <w:p>
      <w:pPr>
        <w:pStyle w:val="3"/>
        <w:rPr>
          <w:rFonts w:ascii="Times New Roman" w:hAnsi="Times New Roman" w:eastAsia="仿宋" w:cs="Times New Roman"/>
          <w:color w:val="000000"/>
        </w:rPr>
      </w:pPr>
      <w:bookmarkStart w:id="69" w:name="_Toc15396627"/>
      <w:r>
        <w:rPr>
          <w:rStyle w:val="20"/>
          <w:rFonts w:hint="eastAsia" w:eastAsia="仿宋" w:cs="Times New Roman"/>
          <w:b w:val="0"/>
          <w:bCs w:val="0"/>
        </w:rPr>
        <w:t>九、</w:t>
      </w:r>
      <w:r>
        <w:rPr>
          <w:rFonts w:hint="eastAsia" w:ascii="Times New Roman" w:hAnsi="Times New Roman" w:eastAsia="仿宋" w:cs="Times New Roman"/>
          <w:b w:val="0"/>
          <w:color w:val="000000"/>
        </w:rPr>
        <w:t>一</w:t>
      </w:r>
      <w:r>
        <w:rPr>
          <w:rStyle w:val="20"/>
          <w:rFonts w:hint="eastAsia" w:eastAsia="仿宋" w:cs="Times New Roman"/>
          <w:b w:val="0"/>
          <w:bCs w:val="0"/>
        </w:rPr>
        <w:t>般公共预算财政拨款项目支出决算表</w:t>
      </w:r>
      <w:bookmarkEnd w:id="69"/>
    </w:p>
    <w:p>
      <w:pPr>
        <w:pStyle w:val="3"/>
        <w:rPr>
          <w:rFonts w:ascii="Times New Roman" w:hAnsi="Times New Roman" w:eastAsia="仿宋" w:cs="Times New Roman"/>
          <w:color w:val="000000"/>
        </w:rPr>
      </w:pPr>
      <w:bookmarkStart w:id="70" w:name="_Toc15396628"/>
      <w:r>
        <w:rPr>
          <w:rStyle w:val="20"/>
          <w:rFonts w:hint="eastAsia" w:eastAsia="仿宋" w:cs="Times New Roman"/>
          <w:b w:val="0"/>
          <w:bCs w:val="0"/>
        </w:rPr>
        <w:t>十、</w:t>
      </w:r>
      <w:r>
        <w:rPr>
          <w:rFonts w:hint="eastAsia" w:ascii="Times New Roman" w:hAnsi="Times New Roman" w:eastAsia="仿宋" w:cs="Times New Roman"/>
          <w:b w:val="0"/>
          <w:color w:val="000000"/>
        </w:rPr>
        <w:t>一</w:t>
      </w:r>
      <w:r>
        <w:rPr>
          <w:rStyle w:val="20"/>
          <w:rFonts w:hint="eastAsia" w:eastAsia="仿宋" w:cs="Times New Roman"/>
          <w:b w:val="0"/>
          <w:bCs w:val="0"/>
        </w:rPr>
        <w:t>般公共预算财政拨款“三公”经费支出决算表</w:t>
      </w:r>
      <w:bookmarkEnd w:id="70"/>
    </w:p>
    <w:p>
      <w:pPr>
        <w:pStyle w:val="3"/>
        <w:rPr>
          <w:rFonts w:ascii="Times New Roman" w:hAnsi="Times New Roman" w:eastAsia="仿宋" w:cs="Times New Roman"/>
          <w:color w:val="000000"/>
        </w:rPr>
      </w:pPr>
      <w:bookmarkStart w:id="71" w:name="_Toc15396629"/>
      <w:r>
        <w:rPr>
          <w:rStyle w:val="20"/>
          <w:rFonts w:hint="eastAsia" w:eastAsia="仿宋" w:cs="Times New Roman"/>
          <w:b w:val="0"/>
          <w:bCs w:val="0"/>
        </w:rPr>
        <w:t>十一、</w:t>
      </w:r>
      <w:r>
        <w:rPr>
          <w:rFonts w:hint="eastAsia" w:ascii="Times New Roman" w:hAnsi="Times New Roman" w:eastAsia="仿宋" w:cs="Times New Roman"/>
          <w:b w:val="0"/>
          <w:color w:val="000000"/>
        </w:rPr>
        <w:t>政</w:t>
      </w:r>
      <w:r>
        <w:rPr>
          <w:rStyle w:val="20"/>
          <w:rFonts w:hint="eastAsia" w:eastAsia="仿宋" w:cs="Times New Roman"/>
          <w:b w:val="0"/>
          <w:bCs w:val="0"/>
        </w:rPr>
        <w:t>府性基金预算财政拨款收入支出决算表</w:t>
      </w:r>
      <w:bookmarkEnd w:id="71"/>
    </w:p>
    <w:p>
      <w:pPr>
        <w:pStyle w:val="3"/>
        <w:rPr>
          <w:rFonts w:ascii="Times New Roman" w:hAnsi="Times New Roman" w:eastAsia="仿宋" w:cs="Times New Roman"/>
          <w:color w:val="000000"/>
        </w:rPr>
      </w:pPr>
      <w:bookmarkStart w:id="72" w:name="_Toc15396630"/>
      <w:r>
        <w:rPr>
          <w:rStyle w:val="20"/>
          <w:rFonts w:hint="eastAsia" w:eastAsia="仿宋" w:cs="Times New Roman"/>
          <w:b w:val="0"/>
          <w:bCs w:val="0"/>
        </w:rPr>
        <w:t>十二、</w:t>
      </w:r>
      <w:r>
        <w:rPr>
          <w:rFonts w:hint="eastAsia" w:ascii="Times New Roman" w:hAnsi="Times New Roman" w:eastAsia="仿宋" w:cs="Times New Roman"/>
          <w:b w:val="0"/>
          <w:color w:val="000000"/>
        </w:rPr>
        <w:t>政</w:t>
      </w:r>
      <w:r>
        <w:rPr>
          <w:rStyle w:val="20"/>
          <w:rFonts w:hint="eastAsia" w:eastAsia="仿宋" w:cs="Times New Roman"/>
          <w:b w:val="0"/>
          <w:bCs w:val="0"/>
        </w:rPr>
        <w:t>府性基金预算财政拨款“三公”经费支出决算表</w:t>
      </w:r>
      <w:bookmarkEnd w:id="72"/>
    </w:p>
    <w:p>
      <w:pPr>
        <w:pStyle w:val="3"/>
        <w:rPr>
          <w:rFonts w:ascii="Times New Roman" w:hAnsi="Times New Roman" w:eastAsia="仿宋" w:cs="Times New Roman"/>
          <w:color w:val="000000" w:themeColor="text1"/>
        </w:rPr>
      </w:pPr>
      <w:bookmarkStart w:id="73" w:name="_Toc15396631"/>
      <w:r>
        <w:rPr>
          <w:rStyle w:val="20"/>
          <w:rFonts w:hint="eastAsia" w:eastAsia="仿宋" w:cs="Times New Roman"/>
          <w:b w:val="0"/>
          <w:bCs w:val="0"/>
        </w:rPr>
        <w:t>十三、</w:t>
      </w:r>
      <w:r>
        <w:rPr>
          <w:rFonts w:hint="eastAsia" w:ascii="Times New Roman" w:hAnsi="Times New Roman" w:eastAsia="仿宋" w:cs="Times New Roman"/>
          <w:b w:val="0"/>
          <w:color w:val="000000"/>
        </w:rPr>
        <w:t>国</w:t>
      </w:r>
      <w:r>
        <w:rPr>
          <w:rStyle w:val="20"/>
          <w:rFonts w:hint="eastAsia" w:eastAsia="仿宋" w:cs="Times New Roman"/>
          <w:b w:val="0"/>
          <w:bCs w:val="0"/>
        </w:rPr>
        <w:t>有资本经营预算支出决算表</w:t>
      </w:r>
      <w:bookmarkEnd w:id="73"/>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FEC0F28"/>
    <w:multiLevelType w:val="singleLevel"/>
    <w:tmpl w:val="6FEC0F28"/>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212B"/>
    <w:rsid w:val="000D3522"/>
    <w:rsid w:val="003147BC"/>
    <w:rsid w:val="003F4F80"/>
    <w:rsid w:val="006E4DF7"/>
    <w:rsid w:val="00754A3E"/>
    <w:rsid w:val="007C74A5"/>
    <w:rsid w:val="00E6212B"/>
    <w:rsid w:val="0BD47213"/>
    <w:rsid w:val="0DD160E6"/>
    <w:rsid w:val="143F4C7C"/>
    <w:rsid w:val="179726BD"/>
    <w:rsid w:val="32D13DAA"/>
    <w:rsid w:val="38803F9D"/>
    <w:rsid w:val="5B4F086B"/>
    <w:rsid w:val="5B5B7C4B"/>
    <w:rsid w:val="5C942FB8"/>
    <w:rsid w:val="63260174"/>
    <w:rsid w:val="6C5B4FC9"/>
    <w:rsid w:val="F7BE09F5"/>
    <w:rsid w:val="FCF7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23"/>
    <w:qFormat/>
    <w:uiPriority w:val="0"/>
    <w:rPr>
      <w:rFonts w:ascii="宋体" w:hAnsi="Courier New"/>
    </w:rPr>
  </w:style>
  <w:style w:type="paragraph" w:styleId="9">
    <w:name w:val="Balloon Text"/>
    <w:basedOn w:val="1"/>
    <w:link w:val="24"/>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标题 1 Char"/>
    <w:basedOn w:val="16"/>
    <w:link w:val="2"/>
    <w:qFormat/>
    <w:uiPriority w:val="9"/>
    <w:rPr>
      <w:rFonts w:ascii="Times New Roman" w:hAnsi="Times New Roman" w:eastAsia="宋体" w:cs="Times New Roman"/>
      <w:b/>
      <w:bCs/>
      <w:kern w:val="44"/>
      <w:sz w:val="44"/>
      <w:szCs w:val="44"/>
    </w:rPr>
  </w:style>
  <w:style w:type="character" w:customStyle="1" w:styleId="20">
    <w:name w:val="标题 2 Char"/>
    <w:basedOn w:val="16"/>
    <w:link w:val="3"/>
    <w:qFormat/>
    <w:uiPriority w:val="9"/>
    <w:rPr>
      <w:rFonts w:asciiTheme="majorHAnsi" w:hAnsiTheme="majorHAnsi" w:eastAsiaTheme="majorEastAsia" w:cstheme="majorBidi"/>
      <w:b/>
      <w:bCs/>
      <w:sz w:val="32"/>
      <w:szCs w:val="32"/>
    </w:rPr>
  </w:style>
  <w:style w:type="character" w:customStyle="1" w:styleId="21">
    <w:name w:val="标题 3 Char"/>
    <w:basedOn w:val="16"/>
    <w:link w:val="4"/>
    <w:qFormat/>
    <w:uiPriority w:val="9"/>
    <w:rPr>
      <w:rFonts w:ascii="Times New Roman" w:hAnsi="Times New Roman" w:eastAsia="宋体" w:cs="Times New Roman"/>
      <w:b/>
      <w:bCs/>
      <w:sz w:val="32"/>
      <w:szCs w:val="32"/>
    </w:rPr>
  </w:style>
  <w:style w:type="character" w:customStyle="1" w:styleId="22">
    <w:name w:val="正文文本 Char"/>
    <w:basedOn w:val="16"/>
    <w:link w:val="6"/>
    <w:qFormat/>
    <w:uiPriority w:val="99"/>
    <w:rPr>
      <w:rFonts w:ascii="仿宋_GB2312" w:hAnsi="Times New Roman" w:eastAsia="仿宋_GB2312" w:cs="Times New Roman"/>
      <w:kern w:val="0"/>
      <w:sz w:val="30"/>
      <w:szCs w:val="24"/>
    </w:rPr>
  </w:style>
  <w:style w:type="character" w:customStyle="1" w:styleId="23">
    <w:name w:val="纯文本 Char"/>
    <w:basedOn w:val="16"/>
    <w:link w:val="8"/>
    <w:qFormat/>
    <w:uiPriority w:val="0"/>
    <w:rPr>
      <w:rFonts w:ascii="宋体" w:hAnsi="Courier New" w:eastAsia="宋体" w:cs="Times New Roman"/>
      <w:szCs w:val="24"/>
    </w:rPr>
  </w:style>
  <w:style w:type="character" w:customStyle="1" w:styleId="24">
    <w:name w:val="批注框文本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10"/>
    <w:qFormat/>
    <w:uiPriority w:val="99"/>
    <w:rPr>
      <w:rFonts w:ascii="Calibri" w:hAnsi="Calibri" w:eastAsia="宋体" w:cs="Times New Roman"/>
      <w:kern w:val="0"/>
      <w:sz w:val="18"/>
      <w:szCs w:val="18"/>
    </w:rPr>
  </w:style>
  <w:style w:type="character" w:customStyle="1" w:styleId="26">
    <w:name w:val="页眉 Char"/>
    <w:basedOn w:val="16"/>
    <w:link w:val="11"/>
    <w:semiHidden/>
    <w:qFormat/>
    <w:uiPriority w:val="99"/>
    <w:rPr>
      <w:rFonts w:ascii="Calibri" w:hAnsi="Calibri" w:eastAsia="宋体" w:cs="Times New Roman"/>
      <w:kern w:val="0"/>
      <w:sz w:val="18"/>
      <w:szCs w:val="18"/>
    </w:rPr>
  </w:style>
  <w:style w:type="character" w:customStyle="1" w:styleId="27">
    <w:name w:val="Header Char"/>
    <w:basedOn w:val="16"/>
    <w:semiHidden/>
    <w:qFormat/>
    <w:uiPriority w:val="99"/>
    <w:rPr>
      <w:rFonts w:ascii="Times New Roman" w:hAnsi="Times New Roman"/>
      <w:sz w:val="18"/>
      <w:szCs w:val="18"/>
    </w:rPr>
  </w:style>
  <w:style w:type="character" w:customStyle="1" w:styleId="28">
    <w:name w:val="Footer Char"/>
    <w:basedOn w:val="16"/>
    <w:semiHidden/>
    <w:qFormat/>
    <w:uiPriority w:val="99"/>
    <w:rPr>
      <w:rFonts w:ascii="Times New Roman" w:hAnsi="Times New Roman"/>
      <w:sz w:val="18"/>
      <w:szCs w:val="18"/>
    </w:rPr>
  </w:style>
  <w:style w:type="character" w:customStyle="1" w:styleId="29">
    <w:name w:val="Body Text Char"/>
    <w:basedOn w:val="16"/>
    <w:semiHidden/>
    <w:qFormat/>
    <w:uiPriority w:val="99"/>
    <w:rPr>
      <w:rFonts w:ascii="Times New Roman" w:hAnsi="Times New Roman"/>
      <w:szCs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19&#24180;&#20915;&#31639;&#20844;&#24320;\&#25856;&#26525;&#33457;&#24066;&#24066;&#32423;&#39044;&#31639;&#21333;&#20301;2019&#24180;&#37096;&#38376;&#20915;&#31639;&#20844;&#24320;&#34920;\&#21333;&#20301;&#20844;&#24320;&#25968;&#25454;\&#22235;&#24029;&#30465;&#25856;&#26525;&#33457;&#24066;&#20132;&#36890;&#36816;&#36755;&#23616;&#65288;&#27719;&#2463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收入支出对比</a:t>
            </a:r>
            <a:endParaRPr lang="en-US" altLang="zh-CN"/>
          </a:p>
        </c:rich>
      </c:tx>
      <c:layout/>
      <c:overlay val="false"/>
      <c:spPr>
        <a:noFill/>
        <a:ln>
          <a:noFill/>
        </a:ln>
        <a:effectLst/>
      </c:spPr>
    </c:title>
    <c:autoTitleDeleted val="false"/>
    <c:plotArea>
      <c:layout>
        <c:manualLayout>
          <c:layoutTarget val="inner"/>
          <c:xMode val="edge"/>
          <c:yMode val="edge"/>
          <c:x val="0.0648765700114609"/>
          <c:y val="0.206775429173441"/>
          <c:w val="0.903330086719786"/>
          <c:h val="0.733214461881358"/>
        </c:manualLayout>
      </c:layout>
      <c:barChart>
        <c:barDir val="col"/>
        <c:grouping val="clustered"/>
        <c:varyColors val="false"/>
        <c:ser>
          <c:idx val="0"/>
          <c:order val="0"/>
          <c:tx>
            <c:strRef>
              <c:f>图!$B$2</c:f>
              <c:strCache>
                <c:ptCount val="1"/>
                <c:pt idx="0">
                  <c:v>2019年</c:v>
                </c:pt>
              </c:strCache>
            </c:strRef>
          </c:tx>
          <c:spPr>
            <a:solidFill>
              <a:schemeClr val="accent1"/>
            </a:solidFill>
            <a:ln>
              <a:noFill/>
            </a:ln>
            <a:effectLst/>
            <a:sp3d/>
          </c:spPr>
          <c:invertIfNegative val="false"/>
          <c:dLbls>
            <c:dLbl>
              <c:idx val="0"/>
              <c:layout>
                <c:manualLayout>
                  <c:x val="0.0223880597014926"/>
                  <c:y val="-0.045614035087719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995024875621902"/>
                  <c:y val="-0.042105263157894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图!$A$3:$A$5</c:f>
              <c:strCache>
                <c:ptCount val="3"/>
                <c:pt idx="0">
                  <c:v>收入</c:v>
                </c:pt>
                <c:pt idx="2">
                  <c:v>支出</c:v>
                </c:pt>
              </c:strCache>
            </c:strRef>
          </c:cat>
          <c:val>
            <c:numRef>
              <c:f>图!$B$3:$B$5</c:f>
              <c:numCache>
                <c:formatCode>General</c:formatCode>
                <c:ptCount val="3"/>
                <c:pt idx="0">
                  <c:v>39366.72</c:v>
                </c:pt>
                <c:pt idx="2">
                  <c:v>47202.18</c:v>
                </c:pt>
              </c:numCache>
            </c:numRef>
          </c:val>
        </c:ser>
        <c:ser>
          <c:idx val="1"/>
          <c:order val="1"/>
          <c:tx>
            <c:strRef>
              <c:f>图!$C$2</c:f>
              <c:strCache>
                <c:ptCount val="1"/>
                <c:pt idx="0">
                  <c:v>2018年</c:v>
                </c:pt>
              </c:strCache>
            </c:strRef>
          </c:tx>
          <c:spPr>
            <a:solidFill>
              <a:schemeClr val="accent2"/>
            </a:solidFill>
            <a:ln>
              <a:noFill/>
            </a:ln>
            <a:effectLst/>
            <a:sp3d/>
          </c:spPr>
          <c:invertIfNegative val="false"/>
          <c:dLbls>
            <c:dLbl>
              <c:idx val="0"/>
              <c:layout>
                <c:manualLayout>
                  <c:x val="0.0497512437810945"/>
                  <c:y val="-0.045614035087719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72636815920398"/>
                  <c:y val="-0.052631578947368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图!$A$3:$A$5</c:f>
              <c:strCache>
                <c:ptCount val="3"/>
                <c:pt idx="0">
                  <c:v>收入</c:v>
                </c:pt>
                <c:pt idx="2">
                  <c:v>支出</c:v>
                </c:pt>
              </c:strCache>
            </c:strRef>
          </c:cat>
          <c:val>
            <c:numRef>
              <c:f>图!$C$3:$C$5</c:f>
              <c:numCache>
                <c:formatCode>General</c:formatCode>
                <c:ptCount val="3"/>
                <c:pt idx="0">
                  <c:v>31735.92</c:v>
                </c:pt>
                <c:pt idx="2">
                  <c:v>33016.86</c:v>
                </c:pt>
              </c:numCache>
            </c:numRef>
          </c:val>
        </c:ser>
        <c:dLbls>
          <c:showLegendKey val="false"/>
          <c:showVal val="true"/>
          <c:showCatName val="false"/>
          <c:showSerName val="false"/>
          <c:showPercent val="false"/>
          <c:showBubbleSize val="false"/>
        </c:dLbls>
        <c:gapWidth val="150"/>
        <c:axId val="85191680"/>
        <c:axId val="88643840"/>
      </c:barChart>
      <c:catAx>
        <c:axId val="85191680"/>
        <c:scaling>
          <c:orientation val="minMax"/>
        </c:scaling>
        <c:delete val="false"/>
        <c:axPos val="b"/>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643840"/>
        <c:crosses val="autoZero"/>
        <c:auto val="true"/>
        <c:lblAlgn val="ctr"/>
        <c:lblOffset val="100"/>
        <c:noMultiLvlLbl val="false"/>
      </c:catAx>
      <c:valAx>
        <c:axId val="8864384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19168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图!$B$33</c:f>
              <c:strCache>
                <c:ptCount val="1"/>
                <c:pt idx="0">
                  <c:v>金额</c:v>
                </c:pt>
              </c:strCache>
            </c:strRef>
          </c:tx>
          <c:explosion val="25"/>
          <c:dPt>
            <c:idx val="0"/>
            <c:bubble3D val="false"/>
          </c:dPt>
          <c:dPt>
            <c:idx val="1"/>
            <c:bubble3D val="false"/>
          </c:dPt>
          <c:dPt>
            <c:idx val="2"/>
            <c:bubble3D val="false"/>
          </c:dPt>
          <c:dLbls>
            <c:dLbl>
              <c:idx val="2"/>
              <c:layout>
                <c:manualLayout>
                  <c:x val="0.222442147856518"/>
                  <c:y val="-0.0164421114027413"/>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spPr xmlns:c15="http://schemas.microsoft.com/office/drawing/2012/chart">
                  <a:prstGeom prst="accentCallout2">
                    <a:avLst/>
                  </a:prstGeom>
                  <a:noFill/>
                  <a:ln>
                    <a:noFill/>
                  </a:ln>
                </c15:spPr>
                <c15:layout/>
                <c15:showLeaderLines val="true"/>
                <c15:leaderLines/>
              </c:ext>
            </c:extLst>
          </c:dLbls>
          <c:cat>
            <c:strRef>
              <c:f>图!$A$34:$A$36</c:f>
              <c:strCache>
                <c:ptCount val="3"/>
                <c:pt idx="0">
                  <c:v>一般公共预算财政拨款收入</c:v>
                </c:pt>
                <c:pt idx="1">
                  <c:v>政府性基金预算财政拨款</c:v>
                </c:pt>
                <c:pt idx="2">
                  <c:v>其他收入</c:v>
                </c:pt>
              </c:strCache>
            </c:strRef>
          </c:cat>
          <c:val>
            <c:numRef>
              <c:f>图!$B$34:$B$36</c:f>
              <c:numCache>
                <c:formatCode>General</c:formatCode>
                <c:ptCount val="3"/>
                <c:pt idx="0">
                  <c:v>38154.74</c:v>
                </c:pt>
                <c:pt idx="1">
                  <c:v>243.4</c:v>
                </c:pt>
                <c:pt idx="2">
                  <c:v>968.58</c:v>
                </c:pt>
              </c:numCache>
            </c:numRef>
          </c:val>
        </c:ser>
        <c:ser>
          <c:idx val="1"/>
          <c:order val="1"/>
          <c:tx>
            <c:strRef>
              <c:f>图!$C$33</c:f>
              <c:strCache>
                <c:ptCount val="1"/>
                <c:pt idx="0">
                  <c:v>占比%</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图!$A$34:$A$36</c:f>
              <c:strCache>
                <c:ptCount val="3"/>
                <c:pt idx="0">
                  <c:v>一般公共预算财政拨款收入</c:v>
                </c:pt>
                <c:pt idx="1">
                  <c:v>政府性基金预算财政拨款</c:v>
                </c:pt>
                <c:pt idx="2">
                  <c:v>其他收入</c:v>
                </c:pt>
              </c:strCache>
            </c:strRef>
          </c:cat>
          <c:val>
            <c:numRef>
              <c:f>图!$C$34:$C$36</c:f>
              <c:numCache>
                <c:formatCode>0.00_ </c:formatCode>
                <c:ptCount val="3"/>
                <c:pt idx="0">
                  <c:v>96.9213081506408</c:v>
                </c:pt>
                <c:pt idx="1">
                  <c:v>0.618288747449623</c:v>
                </c:pt>
                <c:pt idx="2">
                  <c:v>2.46040310190943</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支出决算结构</a:t>
            </a:r>
            <a:endParaRPr lang="en-US" altLang="zh-CN"/>
          </a:p>
        </c:rich>
      </c:tx>
      <c:layout/>
      <c:overlay val="false"/>
    </c:title>
    <c:autoTitleDeleted val="false"/>
    <c:plotArea>
      <c:layout/>
      <c:pieChart>
        <c:varyColors val="true"/>
        <c:ser>
          <c:idx val="0"/>
          <c:order val="0"/>
          <c:tx>
            <c:strRef>
              <c:f>图!$B$64</c:f>
              <c:strCache>
                <c:ptCount val="1"/>
                <c:pt idx="0">
                  <c:v>金额</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true"/>
            <c:showPercent val="true"/>
            <c:showBubbleSize val="false"/>
            <c:showLeaderLines val="true"/>
            <c:extLst>
              <c:ext xmlns:c15="http://schemas.microsoft.com/office/drawing/2012/chart" uri="{CE6537A1-D6FC-4f65-9D91-7224C49458BB}">
                <c15:layout/>
                <c15:showLeaderLines val="true"/>
                <c15:leaderLines/>
              </c:ext>
            </c:extLst>
          </c:dLbls>
          <c:cat>
            <c:strRef>
              <c:f>图!$A$65:$A$67</c:f>
              <c:strCache>
                <c:ptCount val="3"/>
                <c:pt idx="0">
                  <c:v>基本支出</c:v>
                </c:pt>
                <c:pt idx="2">
                  <c:v>项目支出</c:v>
                </c:pt>
              </c:strCache>
            </c:strRef>
          </c:cat>
          <c:val>
            <c:numRef>
              <c:f>图!$B$65:$B$67</c:f>
              <c:numCache>
                <c:formatCode>General</c:formatCode>
                <c:ptCount val="3"/>
                <c:pt idx="0">
                  <c:v>16582.57</c:v>
                </c:pt>
                <c:pt idx="2">
                  <c:v>30619.61</c:v>
                </c:pt>
              </c:numCache>
            </c:numRef>
          </c:val>
        </c:ser>
        <c:ser>
          <c:idx val="1"/>
          <c:order val="1"/>
          <c:tx>
            <c:strRef>
              <c:f>图!$C$64</c:f>
              <c:strCache>
                <c:ptCount val="1"/>
                <c:pt idx="0">
                  <c:v>占比</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图!$A$65:$A$67</c:f>
              <c:strCache>
                <c:ptCount val="3"/>
                <c:pt idx="0">
                  <c:v>基本支出</c:v>
                </c:pt>
                <c:pt idx="2">
                  <c:v>项目支出</c:v>
                </c:pt>
              </c:strCache>
            </c:strRef>
          </c:cat>
          <c:val>
            <c:numRef>
              <c:f>图!$C$65:$C$67</c:f>
              <c:numCache>
                <c:formatCode>0.00_ </c:formatCode>
                <c:ptCount val="3"/>
                <c:pt idx="0">
                  <c:v>35.1309409862002</c:v>
                </c:pt>
                <c:pt idx="2">
                  <c:v>64.8690590137996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autoTitleDeleted val="true"/>
    <c:plotArea>
      <c:layout/>
      <c:barChart>
        <c:barDir val="col"/>
        <c:grouping val="clustered"/>
        <c:varyColors val="false"/>
        <c:ser>
          <c:idx val="0"/>
          <c:order val="0"/>
          <c:tx>
            <c:strRef>
              <c:f>图!$A$93</c:f>
              <c:strCache>
                <c:ptCount val="1"/>
                <c:pt idx="0">
                  <c:v>财政拨款收入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图!$B$92:$D$92</c:f>
              <c:strCache>
                <c:ptCount val="3"/>
                <c:pt idx="0">
                  <c:v>2019年度</c:v>
                </c:pt>
                <c:pt idx="1">
                  <c:v>2018年度</c:v>
                </c:pt>
                <c:pt idx="2">
                  <c:v>增加/减少%</c:v>
                </c:pt>
              </c:strCache>
            </c:strRef>
          </c:cat>
          <c:val>
            <c:numRef>
              <c:f>图!$B$93:$D$93</c:f>
              <c:numCache>
                <c:formatCode>General</c:formatCode>
                <c:ptCount val="3"/>
                <c:pt idx="0">
                  <c:v>38398.14</c:v>
                </c:pt>
                <c:pt idx="1">
                  <c:v>30729.67</c:v>
                </c:pt>
                <c:pt idx="2" c:formatCode="0.00_ ">
                  <c:v>24.9546122688594</c:v>
                </c:pt>
              </c:numCache>
            </c:numRef>
          </c:val>
        </c:ser>
        <c:ser>
          <c:idx val="1"/>
          <c:order val="1"/>
          <c:tx>
            <c:strRef>
              <c:f>图!$A$94</c:f>
              <c:strCache>
                <c:ptCount val="1"/>
                <c:pt idx="0">
                  <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图!$B$92:$D$92</c:f>
              <c:strCache>
                <c:ptCount val="3"/>
                <c:pt idx="0">
                  <c:v>2019年度</c:v>
                </c:pt>
                <c:pt idx="1">
                  <c:v>2018年度</c:v>
                </c:pt>
                <c:pt idx="2">
                  <c:v>增加/减少%</c:v>
                </c:pt>
              </c:strCache>
            </c:strRef>
          </c:cat>
          <c:val>
            <c:numRef>
              <c:f>图!$B$94:$D$94</c:f>
              <c:numCache>
                <c:formatCode>General</c:formatCode>
                <c:ptCount val="3"/>
              </c:numCache>
            </c:numRef>
          </c:val>
        </c:ser>
        <c:ser>
          <c:idx val="2"/>
          <c:order val="2"/>
          <c:tx>
            <c:strRef>
              <c:f>图!$A$95</c:f>
              <c:strCache>
                <c:ptCount val="1"/>
                <c:pt idx="0">
                  <c:v>财政拨款支出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图!$B$92:$D$92</c:f>
              <c:strCache>
                <c:ptCount val="3"/>
                <c:pt idx="0">
                  <c:v>2019年度</c:v>
                </c:pt>
                <c:pt idx="1">
                  <c:v>2018年度</c:v>
                </c:pt>
                <c:pt idx="2">
                  <c:v>增加/减少%</c:v>
                </c:pt>
              </c:strCache>
            </c:strRef>
          </c:cat>
          <c:val>
            <c:numRef>
              <c:f>图!$B$95:$D$95</c:f>
              <c:numCache>
                <c:formatCode>General</c:formatCode>
                <c:ptCount val="3"/>
                <c:pt idx="0">
                  <c:v>45485.29</c:v>
                </c:pt>
                <c:pt idx="1">
                  <c:v>32728.91</c:v>
                </c:pt>
                <c:pt idx="2" c:formatCode="0.00_ ">
                  <c:v>38.9758779012193</c:v>
                </c:pt>
              </c:numCache>
            </c:numRef>
          </c:val>
        </c:ser>
        <c:dLbls>
          <c:showLegendKey val="false"/>
          <c:showVal val="true"/>
          <c:showCatName val="false"/>
          <c:showSerName val="false"/>
          <c:showPercent val="false"/>
          <c:showBubbleSize val="false"/>
        </c:dLbls>
        <c:gapWidth val="75"/>
        <c:axId val="98106752"/>
        <c:axId val="105548416"/>
      </c:barChart>
      <c:catAx>
        <c:axId val="9810675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5548416"/>
        <c:crosses val="autoZero"/>
        <c:auto val="true"/>
        <c:lblAlgn val="ctr"/>
        <c:lblOffset val="100"/>
        <c:noMultiLvlLbl val="false"/>
      </c:catAx>
      <c:valAx>
        <c:axId val="105548416"/>
        <c:scaling>
          <c:orientation val="minMax"/>
        </c:scaling>
        <c:delete val="false"/>
        <c:axPos val="l"/>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8106752"/>
        <c:crosses val="autoZero"/>
        <c:crossBetween val="between"/>
      </c:valAx>
      <c:spPr>
        <a:solidFill>
          <a:schemeClr val="bg1"/>
        </a:solidFill>
        <a:ln>
          <a:noFill/>
        </a:ln>
        <a:effectLst/>
      </c:spPr>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3990488368441"/>
          <c:y val="0.120417524220807"/>
          <c:w val="0.679520649662384"/>
          <c:h val="0.699636987011599"/>
        </c:manualLayout>
      </c:layout>
      <c:barChart>
        <c:barDir val="col"/>
        <c:grouping val="clustered"/>
        <c:varyColors val="false"/>
        <c:ser>
          <c:idx val="0"/>
          <c:order val="0"/>
          <c:tx>
            <c:strRef>
              <c:f>图!$A$118</c:f>
              <c:strCache>
                <c:ptCount val="1"/>
                <c:pt idx="0">
                  <c:v>一般公共预算财政拨款收入</c:v>
                </c:pt>
              </c:strCache>
            </c:strRef>
          </c:tx>
          <c:invertIfNegative val="false"/>
          <c:dLbls>
            <c:delete val="true"/>
          </c:dLbls>
          <c:cat>
            <c:strRef>
              <c:f>图!$B$117:$E$117</c:f>
              <c:strCache>
                <c:ptCount val="4"/>
                <c:pt idx="0">
                  <c:v>2019年</c:v>
                </c:pt>
                <c:pt idx="1">
                  <c:v>2018年</c:v>
                </c:pt>
                <c:pt idx="2">
                  <c:v>增加/减少</c:v>
                </c:pt>
                <c:pt idx="3">
                  <c:v>增加/减少%</c:v>
                </c:pt>
              </c:strCache>
            </c:strRef>
          </c:cat>
          <c:val>
            <c:numRef>
              <c:f>图!$B$118:$E$118</c:f>
            </c:numRef>
          </c:val>
        </c:ser>
        <c:ser>
          <c:idx val="1"/>
          <c:order val="1"/>
          <c:tx>
            <c:strRef>
              <c:f>图!$A$119</c:f>
              <c:strCache>
                <c:ptCount val="1"/>
                <c:pt idx="0">
                  <c:v>一般公共预算财政拨款支出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图!$B$117:$E$117</c:f>
              <c:strCache>
                <c:ptCount val="4"/>
                <c:pt idx="0">
                  <c:v>2019年</c:v>
                </c:pt>
                <c:pt idx="1">
                  <c:v>2018年</c:v>
                </c:pt>
                <c:pt idx="2">
                  <c:v>增加/减少</c:v>
                </c:pt>
                <c:pt idx="3">
                  <c:v>增加/减少%</c:v>
                </c:pt>
              </c:strCache>
            </c:strRef>
          </c:cat>
          <c:val>
            <c:numRef>
              <c:f>图!$B$119:$E$119</c:f>
              <c:numCache>
                <c:formatCode>General</c:formatCode>
                <c:ptCount val="4"/>
                <c:pt idx="0">
                  <c:v>45241.89</c:v>
                </c:pt>
                <c:pt idx="1">
                  <c:v>32728.91</c:v>
                </c:pt>
                <c:pt idx="2">
                  <c:v>12512.98</c:v>
                </c:pt>
                <c:pt idx="3" c:formatCode="0.00_ ">
                  <c:v>38.232192883906</c:v>
                </c:pt>
              </c:numCache>
            </c:numRef>
          </c:val>
        </c:ser>
        <c:ser>
          <c:idx val="2"/>
          <c:order val="2"/>
          <c:tx>
            <c:strRef>
              <c:f>图!$A$120</c:f>
              <c:strCache>
                <c:ptCount val="1"/>
                <c:pt idx="0">
                  <c:v/>
                </c:pt>
              </c:strCache>
            </c:strRef>
          </c:tx>
          <c:invertIfNegative val="false"/>
          <c:dLbls>
            <c:delete val="true"/>
          </c:dLbls>
          <c:cat>
            <c:strRef>
              <c:f>图!$B$117:$E$117</c:f>
              <c:strCache>
                <c:ptCount val="4"/>
                <c:pt idx="0">
                  <c:v>2019年</c:v>
                </c:pt>
                <c:pt idx="1">
                  <c:v>2018年</c:v>
                </c:pt>
                <c:pt idx="2">
                  <c:v>增加/减少</c:v>
                </c:pt>
                <c:pt idx="3">
                  <c:v>增加/减少%</c:v>
                </c:pt>
              </c:strCache>
            </c:strRef>
          </c:cat>
          <c:val>
            <c:numRef>
              <c:f>图!$B$120:$E$120</c:f>
              <c:numCache>
                <c:formatCode>General</c:formatCode>
                <c:ptCount val="4"/>
              </c:numCache>
            </c:numRef>
          </c:val>
        </c:ser>
        <c:ser>
          <c:idx val="3"/>
          <c:order val="3"/>
          <c:tx>
            <c:strRef>
              <c:f>图!$A$121</c:f>
              <c:strCache>
                <c:ptCount val="1"/>
                <c:pt idx="0">
                  <c:v>本年支出</c:v>
                </c:pt>
              </c:strCache>
            </c:strRef>
          </c:tx>
          <c:invertIfNegative val="false"/>
          <c:dLbls>
            <c:dLbl>
              <c:idx val="0"/>
              <c:layout>
                <c:manualLayout>
                  <c:x val="0.0250712250712252"/>
                  <c:y val="-0.013689248033437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342507645259939"/>
                  <c:y val="-0.03832989449362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87464387464387"/>
                  <c:y val="-0.027378496066874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图!$B$117:$E$117</c:f>
              <c:strCache>
                <c:ptCount val="4"/>
                <c:pt idx="0">
                  <c:v>2019年</c:v>
                </c:pt>
                <c:pt idx="1">
                  <c:v>2018年</c:v>
                </c:pt>
                <c:pt idx="2">
                  <c:v>增加/减少</c:v>
                </c:pt>
                <c:pt idx="3">
                  <c:v>增加/减少%</c:v>
                </c:pt>
              </c:strCache>
            </c:strRef>
          </c:cat>
          <c:val>
            <c:numRef>
              <c:f>图!$B$121:$E$121</c:f>
              <c:numCache>
                <c:formatCode>General</c:formatCode>
                <c:ptCount val="4"/>
                <c:pt idx="0">
                  <c:v>47202.18</c:v>
                </c:pt>
                <c:pt idx="1">
                  <c:v>33016.86</c:v>
                </c:pt>
                <c:pt idx="2">
                  <c:v>14185.32</c:v>
                </c:pt>
                <c:pt idx="3" c:formatCode="0.00_ ">
                  <c:v>42.9638675513055</c:v>
                </c:pt>
              </c:numCache>
            </c:numRef>
          </c:val>
        </c:ser>
        <c:dLbls>
          <c:showLegendKey val="false"/>
          <c:showVal val="false"/>
          <c:showCatName val="false"/>
          <c:showSerName val="false"/>
          <c:showPercent val="false"/>
          <c:showBubbleSize val="false"/>
        </c:dLbls>
        <c:gapWidth val="150"/>
        <c:axId val="113350912"/>
        <c:axId val="113378816"/>
      </c:barChart>
      <c:catAx>
        <c:axId val="11335091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3378816"/>
        <c:crosses val="autoZero"/>
        <c:auto val="true"/>
        <c:lblAlgn val="ctr"/>
        <c:lblOffset val="100"/>
        <c:noMultiLvlLbl val="false"/>
      </c:catAx>
      <c:valAx>
        <c:axId val="113378816"/>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3350912"/>
        <c:crosses val="autoZero"/>
        <c:crossBetween val="between"/>
      </c:valAx>
      <c:spPr>
        <a:solidFill>
          <a:schemeClr val="bg1"/>
        </a:solidFill>
        <a:ln>
          <a:noFill/>
        </a:ln>
        <a:effectLst/>
      </c:spPr>
    </c:plotArea>
    <c:legend>
      <c:legendPos val="r"/>
      <c:layout>
        <c:manualLayout>
          <c:xMode val="edge"/>
          <c:yMode val="edge"/>
          <c:x val="0.806303160822844"/>
          <c:y val="0.281836178720786"/>
          <c:w val="0.18002162550194"/>
          <c:h val="0.4633775966725"/>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a:t>
            </a:r>
            <a:endParaRPr lang="en-US" altLang="zh-CN" sz="1200"/>
          </a:p>
          <a:p>
            <a:pPr>
              <a:defRPr lang="zh-CN" sz="1200" b="1" i="0" u="none" strike="noStrike" kern="1200" baseline="0">
                <a:solidFill>
                  <a:schemeClr val="tx1"/>
                </a:solidFill>
                <a:latin typeface="+mn-lt"/>
                <a:ea typeface="+mn-ea"/>
                <a:cs typeface="+mn-cs"/>
              </a:defRPr>
            </a:pPr>
            <a:endParaRPr lang="zh-CN" altLang="en-US" sz="1200"/>
          </a:p>
        </c:rich>
      </c:tx>
      <c:layout>
        <c:manualLayout>
          <c:xMode val="edge"/>
          <c:yMode val="edge"/>
          <c:x val="0.300648530044856"/>
          <c:y val="0"/>
        </c:manualLayout>
      </c:layout>
      <c:overlay val="false"/>
    </c:title>
    <c:autoTitleDeleted val="false"/>
    <c:plotArea>
      <c:layout/>
      <c:pieChart>
        <c:varyColors val="true"/>
        <c:ser>
          <c:idx val="0"/>
          <c:order val="0"/>
          <c:tx>
            <c:strRef>
              <c:f>图!$B$157</c:f>
              <c:strCache>
                <c:ptCount val="1"/>
                <c:pt idx="0">
                  <c:v>金额</c:v>
                </c:pt>
              </c:strCache>
            </c:strRef>
          </c:tx>
          <c:explosion val="25"/>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0"/>
              <c:layout>
                <c:manualLayout>
                  <c:x val="-0.00266466691663542"/>
                  <c:y val="-0.0413734312622687"/>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248664750239553"/>
                  <c:y val="-0.13521096627627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0259836039013642"/>
                  <c:y val="-0.19205959549174"/>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5"/>
              <c:layout>
                <c:manualLayout>
                  <c:x val="-0.199212135520097"/>
                  <c:y val="-0.18645735459538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6"/>
              <c:layout>
                <c:manualLayout>
                  <c:x val="-0.21312900702227"/>
                  <c:y val="-0.047801892410507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spPr xmlns:c15="http://schemas.microsoft.com/office/drawing/2012/chart">
                  <a:prstGeom prst="borderCallout1">
                    <a:avLst/>
                  </a:prstGeom>
                  <a:noFill/>
                  <a:ln>
                    <a:noFill/>
                  </a:ln>
                </c15:spPr>
                <c15:layout/>
                <c15:showLeaderLines val="true"/>
                <c15:leaderLines/>
              </c:ext>
            </c:extLst>
          </c:dLbls>
          <c:cat>
            <c:strRef>
              <c:f>图!$A$158:$A$164</c:f>
              <c:strCache>
                <c:ptCount val="7"/>
                <c:pt idx="0">
                  <c:v>一般公共服务支出</c:v>
                </c:pt>
                <c:pt idx="1">
                  <c:v>社会保障和就业支出</c:v>
                </c:pt>
                <c:pt idx="2">
                  <c:v>节能环保支出</c:v>
                </c:pt>
                <c:pt idx="3">
                  <c:v>城乡社区支出</c:v>
                </c:pt>
                <c:pt idx="4">
                  <c:v>交通运输支出</c:v>
                </c:pt>
                <c:pt idx="5">
                  <c:v>住房保障支出</c:v>
                </c:pt>
                <c:pt idx="6">
                  <c:v>其他支出</c:v>
                </c:pt>
              </c:strCache>
            </c:strRef>
          </c:cat>
          <c:val>
            <c:numRef>
              <c:f>图!$B$158:$B$164</c:f>
              <c:numCache>
                <c:formatCode>General</c:formatCode>
                <c:ptCount val="7"/>
                <c:pt idx="0">
                  <c:v>18.47</c:v>
                </c:pt>
                <c:pt idx="1">
                  <c:v>585.49</c:v>
                </c:pt>
                <c:pt idx="2">
                  <c:v>140</c:v>
                </c:pt>
                <c:pt idx="3">
                  <c:v>13676.18</c:v>
                </c:pt>
                <c:pt idx="4">
                  <c:v>30450.53</c:v>
                </c:pt>
                <c:pt idx="5">
                  <c:v>308.02</c:v>
                </c:pt>
                <c:pt idx="6">
                  <c:v>63.2</c:v>
                </c:pt>
              </c:numCache>
            </c:numRef>
          </c:val>
        </c:ser>
        <c:ser>
          <c:idx val="1"/>
          <c:order val="1"/>
          <c:tx>
            <c:strRef>
              <c:f>图!$C$157</c:f>
              <c:strCache>
                <c:ptCount val="1"/>
                <c:pt idx="0">
                  <c:v>占比%</c:v>
                </c:pt>
              </c:strCache>
            </c:strRef>
          </c:tx>
          <c:explosion val="25"/>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图!$A$158:$A$164</c:f>
              <c:strCache>
                <c:ptCount val="7"/>
                <c:pt idx="0">
                  <c:v>一般公共服务支出</c:v>
                </c:pt>
                <c:pt idx="1">
                  <c:v>社会保障和就业支出</c:v>
                </c:pt>
                <c:pt idx="2">
                  <c:v>节能环保支出</c:v>
                </c:pt>
                <c:pt idx="3">
                  <c:v>城乡社区支出</c:v>
                </c:pt>
                <c:pt idx="4">
                  <c:v>交通运输支出</c:v>
                </c:pt>
                <c:pt idx="5">
                  <c:v>住房保障支出</c:v>
                </c:pt>
                <c:pt idx="6">
                  <c:v>其他支出</c:v>
                </c:pt>
              </c:strCache>
            </c:strRef>
          </c:cat>
          <c:val>
            <c:numRef>
              <c:f>图!$C$158:$C$164</c:f>
              <c:numCache>
                <c:formatCode>0.00_ </c:formatCode>
                <c:ptCount val="7"/>
                <c:pt idx="0">
                  <c:v>0.0408249964800321</c:v>
                </c:pt>
                <c:pt idx="1">
                  <c:v>1.29413249534889</c:v>
                </c:pt>
                <c:pt idx="2">
                  <c:v>0.309447726432295</c:v>
                </c:pt>
                <c:pt idx="3">
                  <c:v>30.2290200519916</c:v>
                </c:pt>
                <c:pt idx="4">
                  <c:v>67.3060519797029</c:v>
                </c:pt>
                <c:pt idx="5">
                  <c:v>0.680829204969113</c:v>
                </c:pt>
                <c:pt idx="6">
                  <c:v>0.13969354507515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三公经费财政拨款支出结构</a:t>
            </a:r>
            <a:endParaRPr lang="en-US" altLang="zh-CN"/>
          </a:p>
        </c:rich>
      </c:tx>
      <c:layout/>
      <c:overlay val="false"/>
    </c:title>
    <c:autoTitleDeleted val="false"/>
    <c:plotArea>
      <c:layout/>
      <c:pieChart>
        <c:varyColors val="true"/>
        <c:ser>
          <c:idx val="0"/>
          <c:order val="0"/>
          <c:explosion val="25"/>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multiLvlStrRef>
              <c:f>'Z10 一般公共预算财政拨款“三公”经费支出决算表(财决公开1'!$C$5:$F$6</c:f>
              <c:multiLvlStrCache>
                <c:ptCount val="2"/>
                <c:lvl>
                  <c:pt idx="0">
                    <c:v>小计</c:v>
                  </c:pt>
                </c:lvl>
                <c:lvl>
                  <c:pt idx="0">
                    <c:v>公务用车购置及运行费</c:v>
                  </c:pt>
                  <c:pt idx="1">
                    <c:v>公务接待费</c:v>
                  </c:pt>
                </c:lvl>
              </c:multiLvlStrCache>
            </c:multiLvlStrRef>
          </c:cat>
          <c:val>
            <c:numRef>
              <c:f>'Z10 一般公共预算财政拨款“三公”经费支出决算表(财决公开1'!$C$7:$F$7</c:f>
              <c:numCache>
                <c:formatCode>#,##0.00</c:formatCode>
                <c:ptCount val="2"/>
                <c:pt idx="0">
                  <c:v>39.68</c:v>
                </c:pt>
                <c:pt idx="1">
                  <c:v>4.55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3324</Words>
  <Characters>18947</Characters>
  <Lines>157</Lines>
  <Paragraphs>44</Paragraphs>
  <TotalTime>1</TotalTime>
  <ScaleCrop>false</ScaleCrop>
  <LinksUpToDate>false</LinksUpToDate>
  <CharactersWithSpaces>22227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2020-09-16T22:32:00Z</dcterms:created>
  <dc:creator>王东</dc:creator>
  <cp:lastModifiedBy>李颉妍</cp:lastModifiedBy>
  <dcterms:modified xsi:type="dcterms:W3CDTF">2025-02-10T11:43:38Z</dcterms:modified>
  <dc:title>2019年度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