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150FE">
      <w:pPr>
        <w:spacing w:line="600" w:lineRule="exact"/>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攀枝花市人力资源和社会保障局</w:t>
      </w:r>
    </w:p>
    <w:p w14:paraId="79DCD20E">
      <w:pPr>
        <w:spacing w:line="600" w:lineRule="exact"/>
        <w:jc w:val="center"/>
        <w:rPr>
          <w:rFonts w:hint="eastAsia" w:ascii="仿宋_GB2312" w:hAnsi="仿宋_GB2312" w:eastAsia="仿宋_GB2312" w:cs="仿宋_GB2312"/>
          <w:sz w:val="44"/>
          <w:szCs w:val="44"/>
          <w:u w:val="single"/>
        </w:rPr>
      </w:pPr>
      <w:r>
        <w:rPr>
          <w:rFonts w:hint="eastAsia" w:ascii="方正小标宋_GBK" w:hAnsi="方正小标宋_GBK" w:eastAsia="方正小标宋_GBK" w:cs="方正小标宋_GBK"/>
          <w:sz w:val="44"/>
          <w:szCs w:val="44"/>
        </w:rPr>
        <w:t>2019年部门预算编制说明</w:t>
      </w:r>
    </w:p>
    <w:p w14:paraId="623429A8">
      <w:pPr>
        <w:pStyle w:val="2"/>
        <w:adjustRightInd w:val="0"/>
        <w:spacing w:beforeLines="0" w:line="6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    </w:t>
      </w:r>
    </w:p>
    <w:p w14:paraId="629B20BF">
      <w:pPr>
        <w:spacing w:line="360" w:lineRule="auto"/>
        <w:ind w:firstLine="640" w:firstLineChars="200"/>
        <w:rPr>
          <w:rFonts w:hint="eastAsia" w:ascii="黑体" w:hAnsi="黑体" w:eastAsia="黑体" w:cs="黑体"/>
        </w:rPr>
      </w:pPr>
      <w:r>
        <w:rPr>
          <w:rFonts w:hint="eastAsia" w:ascii="黑体" w:hAnsi="黑体" w:eastAsia="黑体" w:cs="黑体"/>
        </w:rPr>
        <w:t>一、基本职能及主要工作</w:t>
      </w:r>
    </w:p>
    <w:p w14:paraId="1A273462">
      <w:pPr>
        <w:spacing w:line="360" w:lineRule="auto"/>
        <w:ind w:firstLine="643" w:firstLineChars="200"/>
        <w:rPr>
          <w:rFonts w:hint="eastAsia" w:ascii="仿宋_GB2312" w:hAnsi="仿宋_GB2312" w:eastAsia="仿宋_GB2312" w:cs="仿宋_GB2312"/>
          <w:b/>
        </w:rPr>
      </w:pPr>
      <w:r>
        <w:rPr>
          <w:rFonts w:hint="eastAsia" w:ascii="仿宋_GB2312" w:hAnsi="仿宋_GB2312" w:eastAsia="仿宋_GB2312" w:cs="仿宋_GB2312"/>
          <w:b/>
        </w:rPr>
        <w:t>（一）攀枝花市人力资源和社会保障局职能简介。</w:t>
      </w:r>
    </w:p>
    <w:p w14:paraId="2475E51C">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攀枝花市人力资源和社会保障局基本职能是贯彻执行国家、省人力资源和社会保障工作的法律、法规、规章和政策，拟定全市人力资源和社会保障事业发展规划、政策并组织实施，统筹推进人力资源开发和社会保障事业发展;拟定并组织实施全市人力资源市场发展规划和人力资源流动政策，建立健全统一规范的人力资源市场;负责促进就业工作；拟定统筹城乡的就业发展规划政策，完善公共就业服务体系，拟定并组织落实创业、就业援助服务;统筹建立覆盖城乡的社会保障体系;负责就业、失业、社会保险基金预测预警和信息引导，拟定应对预案，实施预防、调节和控制，保持就业形势稳定和社会保险基金应收尽收、按时足额发放;贯彻执行国家、省企业职工工资收入分配、支付、保障和调控政策;会同有关部门指导事业单位人事制度改革，拟定事业单位人员和机关工勤人员管理政策，负责事业单位人员综合管理工作;贯彻落实国家、省军队转业干部安置政策和安置计划;负责行政机关公务员和参照公务员制度管理人员的综合管理;会同有关部门拟定劳务开发及农民工工作综合性政策和规划并推动相关政策的落实;贯彻执行劳动、人事争议调解仲裁制度和劳动关系政策;受理人力资源保障方面的信访事项。</w:t>
      </w:r>
    </w:p>
    <w:p w14:paraId="4A37D67D">
      <w:pPr>
        <w:pStyle w:val="2"/>
        <w:adjustRightInd w:val="0"/>
        <w:spacing w:beforeLines="0" w:line="360" w:lineRule="auto"/>
        <w:ind w:firstLine="675" w:firstLineChars="210"/>
        <w:rPr>
          <w:rFonts w:hint="eastAsia" w:ascii="仿宋_GB2312" w:hAnsi="仿宋_GB2312" w:eastAsia="仿宋_GB2312" w:cs="仿宋_GB2312"/>
          <w:b/>
          <w:sz w:val="32"/>
        </w:rPr>
      </w:pPr>
      <w:r>
        <w:rPr>
          <w:rFonts w:hint="eastAsia" w:ascii="仿宋_GB2312" w:hAnsi="仿宋_GB2312" w:eastAsia="仿宋_GB2312" w:cs="仿宋_GB2312"/>
          <w:b/>
          <w:sz w:val="32"/>
        </w:rPr>
        <w:t>（二）攀枝花市人力资源和社会保障局2019年重点工作。</w:t>
      </w:r>
    </w:p>
    <w:p w14:paraId="78BD460A">
      <w:pPr>
        <w:pStyle w:val="2"/>
        <w:adjustRightInd w:val="0"/>
        <w:spacing w:beforeLines="0" w:line="360" w:lineRule="auto"/>
        <w:ind w:firstLine="632" w:firstLineChars="210"/>
        <w:rPr>
          <w:rFonts w:hint="eastAsia" w:ascii="仿宋_GB2312" w:hAnsi="仿宋_GB2312" w:eastAsia="仿宋_GB2312" w:cs="仿宋_GB2312"/>
          <w:color w:val="000000" w:themeColor="text1"/>
        </w:rPr>
      </w:pPr>
      <w:r>
        <w:rPr>
          <w:rFonts w:hint="eastAsia" w:ascii="仿宋_GB2312" w:hAnsi="仿宋_GB2312" w:eastAsia="仿宋_GB2312" w:cs="仿宋_GB2312"/>
          <w:b/>
          <w:bCs/>
          <w:color w:val="000000" w:themeColor="text1"/>
        </w:rPr>
        <w:t>1、实施就业优先战略，稳定大局扩总量。</w:t>
      </w:r>
      <w:r>
        <w:rPr>
          <w:rFonts w:hint="eastAsia" w:ascii="仿宋_GB2312" w:hAnsi="仿宋_GB2312" w:eastAsia="仿宋_GB2312" w:cs="仿宋_GB2312"/>
          <w:color w:val="000000" w:themeColor="text1"/>
        </w:rPr>
        <w:t>保持就业大局稳定；促进重点群体就业；</w:t>
      </w:r>
      <w:r>
        <w:rPr>
          <w:rFonts w:hint="eastAsia" w:ascii="仿宋_GB2312" w:hAnsi="仿宋_GB2312" w:eastAsia="仿宋_GB2312" w:cs="仿宋_GB2312"/>
        </w:rPr>
        <w:t>大众创业带动就业</w:t>
      </w:r>
      <w:r>
        <w:rPr>
          <w:rFonts w:hint="eastAsia" w:ascii="仿宋_GB2312" w:hAnsi="仿宋_GB2312" w:eastAsia="仿宋_GB2312" w:cs="仿宋_GB2312"/>
          <w:bCs/>
        </w:rPr>
        <w:t>；</w:t>
      </w:r>
      <w:r>
        <w:rPr>
          <w:rFonts w:hint="eastAsia" w:ascii="仿宋_GB2312" w:hAnsi="仿宋_GB2312" w:eastAsia="仿宋_GB2312" w:cs="仿宋_GB2312"/>
          <w:color w:val="000000" w:themeColor="text1"/>
        </w:rPr>
        <w:t>提升就业培训水平。</w:t>
      </w:r>
    </w:p>
    <w:p w14:paraId="4650E20F">
      <w:pPr>
        <w:pStyle w:val="2"/>
        <w:adjustRightInd w:val="0"/>
        <w:spacing w:beforeLines="0" w:line="360" w:lineRule="auto"/>
        <w:ind w:firstLine="632" w:firstLineChars="210"/>
        <w:rPr>
          <w:rFonts w:hint="eastAsia" w:ascii="仿宋_GB2312" w:hAnsi="仿宋_GB2312" w:eastAsia="仿宋_GB2312" w:cs="仿宋_GB2312"/>
          <w:color w:val="000000" w:themeColor="text1"/>
        </w:rPr>
      </w:pPr>
      <w:r>
        <w:rPr>
          <w:rFonts w:hint="eastAsia" w:ascii="仿宋_GB2312" w:hAnsi="仿宋_GB2312" w:eastAsia="仿宋_GB2312" w:cs="仿宋_GB2312"/>
          <w:b/>
          <w:bCs/>
          <w:color w:val="000000" w:themeColor="text1"/>
        </w:rPr>
        <w:t>2、完善社会保障体系，突出兜底保基本。</w:t>
      </w:r>
      <w:r>
        <w:rPr>
          <w:rFonts w:hint="eastAsia" w:ascii="仿宋_GB2312" w:hAnsi="仿宋_GB2312" w:eastAsia="仿宋_GB2312" w:cs="仿宋_GB2312"/>
          <w:bCs/>
          <w:color w:val="000000" w:themeColor="text1"/>
        </w:rPr>
        <w:t>推进全民参保；</w:t>
      </w:r>
      <w:r>
        <w:rPr>
          <w:rFonts w:hint="eastAsia" w:ascii="仿宋_GB2312" w:hAnsi="仿宋_GB2312" w:eastAsia="仿宋_GB2312" w:cs="仿宋_GB2312"/>
          <w:color w:val="000000" w:themeColor="text1"/>
          <w:kern w:val="0"/>
        </w:rPr>
        <w:t>完善社保制度,</w:t>
      </w:r>
      <w:r>
        <w:rPr>
          <w:rFonts w:hint="eastAsia" w:ascii="仿宋_GB2312" w:hAnsi="仿宋_GB2312" w:eastAsia="仿宋_GB2312" w:cs="仿宋_GB2312"/>
          <w:color w:val="000000" w:themeColor="text1"/>
        </w:rPr>
        <w:t xml:space="preserve"> 按照国家统一部署，及时做好社保待遇调整工作、有序移交社保征缴工作，确保各项社会保险平稳过渡运行</w:t>
      </w:r>
      <w:r>
        <w:rPr>
          <w:rFonts w:hint="eastAsia" w:ascii="仿宋_GB2312" w:hAnsi="仿宋_GB2312" w:eastAsia="仿宋_GB2312" w:cs="仿宋_GB2312"/>
          <w:color w:val="000000" w:themeColor="text1"/>
          <w:kern w:val="0"/>
        </w:rPr>
        <w:t>；</w:t>
      </w:r>
      <w:r>
        <w:rPr>
          <w:rFonts w:hint="eastAsia" w:ascii="仿宋_GB2312" w:hAnsi="仿宋_GB2312" w:eastAsia="仿宋_GB2312" w:cs="仿宋_GB2312"/>
          <w:color w:val="000000" w:themeColor="text1"/>
        </w:rPr>
        <w:t>优化医保管理；强化基金监管。</w:t>
      </w:r>
    </w:p>
    <w:p w14:paraId="77CD1499">
      <w:pPr>
        <w:pStyle w:val="2"/>
        <w:adjustRightInd w:val="0"/>
        <w:spacing w:beforeLines="0" w:line="360" w:lineRule="auto"/>
        <w:ind w:firstLine="632" w:firstLineChars="210"/>
        <w:rPr>
          <w:rFonts w:hint="eastAsia" w:ascii="仿宋_GB2312" w:hAnsi="仿宋_GB2312" w:eastAsia="仿宋_GB2312" w:cs="仿宋_GB2312"/>
          <w:color w:val="000000" w:themeColor="text1"/>
        </w:rPr>
      </w:pPr>
      <w:r>
        <w:rPr>
          <w:rFonts w:hint="eastAsia" w:ascii="仿宋_GB2312" w:hAnsi="仿宋_GB2312" w:eastAsia="仿宋_GB2312" w:cs="仿宋_GB2312"/>
          <w:b/>
          <w:color w:val="000000" w:themeColor="text1"/>
        </w:rPr>
        <w:t>3、抓好人事人才工作，搭建平台促发展。</w:t>
      </w:r>
      <w:r>
        <w:rPr>
          <w:rFonts w:hint="eastAsia" w:ascii="仿宋_GB2312" w:hAnsi="仿宋_GB2312" w:eastAsia="仿宋_GB2312" w:cs="仿宋_GB2312"/>
          <w:color w:val="000000" w:themeColor="text1"/>
        </w:rPr>
        <w:t>扎实做好发挥人事人才工作，为做好“两篇文章”、“五个加快建设”提供支撑。重点落实人才工作服务工业经济发展措施，为工业振兴提供坚实人才保障。广聚各类人才；建设技能品牌；培育专技人才；人事服务人才。</w:t>
      </w:r>
    </w:p>
    <w:p w14:paraId="05DA2E25">
      <w:pPr>
        <w:pStyle w:val="2"/>
        <w:adjustRightInd w:val="0"/>
        <w:spacing w:beforeLines="0" w:line="360" w:lineRule="auto"/>
        <w:ind w:firstLine="632" w:firstLineChars="210"/>
        <w:rPr>
          <w:rFonts w:hint="eastAsia" w:ascii="仿宋_GB2312" w:hAnsi="仿宋_GB2312" w:eastAsia="仿宋_GB2312" w:cs="仿宋_GB2312"/>
          <w:bCs/>
        </w:rPr>
      </w:pPr>
      <w:r>
        <w:rPr>
          <w:rFonts w:hint="eastAsia" w:ascii="仿宋_GB2312" w:hAnsi="仿宋_GB2312" w:eastAsia="仿宋_GB2312" w:cs="仿宋_GB2312"/>
          <w:b/>
          <w:bCs/>
          <w:color w:val="000000" w:themeColor="text1"/>
        </w:rPr>
        <w:t>4、积极构建和谐劳动关系，治欠保支维权益。</w:t>
      </w:r>
      <w:r>
        <w:rPr>
          <w:rFonts w:hint="eastAsia" w:ascii="仿宋_GB2312" w:hAnsi="仿宋_GB2312" w:eastAsia="仿宋_GB2312" w:cs="仿宋_GB2312"/>
          <w:color w:val="000000" w:themeColor="text1"/>
        </w:rPr>
        <w:t>强化综合治理；用好仲裁手段；</w:t>
      </w:r>
      <w:r>
        <w:rPr>
          <w:rFonts w:hint="eastAsia" w:ascii="仿宋_GB2312" w:hAnsi="仿宋_GB2312" w:eastAsia="仿宋_GB2312" w:cs="仿宋_GB2312"/>
          <w:bCs/>
        </w:rPr>
        <w:t>做好信访维稳。</w:t>
      </w:r>
    </w:p>
    <w:p w14:paraId="55E64696">
      <w:pPr>
        <w:pStyle w:val="2"/>
        <w:adjustRightInd w:val="0"/>
        <w:spacing w:beforeLines="0" w:line="360" w:lineRule="auto"/>
        <w:ind w:firstLine="632" w:firstLineChars="210"/>
        <w:rPr>
          <w:rFonts w:hint="eastAsia" w:ascii="仿宋_GB2312" w:hAnsi="仿宋_GB2312" w:eastAsia="仿宋_GB2312" w:cs="仿宋_GB2312"/>
          <w:bCs/>
          <w:color w:val="000000" w:themeColor="text1"/>
        </w:rPr>
      </w:pPr>
      <w:r>
        <w:rPr>
          <w:rFonts w:hint="eastAsia" w:ascii="仿宋_GB2312" w:hAnsi="仿宋_GB2312" w:eastAsia="仿宋_GB2312" w:cs="仿宋_GB2312"/>
          <w:b/>
          <w:bCs/>
          <w:color w:val="000000" w:themeColor="text1"/>
        </w:rPr>
        <w:t>5、优化升级人社公共服务，赢得满意争一流。</w:t>
      </w:r>
      <w:r>
        <w:rPr>
          <w:rFonts w:hint="eastAsia" w:ascii="仿宋_GB2312" w:hAnsi="仿宋_GB2312" w:eastAsia="仿宋_GB2312" w:cs="仿宋_GB2312"/>
          <w:color w:val="000000" w:themeColor="text1"/>
        </w:rPr>
        <w:t>落实“最多跑一次”；健全综合柜员制；推广网上服务；规范平台建设；</w:t>
      </w:r>
      <w:r>
        <w:rPr>
          <w:rFonts w:hint="eastAsia" w:ascii="仿宋_GB2312" w:hAnsi="仿宋_GB2312" w:eastAsia="仿宋_GB2312" w:cs="仿宋_GB2312"/>
          <w:color w:val="000000" w:themeColor="text1"/>
          <w:kern w:val="0"/>
        </w:rPr>
        <w:t>培育专业素养；</w:t>
      </w:r>
      <w:r>
        <w:rPr>
          <w:rFonts w:hint="eastAsia" w:ascii="仿宋_GB2312" w:hAnsi="仿宋_GB2312" w:eastAsia="仿宋_GB2312" w:cs="仿宋_GB2312"/>
          <w:bCs/>
          <w:color w:val="000000" w:themeColor="text1"/>
        </w:rPr>
        <w:t>全面加强党风廉政建设，凝心聚力葆本色。</w:t>
      </w:r>
    </w:p>
    <w:p w14:paraId="219DAFD6">
      <w:pPr>
        <w:pStyle w:val="2"/>
        <w:adjustRightInd w:val="0"/>
        <w:spacing w:beforeLines="0" w:line="360" w:lineRule="auto"/>
        <w:ind w:firstLine="630" w:firstLineChars="210"/>
        <w:rPr>
          <w:rFonts w:hint="eastAsia" w:ascii="黑体" w:hAnsi="黑体" w:eastAsia="黑体" w:cs="黑体"/>
        </w:rPr>
      </w:pPr>
      <w:r>
        <w:rPr>
          <w:rFonts w:hint="eastAsia" w:ascii="黑体" w:hAnsi="黑体" w:eastAsia="黑体" w:cs="黑体"/>
        </w:rPr>
        <w:t>二、单位构成情况</w:t>
      </w:r>
    </w:p>
    <w:p w14:paraId="26115CF9">
      <w:pPr>
        <w:pStyle w:val="2"/>
        <w:adjustRightInd w:val="0"/>
        <w:spacing w:beforeLines="0" w:line="360" w:lineRule="auto"/>
        <w:ind w:firstLine="630" w:firstLineChars="210"/>
        <w:rPr>
          <w:rFonts w:hint="eastAsia" w:ascii="仿宋_GB2312" w:hAnsi="仿宋_GB2312" w:eastAsia="仿宋_GB2312" w:cs="仿宋_GB2312"/>
        </w:rPr>
      </w:pPr>
      <w:r>
        <w:rPr>
          <w:rFonts w:hint="eastAsia" w:ascii="仿宋_GB2312" w:hAnsi="仿宋_GB2312" w:eastAsia="仿宋_GB2312" w:cs="仿宋_GB2312"/>
        </w:rPr>
        <w:t>攀枝花市人力资源和社会保障局下属非独立核算的单位0个。</w:t>
      </w:r>
    </w:p>
    <w:p w14:paraId="6F553AD6">
      <w:pPr>
        <w:pStyle w:val="2"/>
        <w:adjustRightInd w:val="0"/>
        <w:spacing w:beforeLines="0" w:line="360" w:lineRule="auto"/>
        <w:ind w:firstLine="630" w:firstLineChars="210"/>
        <w:rPr>
          <w:rFonts w:hint="eastAsia" w:ascii="黑体" w:hAnsi="黑体" w:eastAsia="黑体" w:cs="黑体"/>
        </w:rPr>
      </w:pPr>
      <w:r>
        <w:rPr>
          <w:rFonts w:hint="eastAsia" w:ascii="黑体" w:hAnsi="黑体" w:eastAsia="黑体" w:cs="黑体"/>
        </w:rPr>
        <w:t>三、收支预算情况说明</w:t>
      </w:r>
    </w:p>
    <w:p w14:paraId="3465CF18">
      <w:pPr>
        <w:pStyle w:val="2"/>
        <w:adjustRightInd w:val="0"/>
        <w:spacing w:beforeLines="0" w:line="360" w:lineRule="auto"/>
        <w:ind w:firstLine="630" w:firstLineChars="210"/>
        <w:rPr>
          <w:rFonts w:hint="eastAsia" w:ascii="仿宋_GB2312" w:hAnsi="仿宋_GB2312" w:eastAsia="仿宋_GB2312" w:cs="仿宋_GB2312"/>
        </w:rPr>
      </w:pPr>
      <w:r>
        <w:rPr>
          <w:rFonts w:hint="eastAsia" w:ascii="仿宋_GB2312" w:hAnsi="仿宋_GB2312" w:eastAsia="仿宋_GB2312" w:cs="仿宋_GB2312"/>
        </w:rPr>
        <w:t>按照综合预算的原则，攀枝花市人力资源和社会保障局所有收入和支出均纳入部门预算管理。收入包括：一般公共预算拨款收入；支出包括：一般公共服务支出、社会保障和就业支出、住房保障支出。攀枝花市人力资源和社会保障局2019年收支总预算1510.71万元。</w:t>
      </w:r>
    </w:p>
    <w:p w14:paraId="24A4DEA5">
      <w:pPr>
        <w:pStyle w:val="2"/>
        <w:adjustRightInd w:val="0"/>
        <w:spacing w:beforeLines="0" w:line="360" w:lineRule="auto"/>
        <w:ind w:firstLine="632" w:firstLineChars="210"/>
        <w:rPr>
          <w:rFonts w:hint="eastAsia" w:ascii="仿宋_GB2312" w:hAnsi="仿宋_GB2312" w:eastAsia="仿宋_GB2312" w:cs="仿宋_GB2312"/>
          <w:b/>
        </w:rPr>
      </w:pPr>
      <w:r>
        <w:rPr>
          <w:rFonts w:hint="eastAsia" w:ascii="仿宋_GB2312" w:hAnsi="仿宋_GB2312" w:eastAsia="仿宋_GB2312" w:cs="仿宋_GB2312"/>
          <w:b/>
        </w:rPr>
        <w:t>（一）收入预算情况</w:t>
      </w:r>
    </w:p>
    <w:p w14:paraId="6FF6C190">
      <w:pPr>
        <w:pStyle w:val="2"/>
        <w:adjustRightInd w:val="0"/>
        <w:spacing w:beforeLines="0" w:line="360" w:lineRule="auto"/>
        <w:ind w:firstLine="630" w:firstLineChars="210"/>
        <w:rPr>
          <w:rFonts w:hint="eastAsia" w:ascii="仿宋_GB2312" w:hAnsi="仿宋_GB2312" w:eastAsia="仿宋_GB2312" w:cs="仿宋_GB2312"/>
        </w:rPr>
      </w:pPr>
      <w:r>
        <w:rPr>
          <w:rFonts w:hint="eastAsia" w:ascii="仿宋_GB2312" w:hAnsi="仿宋_GB2312" w:eastAsia="仿宋_GB2312" w:cs="仿宋_GB2312"/>
        </w:rPr>
        <w:t>攀枝花市人力资源和社会保障局2019年收入预算1510.71万元，其中：上年结转0万元，占0%；一般公共预算拨款收入1510.71万元，占100%；政府性基金预算拨款收入0万元，占0%；事业收入0万元，占0%。</w:t>
      </w:r>
    </w:p>
    <w:p w14:paraId="7B270A5E">
      <w:pPr>
        <w:spacing w:line="360" w:lineRule="auto"/>
        <w:ind w:firstLine="643" w:firstLineChars="200"/>
        <w:rPr>
          <w:rFonts w:hint="eastAsia" w:ascii="仿宋_GB2312" w:hAnsi="仿宋_GB2312" w:eastAsia="仿宋_GB2312" w:cs="仿宋_GB2312"/>
          <w:b/>
        </w:rPr>
      </w:pPr>
      <w:r>
        <w:rPr>
          <w:rFonts w:hint="eastAsia" w:ascii="仿宋_GB2312" w:hAnsi="仿宋_GB2312" w:eastAsia="仿宋_GB2312" w:cs="仿宋_GB2312"/>
          <w:b/>
        </w:rPr>
        <w:t>（二）支出预算情况</w:t>
      </w:r>
    </w:p>
    <w:p w14:paraId="2F3DA467">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攀枝花市人力资源和社会保障局2019年支出预算1510.71万元，其中：基本支出1409.11万元，占93.27%，用于保障本单位正常运转的日常支出，包括工资福利支出、日常公用支出、对个人和家庭的补助支出等；项目支出101.60万元，占6.73%，用于保障本单位承担的项目建设工作，机构为完成特定的行政工作任务或发展目标，用于专项业务工作的经费支出。</w:t>
      </w:r>
    </w:p>
    <w:p w14:paraId="1F9E6A3E">
      <w:pPr>
        <w:spacing w:line="360" w:lineRule="auto"/>
        <w:ind w:firstLine="640" w:firstLineChars="200"/>
        <w:rPr>
          <w:rFonts w:hint="eastAsia" w:ascii="黑体" w:hAnsi="黑体" w:eastAsia="黑体" w:cs="黑体"/>
        </w:rPr>
      </w:pPr>
      <w:r>
        <w:rPr>
          <w:rFonts w:hint="eastAsia" w:ascii="黑体" w:hAnsi="黑体" w:eastAsia="黑体" w:cs="黑体"/>
        </w:rPr>
        <w:t>四、财政拨款收支预算情况说明</w:t>
      </w:r>
    </w:p>
    <w:p w14:paraId="4DF2B1FA">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攀枝花市人力资源和社会保障局2019年财政拨款收支总预算1510.71万元。收入包括：本年一般公共预算拨款收入1510.71万元、本年政府性基金预算拨款收入0万元；支出包括：一般公共服务支出1149.08万元、社会保障和就业支出262.53万元、住房保障支出99.10万元。</w:t>
      </w:r>
    </w:p>
    <w:p w14:paraId="3980AD23">
      <w:pPr>
        <w:spacing w:line="360" w:lineRule="auto"/>
        <w:ind w:firstLine="640" w:firstLineChars="200"/>
        <w:rPr>
          <w:rFonts w:hint="eastAsia" w:ascii="黑体" w:hAnsi="黑体" w:eastAsia="黑体" w:cs="黑体"/>
        </w:rPr>
      </w:pPr>
      <w:r>
        <w:rPr>
          <w:rFonts w:hint="eastAsia" w:ascii="黑体" w:hAnsi="黑体" w:eastAsia="黑体" w:cs="黑体"/>
        </w:rPr>
        <w:t>五、一般公共预算当年拨款情况说明</w:t>
      </w:r>
    </w:p>
    <w:p w14:paraId="5E74AA41">
      <w:pPr>
        <w:spacing w:line="360" w:lineRule="auto"/>
        <w:ind w:firstLine="643" w:firstLineChars="200"/>
        <w:rPr>
          <w:rFonts w:hint="eastAsia" w:ascii="仿宋_GB2312" w:hAnsi="仿宋_GB2312" w:eastAsia="仿宋_GB2312" w:cs="仿宋_GB2312"/>
          <w:b/>
        </w:rPr>
      </w:pPr>
      <w:r>
        <w:rPr>
          <w:rFonts w:hint="eastAsia" w:ascii="仿宋_GB2312" w:hAnsi="仿宋_GB2312" w:eastAsia="仿宋_GB2312" w:cs="仿宋_GB2312"/>
          <w:b/>
        </w:rPr>
        <w:t>（一）一般公共预算当年拨款规模变化情况</w:t>
      </w:r>
    </w:p>
    <w:p w14:paraId="1AA97954">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攀枝花市人力资源和社会保障局2019年一般公共预算当年拨款1510.71万元，比2018年预算数增加93.44万元，主要是基本支出增加76.44万元，项目支出增加17万元。</w:t>
      </w:r>
    </w:p>
    <w:p w14:paraId="68136156">
      <w:pPr>
        <w:spacing w:line="360" w:lineRule="auto"/>
        <w:ind w:firstLine="643" w:firstLineChars="200"/>
        <w:rPr>
          <w:rFonts w:hint="eastAsia" w:ascii="仿宋_GB2312" w:hAnsi="仿宋_GB2312" w:eastAsia="仿宋_GB2312" w:cs="仿宋_GB2312"/>
          <w:b/>
        </w:rPr>
      </w:pPr>
      <w:r>
        <w:rPr>
          <w:rFonts w:hint="eastAsia" w:ascii="仿宋_GB2312" w:hAnsi="仿宋_GB2312" w:eastAsia="仿宋_GB2312" w:cs="仿宋_GB2312"/>
          <w:b/>
        </w:rPr>
        <w:t>（二）一般公共预算当年拨款结构情况</w:t>
      </w:r>
    </w:p>
    <w:p w14:paraId="6D7C3E3B">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一般公共服务支出1149.08万元，占76.06%；社会保障和就业支出262.53万元，占17.38%；住房保障支出99.10万元，占6.56%。</w:t>
      </w:r>
    </w:p>
    <w:p w14:paraId="1D994E10">
      <w:pPr>
        <w:spacing w:line="360" w:lineRule="auto"/>
        <w:ind w:firstLine="643" w:firstLineChars="200"/>
        <w:rPr>
          <w:rFonts w:hint="eastAsia" w:ascii="仿宋_GB2312" w:hAnsi="仿宋_GB2312" w:eastAsia="仿宋_GB2312" w:cs="仿宋_GB2312"/>
          <w:b/>
        </w:rPr>
      </w:pPr>
      <w:r>
        <w:rPr>
          <w:rFonts w:hint="eastAsia" w:ascii="仿宋_GB2312" w:hAnsi="仿宋_GB2312" w:eastAsia="仿宋_GB2312" w:cs="仿宋_GB2312"/>
          <w:b/>
        </w:rPr>
        <w:t>（三）一般公共预算当年拨款具体使用情况</w:t>
      </w:r>
    </w:p>
    <w:p w14:paraId="6C52F848">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1.一般公共服务（类）人力资源事务（款）行政运行（项）2019年预算数为1119.08万元，主要用于本单位职工工资，津贴补贴，日常办公经费。</w:t>
      </w:r>
    </w:p>
    <w:p w14:paraId="24E4A64B">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2.一般公共服务（类）人力资源事务（款）机关服务（项目）2019年预算数为26.00万元，主要用于：机关五食堂物业管理费,为提高职工生活质量，激发职工工作积极性，推动人社工作创新发展。</w:t>
      </w:r>
    </w:p>
    <w:p w14:paraId="6A26353A">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3. 一般公共服务（类）组织事务（款）其他组织事务支出（项）2019年预算数为4.00万元，主要用于：2019年援藏干部人才补助经费，按照攀藏组办〔2018〕12号文件要求，于每月对援藏干部兑现当月援藏干部人才补助津贴，促进凉山州脱贫攻坚综合帮扶工作。</w:t>
      </w:r>
    </w:p>
    <w:p w14:paraId="48219004">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4. 社会保障和就业支出（类）人力资源和社会保障管理事务（款）一般行政管理事务（项目）2019年预算数为71.60万元，主要用于：保障本单位承担的项目建设工作，机构为完成特定的行政工作任务或事业发展目标，用于专项业务工作的经费支出，保障机关的业务运行，提高干部职工的工作能力水平。</w:t>
      </w:r>
    </w:p>
    <w:p w14:paraId="21196D98">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5. 社会保障和就业支出（类）行政事业单位离退休（款）未归口管理的行政单位离退休（项）2019年预算数为89.00万元，主要用于：单位退休职工的日常公用经费及退休费。</w:t>
      </w:r>
    </w:p>
    <w:p w14:paraId="00375A54">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6．社会保障和就业支出（类）行政事业单位离退休（款）机关事业单位基本养老保险缴费支出（项）2019年预算数为101.93万元，主要用于：机关基本养老保险单位部分缴费支出。</w:t>
      </w:r>
    </w:p>
    <w:p w14:paraId="2E091DF5">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7.住房保障支出（类）住房改革支出（款）住房公积金（项）2019年预算数为99.10万元，主要用于：单位按照规定标准为职工缴纳住房公积金支出。</w:t>
      </w:r>
    </w:p>
    <w:p w14:paraId="3594617E">
      <w:pPr>
        <w:spacing w:line="360" w:lineRule="auto"/>
        <w:ind w:firstLine="640" w:firstLineChars="200"/>
        <w:rPr>
          <w:rFonts w:hint="eastAsia" w:ascii="黑体" w:hAnsi="黑体" w:eastAsia="黑体" w:cs="黑体"/>
        </w:rPr>
      </w:pPr>
      <w:r>
        <w:rPr>
          <w:rFonts w:hint="eastAsia" w:ascii="黑体" w:hAnsi="黑体" w:eastAsia="黑体" w:cs="黑体"/>
        </w:rPr>
        <w:t>六、一般公共预算基本支出情况说明</w:t>
      </w:r>
    </w:p>
    <w:p w14:paraId="26CEB806">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攀枝花市人力资源和社会保障局2019年一般公共预算基本支出1409.11万元，其中：</w:t>
      </w:r>
    </w:p>
    <w:p w14:paraId="4A5382AC">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人员经费1200.83万元，主要包括：基本工资、津贴补贴、奖金、机关事业单位基本养老保险缴费、职工基本医疗保险缴费、公务员医疗补助缴费、其他社会保险缴费、住房公积金、其他工资福利支出、退休费、医疗费补助。</w:t>
      </w:r>
    </w:p>
    <w:p w14:paraId="710F70FB">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公用经费208.28万元，主要包括：办公费、水费、电费、邮电费、差旅费、公务接待费、工会经费、福利费、公务用车运行维护费、其他交通费用、其他商品和服务支出。</w:t>
      </w:r>
    </w:p>
    <w:p w14:paraId="021A86F6">
      <w:pPr>
        <w:spacing w:line="360" w:lineRule="auto"/>
        <w:ind w:firstLine="640" w:firstLineChars="200"/>
        <w:rPr>
          <w:rFonts w:hint="eastAsia" w:ascii="黑体" w:hAnsi="黑体" w:eastAsia="黑体" w:cs="黑体"/>
        </w:rPr>
      </w:pPr>
      <w:r>
        <w:rPr>
          <w:rFonts w:hint="eastAsia" w:ascii="黑体" w:hAnsi="黑体" w:eastAsia="黑体" w:cs="黑体"/>
        </w:rPr>
        <w:t>七、“三公”经费财政拨款预算安排情况说明</w:t>
      </w:r>
    </w:p>
    <w:p w14:paraId="2FB84FB0">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攀枝花市人力资源和社会保障局2019年“三公”经费财政拨款预算数5万元，其中：因公出国（境）经费0万元，公务接待费3.2万元，公务用车购置及运行维护费1.8万元。</w:t>
      </w:r>
    </w:p>
    <w:p w14:paraId="5EC1CC5F">
      <w:pPr>
        <w:spacing w:line="360" w:lineRule="auto"/>
        <w:ind w:firstLine="643" w:firstLineChars="200"/>
        <w:rPr>
          <w:rFonts w:hint="eastAsia" w:ascii="仿宋_GB2312" w:hAnsi="仿宋_GB2312" w:eastAsia="仿宋_GB2312" w:cs="仿宋_GB2312"/>
        </w:rPr>
      </w:pPr>
      <w:r>
        <w:rPr>
          <w:rFonts w:hint="eastAsia" w:ascii="仿宋_GB2312" w:hAnsi="仿宋_GB2312" w:eastAsia="仿宋_GB2312" w:cs="仿宋_GB2312"/>
          <w:b/>
        </w:rPr>
        <w:t>（一）因公出国（境）经费2019年预算与2018年预算持平。</w:t>
      </w:r>
      <w:r>
        <w:rPr>
          <w:rFonts w:hint="eastAsia" w:ascii="仿宋_GB2312" w:hAnsi="仿宋_GB2312" w:eastAsia="仿宋_GB2312" w:cs="仿宋_GB2312"/>
        </w:rPr>
        <w:t>主要原因是2018年和2019年均未发生此项费用。根据市外事侨务办（台办）批准的2019年因公临时出国（境）安排，拟安排出国（境）团组0次, 0人。</w:t>
      </w:r>
    </w:p>
    <w:p w14:paraId="2DB40327">
      <w:pPr>
        <w:spacing w:line="360" w:lineRule="auto"/>
        <w:ind w:firstLine="643" w:firstLineChars="200"/>
        <w:rPr>
          <w:rFonts w:hint="eastAsia" w:ascii="仿宋_GB2312" w:hAnsi="仿宋_GB2312" w:eastAsia="仿宋_GB2312" w:cs="仿宋_GB2312"/>
        </w:rPr>
      </w:pPr>
      <w:r>
        <w:rPr>
          <w:rFonts w:hint="eastAsia" w:ascii="仿宋_GB2312" w:hAnsi="仿宋_GB2312" w:eastAsia="仿宋_GB2312" w:cs="仿宋_GB2312"/>
          <w:b/>
        </w:rPr>
        <w:t>（二）公务接待费2019年预算与2018年预算持平。</w:t>
      </w:r>
      <w:r>
        <w:rPr>
          <w:rFonts w:hint="eastAsia" w:ascii="仿宋_GB2312" w:hAnsi="仿宋_GB2312" w:eastAsia="仿宋_GB2312" w:cs="仿宋_GB2312"/>
        </w:rPr>
        <w:t>主要原因是严格执行</w:t>
      </w:r>
      <w:r>
        <w:rPr>
          <w:rFonts w:hint="eastAsia" w:ascii="仿宋_GB2312" w:hAnsi="仿宋_GB2312" w:cs="仿宋_GB2312"/>
          <w:lang w:eastAsia="zh-CN"/>
        </w:rPr>
        <w:t>中央八项规定</w:t>
      </w:r>
      <w:r>
        <w:rPr>
          <w:rFonts w:hint="eastAsia" w:ascii="仿宋_GB2312" w:hAnsi="仿宋_GB2312" w:eastAsia="仿宋_GB2312" w:cs="仿宋_GB2312"/>
        </w:rPr>
        <w:t>，公务接待从俭。</w:t>
      </w:r>
    </w:p>
    <w:p w14:paraId="28BEDEBD">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2019年公务接待费计划用于接待各地市相关单位。</w:t>
      </w:r>
    </w:p>
    <w:p w14:paraId="6557D3A5">
      <w:pPr>
        <w:spacing w:line="360" w:lineRule="auto"/>
        <w:ind w:firstLine="643" w:firstLineChars="200"/>
        <w:rPr>
          <w:rFonts w:hint="eastAsia" w:ascii="仿宋_GB2312" w:hAnsi="仿宋_GB2312" w:eastAsia="仿宋_GB2312" w:cs="仿宋_GB2312"/>
        </w:rPr>
      </w:pPr>
      <w:r>
        <w:rPr>
          <w:rFonts w:hint="eastAsia" w:ascii="仿宋_GB2312" w:hAnsi="仿宋_GB2312" w:eastAsia="仿宋_GB2312" w:cs="仿宋_GB2312"/>
          <w:b/>
        </w:rPr>
        <w:t>（三）公务用车购置及运行维护费2019年预算与2018年预算持平。</w:t>
      </w:r>
      <w:r>
        <w:rPr>
          <w:rFonts w:hint="eastAsia" w:ascii="仿宋_GB2312" w:hAnsi="仿宋_GB2312" w:eastAsia="仿宋_GB2312" w:cs="仿宋_GB2312"/>
        </w:rPr>
        <w:t>主要原因是公车管理从严。</w:t>
      </w:r>
    </w:p>
    <w:p w14:paraId="4D9CED99">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单位现有公务用车1辆，为越野车。</w:t>
      </w:r>
    </w:p>
    <w:p w14:paraId="3E17D381">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2019年安排公务用车购置费0万元，购置公务用车0辆。</w:t>
      </w:r>
    </w:p>
    <w:p w14:paraId="6A199D2A">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2019年安排公务用车运行维护费1.8万元，用于1辆公务用车燃油、维修、车辆通行等方面支出，主要保障相关业务工作的开展。</w:t>
      </w:r>
    </w:p>
    <w:p w14:paraId="4757CCCE">
      <w:pPr>
        <w:spacing w:line="360" w:lineRule="auto"/>
        <w:ind w:firstLine="640" w:firstLineChars="200"/>
        <w:rPr>
          <w:rFonts w:hint="eastAsia" w:ascii="黑体" w:hAnsi="黑体" w:eastAsia="黑体" w:cs="黑体"/>
        </w:rPr>
      </w:pPr>
      <w:r>
        <w:rPr>
          <w:rFonts w:hint="eastAsia" w:ascii="黑体" w:hAnsi="黑体" w:eastAsia="黑体" w:cs="黑体"/>
        </w:rPr>
        <w:t>八、政府性基金预算支出情况说明</w:t>
      </w:r>
    </w:p>
    <w:p w14:paraId="79F83B9D">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攀枝花市人力资源和社会保障局2019年政府性基金预算支出0万元。其中基本支出0万元，项目支出0万元。</w:t>
      </w:r>
    </w:p>
    <w:p w14:paraId="2B374B22">
      <w:pPr>
        <w:spacing w:line="360" w:lineRule="auto"/>
        <w:ind w:firstLine="640" w:firstLineChars="200"/>
        <w:rPr>
          <w:rFonts w:hint="eastAsia" w:ascii="黑体" w:hAnsi="黑体" w:eastAsia="黑体" w:cs="黑体"/>
        </w:rPr>
      </w:pPr>
      <w:r>
        <w:rPr>
          <w:rFonts w:hint="eastAsia" w:ascii="黑体" w:hAnsi="黑体" w:eastAsia="黑体" w:cs="黑体"/>
        </w:rPr>
        <w:t>九、其他重要事项的情况说明</w:t>
      </w:r>
    </w:p>
    <w:p w14:paraId="59EC5713">
      <w:pPr>
        <w:spacing w:line="360" w:lineRule="auto"/>
        <w:ind w:firstLine="643" w:firstLineChars="200"/>
        <w:rPr>
          <w:rFonts w:hint="eastAsia" w:ascii="仿宋_GB2312" w:hAnsi="仿宋_GB2312" w:eastAsia="仿宋_GB2312" w:cs="仿宋_GB2312"/>
          <w:b/>
        </w:rPr>
      </w:pPr>
      <w:r>
        <w:rPr>
          <w:rFonts w:hint="eastAsia" w:ascii="仿宋_GB2312" w:hAnsi="仿宋_GB2312" w:eastAsia="仿宋_GB2312" w:cs="仿宋_GB2312"/>
          <w:b/>
        </w:rPr>
        <w:t>（一）业务运行经费</w:t>
      </w:r>
    </w:p>
    <w:p w14:paraId="5794E394">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2019年，攀枝花市人力资源和社会保障局机关运行经费财政拨款预算为208.28万元，比2018年预算增加20.21万元，增长了10.75%。</w:t>
      </w:r>
    </w:p>
    <w:p w14:paraId="75D90F41">
      <w:pPr>
        <w:spacing w:line="360" w:lineRule="auto"/>
        <w:ind w:firstLine="643" w:firstLineChars="200"/>
        <w:rPr>
          <w:rFonts w:hint="eastAsia" w:ascii="仿宋_GB2312" w:hAnsi="仿宋_GB2312" w:eastAsia="仿宋_GB2312" w:cs="仿宋_GB2312"/>
          <w:b/>
        </w:rPr>
      </w:pPr>
      <w:r>
        <w:rPr>
          <w:rFonts w:hint="eastAsia" w:ascii="仿宋_GB2312" w:hAnsi="仿宋_GB2312" w:eastAsia="仿宋_GB2312" w:cs="仿宋_GB2312"/>
          <w:b/>
        </w:rPr>
        <w:t>（二）国有资产占有使用情况</w:t>
      </w:r>
    </w:p>
    <w:p w14:paraId="6770DF01">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截至2018底，攀枝花市人力资源和社会保障局共有车辆1辆，其中，执法执勤用车0辆，单位价值200万以上大型设备0台。</w:t>
      </w:r>
    </w:p>
    <w:p w14:paraId="2509A3FD">
      <w:pPr>
        <w:spacing w:line="360" w:lineRule="auto"/>
        <w:ind w:firstLine="643" w:firstLineChars="200"/>
        <w:rPr>
          <w:rFonts w:hint="eastAsia" w:ascii="仿宋_GB2312" w:hAnsi="仿宋_GB2312" w:eastAsia="仿宋_GB2312" w:cs="仿宋_GB2312"/>
          <w:b/>
        </w:rPr>
      </w:pPr>
      <w:r>
        <w:rPr>
          <w:rFonts w:hint="eastAsia" w:ascii="仿宋_GB2312" w:hAnsi="仿宋_GB2312" w:eastAsia="仿宋_GB2312" w:cs="仿宋_GB2312"/>
          <w:b/>
        </w:rPr>
        <w:t>（三）绩效目标设置情况</w:t>
      </w:r>
    </w:p>
    <w:p w14:paraId="6C9CCB8C">
      <w:pPr>
        <w:spacing w:line="360" w:lineRule="auto"/>
        <w:ind w:firstLine="640" w:firstLineChars="200"/>
        <w:rPr>
          <w:rFonts w:hint="eastAsia" w:ascii="仿宋_GB2312" w:hAnsi="仿宋_GB2312" w:eastAsia="仿宋_GB2312" w:cs="仿宋_GB2312"/>
          <w:u w:val="single"/>
        </w:rPr>
      </w:pPr>
      <w:r>
        <w:rPr>
          <w:rFonts w:hint="eastAsia" w:ascii="仿宋_GB2312" w:hAnsi="仿宋_GB2312" w:eastAsia="仿宋_GB2312" w:cs="仿宋_GB2312"/>
        </w:rPr>
        <w:t>2019年攀枝花市人力资源和社会保障局通用项目和专用项目均按要求实行绩效目标管理，涉及一般公共预算当年拨款101.60万元。</w:t>
      </w:r>
    </w:p>
    <w:p w14:paraId="11B957EE">
      <w:pPr>
        <w:spacing w:line="360" w:lineRule="auto"/>
        <w:ind w:firstLine="640" w:firstLineChars="200"/>
        <w:rPr>
          <w:rFonts w:hint="eastAsia" w:ascii="黑体" w:hAnsi="黑体" w:eastAsia="黑体" w:cs="黑体"/>
        </w:rPr>
      </w:pPr>
      <w:r>
        <w:rPr>
          <w:rFonts w:hint="eastAsia" w:ascii="黑体" w:hAnsi="黑体" w:eastAsia="黑体" w:cs="黑体"/>
        </w:rPr>
        <w:t>十、名词解释</w:t>
      </w:r>
    </w:p>
    <w:p w14:paraId="4308A7FE">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1.一般公共预算拨款收入：指市级财政当年拨付的资金。</w:t>
      </w:r>
    </w:p>
    <w:p w14:paraId="3BE1B492">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2.基本支出：指为保证机构正常运转，完成日常工作任务而发生的人员支出和公用支出。</w:t>
      </w:r>
    </w:p>
    <w:p w14:paraId="6DE6A3AC">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3.项目支出：指在基本支出之外为完成特定行政任务和事业发展目标所发生的支出。</w:t>
      </w:r>
    </w:p>
    <w:p w14:paraId="35560666">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9807ECC">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.业务运行费：为保障行政单位（包含参照公务员法管理的事业单位）运行用于购买货物和服务的各项资金。包括办公及办公费、水费、电费、印刷费、邮电费、差旅费、会议费等费用开支。</w:t>
      </w:r>
    </w:p>
    <w:p w14:paraId="4A12506F">
      <w:pPr>
        <w:spacing w:line="360" w:lineRule="auto"/>
        <w:rPr>
          <w:rFonts w:hint="eastAsia" w:ascii="仿宋_GB2312" w:hAnsi="仿宋_GB2312" w:eastAsia="仿宋_GB2312" w:cs="仿宋_GB2312"/>
        </w:rPr>
      </w:pPr>
    </w:p>
    <w:p w14:paraId="304CF6E8">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附件：表1.部门收支总表</w:t>
      </w:r>
    </w:p>
    <w:p w14:paraId="52EAC25C">
      <w:pPr>
        <w:spacing w:line="360" w:lineRule="auto"/>
        <w:ind w:firstLine="1600" w:firstLineChars="500"/>
        <w:rPr>
          <w:rFonts w:hint="eastAsia" w:ascii="仿宋_GB2312" w:hAnsi="仿宋_GB2312" w:eastAsia="仿宋_GB2312" w:cs="仿宋_GB2312"/>
        </w:rPr>
      </w:pPr>
      <w:r>
        <w:rPr>
          <w:rFonts w:hint="eastAsia" w:ascii="仿宋_GB2312" w:hAnsi="仿宋_GB2312" w:eastAsia="仿宋_GB2312" w:cs="仿宋_GB2312"/>
        </w:rPr>
        <w:t>表1-1.部门收入总表</w:t>
      </w:r>
    </w:p>
    <w:p w14:paraId="5B543E84">
      <w:pPr>
        <w:spacing w:line="360" w:lineRule="auto"/>
        <w:ind w:firstLine="200"/>
        <w:rPr>
          <w:rFonts w:hint="eastAsia" w:ascii="仿宋_GB2312" w:hAnsi="仿宋_GB2312" w:eastAsia="仿宋_GB2312" w:cs="仿宋_GB2312"/>
        </w:rPr>
      </w:pPr>
      <w:r>
        <w:rPr>
          <w:rFonts w:hint="eastAsia" w:ascii="仿宋_GB2312" w:hAnsi="仿宋_GB2312" w:eastAsia="仿宋_GB2312" w:cs="仿宋_GB2312"/>
        </w:rPr>
        <w:t xml:space="preserve">         表1-2.部门支出总表</w:t>
      </w:r>
    </w:p>
    <w:p w14:paraId="1CF3B0DA">
      <w:pPr>
        <w:spacing w:line="360" w:lineRule="auto"/>
        <w:ind w:firstLine="1440" w:firstLineChars="450"/>
        <w:rPr>
          <w:rFonts w:hint="eastAsia" w:ascii="仿宋_GB2312" w:hAnsi="仿宋_GB2312" w:eastAsia="仿宋_GB2312" w:cs="仿宋_GB2312"/>
        </w:rPr>
      </w:pPr>
      <w:r>
        <w:rPr>
          <w:rFonts w:hint="eastAsia" w:ascii="仿宋_GB2312" w:hAnsi="仿宋_GB2312" w:eastAsia="仿宋_GB2312" w:cs="仿宋_GB2312"/>
        </w:rPr>
        <w:t>表2.财政拨款收支预算总表</w:t>
      </w:r>
    </w:p>
    <w:p w14:paraId="4702AD4F">
      <w:pPr>
        <w:spacing w:line="360" w:lineRule="auto"/>
        <w:ind w:firstLine="1440" w:firstLineChars="450"/>
        <w:rPr>
          <w:rFonts w:hint="eastAsia" w:ascii="仿宋_GB2312" w:hAnsi="仿宋_GB2312" w:eastAsia="仿宋_GB2312" w:cs="仿宋_GB2312"/>
        </w:rPr>
      </w:pPr>
      <w:r>
        <w:rPr>
          <w:rFonts w:hint="eastAsia" w:ascii="仿宋_GB2312" w:hAnsi="仿宋_GB2312" w:eastAsia="仿宋_GB2312" w:cs="仿宋_GB2312"/>
        </w:rPr>
        <w:t>表2-1.财政拨款支出预算表</w:t>
      </w:r>
    </w:p>
    <w:p w14:paraId="2696731A">
      <w:pPr>
        <w:spacing w:line="360" w:lineRule="auto"/>
        <w:ind w:firstLine="1440" w:firstLineChars="450"/>
        <w:rPr>
          <w:rFonts w:hint="eastAsia" w:ascii="仿宋_GB2312" w:hAnsi="仿宋_GB2312" w:eastAsia="仿宋_GB2312" w:cs="仿宋_GB2312"/>
        </w:rPr>
      </w:pPr>
      <w:r>
        <w:rPr>
          <w:rFonts w:hint="eastAsia" w:ascii="仿宋_GB2312" w:hAnsi="仿宋_GB2312" w:eastAsia="仿宋_GB2312" w:cs="仿宋_GB2312"/>
        </w:rPr>
        <w:t>表3.一般公共预算支出预算表</w:t>
      </w:r>
    </w:p>
    <w:p w14:paraId="2CBF724C">
      <w:pPr>
        <w:spacing w:line="360" w:lineRule="auto"/>
        <w:ind w:firstLine="1440" w:firstLineChars="450"/>
        <w:rPr>
          <w:rFonts w:hint="eastAsia" w:ascii="仿宋_GB2312" w:hAnsi="仿宋_GB2312" w:eastAsia="仿宋_GB2312" w:cs="仿宋_GB2312"/>
        </w:rPr>
      </w:pPr>
      <w:r>
        <w:rPr>
          <w:rFonts w:hint="eastAsia" w:ascii="仿宋_GB2312" w:hAnsi="仿宋_GB2312" w:eastAsia="仿宋_GB2312" w:cs="仿宋_GB2312"/>
        </w:rPr>
        <w:t>表3-1.一般公共预算基本支出预算表</w:t>
      </w:r>
    </w:p>
    <w:p w14:paraId="212B0594">
      <w:pPr>
        <w:spacing w:line="360" w:lineRule="auto"/>
        <w:ind w:firstLine="1440" w:firstLineChars="450"/>
        <w:rPr>
          <w:rFonts w:hint="eastAsia" w:ascii="仿宋_GB2312" w:hAnsi="仿宋_GB2312" w:eastAsia="仿宋_GB2312" w:cs="仿宋_GB2312"/>
        </w:rPr>
      </w:pPr>
      <w:r>
        <w:rPr>
          <w:rFonts w:hint="eastAsia" w:ascii="仿宋_GB2312" w:hAnsi="仿宋_GB2312" w:eastAsia="仿宋_GB2312" w:cs="仿宋_GB2312"/>
        </w:rPr>
        <w:t>表3-2.一般公共预算项目支出预算表</w:t>
      </w:r>
    </w:p>
    <w:p w14:paraId="06D83E1C">
      <w:pPr>
        <w:spacing w:line="360" w:lineRule="auto"/>
        <w:ind w:firstLine="1440" w:firstLineChars="450"/>
        <w:rPr>
          <w:rFonts w:hint="eastAsia" w:ascii="仿宋_GB2312" w:hAnsi="仿宋_GB2312" w:eastAsia="仿宋_GB2312" w:cs="仿宋_GB2312"/>
        </w:rPr>
      </w:pPr>
      <w:r>
        <w:rPr>
          <w:rFonts w:hint="eastAsia" w:ascii="仿宋_GB2312" w:hAnsi="仿宋_GB2312" w:eastAsia="仿宋_GB2312" w:cs="仿宋_GB2312"/>
        </w:rPr>
        <w:t>表3-3.一般公共预算“三公”经费支出预算表</w:t>
      </w:r>
    </w:p>
    <w:p w14:paraId="5557F71F">
      <w:pPr>
        <w:spacing w:line="360" w:lineRule="auto"/>
        <w:ind w:firstLine="1440" w:firstLineChars="450"/>
        <w:rPr>
          <w:rFonts w:hint="eastAsia" w:ascii="仿宋_GB2312" w:hAnsi="仿宋_GB2312" w:eastAsia="仿宋_GB2312" w:cs="仿宋_GB2312"/>
        </w:rPr>
      </w:pPr>
      <w:r>
        <w:rPr>
          <w:rFonts w:hint="eastAsia" w:ascii="仿宋_GB2312" w:hAnsi="仿宋_GB2312" w:eastAsia="仿宋_GB2312" w:cs="仿宋_GB2312"/>
        </w:rPr>
        <w:t>表4.政府性基金支出预算表</w:t>
      </w:r>
    </w:p>
    <w:p w14:paraId="19B2DC6F">
      <w:pPr>
        <w:spacing w:line="360" w:lineRule="auto"/>
        <w:ind w:firstLine="1440" w:firstLineChars="450"/>
        <w:rPr>
          <w:rFonts w:hint="eastAsia" w:ascii="仿宋_GB2312" w:hAnsi="仿宋_GB2312" w:eastAsia="仿宋_GB2312" w:cs="仿宋_GB2312"/>
        </w:rPr>
      </w:pPr>
      <w:r>
        <w:rPr>
          <w:rFonts w:hint="eastAsia" w:ascii="仿宋_GB2312" w:hAnsi="仿宋_GB2312" w:eastAsia="仿宋_GB2312" w:cs="仿宋_GB2312"/>
        </w:rPr>
        <w:t>表4-1.政府性基金预算“三公”经费支出预算表</w:t>
      </w:r>
    </w:p>
    <w:p w14:paraId="1418184B">
      <w:pPr>
        <w:spacing w:line="360" w:lineRule="auto"/>
        <w:ind w:firstLine="1440" w:firstLineChars="450"/>
        <w:rPr>
          <w:rFonts w:hint="eastAsia" w:ascii="仿宋_GB2312" w:hAnsi="仿宋_GB2312" w:eastAsia="仿宋_GB2312" w:cs="仿宋_GB2312"/>
        </w:rPr>
      </w:pPr>
      <w:r>
        <w:rPr>
          <w:rFonts w:hint="eastAsia" w:ascii="仿宋_GB2312" w:hAnsi="仿宋_GB2312" w:eastAsia="仿宋_GB2312" w:cs="仿宋_GB2312"/>
        </w:rPr>
        <w:t>表5.国有资本经营预算支出预算表</w:t>
      </w:r>
    </w:p>
    <w:p w14:paraId="1FC126A9">
      <w:pPr>
        <w:spacing w:line="360" w:lineRule="auto"/>
        <w:ind w:firstLine="1440" w:firstLineChars="450"/>
        <w:rPr>
          <w:rFonts w:hint="eastAsia" w:ascii="仿宋_GB2312" w:hAnsi="仿宋_GB2312" w:eastAsia="仿宋_GB2312" w:cs="仿宋_GB2312"/>
        </w:rPr>
      </w:pPr>
      <w:r>
        <w:rPr>
          <w:rFonts w:hint="eastAsia" w:ascii="仿宋_GB2312" w:hAnsi="仿宋_GB2312" w:eastAsia="仿宋_GB2312" w:cs="仿宋_GB2312"/>
        </w:rPr>
        <w:t>表6.（部门）单位预算项目绩效目标表</w:t>
      </w:r>
    </w:p>
    <w:p w14:paraId="52215926">
      <w:pPr>
        <w:spacing w:line="600" w:lineRule="exact"/>
        <w:ind w:firstLine="640" w:firstLineChars="200"/>
        <w:rPr>
          <w:rFonts w:hint="eastAsia" w:ascii="仿宋_GB2312" w:hAnsi="仿宋_GB2312" w:eastAsia="仿宋_GB2312" w:cs="仿宋_GB2312"/>
        </w:rPr>
      </w:pPr>
    </w:p>
    <w:p w14:paraId="4867D4D6">
      <w:pPr>
        <w:rPr>
          <w:rFonts w:hint="eastAsia" w:ascii="仿宋_GB2312" w:hAnsi="仿宋_GB2312" w:eastAsia="仿宋_GB2312" w:cs="仿宋_GB2312"/>
        </w:rPr>
      </w:pPr>
    </w:p>
    <w:sectPr>
      <w:footerReference r:id="rId3" w:type="default"/>
      <w:footerReference r:id="rId4" w:type="even"/>
      <w:pgSz w:w="11906" w:h="16838"/>
      <w:pgMar w:top="1247" w:right="1542" w:bottom="1247" w:left="2098" w:header="851" w:footer="992"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4DB33">
    <w:pPr>
      <w:pStyle w:val="3"/>
      <w:framePr w:wrap="around" w:vAnchor="text" w:hAnchor="margin" w:xAlign="center" w:y="1"/>
      <w:rPr>
        <w:rStyle w:val="7"/>
        <w:rFonts w:ascii="宋体" w:hAnsi="宋体"/>
        <w:sz w:val="30"/>
        <w:szCs w:val="30"/>
      </w:rPr>
    </w:pPr>
    <w:r>
      <w:rPr>
        <w:rFonts w:ascii="宋体" w:hAnsi="宋体"/>
        <w:sz w:val="30"/>
        <w:szCs w:val="30"/>
      </w:rPr>
      <w:fldChar w:fldCharType="begin"/>
    </w:r>
    <w:r>
      <w:rPr>
        <w:rStyle w:val="7"/>
        <w:rFonts w:ascii="宋体" w:hAnsi="宋体"/>
        <w:sz w:val="30"/>
        <w:szCs w:val="30"/>
      </w:rPr>
      <w:instrText xml:space="preserve">PAGE  </w:instrText>
    </w:r>
    <w:r>
      <w:rPr>
        <w:rFonts w:ascii="宋体" w:hAnsi="宋体"/>
        <w:sz w:val="30"/>
        <w:szCs w:val="30"/>
      </w:rPr>
      <w:fldChar w:fldCharType="separate"/>
    </w:r>
    <w:r>
      <w:rPr>
        <w:rStyle w:val="7"/>
        <w:rFonts w:ascii="宋体" w:hAnsi="宋体"/>
        <w:sz w:val="30"/>
        <w:szCs w:val="30"/>
      </w:rPr>
      <w:t>- 1 -</w:t>
    </w:r>
    <w:r>
      <w:rPr>
        <w:rFonts w:ascii="宋体" w:hAnsi="宋体"/>
        <w:sz w:val="30"/>
        <w:szCs w:val="30"/>
      </w:rPr>
      <w:fldChar w:fldCharType="end"/>
    </w:r>
  </w:p>
  <w:p w14:paraId="5BEF8C3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2B81C">
    <w:pPr>
      <w:pStyle w:val="3"/>
      <w:framePr w:wrap="around" w:vAnchor="text" w:hAnchor="margin" w:xAlign="center" w:y="1"/>
      <w:rPr>
        <w:rStyle w:val="7"/>
      </w:rPr>
    </w:pPr>
    <w:r>
      <w:fldChar w:fldCharType="begin"/>
    </w:r>
    <w:r>
      <w:rPr>
        <w:rStyle w:val="7"/>
      </w:rPr>
      <w:instrText xml:space="preserve">PAGE  </w:instrText>
    </w:r>
    <w:r>
      <w:fldChar w:fldCharType="end"/>
    </w:r>
  </w:p>
  <w:p w14:paraId="3138424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5AB9"/>
    <w:rsid w:val="0001372B"/>
    <w:rsid w:val="00035266"/>
    <w:rsid w:val="00050265"/>
    <w:rsid w:val="000834CF"/>
    <w:rsid w:val="00086B6A"/>
    <w:rsid w:val="00087484"/>
    <w:rsid w:val="000961E7"/>
    <w:rsid w:val="000C7859"/>
    <w:rsid w:val="000E19FE"/>
    <w:rsid w:val="001016AA"/>
    <w:rsid w:val="00104399"/>
    <w:rsid w:val="0012218C"/>
    <w:rsid w:val="00134BBE"/>
    <w:rsid w:val="00137B04"/>
    <w:rsid w:val="00193D78"/>
    <w:rsid w:val="00210608"/>
    <w:rsid w:val="00216621"/>
    <w:rsid w:val="002669B5"/>
    <w:rsid w:val="00297B5E"/>
    <w:rsid w:val="002B4DD5"/>
    <w:rsid w:val="002C0142"/>
    <w:rsid w:val="003102A9"/>
    <w:rsid w:val="00345E5C"/>
    <w:rsid w:val="00360B45"/>
    <w:rsid w:val="00365E8E"/>
    <w:rsid w:val="003A721D"/>
    <w:rsid w:val="003B20C5"/>
    <w:rsid w:val="003C69B9"/>
    <w:rsid w:val="00401F1D"/>
    <w:rsid w:val="00405E0D"/>
    <w:rsid w:val="0042794F"/>
    <w:rsid w:val="00432267"/>
    <w:rsid w:val="00463B2B"/>
    <w:rsid w:val="00472E49"/>
    <w:rsid w:val="004735EF"/>
    <w:rsid w:val="004839D3"/>
    <w:rsid w:val="004B702B"/>
    <w:rsid w:val="00514F58"/>
    <w:rsid w:val="00530E3E"/>
    <w:rsid w:val="00550157"/>
    <w:rsid w:val="00556838"/>
    <w:rsid w:val="00556B89"/>
    <w:rsid w:val="00572535"/>
    <w:rsid w:val="00587C15"/>
    <w:rsid w:val="005E131A"/>
    <w:rsid w:val="005E4C10"/>
    <w:rsid w:val="005F12E7"/>
    <w:rsid w:val="005F4FCC"/>
    <w:rsid w:val="00614F4A"/>
    <w:rsid w:val="0067275C"/>
    <w:rsid w:val="006A1D37"/>
    <w:rsid w:val="007321B4"/>
    <w:rsid w:val="00736179"/>
    <w:rsid w:val="007745D2"/>
    <w:rsid w:val="0078139B"/>
    <w:rsid w:val="00795AB9"/>
    <w:rsid w:val="007B75D4"/>
    <w:rsid w:val="007C06BC"/>
    <w:rsid w:val="007C2873"/>
    <w:rsid w:val="007E41DF"/>
    <w:rsid w:val="008028D6"/>
    <w:rsid w:val="00817741"/>
    <w:rsid w:val="00860674"/>
    <w:rsid w:val="00866FB4"/>
    <w:rsid w:val="008B2305"/>
    <w:rsid w:val="008C0099"/>
    <w:rsid w:val="008C277F"/>
    <w:rsid w:val="008C75CF"/>
    <w:rsid w:val="008E7B16"/>
    <w:rsid w:val="00903D01"/>
    <w:rsid w:val="009163CA"/>
    <w:rsid w:val="0091676B"/>
    <w:rsid w:val="0092652F"/>
    <w:rsid w:val="00936D40"/>
    <w:rsid w:val="0093747E"/>
    <w:rsid w:val="00963C67"/>
    <w:rsid w:val="009C4A9D"/>
    <w:rsid w:val="009C5A02"/>
    <w:rsid w:val="009D6820"/>
    <w:rsid w:val="00A415D2"/>
    <w:rsid w:val="00A742B6"/>
    <w:rsid w:val="00A74DC1"/>
    <w:rsid w:val="00AE0E14"/>
    <w:rsid w:val="00AF610B"/>
    <w:rsid w:val="00B01FD9"/>
    <w:rsid w:val="00B16B7C"/>
    <w:rsid w:val="00B5714C"/>
    <w:rsid w:val="00B82157"/>
    <w:rsid w:val="00B8320C"/>
    <w:rsid w:val="00B9080A"/>
    <w:rsid w:val="00BA6AA8"/>
    <w:rsid w:val="00BC14E0"/>
    <w:rsid w:val="00BE4709"/>
    <w:rsid w:val="00BF601D"/>
    <w:rsid w:val="00BF75E8"/>
    <w:rsid w:val="00C46B0B"/>
    <w:rsid w:val="00C823E7"/>
    <w:rsid w:val="00CA7EE9"/>
    <w:rsid w:val="00CD3BCC"/>
    <w:rsid w:val="00D12CAB"/>
    <w:rsid w:val="00D21C2B"/>
    <w:rsid w:val="00D442F9"/>
    <w:rsid w:val="00D832EC"/>
    <w:rsid w:val="00D87374"/>
    <w:rsid w:val="00DD0266"/>
    <w:rsid w:val="00DE07CB"/>
    <w:rsid w:val="00DE7BDF"/>
    <w:rsid w:val="00E17371"/>
    <w:rsid w:val="00E428D3"/>
    <w:rsid w:val="00EA0E45"/>
    <w:rsid w:val="00EA1A9D"/>
    <w:rsid w:val="00EB3E91"/>
    <w:rsid w:val="00ED3759"/>
    <w:rsid w:val="00ED4C8F"/>
    <w:rsid w:val="00ED75E3"/>
    <w:rsid w:val="00F1327C"/>
    <w:rsid w:val="00F25760"/>
    <w:rsid w:val="00F8702C"/>
    <w:rsid w:val="00FB00DC"/>
    <w:rsid w:val="00FC22C9"/>
    <w:rsid w:val="3A0E0FD1"/>
    <w:rsid w:val="6647425A"/>
    <w:rsid w:val="717B06C0"/>
    <w:rsid w:val="76461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spacing w:beforeLines="30"/>
    </w:pPr>
    <w:rPr>
      <w:rFonts w:ascii="仿宋_GB2312"/>
      <w:sz w:val="30"/>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正文文本 Char"/>
    <w:basedOn w:val="6"/>
    <w:link w:val="2"/>
    <w:qFormat/>
    <w:uiPriority w:val="0"/>
    <w:rPr>
      <w:rFonts w:ascii="仿宋_GB2312" w:hAnsi="Times New Roman" w:eastAsia="仿宋_GB2312" w:cs="Times New Roman"/>
      <w:sz w:val="30"/>
      <w:szCs w:val="32"/>
    </w:rPr>
  </w:style>
  <w:style w:type="character" w:customStyle="1" w:styleId="9">
    <w:name w:val="页脚 Char"/>
    <w:basedOn w:val="6"/>
    <w:link w:val="3"/>
    <w:qFormat/>
    <w:uiPriority w:val="0"/>
    <w:rPr>
      <w:rFonts w:ascii="Times New Roman" w:hAnsi="Times New Roman" w:eastAsia="仿宋_GB2312" w:cs="Times New Roman"/>
      <w:sz w:val="18"/>
      <w:szCs w:val="18"/>
    </w:rPr>
  </w:style>
  <w:style w:type="paragraph" w:customStyle="1" w:styleId="1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character" w:customStyle="1" w:styleId="11">
    <w:name w:val="页眉 Char"/>
    <w:basedOn w:val="6"/>
    <w:link w:val="4"/>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0DCC3F-B2B3-4AEE-AAA8-3416FC9CAA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1223</Words>
  <Characters>1259</Characters>
  <Lines>29</Lines>
  <Paragraphs>8</Paragraphs>
  <TotalTime>0</TotalTime>
  <ScaleCrop>false</ScaleCrop>
  <LinksUpToDate>false</LinksUpToDate>
  <CharactersWithSpaces>1264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2019-01-24T02:56:00Z</dcterms:created>
  <dc:creator>攀枝花市人力资源和社会保障局</dc:creator>
  <cp:lastModifiedBy>-MaomaoLin</cp:lastModifiedBy>
  <dcterms:modified xsi:type="dcterms:W3CDTF">2024-12-30T11:09:44Z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62F3DC1B10B243E6BF99EDC31F7A5C92_12</vt:lpwstr>
  </property>
</Properties>
</file>