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10"/>
          <w:szCs w:val="10"/>
        </w:rPr>
      </w:pPr>
    </w:p>
    <w:p>
      <w:pPr>
        <w:keepNext w:val="0"/>
        <w:keepLines w:val="0"/>
        <w:pageBreakBefore w:val="0"/>
        <w:tabs>
          <w:tab w:val="left" w:pos="8820"/>
        </w:tabs>
        <w:kinsoku w:val="0"/>
        <w:wordWrap/>
        <w:overflowPunct/>
        <w:topLinePunct w:val="0"/>
        <w:autoSpaceDE w:val="0"/>
        <w:autoSpaceDN w:val="0"/>
        <w:bidi w:val="0"/>
        <w:spacing w:line="540" w:lineRule="exact"/>
        <w:ind w:right="320" w:firstLine="640" w:firstLineChars="200"/>
        <w:jc w:val="right"/>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cs="Times New Roman"/>
          <w:snapToGrid/>
          <w:kern w:val="2"/>
          <w:sz w:val="44"/>
          <w:szCs w:val="44"/>
        </w:rPr>
      </w:pPr>
      <w:r>
        <w:rPr>
          <w:rFonts w:ascii="Times New Roman" w:hAnsi="Times New Roman" w:eastAsia="方正小标宋简体" w:cs="Times New Roman"/>
          <w:snapToGrid/>
          <w:kern w:val="2"/>
          <w:sz w:val="44"/>
          <w:szCs w:val="44"/>
        </w:rPr>
        <w:t>攀枝花市生态环境局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snapToGrid/>
          <w:kern w:val="2"/>
          <w:sz w:val="44"/>
          <w:szCs w:val="44"/>
          <w:lang w:val="en-US" w:eastAsia="zh-CN"/>
        </w:rPr>
      </w:pPr>
      <w:r>
        <w:rPr>
          <w:rFonts w:ascii="Times New Roman" w:hAnsi="Times New Roman" w:eastAsia="方正小标宋简体" w:cs="Times New Roman"/>
          <w:snapToGrid/>
          <w:kern w:val="2"/>
          <w:sz w:val="44"/>
          <w:szCs w:val="44"/>
        </w:rPr>
        <w:t>关于</w:t>
      </w:r>
      <w:r>
        <w:rPr>
          <w:rFonts w:hint="eastAsia" w:ascii="Times New Roman" w:hAnsi="Times New Roman" w:eastAsia="方正小标宋简体" w:cs="Times New Roman"/>
          <w:snapToGrid/>
          <w:kern w:val="2"/>
          <w:sz w:val="44"/>
          <w:szCs w:val="44"/>
          <w:lang w:val="en-US" w:eastAsia="zh-CN"/>
        </w:rPr>
        <w:t>铁钛精矿管道输送加汽车运输物流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cs="Times New Roman"/>
          <w:snapToGrid/>
          <w:kern w:val="2"/>
          <w:sz w:val="44"/>
          <w:szCs w:val="44"/>
        </w:rPr>
      </w:pPr>
      <w:r>
        <w:rPr>
          <w:rFonts w:hint="eastAsia" w:ascii="Times New Roman" w:hAnsi="Times New Roman" w:eastAsia="方正小标宋简体" w:cs="Times New Roman"/>
          <w:snapToGrid/>
          <w:kern w:val="2"/>
          <w:sz w:val="44"/>
          <w:szCs w:val="44"/>
          <w:lang w:val="en-US" w:eastAsia="zh-CN"/>
        </w:rPr>
        <w:t>仓储工程建设项目</w:t>
      </w:r>
      <w:r>
        <w:rPr>
          <w:rFonts w:ascii="Times New Roman" w:hAnsi="Times New Roman" w:eastAsia="方正小标宋简体" w:cs="Times New Roman"/>
          <w:snapToGrid/>
          <w:kern w:val="2"/>
          <w:sz w:val="44"/>
          <w:szCs w:val="44"/>
        </w:rPr>
        <w:t>环境影响报告表的批复</w:t>
      </w:r>
    </w:p>
    <w:p>
      <w:pPr>
        <w:keepNext w:val="0"/>
        <w:keepLines w:val="0"/>
        <w:pageBreakBefore w:val="0"/>
        <w:kinsoku/>
        <w:wordWrap/>
        <w:overflowPunct/>
        <w:topLinePunct w:val="0"/>
        <w:autoSpaceDE w:val="0"/>
        <w:autoSpaceDN w:val="0"/>
        <w:bidi w:val="0"/>
        <w:spacing w:line="540" w:lineRule="exact"/>
        <w:jc w:val="both"/>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攀枝花市鑫运达物流有限公司</w:t>
      </w:r>
      <w:r>
        <w:rPr>
          <w:rFonts w:ascii="Times New Roman" w:hAnsi="Times New Roman" w:eastAsia="仿宋_GB2312" w:cs="Times New Roman"/>
          <w:color w:val="auto"/>
          <w:sz w:val="32"/>
          <w:szCs w:val="32"/>
          <w:lang w:val="en-US" w:eastAsia="zh-CN"/>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你公司《</w:t>
      </w:r>
      <w:r>
        <w:rPr>
          <w:rFonts w:hint="eastAsia" w:ascii="Times New Roman" w:hAnsi="Times New Roman" w:eastAsia="仿宋_GB2312" w:cs="Times New Roman"/>
          <w:color w:val="auto"/>
          <w:sz w:val="32"/>
          <w:szCs w:val="32"/>
          <w:lang w:val="en-US" w:eastAsia="zh-CN"/>
        </w:rPr>
        <w:t>铁钛精矿管道输送加汽车运输物流仓储工程建设项目</w:t>
      </w:r>
      <w:r>
        <w:rPr>
          <w:rFonts w:ascii="Times New Roman" w:hAnsi="Times New Roman" w:eastAsia="仿宋_GB2312" w:cs="Times New Roman"/>
          <w:color w:val="auto"/>
          <w:sz w:val="32"/>
          <w:szCs w:val="32"/>
        </w:rPr>
        <w:t>环境影响报告表》</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以下简称“报告表”</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收悉，经研究，批复如下。</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项目位于盐边县</w:t>
      </w:r>
      <w:r>
        <w:rPr>
          <w:rFonts w:hint="eastAsia" w:ascii="仿宋_GB2312" w:hAnsi="仿宋_GB2312" w:eastAsia="仿宋_GB2312" w:cs="仿宋_GB2312"/>
          <w:color w:val="auto"/>
          <w:sz w:val="32"/>
          <w:szCs w:val="32"/>
          <w:u w:val="none"/>
          <w:lang w:eastAsia="zh-CN"/>
        </w:rPr>
        <w:t>红格镇昔格达村二组</w:t>
      </w:r>
      <w:r>
        <w:rPr>
          <w:rFonts w:hint="eastAsia" w:ascii="仿宋_GB2312" w:hAnsi="仿宋_GB2312" w:eastAsia="仿宋_GB2312" w:cs="仿宋_GB2312"/>
          <w:color w:val="auto"/>
          <w:sz w:val="32"/>
          <w:szCs w:val="32"/>
          <w:u w:val="none"/>
          <w:lang w:val="en-US" w:eastAsia="zh-CN"/>
        </w:rPr>
        <w:t>，建设1条</w:t>
      </w:r>
      <w:r>
        <w:rPr>
          <w:rFonts w:hint="eastAsia" w:ascii="仿宋_GB2312" w:hAnsi="仿宋_GB2312" w:eastAsia="仿宋_GB2312" w:cs="仿宋_GB2312"/>
          <w:color w:val="auto"/>
          <w:sz w:val="32"/>
          <w:szCs w:val="32"/>
          <w:u w:val="none"/>
          <w:lang w:eastAsia="zh-CN"/>
        </w:rPr>
        <w:t>钛精矿烘干生产线，主要建设</w:t>
      </w:r>
      <w:r>
        <w:rPr>
          <w:rFonts w:hint="default"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val="en-US" w:eastAsia="zh-CN"/>
        </w:rPr>
        <w:t>座烘干厂房，内设热风炉、烘干机，并配套建设公辅工程、储运工程、环保工程。项目以</w:t>
      </w:r>
      <w:r>
        <w:rPr>
          <w:rFonts w:hint="eastAsia" w:ascii="仿宋_GB2312" w:hAnsi="仿宋_GB2312" w:eastAsia="仿宋_GB2312" w:cs="仿宋_GB2312"/>
          <w:color w:val="auto"/>
          <w:sz w:val="32"/>
          <w:szCs w:val="32"/>
          <w:u w:val="none"/>
          <w:lang w:eastAsia="zh-CN"/>
        </w:rPr>
        <w:t>会理县秀水河矿业有限公司的浮选湿钛精矿和新九选矿厂的重选湿钛精矿为原料，</w:t>
      </w:r>
      <w:r>
        <w:rPr>
          <w:rFonts w:hint="eastAsia" w:ascii="仿宋_GB2312" w:hAnsi="仿宋_GB2312" w:eastAsia="仿宋_GB2312" w:cs="仿宋_GB2312"/>
          <w:color w:val="auto"/>
          <w:sz w:val="32"/>
          <w:szCs w:val="32"/>
          <w:u w:val="none"/>
          <w:lang w:eastAsia="zh-CN" w:bidi="ar-SA"/>
        </w:rPr>
        <w:t>以生物质颗粒作为</w:t>
      </w:r>
      <w:r>
        <w:rPr>
          <w:rFonts w:hint="eastAsia" w:ascii="仿宋_GB2312" w:hAnsi="仿宋_GB2312" w:eastAsia="仿宋_GB2312" w:cs="仿宋_GB2312"/>
          <w:sz w:val="32"/>
          <w:szCs w:val="32"/>
          <w:u w:val="none"/>
          <w:lang w:eastAsia="zh-CN" w:bidi="ar-SA"/>
        </w:rPr>
        <w:t>烘干</w:t>
      </w:r>
      <w:r>
        <w:rPr>
          <w:rFonts w:hint="eastAsia" w:ascii="仿宋_GB2312" w:hAnsi="仿宋_GB2312" w:eastAsia="仿宋_GB2312" w:cs="仿宋_GB2312"/>
          <w:color w:val="auto"/>
          <w:sz w:val="32"/>
          <w:szCs w:val="32"/>
          <w:u w:val="none"/>
          <w:lang w:eastAsia="zh-CN" w:bidi="ar-SA"/>
        </w:rPr>
        <w:t>燃料，</w:t>
      </w:r>
      <w:r>
        <w:rPr>
          <w:rFonts w:hint="eastAsia" w:ascii="仿宋_GB2312" w:hAnsi="仿宋_GB2312" w:eastAsia="仿宋_GB2312" w:cs="仿宋_GB2312"/>
          <w:color w:val="auto"/>
          <w:sz w:val="32"/>
          <w:szCs w:val="32"/>
          <w:u w:val="none"/>
          <w:lang w:val="en-US" w:eastAsia="zh-CN"/>
        </w:rPr>
        <w:t>经烘干包装后销售，</w:t>
      </w:r>
      <w:r>
        <w:rPr>
          <w:rFonts w:hint="eastAsia" w:ascii="仿宋_GB2312" w:hAnsi="仿宋_GB2312" w:eastAsia="仿宋_GB2312" w:cs="仿宋_GB2312"/>
          <w:color w:val="auto"/>
          <w:sz w:val="32"/>
          <w:szCs w:val="32"/>
          <w:u w:val="none"/>
          <w:lang w:eastAsia="zh-CN"/>
        </w:rPr>
        <w:t>项目建成后，年</w:t>
      </w:r>
      <w:r>
        <w:rPr>
          <w:rFonts w:hint="eastAsia" w:ascii="仿宋_GB2312" w:hAnsi="仿宋_GB2312" w:eastAsia="仿宋_GB2312" w:cs="仿宋_GB2312"/>
          <w:color w:val="auto"/>
          <w:sz w:val="32"/>
          <w:szCs w:val="32"/>
          <w:u w:val="none"/>
          <w:lang w:val="en-US" w:eastAsia="zh-CN"/>
        </w:rPr>
        <w:t>烘干和转运</w:t>
      </w:r>
      <w:r>
        <w:rPr>
          <w:rFonts w:hint="eastAsia" w:ascii="仿宋_GB2312" w:hAnsi="仿宋_GB2312" w:eastAsia="仿宋_GB2312" w:cs="仿宋_GB2312"/>
          <w:color w:val="auto"/>
          <w:sz w:val="32"/>
          <w:szCs w:val="32"/>
          <w:u w:val="none"/>
          <w:lang w:eastAsia="zh-CN"/>
        </w:rPr>
        <w:t>钛精矿</w:t>
      </w:r>
      <w:r>
        <w:rPr>
          <w:rFonts w:hint="eastAsia" w:ascii="仿宋_GB2312" w:hAnsi="仿宋_GB2312" w:eastAsia="仿宋_GB2312" w:cs="仿宋_GB2312"/>
          <w:color w:val="auto"/>
          <w:sz w:val="32"/>
          <w:szCs w:val="32"/>
          <w:u w:val="none"/>
          <w:lang w:val="en-US" w:eastAsia="zh-CN"/>
        </w:rPr>
        <w:t>30万</w:t>
      </w:r>
      <w:r>
        <w:rPr>
          <w:rFonts w:hint="eastAsia" w:ascii="仿宋_GB2312" w:hAnsi="仿宋_GB2312" w:eastAsia="仿宋_GB2312" w:cs="仿宋_GB2312"/>
          <w:color w:val="auto"/>
          <w:sz w:val="32"/>
          <w:szCs w:val="32"/>
          <w:u w:val="none"/>
          <w:lang w:eastAsia="zh-CN"/>
        </w:rPr>
        <w:t>吨。总投资</w:t>
      </w:r>
      <w:r>
        <w:rPr>
          <w:rFonts w:ascii="仿宋_GB2312" w:hAnsi="仿宋_GB2312" w:eastAsia="仿宋_GB2312" w:cs="仿宋_GB2312"/>
          <w:color w:val="auto"/>
          <w:sz w:val="32"/>
          <w:szCs w:val="32"/>
          <w:u w:val="none"/>
          <w:lang w:val="en-US" w:eastAsia="zh-CN"/>
        </w:rPr>
        <w:t>78</w:t>
      </w:r>
      <w:r>
        <w:rPr>
          <w:rFonts w:hint="eastAsia" w:ascii="仿宋_GB2312" w:hAnsi="仿宋_GB2312" w:eastAsia="仿宋_GB2312" w:cs="仿宋_GB2312"/>
          <w:color w:val="auto"/>
          <w:sz w:val="32"/>
          <w:szCs w:val="32"/>
          <w:u w:val="none"/>
          <w:lang w:eastAsia="zh-CN"/>
        </w:rPr>
        <w:t>00万元，环保投资26</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eastAsia="zh-CN"/>
        </w:rPr>
        <w:t>万元。</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w:t>
      </w:r>
      <w:r>
        <w:rPr>
          <w:rFonts w:hint="eastAsia" w:ascii="Times New Roman" w:hAnsi="Times New Roman" w:eastAsia="仿宋_GB2312" w:cs="Times New Roman"/>
          <w:color w:val="auto"/>
          <w:sz w:val="32"/>
          <w:szCs w:val="32"/>
          <w:lang w:eastAsia="zh-CN"/>
        </w:rPr>
        <w:t>四川云环环保服务有</w:t>
      </w:r>
      <w:r>
        <w:rPr>
          <w:rFonts w:ascii="Times New Roman" w:hAnsi="Times New Roman" w:eastAsia="仿宋_GB2312" w:cs="Times New Roman"/>
          <w:color w:val="auto"/>
          <w:sz w:val="32"/>
          <w:szCs w:val="32"/>
        </w:rPr>
        <w:t>限公司受你公司委托对该项目开展环境影响评价，编制环境影响报告表。在严格落实“报告表”提出的环保对策及措施，严格执行“三同时”制度，确保项目污染物达标排放，认真落实环境风险防范措施的前提下</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该项目的建设从生态环境保护角度可行</w:t>
      </w:r>
      <w:r>
        <w:rPr>
          <w:rFonts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我局</w:t>
      </w:r>
      <w:r>
        <w:rPr>
          <w:rFonts w:ascii="Times New Roman" w:hAnsi="Times New Roman" w:eastAsia="仿宋_GB2312" w:cs="Times New Roman"/>
          <w:color w:val="auto"/>
          <w:sz w:val="32"/>
          <w:szCs w:val="32"/>
        </w:rPr>
        <w:t>原则同意“报告表”的环境影响评价总体结论和拟采取的各项生态环境保护措施。你公司应严格落实项目的各项环境保护措施，确保项目对环境的不利影响能够得到缓解和控制。</w:t>
      </w:r>
    </w:p>
    <w:p>
      <w:pPr>
        <w:keepNext w:val="0"/>
        <w:keepLines w:val="0"/>
        <w:pageBreakBefore w:val="0"/>
        <w:kinsoku/>
        <w:wordWrap/>
        <w:overflowPunct/>
        <w:topLinePunct w:val="0"/>
        <w:autoSpaceDE w:val="0"/>
        <w:autoSpaceDN w:val="0"/>
        <w:bidi w:val="0"/>
        <w:spacing w:line="56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三、项目建设</w:t>
      </w:r>
      <w:r>
        <w:rPr>
          <w:rFonts w:hint="eastAsia" w:ascii="Times New Roman" w:hAnsi="Times New Roman" w:eastAsia="仿宋_GB2312" w:cs="Times New Roman"/>
          <w:color w:val="auto"/>
          <w:sz w:val="32"/>
          <w:szCs w:val="32"/>
          <w:lang w:eastAsia="zh-CN"/>
        </w:rPr>
        <w:t>及运行中</w:t>
      </w:r>
      <w:r>
        <w:rPr>
          <w:rFonts w:ascii="Times New Roman" w:hAnsi="Times New Roman" w:eastAsia="仿宋_GB2312" w:cs="Times New Roman"/>
          <w:color w:val="auto"/>
          <w:sz w:val="32"/>
          <w:szCs w:val="32"/>
        </w:rPr>
        <w:t>应</w:t>
      </w:r>
      <w:r>
        <w:rPr>
          <w:rFonts w:hint="eastAsia" w:ascii="Times New Roman" w:hAnsi="Times New Roman" w:eastAsia="仿宋_GB2312" w:cs="Times New Roman"/>
          <w:color w:val="auto"/>
          <w:sz w:val="32"/>
          <w:szCs w:val="32"/>
          <w:lang w:eastAsia="zh-CN"/>
        </w:rPr>
        <w:t>重点</w:t>
      </w:r>
      <w:r>
        <w:rPr>
          <w:rFonts w:ascii="Times New Roman" w:hAnsi="Times New Roman" w:eastAsia="仿宋_GB2312" w:cs="Times New Roman"/>
          <w:color w:val="auto"/>
          <w:sz w:val="32"/>
          <w:szCs w:val="32"/>
        </w:rPr>
        <w:t>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w:t>
      </w:r>
      <w:r>
        <w:rPr>
          <w:rFonts w:ascii="Times New Roman" w:hAnsi="Times New Roman" w:eastAsia="仿宋_GB2312" w:cs="Times New Roman"/>
          <w:color w:val="auto"/>
          <w:sz w:val="32"/>
          <w:szCs w:val="32"/>
          <w:lang w:bidi="ar-SA"/>
        </w:rPr>
        <w:t>严格落实</w:t>
      </w:r>
      <w:r>
        <w:rPr>
          <w:rFonts w:hint="eastAsia" w:eastAsia="仿宋_GB2312" w:cs="Times New Roman"/>
          <w:color w:val="auto"/>
          <w:sz w:val="32"/>
          <w:szCs w:val="32"/>
          <w:lang w:eastAsia="zh-CN" w:bidi="ar-SA"/>
        </w:rPr>
        <w:t>施工</w:t>
      </w:r>
      <w:r>
        <w:rPr>
          <w:rFonts w:ascii="Times New Roman" w:hAnsi="Times New Roman" w:eastAsia="仿宋_GB2312" w:cs="Times New Roman"/>
          <w:color w:val="auto"/>
          <w:sz w:val="32"/>
          <w:szCs w:val="32"/>
          <w:lang w:bidi="ar-SA"/>
        </w:rPr>
        <w:t>期各项污染防治措施。加强施工期环境管理，采取有效措施减轻或消除施工期废水、废渣、噪声、扬尘等对周围环境的影响。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24"/>
          <w:szCs w:val="24"/>
          <w:lang w:val="en-US" w:eastAsia="zh-CN"/>
        </w:rPr>
      </w:pPr>
      <w:r>
        <w:rPr>
          <w:rFonts w:ascii="Times New Roman" w:hAnsi="Times New Roman" w:eastAsia="仿宋_GB2312" w:cs="Times New Roman"/>
          <w:color w:val="auto"/>
          <w:sz w:val="32"/>
          <w:szCs w:val="32"/>
        </w:rPr>
        <w:t>（二）</w:t>
      </w:r>
      <w:r>
        <w:rPr>
          <w:rFonts w:ascii="Times New Roman" w:hAnsi="Times New Roman" w:eastAsia="仿宋_GB2312" w:cs="Times New Roman"/>
          <w:color w:val="auto"/>
          <w:sz w:val="32"/>
          <w:szCs w:val="32"/>
          <w:lang w:bidi="ar-SA"/>
        </w:rPr>
        <w:t>严格落实运营期各项大气污染防治措施。</w:t>
      </w:r>
      <w:r>
        <w:rPr>
          <w:rFonts w:hint="eastAsia" w:ascii="Times New Roman" w:hAnsi="Times New Roman" w:eastAsia="仿宋_GB2312" w:cs="Times New Roman"/>
          <w:color w:val="auto"/>
          <w:sz w:val="32"/>
          <w:szCs w:val="32"/>
          <w:lang w:val="en-US" w:eastAsia="zh-CN" w:bidi="ar-SA"/>
        </w:rPr>
        <w:t>通过封闭厂房和运输皮带、设置工业吸尘器吸尘，</w:t>
      </w:r>
      <w:r>
        <w:rPr>
          <w:rFonts w:hint="eastAsia" w:ascii="Times New Roman" w:hAnsi="Times New Roman" w:eastAsia="仿宋_GB2312" w:cs="Times New Roman"/>
          <w:color w:val="auto"/>
          <w:sz w:val="32"/>
          <w:szCs w:val="32"/>
          <w:lang w:eastAsia="zh-CN" w:bidi="ar-SA"/>
        </w:rPr>
        <w:t>减少颗粒物无组织排放；</w:t>
      </w:r>
      <w:r>
        <w:rPr>
          <w:rFonts w:hint="eastAsia" w:ascii="Times New Roman" w:hAnsi="Times New Roman" w:eastAsia="仿宋_GB2312" w:cs="Times New Roman"/>
          <w:color w:val="auto"/>
          <w:sz w:val="32"/>
          <w:szCs w:val="32"/>
          <w:lang w:val="en-US" w:eastAsia="zh-CN" w:bidi="ar-SA"/>
        </w:rPr>
        <w:t>热风炉设置低氮燃烧装置，烘干烟气和冷却废气经“旋风除尘器+布袋除尘器+喷淋塔</w:t>
      </w:r>
      <w:r>
        <w:rPr>
          <w:rFonts w:ascii="Times New Roman" w:hAnsi="Times New Roman" w:eastAsia="仿宋_GB2312" w:cs="Times New Roman"/>
          <w:color w:val="auto"/>
          <w:sz w:val="32"/>
          <w:szCs w:val="32"/>
          <w:lang w:val="en-US" w:eastAsia="zh-CN" w:bidi="ar-SA"/>
        </w:rPr>
        <w:t>（脱硫剂石灰）</w:t>
      </w:r>
      <w:r>
        <w:rPr>
          <w:rFonts w:hint="eastAsia" w:ascii="Times New Roman" w:hAnsi="Times New Roman" w:eastAsia="仿宋_GB2312" w:cs="Times New Roman"/>
          <w:color w:val="auto"/>
          <w:sz w:val="32"/>
          <w:szCs w:val="32"/>
          <w:lang w:val="en-US" w:eastAsia="zh-CN" w:bidi="ar-SA"/>
        </w:rPr>
        <w:t>+湿式静电除尘器”处理后，经</w:t>
      </w:r>
      <w:r>
        <w:rPr>
          <w:rFonts w:ascii="Times New Roman" w:hAnsi="Times New Roman" w:eastAsia="仿宋_GB2312" w:cs="Times New Roman"/>
          <w:color w:val="auto"/>
          <w:sz w:val="32"/>
          <w:szCs w:val="32"/>
          <w:lang w:val="en-US" w:eastAsia="zh-CN" w:bidi="ar-SA"/>
        </w:rPr>
        <w:t>30</w:t>
      </w:r>
      <w:r>
        <w:rPr>
          <w:rFonts w:hint="eastAsia" w:ascii="Times New Roman" w:hAnsi="Times New Roman" w:eastAsia="仿宋_GB2312" w:cs="Times New Roman"/>
          <w:color w:val="auto"/>
          <w:sz w:val="32"/>
          <w:szCs w:val="32"/>
          <w:lang w:val="en-US" w:eastAsia="zh-CN" w:bidi="ar-SA"/>
        </w:rPr>
        <w:t>米高排气筒排放；成品仓下料和包装废气经布袋除尘器处理后与烘干废气共用1根30m高排气筒排放；通过</w:t>
      </w:r>
      <w:r>
        <w:rPr>
          <w:rFonts w:ascii="Times New Roman" w:hAnsi="Times New Roman" w:eastAsia="仿宋_GB2312" w:cs="Times New Roman"/>
          <w:color w:val="auto"/>
          <w:sz w:val="32"/>
          <w:szCs w:val="32"/>
          <w:lang w:val="en-US" w:eastAsia="zh-CN" w:bidi="ar-SA"/>
        </w:rPr>
        <w:t>设置车辆冲洗装置</w:t>
      </w:r>
      <w:r>
        <w:rPr>
          <w:rFonts w:hint="eastAsia" w:ascii="Times New Roman" w:hAnsi="Times New Roman" w:eastAsia="仿宋_GB2312" w:cs="Times New Roman"/>
          <w:color w:val="auto"/>
          <w:sz w:val="32"/>
          <w:szCs w:val="32"/>
          <w:lang w:val="en-US" w:eastAsia="zh-CN" w:bidi="ar-SA"/>
        </w:rPr>
        <w:t>、硬化道路、洒水、清扫和</w:t>
      </w:r>
      <w:r>
        <w:rPr>
          <w:rFonts w:ascii="Times New Roman" w:hAnsi="Times New Roman" w:eastAsia="仿宋_GB2312" w:cs="Times New Roman"/>
          <w:color w:val="auto"/>
          <w:sz w:val="32"/>
          <w:szCs w:val="32"/>
          <w:lang w:val="en-US" w:eastAsia="zh-CN" w:bidi="ar-SA"/>
        </w:rPr>
        <w:t>冲洗道路</w:t>
      </w:r>
      <w:r>
        <w:rPr>
          <w:rFonts w:hint="eastAsia" w:ascii="Times New Roman" w:hAnsi="Times New Roman" w:eastAsia="仿宋_GB2312" w:cs="Times New Roman"/>
          <w:color w:val="auto"/>
          <w:sz w:val="32"/>
          <w:szCs w:val="32"/>
          <w:lang w:val="en-US" w:eastAsia="zh-CN" w:bidi="ar-SA"/>
        </w:rPr>
        <w:t>、</w:t>
      </w:r>
      <w:r>
        <w:rPr>
          <w:rFonts w:ascii="Times New Roman" w:hAnsi="Times New Roman" w:eastAsia="仿宋_GB2312" w:cs="Times New Roman"/>
          <w:color w:val="auto"/>
          <w:sz w:val="32"/>
          <w:szCs w:val="32"/>
          <w:lang w:val="en-US" w:eastAsia="zh-CN" w:bidi="ar-SA"/>
        </w:rPr>
        <w:t>遮盖运输物料</w:t>
      </w:r>
      <w:r>
        <w:rPr>
          <w:rFonts w:hint="eastAsia" w:ascii="Times New Roman" w:hAnsi="Times New Roman" w:eastAsia="仿宋_GB2312" w:cs="Times New Roman"/>
          <w:color w:val="auto"/>
          <w:sz w:val="32"/>
          <w:szCs w:val="32"/>
          <w:lang w:val="en-US" w:eastAsia="zh-CN" w:bidi="ar-SA"/>
        </w:rPr>
        <w:t>等措施控制交通运输扬尘。</w:t>
      </w:r>
      <w:r>
        <w:rPr>
          <w:rFonts w:hint="eastAsia" w:ascii="Times New Roman" w:hAnsi="Times New Roman" w:eastAsia="仿宋_GB2312" w:cs="Times New Roman"/>
          <w:color w:val="auto"/>
          <w:sz w:val="32"/>
          <w:szCs w:val="32"/>
          <w:lang w:eastAsia="zh-CN" w:bidi="ar-SA"/>
        </w:rPr>
        <w:t>严格落实全市货运脏车整治要求，密闭运输物料、设置车辆冲洗区，建立车辆清洗台账、安装厂区出入口监控设施，做到脏车不出厂</w:t>
      </w:r>
      <w:r>
        <w:rPr>
          <w:rFonts w:ascii="Times New Roman" w:hAnsi="Times New Roman" w:eastAsia="仿宋_GB2312" w:cs="Times New Roman"/>
          <w:color w:val="auto"/>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严格落实</w:t>
      </w:r>
      <w:r>
        <w:rPr>
          <w:rFonts w:ascii="Times New Roman" w:hAnsi="Times New Roman" w:eastAsia="仿宋_GB2312" w:cs="Times New Roman"/>
          <w:color w:val="auto"/>
          <w:sz w:val="32"/>
          <w:szCs w:val="32"/>
          <w:lang w:bidi="ar-SA"/>
        </w:rPr>
        <w:t>运营期</w:t>
      </w:r>
      <w:r>
        <w:rPr>
          <w:rFonts w:ascii="Times New Roman" w:hAnsi="Times New Roman" w:eastAsia="仿宋_GB2312" w:cs="Times New Roman"/>
          <w:sz w:val="32"/>
          <w:szCs w:val="32"/>
        </w:rPr>
        <w:t>各项水污染防治措施。</w:t>
      </w:r>
      <w:r>
        <w:rPr>
          <w:rFonts w:ascii="Times New Roman" w:hAnsi="Times New Roman" w:eastAsia="仿宋_GB2312" w:cs="Times New Roman"/>
          <w:color w:val="auto"/>
          <w:sz w:val="32"/>
          <w:szCs w:val="32"/>
          <w:lang w:bidi="ar-SA"/>
        </w:rPr>
        <w:t>项目区域实行“雨污分流”，</w:t>
      </w:r>
      <w:r>
        <w:rPr>
          <w:rFonts w:ascii="Times New Roman" w:hAnsi="Times New Roman" w:eastAsia="仿宋_GB2312" w:cs="Times New Roman"/>
          <w:color w:val="auto"/>
          <w:sz w:val="32"/>
          <w:szCs w:val="32"/>
          <w:lang w:val="en-US" w:eastAsia="zh-CN" w:bidi="ar-SA"/>
        </w:rPr>
        <w:t>初期雨水</w:t>
      </w:r>
      <w:r>
        <w:rPr>
          <w:rFonts w:hint="eastAsia" w:ascii="Times New Roman" w:hAnsi="Times New Roman" w:eastAsia="仿宋_GB2312" w:cs="Times New Roman"/>
          <w:color w:val="auto"/>
          <w:sz w:val="32"/>
          <w:szCs w:val="32"/>
          <w:lang w:val="en-US" w:eastAsia="zh-CN" w:bidi="ar-SA"/>
        </w:rPr>
        <w:t>经</w:t>
      </w:r>
      <w:r>
        <w:rPr>
          <w:rFonts w:ascii="Times New Roman" w:hAnsi="Times New Roman" w:eastAsia="仿宋_GB2312" w:cs="Times New Roman"/>
          <w:color w:val="auto"/>
          <w:sz w:val="32"/>
          <w:szCs w:val="32"/>
          <w:lang w:val="en-US" w:eastAsia="zh-CN" w:bidi="ar-SA"/>
        </w:rPr>
        <w:t>雨水收集池沉淀处理后用于地坪冲洗、运输车辆冲洗</w:t>
      </w:r>
      <w:r>
        <w:rPr>
          <w:rFonts w:hint="eastAsia" w:ascii="Times New Roman" w:hAnsi="Times New Roman" w:eastAsia="仿宋_GB2312" w:cs="Times New Roman"/>
          <w:color w:val="auto"/>
          <w:sz w:val="32"/>
          <w:szCs w:val="32"/>
          <w:lang w:val="en-US" w:eastAsia="zh-CN" w:bidi="ar-SA"/>
        </w:rPr>
        <w:t>、</w:t>
      </w:r>
      <w:r>
        <w:rPr>
          <w:rFonts w:ascii="Times New Roman" w:hAnsi="Times New Roman" w:eastAsia="仿宋_GB2312" w:cs="Times New Roman"/>
          <w:color w:val="auto"/>
          <w:sz w:val="32"/>
          <w:szCs w:val="32"/>
          <w:lang w:val="en-US" w:eastAsia="zh-CN" w:bidi="ar-SA"/>
        </w:rPr>
        <w:t>厂区道路及回车场控尘补水。原料库房渗滤水经渗滤水收集</w:t>
      </w:r>
      <w:r>
        <w:rPr>
          <w:rFonts w:hint="eastAsia" w:ascii="Times New Roman" w:hAnsi="Times New Roman" w:eastAsia="仿宋_GB2312" w:cs="Times New Roman"/>
          <w:color w:val="auto"/>
          <w:sz w:val="32"/>
          <w:szCs w:val="32"/>
          <w:lang w:val="en-US" w:eastAsia="zh-CN" w:bidi="ar-SA"/>
        </w:rPr>
        <w:t>池收集后</w:t>
      </w:r>
      <w:r>
        <w:rPr>
          <w:rFonts w:ascii="Times New Roman" w:hAnsi="Times New Roman" w:eastAsia="仿宋_GB2312" w:cs="Times New Roman"/>
          <w:color w:val="auto"/>
          <w:sz w:val="32"/>
          <w:szCs w:val="32"/>
          <w:lang w:val="en-US" w:eastAsia="zh-CN" w:bidi="ar-SA"/>
        </w:rPr>
        <w:t>用于原料控尘</w:t>
      </w:r>
      <w:r>
        <w:rPr>
          <w:rFonts w:hint="eastAsia" w:ascii="Times New Roman" w:hAnsi="Times New Roman" w:eastAsia="仿宋_GB2312" w:cs="Times New Roman"/>
          <w:color w:val="auto"/>
          <w:sz w:val="32"/>
          <w:szCs w:val="32"/>
          <w:lang w:val="en-US" w:eastAsia="zh-CN" w:bidi="ar-SA"/>
        </w:rPr>
        <w:t>；设备</w:t>
      </w:r>
      <w:r>
        <w:rPr>
          <w:rFonts w:ascii="Times New Roman" w:hAnsi="Times New Roman" w:eastAsia="仿宋_GB2312" w:cs="Times New Roman"/>
          <w:color w:val="auto"/>
          <w:sz w:val="32"/>
          <w:szCs w:val="32"/>
          <w:lang w:val="en-US" w:eastAsia="zh-CN" w:bidi="ar-SA"/>
        </w:rPr>
        <w:t>冷却水</w:t>
      </w:r>
      <w:r>
        <w:rPr>
          <w:rFonts w:hint="eastAsia" w:ascii="Times New Roman" w:hAnsi="Times New Roman" w:eastAsia="仿宋_GB2312" w:cs="Times New Roman"/>
          <w:color w:val="auto"/>
          <w:sz w:val="32"/>
          <w:szCs w:val="32"/>
          <w:lang w:val="en-US" w:eastAsia="zh-CN" w:bidi="ar-SA"/>
        </w:rPr>
        <w:t>经</w:t>
      </w:r>
      <w:r>
        <w:rPr>
          <w:rFonts w:ascii="Times New Roman" w:hAnsi="Times New Roman" w:eastAsia="仿宋_GB2312" w:cs="Times New Roman"/>
          <w:color w:val="auto"/>
          <w:sz w:val="32"/>
          <w:szCs w:val="32"/>
          <w:lang w:val="en-US" w:eastAsia="zh-CN" w:bidi="ar-SA"/>
        </w:rPr>
        <w:t>冷却水循环水箱冷却后循环使用</w:t>
      </w:r>
      <w:r>
        <w:rPr>
          <w:rFonts w:hint="eastAsia" w:ascii="Times New Roman" w:hAnsi="Times New Roman" w:eastAsia="仿宋_GB2312" w:cs="Times New Roman"/>
          <w:color w:val="auto"/>
          <w:sz w:val="32"/>
          <w:szCs w:val="32"/>
          <w:lang w:val="en-US" w:eastAsia="zh-CN" w:bidi="ar-SA"/>
        </w:rPr>
        <w:t>；</w:t>
      </w:r>
      <w:r>
        <w:rPr>
          <w:rFonts w:ascii="Times New Roman" w:hAnsi="Times New Roman" w:eastAsia="仿宋_GB2312" w:cs="Times New Roman"/>
          <w:color w:val="auto"/>
          <w:sz w:val="32"/>
          <w:szCs w:val="32"/>
          <w:lang w:val="en-US" w:eastAsia="zh-CN" w:bidi="ar-SA"/>
        </w:rPr>
        <w:t>脱硫废水</w:t>
      </w:r>
      <w:r>
        <w:rPr>
          <w:rFonts w:hint="eastAsia" w:ascii="Times New Roman" w:hAnsi="Times New Roman" w:eastAsia="仿宋_GB2312" w:cs="Times New Roman"/>
          <w:color w:val="auto"/>
          <w:sz w:val="32"/>
          <w:szCs w:val="32"/>
          <w:lang w:val="en-US" w:eastAsia="zh-CN" w:bidi="ar-SA"/>
        </w:rPr>
        <w:t>、</w:t>
      </w:r>
      <w:r>
        <w:rPr>
          <w:rFonts w:ascii="Times New Roman" w:hAnsi="Times New Roman" w:eastAsia="仿宋_GB2312" w:cs="Times New Roman"/>
          <w:color w:val="auto"/>
          <w:sz w:val="32"/>
          <w:szCs w:val="32"/>
          <w:lang w:val="en-US" w:eastAsia="zh-CN" w:bidi="ar-SA"/>
        </w:rPr>
        <w:t>冷凝水</w:t>
      </w:r>
      <w:r>
        <w:rPr>
          <w:rFonts w:hint="eastAsia" w:ascii="Times New Roman" w:hAnsi="Times New Roman" w:eastAsia="仿宋_GB2312" w:cs="Times New Roman"/>
          <w:color w:val="auto"/>
          <w:sz w:val="32"/>
          <w:szCs w:val="32"/>
          <w:lang w:val="en-US" w:eastAsia="zh-CN" w:bidi="ar-SA"/>
        </w:rPr>
        <w:t>和</w:t>
      </w:r>
      <w:r>
        <w:rPr>
          <w:rFonts w:ascii="Times New Roman" w:hAnsi="Times New Roman" w:eastAsia="仿宋_GB2312" w:cs="Times New Roman"/>
          <w:color w:val="auto"/>
          <w:sz w:val="32"/>
          <w:szCs w:val="32"/>
          <w:lang w:val="en-US" w:eastAsia="zh-CN" w:bidi="ar-SA"/>
        </w:rPr>
        <w:t>电除尘器清洗废水经循环水池</w:t>
      </w:r>
      <w:r>
        <w:rPr>
          <w:rFonts w:hint="eastAsia" w:ascii="Times New Roman" w:hAnsi="Times New Roman" w:eastAsia="仿宋_GB2312" w:cs="Times New Roman"/>
          <w:color w:val="auto"/>
          <w:sz w:val="32"/>
          <w:szCs w:val="32"/>
          <w:lang w:val="en-US" w:eastAsia="zh-CN" w:bidi="ar-SA"/>
        </w:rPr>
        <w:t>沉淀</w:t>
      </w:r>
      <w:r>
        <w:rPr>
          <w:rFonts w:ascii="Times New Roman" w:hAnsi="Times New Roman" w:eastAsia="仿宋_GB2312" w:cs="Times New Roman"/>
          <w:color w:val="auto"/>
          <w:sz w:val="32"/>
          <w:szCs w:val="32"/>
          <w:lang w:val="en-US" w:eastAsia="zh-CN" w:bidi="ar-SA"/>
        </w:rPr>
        <w:t>处理后循环使用</w:t>
      </w:r>
      <w:r>
        <w:rPr>
          <w:rFonts w:hint="eastAsia" w:ascii="Times New Roman" w:hAnsi="Times New Roman" w:eastAsia="仿宋_GB2312" w:cs="Times New Roman"/>
          <w:color w:val="auto"/>
          <w:sz w:val="32"/>
          <w:szCs w:val="32"/>
          <w:lang w:val="en-US" w:eastAsia="zh-CN" w:bidi="ar-SA"/>
        </w:rPr>
        <w:t>；</w:t>
      </w:r>
      <w:r>
        <w:rPr>
          <w:rFonts w:ascii="Times New Roman" w:hAnsi="Times New Roman" w:eastAsia="仿宋_GB2312" w:cs="Times New Roman"/>
          <w:color w:val="auto"/>
          <w:sz w:val="32"/>
          <w:szCs w:val="32"/>
          <w:lang w:val="en-US" w:eastAsia="zh-CN" w:bidi="ar-SA"/>
        </w:rPr>
        <w:t>车辆冲洗废水经斜底沉淀池沉淀处理后泵至清水池，循环使用</w:t>
      </w:r>
      <w:r>
        <w:rPr>
          <w:rFonts w:hint="eastAsia" w:ascii="Times New Roman" w:hAnsi="Times New Roman" w:eastAsia="仿宋_GB2312" w:cs="Times New Roman"/>
          <w:color w:val="auto"/>
          <w:sz w:val="32"/>
          <w:szCs w:val="32"/>
          <w:lang w:val="en-US" w:eastAsia="zh-CN" w:bidi="ar-SA"/>
        </w:rPr>
        <w:t>；</w:t>
      </w:r>
      <w:r>
        <w:rPr>
          <w:rFonts w:ascii="Times New Roman" w:hAnsi="Times New Roman" w:eastAsia="仿宋_GB2312" w:cs="Times New Roman"/>
          <w:color w:val="auto"/>
          <w:sz w:val="32"/>
          <w:szCs w:val="32"/>
          <w:lang w:val="en-US" w:eastAsia="zh-CN" w:bidi="ar-SA"/>
        </w:rPr>
        <w:t>地坪冲洗废水</w:t>
      </w:r>
      <w:r>
        <w:rPr>
          <w:rFonts w:hint="eastAsia" w:ascii="Times New Roman" w:hAnsi="Times New Roman" w:eastAsia="仿宋_GB2312" w:cs="Times New Roman"/>
          <w:color w:val="auto"/>
          <w:sz w:val="32"/>
          <w:szCs w:val="32"/>
          <w:lang w:val="en-US" w:eastAsia="zh-CN" w:bidi="ar-SA"/>
        </w:rPr>
        <w:t>经</w:t>
      </w:r>
      <w:r>
        <w:rPr>
          <w:rFonts w:ascii="Times New Roman" w:hAnsi="Times New Roman" w:eastAsia="仿宋_GB2312" w:cs="Times New Roman"/>
          <w:color w:val="auto"/>
          <w:sz w:val="32"/>
          <w:szCs w:val="32"/>
          <w:lang w:val="en-US" w:eastAsia="zh-CN" w:bidi="ar-SA"/>
        </w:rPr>
        <w:t>雨水收集池沉淀处理后循环使用</w:t>
      </w:r>
      <w:r>
        <w:rPr>
          <w:rFonts w:hint="eastAsia" w:ascii="Times New Roman" w:hAnsi="Times New Roman" w:eastAsia="仿宋_GB2312" w:cs="Times New Roman"/>
          <w:color w:val="auto"/>
          <w:sz w:val="32"/>
          <w:szCs w:val="32"/>
          <w:lang w:val="en-US" w:eastAsia="zh-CN" w:bidi="ar-SA"/>
        </w:rPr>
        <w:t>；生活污水经</w:t>
      </w:r>
      <w:r>
        <w:rPr>
          <w:rFonts w:ascii="Times New Roman" w:hAnsi="Times New Roman" w:eastAsia="仿宋_GB2312" w:cs="Times New Roman"/>
          <w:color w:val="auto"/>
          <w:sz w:val="32"/>
          <w:szCs w:val="32"/>
          <w:lang w:val="en-US" w:eastAsia="zh-CN" w:bidi="ar-SA"/>
        </w:rPr>
        <w:t>隔油池+化粪池+</w:t>
      </w:r>
      <w:r>
        <w:rPr>
          <w:rFonts w:hint="eastAsia" w:ascii="Times New Roman" w:hAnsi="Times New Roman" w:eastAsia="仿宋_GB2312" w:cs="Times New Roman"/>
          <w:color w:val="auto"/>
          <w:sz w:val="32"/>
          <w:szCs w:val="32"/>
          <w:lang w:val="en-US" w:eastAsia="zh-CN" w:bidi="ar-SA"/>
        </w:rPr>
        <w:t>一体化生化处理装置处理后用于厂区绿化。</w:t>
      </w:r>
      <w:r>
        <w:rPr>
          <w:rFonts w:ascii="Times New Roman" w:hAnsi="Times New Roman" w:eastAsia="仿宋_GB2312" w:cs="Times New Roman"/>
          <w:color w:val="auto"/>
          <w:sz w:val="32"/>
          <w:szCs w:val="32"/>
          <w:lang w:bidi="ar-SA"/>
        </w:rPr>
        <w:t>严格落实危废暂存间、循环水池、初期雨水收集池、一体化生化处理装置、渗滤水收集池、斜底沉淀池等区域的重点防渗措施，防止污染地下水和土壤环境。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eastAsia="zh-CN"/>
        </w:rPr>
        <w:t>（四）</w:t>
      </w:r>
      <w:r>
        <w:rPr>
          <w:rFonts w:ascii="Times New Roman" w:hAnsi="Times New Roman" w:eastAsia="仿宋_GB2312" w:cs="Times New Roman"/>
          <w:color w:val="auto"/>
          <w:sz w:val="32"/>
          <w:szCs w:val="32"/>
        </w:rPr>
        <w:t>严格落实</w:t>
      </w:r>
      <w:r>
        <w:rPr>
          <w:rFonts w:ascii="Times New Roman" w:hAnsi="Times New Roman" w:eastAsia="仿宋_GB2312" w:cs="Times New Roman"/>
          <w:color w:val="auto"/>
          <w:sz w:val="32"/>
          <w:szCs w:val="32"/>
          <w:lang w:bidi="ar-SA"/>
        </w:rPr>
        <w:t>运营期</w:t>
      </w:r>
      <w:r>
        <w:rPr>
          <w:rFonts w:ascii="Times New Roman" w:hAnsi="Times New Roman" w:eastAsia="仿宋_GB2312" w:cs="Times New Roman"/>
          <w:color w:val="auto"/>
          <w:sz w:val="32"/>
          <w:szCs w:val="32"/>
        </w:rPr>
        <w:t>各项固废处置措施。</w:t>
      </w:r>
      <w:r>
        <w:rPr>
          <w:rFonts w:ascii="Times New Roman" w:hAnsi="Times New Roman" w:eastAsia="仿宋_GB2312" w:cs="Times New Roman"/>
          <w:color w:val="auto"/>
          <w:sz w:val="32"/>
          <w:szCs w:val="32"/>
          <w:lang w:bidi="ar-SA"/>
        </w:rPr>
        <w:t>按照“减量化、资源化、无害化”原则进行合理、规范处置。</w:t>
      </w:r>
      <w:r>
        <w:rPr>
          <w:rFonts w:hint="eastAsia" w:ascii="Times New Roman" w:hAnsi="Times New Roman" w:eastAsia="仿宋_GB2312" w:cs="Times New Roman"/>
          <w:color w:val="auto"/>
          <w:sz w:val="32"/>
          <w:szCs w:val="32"/>
          <w:lang w:val="en-US" w:eastAsia="zh-CN" w:bidi="ar-SA"/>
        </w:rPr>
        <w:t>脱硫石膏渣运至盐边县安宁园区固废渣场处置；除尘器除尘灰作为产品包装销售；炉渣收集后定期运至攀枝花市周边复合肥生产厂，作为复合肥生产原料；斜底沉淀池污泥清掏后</w:t>
      </w:r>
      <w:r>
        <w:rPr>
          <w:rFonts w:ascii="Times New Roman" w:hAnsi="Times New Roman" w:eastAsia="仿宋_GB2312" w:cs="Times New Roman"/>
          <w:color w:val="auto"/>
          <w:sz w:val="32"/>
          <w:szCs w:val="32"/>
          <w:lang w:eastAsia="zh-CN" w:bidi="ar-SA"/>
        </w:rPr>
        <w:t>暂存于</w:t>
      </w:r>
      <w:r>
        <w:rPr>
          <w:rFonts w:ascii="Times New Roman" w:hAnsi="Times New Roman" w:eastAsia="仿宋_GB2312" w:cs="Times New Roman"/>
          <w:color w:val="auto"/>
          <w:sz w:val="32"/>
          <w:szCs w:val="32"/>
          <w:lang w:bidi="ar-SA"/>
        </w:rPr>
        <w:t>污泥池</w:t>
      </w:r>
      <w:r>
        <w:rPr>
          <w:rFonts w:hint="eastAsia" w:ascii="Times New Roman" w:hAnsi="Times New Roman" w:eastAsia="仿宋_GB2312" w:cs="Times New Roman"/>
          <w:color w:val="auto"/>
          <w:sz w:val="32"/>
          <w:szCs w:val="32"/>
          <w:lang w:eastAsia="zh-CN" w:bidi="ar-SA"/>
        </w:rPr>
        <w:t>，定期</w:t>
      </w:r>
      <w:r>
        <w:rPr>
          <w:rFonts w:hint="eastAsia" w:ascii="Times New Roman" w:hAnsi="Times New Roman" w:eastAsia="仿宋_GB2312" w:cs="Times New Roman"/>
          <w:color w:val="auto"/>
          <w:sz w:val="32"/>
          <w:szCs w:val="32"/>
          <w:lang w:val="en-US" w:eastAsia="zh-CN" w:bidi="ar-SA"/>
        </w:rPr>
        <w:t>运至会理县秀水河矿业有限公司选矿厂作为原料使用；生活垃圾分类收集后，由环卫部门统一处理；废矿物油、废油桶暂存于危废暂存间，定期交由有资质的单位处置。</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jc w:val="both"/>
        <w:textAlignment w:val="auto"/>
        <w:rPr>
          <w:rFonts w:hint="eastAsia" w:ascii="Times New Roman" w:hAnsi="Times New Roman" w:eastAsia="仿宋_GB2312" w:cs="Times New Roman"/>
          <w:color w:val="auto"/>
          <w:sz w:val="32"/>
          <w:szCs w:val="32"/>
          <w:lang w:val="en-US" w:eastAsia="zh-CN" w:bidi="ar-SA"/>
        </w:rPr>
      </w:pPr>
      <w:r>
        <w:rPr>
          <w:rFonts w:hint="eastAsia" w:ascii="Times New Roman" w:hAnsi="Times New Roman" w:eastAsia="仿宋_GB2312" w:cs="Times New Roman"/>
          <w:color w:val="auto"/>
          <w:sz w:val="32"/>
          <w:szCs w:val="32"/>
          <w:lang w:eastAsia="zh-CN"/>
        </w:rPr>
        <w:t>（五）</w:t>
      </w:r>
      <w:r>
        <w:rPr>
          <w:rFonts w:ascii="Times New Roman" w:hAnsi="Times New Roman" w:eastAsia="仿宋_GB2312" w:cs="Times New Roman"/>
          <w:color w:val="auto"/>
          <w:sz w:val="32"/>
          <w:szCs w:val="32"/>
        </w:rPr>
        <w:t>严格落实</w:t>
      </w:r>
      <w:r>
        <w:rPr>
          <w:rFonts w:ascii="Times New Roman" w:hAnsi="Times New Roman" w:eastAsia="仿宋_GB2312" w:cs="Times New Roman"/>
          <w:color w:val="auto"/>
          <w:sz w:val="32"/>
          <w:szCs w:val="32"/>
          <w:lang w:bidi="ar-SA"/>
        </w:rPr>
        <w:t>运营期</w:t>
      </w:r>
      <w:r>
        <w:rPr>
          <w:rFonts w:ascii="Times New Roman" w:hAnsi="Times New Roman" w:eastAsia="仿宋_GB2312" w:cs="Times New Roman"/>
          <w:color w:val="auto"/>
          <w:sz w:val="32"/>
          <w:szCs w:val="32"/>
        </w:rPr>
        <w:t>各项噪声防治措施。</w:t>
      </w:r>
      <w:r>
        <w:rPr>
          <w:rFonts w:hint="eastAsia" w:ascii="Times New Roman" w:hAnsi="Times New Roman" w:eastAsia="仿宋_GB2312" w:cs="Times New Roman"/>
          <w:color w:val="auto"/>
          <w:sz w:val="32"/>
          <w:szCs w:val="32"/>
          <w:lang w:val="en-US" w:eastAsia="zh-CN" w:bidi="ar-SA"/>
        </w:rPr>
        <w:t>通过</w:t>
      </w:r>
      <w:r>
        <w:rPr>
          <w:rFonts w:ascii="Times New Roman" w:hAnsi="Times New Roman" w:eastAsia="仿宋_GB2312" w:cs="Times New Roman"/>
          <w:color w:val="auto"/>
          <w:sz w:val="32"/>
          <w:szCs w:val="32"/>
          <w:lang w:val="en-US" w:eastAsia="zh-CN" w:bidi="ar-SA"/>
        </w:rPr>
        <w:t>选用低噪设备、合理布局、定期维护保养、</w:t>
      </w:r>
      <w:r>
        <w:rPr>
          <w:rFonts w:hint="eastAsia" w:ascii="Times New Roman" w:hAnsi="Times New Roman" w:eastAsia="仿宋_GB2312" w:cs="Times New Roman"/>
          <w:color w:val="auto"/>
          <w:sz w:val="32"/>
          <w:szCs w:val="32"/>
          <w:lang w:val="en-US" w:eastAsia="zh-CN" w:bidi="ar-SA"/>
        </w:rPr>
        <w:t>并采取</w:t>
      </w:r>
      <w:r>
        <w:rPr>
          <w:rFonts w:ascii="Times New Roman" w:hAnsi="Times New Roman" w:eastAsia="仿宋_GB2312" w:cs="Times New Roman"/>
          <w:color w:val="auto"/>
          <w:sz w:val="32"/>
          <w:szCs w:val="32"/>
          <w:lang w:val="en-US" w:eastAsia="zh-CN" w:bidi="ar-SA"/>
        </w:rPr>
        <w:t>消声、</w:t>
      </w:r>
      <w:r>
        <w:rPr>
          <w:rFonts w:hint="eastAsia" w:ascii="Times New Roman" w:hAnsi="Times New Roman" w:eastAsia="仿宋_GB2312" w:cs="Times New Roman"/>
          <w:color w:val="auto"/>
          <w:sz w:val="32"/>
          <w:szCs w:val="32"/>
          <w:lang w:val="en-US" w:eastAsia="zh-CN" w:bidi="ar-SA"/>
        </w:rPr>
        <w:t>隔声、减震等措施降低噪声对周围环境的影响。</w:t>
      </w:r>
    </w:p>
    <w:p>
      <w:pPr>
        <w:pStyle w:val="12"/>
        <w:keepNext w:val="0"/>
        <w:keepLines w:val="0"/>
        <w:pageBreakBefore w:val="0"/>
        <w:kinsoku w:val="0"/>
        <w:wordWrap/>
        <w:overflowPunct/>
        <w:topLinePunct w:val="0"/>
        <w:autoSpaceDE w:val="0"/>
        <w:autoSpaceDN w:val="0"/>
        <w:bidi w:val="0"/>
        <w:spacing w:line="560" w:lineRule="exact"/>
        <w:ind w:left="0"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snapToGrid w:val="0"/>
          <w:color w:val="auto"/>
          <w:sz w:val="32"/>
          <w:szCs w:val="32"/>
          <w:lang w:val="en-US" w:eastAsia="zh-CN" w:bidi="ar-SA"/>
        </w:rPr>
        <w:t>（</w:t>
      </w:r>
      <w:r>
        <w:rPr>
          <w:rFonts w:hint="eastAsia" w:eastAsia="仿宋_GB2312" w:cs="Times New Roman"/>
          <w:snapToGrid w:val="0"/>
          <w:color w:val="auto"/>
          <w:sz w:val="32"/>
          <w:szCs w:val="32"/>
          <w:lang w:val="en-US" w:eastAsia="zh-CN" w:bidi="ar-SA"/>
        </w:rPr>
        <w:t>六</w:t>
      </w:r>
      <w:r>
        <w:rPr>
          <w:rFonts w:ascii="Times New Roman" w:hAnsi="Times New Roman" w:eastAsia="仿宋_GB2312" w:cs="Times New Roman"/>
          <w:snapToGrid w:val="0"/>
          <w:color w:val="auto"/>
          <w:sz w:val="32"/>
          <w:szCs w:val="32"/>
          <w:lang w:val="en-US" w:eastAsia="zh-CN" w:bidi="ar-SA"/>
        </w:rPr>
        <w:t>）高度重视环境风险防范工作。严格落实“报告表”提出的各项风险防范措施，</w:t>
      </w:r>
      <w:r>
        <w:rPr>
          <w:rFonts w:hint="eastAsia" w:eastAsia="仿宋_GB2312" w:cs="Times New Roman"/>
          <w:snapToGrid w:val="0"/>
          <w:color w:val="auto"/>
          <w:sz w:val="32"/>
          <w:szCs w:val="32"/>
          <w:lang w:val="en-US" w:eastAsia="zh-CN" w:bidi="ar-SA"/>
        </w:rPr>
        <w:t>制定突发环境事件应急预案，</w:t>
      </w:r>
      <w:r>
        <w:rPr>
          <w:rFonts w:ascii="Times New Roman" w:hAnsi="Times New Roman" w:eastAsia="仿宋_GB2312" w:cs="Times New Roman"/>
          <w:snapToGrid w:val="0"/>
          <w:color w:val="auto"/>
          <w:sz w:val="32"/>
          <w:szCs w:val="32"/>
          <w:lang w:val="en-US" w:eastAsia="zh-CN" w:bidi="ar-SA"/>
        </w:rPr>
        <w:t>保证出现事故能得到及时、有效处理，强化环境风险管理工作，确保环境安全。严格规范排污口建设，落实环境监测计划，建立健全环境管理机制和环保规章制度，落实岗</w:t>
      </w:r>
      <w:r>
        <w:rPr>
          <w:rFonts w:ascii="Times New Roman" w:hAnsi="Times New Roman" w:eastAsia="仿宋_GB2312" w:cs="Times New Roman"/>
          <w:snapToGrid w:val="0"/>
          <w:color w:val="auto"/>
          <w:spacing w:val="-17"/>
          <w:sz w:val="32"/>
          <w:szCs w:val="32"/>
          <w:lang w:val="en-US" w:eastAsia="zh-CN" w:bidi="ar-SA"/>
        </w:rPr>
        <w:t>位环保责任制，</w:t>
      </w:r>
      <w:r>
        <w:rPr>
          <w:rFonts w:ascii="Times New Roman" w:hAnsi="Times New Roman" w:eastAsia="仿宋_GB2312" w:cs="Times New Roman"/>
          <w:color w:val="auto"/>
          <w:spacing w:val="-17"/>
          <w:sz w:val="32"/>
          <w:szCs w:val="32"/>
        </w:rPr>
        <w:t>加强污染治理设施的日常运行及维护管理</w:t>
      </w:r>
      <w:r>
        <w:rPr>
          <w:rFonts w:ascii="Times New Roman" w:hAnsi="Times New Roman" w:eastAsia="仿宋_GB2312" w:cs="Times New Roman"/>
          <w:color w:val="auto"/>
          <w:sz w:val="32"/>
          <w:szCs w:val="32"/>
        </w:rPr>
        <w:t>，确保污染物稳定达标排放。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七</w:t>
      </w:r>
      <w:r>
        <w:rPr>
          <w:rFonts w:ascii="Times New Roman" w:hAnsi="Times New Roman" w:eastAsia="仿宋_GB2312" w:cs="Times New Roman"/>
          <w:color w:val="auto"/>
          <w:sz w:val="32"/>
          <w:szCs w:val="32"/>
        </w:rPr>
        <w:t>）加强公众参与。项目在建设及运行管理中，应根据公众的反映，进一步加强与公众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八</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0"/>
          <w:sz w:val="32"/>
          <w:szCs w:val="32"/>
          <w:highlight w:val="none"/>
          <w:lang w:val="en-US"/>
        </w:rPr>
        <w:t>其它应注意的事项按国家相关法律法规和“报告表”中提出的相关要求落实。</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after="0" w:line="560" w:lineRule="exact"/>
        <w:ind w:left="0" w:right="0" w:firstLine="640" w:firstLineChars="200"/>
        <w:jc w:val="both"/>
        <w:outlineLvl w:val="9"/>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bidi="ar-SA"/>
        </w:rPr>
        <w:t>四、“报告</w:t>
      </w:r>
      <w:r>
        <w:rPr>
          <w:rFonts w:hint="eastAsia" w:ascii="Times New Roman" w:hAnsi="Times New Roman" w:eastAsia="仿宋_GB2312" w:cs="Times New Roman"/>
          <w:sz w:val="32"/>
          <w:szCs w:val="32"/>
          <w:lang w:eastAsia="zh-CN" w:bidi="ar-SA"/>
        </w:rPr>
        <w:t>表</w:t>
      </w:r>
      <w:r>
        <w:rPr>
          <w:rFonts w:ascii="Times New Roman" w:hAnsi="Times New Roman" w:eastAsia="仿宋_GB2312" w:cs="Times New Roman"/>
          <w:color w:val="auto"/>
          <w:sz w:val="32"/>
          <w:szCs w:val="32"/>
          <w:lang w:bidi="ar-SA"/>
        </w:rPr>
        <w:t>”</w:t>
      </w:r>
      <w:r>
        <w:rPr>
          <w:rFonts w:ascii="Times New Roman" w:hAnsi="Times New Roman" w:eastAsia="仿宋_GB2312" w:cs="Times New Roman"/>
          <w:sz w:val="32"/>
          <w:szCs w:val="32"/>
          <w:lang w:bidi="ar-SA"/>
        </w:rPr>
        <w:t>预测本项目实施后</w:t>
      </w:r>
      <w:r>
        <w:rPr>
          <w:rFonts w:hint="eastAsia" w:eastAsia="仿宋_GB2312" w:cs="Times New Roman"/>
          <w:sz w:val="32"/>
          <w:szCs w:val="32"/>
          <w:lang w:eastAsia="zh-CN" w:bidi="ar-SA"/>
        </w:rPr>
        <w:t>，主要</w:t>
      </w:r>
      <w:r>
        <w:rPr>
          <w:rFonts w:ascii="Times New Roman" w:hAnsi="Times New Roman" w:eastAsia="仿宋_GB2312" w:cs="Times New Roman"/>
          <w:sz w:val="32"/>
          <w:szCs w:val="32"/>
          <w:lang w:bidi="ar-SA"/>
        </w:rPr>
        <w:t>污染物排放</w:t>
      </w:r>
      <w:r>
        <w:rPr>
          <w:rFonts w:ascii="Times New Roman" w:hAnsi="Times New Roman" w:eastAsia="仿宋_GB2312" w:cs="Times New Roman"/>
          <w:color w:val="auto"/>
          <w:sz w:val="32"/>
          <w:szCs w:val="32"/>
          <w:lang w:bidi="ar-SA"/>
        </w:rPr>
        <w:t>量为</w:t>
      </w:r>
      <w:r>
        <w:rPr>
          <w:rFonts w:ascii="Times New Roman" w:hAnsi="Times New Roman" w:eastAsia="仿宋_GB2312" w:cs="Times New Roman"/>
          <w:bCs/>
          <w:color w:val="auto"/>
          <w:sz w:val="32"/>
          <w:szCs w:val="32"/>
          <w:lang w:bidi="ar-SA"/>
        </w:rPr>
        <w:t>VOC</w:t>
      </w:r>
      <w:r>
        <w:rPr>
          <w:rFonts w:ascii="Times New Roman" w:hAnsi="Times New Roman" w:eastAsia="仿宋_GB2312" w:cs="Times New Roman"/>
          <w:bCs/>
          <w:color w:val="auto"/>
          <w:sz w:val="32"/>
          <w:szCs w:val="32"/>
          <w:vertAlign w:val="subscript"/>
          <w:lang w:bidi="ar-SA"/>
        </w:rPr>
        <w:t>S</w:t>
      </w:r>
      <w:r>
        <w:rPr>
          <w:rFonts w:ascii="Times New Roman" w:hAnsi="Times New Roman" w:eastAsia="仿宋_GB2312" w:cs="Times New Roman"/>
          <w:bCs/>
          <w:color w:val="auto"/>
          <w:sz w:val="32"/>
          <w:szCs w:val="32"/>
          <w:lang w:val="en-US" w:bidi="ar-SA"/>
        </w:rPr>
        <w:t>0.35</w:t>
      </w:r>
      <w:r>
        <w:rPr>
          <w:rFonts w:ascii="Times New Roman" w:hAnsi="Times New Roman" w:eastAsia="仿宋_GB2312" w:cs="Times New Roman"/>
          <w:bCs/>
          <w:color w:val="auto"/>
          <w:sz w:val="32"/>
          <w:szCs w:val="32"/>
          <w:lang w:bidi="ar-SA"/>
        </w:rPr>
        <w:t xml:space="preserve"> t/a，SO</w:t>
      </w:r>
      <w:r>
        <w:rPr>
          <w:rFonts w:ascii="Times New Roman" w:hAnsi="Times New Roman" w:eastAsia="仿宋_GB2312" w:cs="Times New Roman"/>
          <w:bCs/>
          <w:color w:val="auto"/>
          <w:sz w:val="32"/>
          <w:szCs w:val="32"/>
          <w:vertAlign w:val="subscript"/>
          <w:lang w:bidi="ar-SA"/>
        </w:rPr>
        <w:t>2</w:t>
      </w:r>
      <w:r>
        <w:rPr>
          <w:rFonts w:ascii="Times New Roman" w:hAnsi="Times New Roman" w:eastAsia="仿宋_GB2312" w:cs="Times New Roman"/>
          <w:bCs/>
          <w:color w:val="auto"/>
          <w:sz w:val="32"/>
          <w:szCs w:val="32"/>
          <w:lang w:val="en-US" w:bidi="ar-SA"/>
        </w:rPr>
        <w:t>1.61</w:t>
      </w:r>
      <w:r>
        <w:rPr>
          <w:rFonts w:ascii="Times New Roman" w:hAnsi="Times New Roman" w:eastAsia="仿宋_GB2312" w:cs="Times New Roman"/>
          <w:bCs/>
          <w:color w:val="auto"/>
          <w:sz w:val="32"/>
          <w:szCs w:val="32"/>
          <w:lang w:bidi="ar-SA"/>
        </w:rPr>
        <w:t>t/a，NOx</w:t>
      </w:r>
      <w:r>
        <w:rPr>
          <w:rFonts w:ascii="Times New Roman" w:hAnsi="Times New Roman" w:eastAsia="仿宋_GB2312" w:cs="Times New Roman"/>
          <w:bCs/>
          <w:color w:val="auto"/>
          <w:sz w:val="32"/>
          <w:szCs w:val="32"/>
          <w:lang w:val="en-US" w:bidi="ar-SA"/>
        </w:rPr>
        <w:t>7.07</w:t>
      </w:r>
      <w:r>
        <w:rPr>
          <w:rFonts w:ascii="Times New Roman" w:hAnsi="Times New Roman" w:eastAsia="仿宋_GB2312" w:cs="Times New Roman"/>
          <w:bCs/>
          <w:color w:val="auto"/>
          <w:sz w:val="32"/>
          <w:szCs w:val="32"/>
          <w:lang w:bidi="ar-SA"/>
        </w:rPr>
        <w:t>t/a</w:t>
      </w:r>
      <w:r>
        <w:rPr>
          <w:rFonts w:ascii="Times New Roman" w:hAnsi="Times New Roman" w:eastAsia="仿宋_GB2312" w:cs="Times New Roman"/>
          <w:color w:val="auto"/>
          <w:sz w:val="32"/>
          <w:szCs w:val="32"/>
          <w:lang w:bidi="ar-SA"/>
        </w:rPr>
        <w:t>，你公司在生产运营过程中必须严格落实总量控制要求。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FF"/>
          <w:sz w:val="32"/>
          <w:szCs w:val="32"/>
        </w:rPr>
      </w:pPr>
      <w:r>
        <w:rPr>
          <w:rFonts w:hint="eastAsia" w:ascii="Times New Roman" w:hAnsi="Times New Roman" w:eastAsia="仿宋_GB2312" w:cs="Times New Roman"/>
          <w:sz w:val="32"/>
          <w:szCs w:val="32"/>
          <w:lang w:eastAsia="zh-CN"/>
        </w:rPr>
        <w:t>五</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lang w:bidi="ar-SA"/>
        </w:rPr>
        <w:t>项目必须严格执行环保</w:t>
      </w:r>
      <w:r>
        <w:rPr>
          <w:rFonts w:ascii="Times New Roman" w:hAnsi="Times New Roman" w:eastAsia="仿宋_GB2312" w:cs="Times New Roman"/>
          <w:sz w:val="32"/>
          <w:szCs w:val="32"/>
          <w:lang w:bidi="ar-SA"/>
        </w:rPr>
        <w:t>“</w:t>
      </w:r>
      <w:r>
        <w:rPr>
          <w:rFonts w:ascii="Times New Roman" w:hAnsi="Times New Roman" w:eastAsia="仿宋_GB2312" w:cs="Times New Roman"/>
          <w:color w:val="auto"/>
          <w:sz w:val="32"/>
          <w:szCs w:val="32"/>
          <w:lang w:bidi="ar-SA"/>
        </w:rPr>
        <w:t>三同时”制度和排污许可制度，</w:t>
      </w:r>
      <w:r>
        <w:rPr>
          <w:rFonts w:hint="eastAsia" w:eastAsia="仿宋_GB2312" w:cs="Times New Roman"/>
          <w:color w:val="auto"/>
          <w:sz w:val="32"/>
          <w:szCs w:val="32"/>
          <w:lang w:eastAsia="zh-CN" w:bidi="ar-SA"/>
        </w:rPr>
        <w:t>调试排污前必须按照国家排污许可证有关规定，向我局申领排污许可证或进行排污登记，不得无证排污或不按证排污。项目</w:t>
      </w:r>
      <w:r>
        <w:rPr>
          <w:rFonts w:ascii="Times New Roman" w:hAnsi="Times New Roman" w:eastAsia="仿宋_GB2312" w:cs="Times New Roman"/>
          <w:color w:val="auto"/>
          <w:sz w:val="32"/>
          <w:szCs w:val="32"/>
          <w:lang w:bidi="ar-SA"/>
        </w:rPr>
        <w:t>竣工后</w:t>
      </w:r>
      <w:r>
        <w:rPr>
          <w:rFonts w:hint="eastAsia" w:eastAsia="仿宋_GB2312" w:cs="Times New Roman"/>
          <w:color w:val="auto"/>
          <w:sz w:val="32"/>
          <w:szCs w:val="32"/>
          <w:lang w:eastAsia="zh-CN" w:bidi="ar-SA"/>
        </w:rPr>
        <w:t>，</w:t>
      </w:r>
      <w:r>
        <w:rPr>
          <w:rFonts w:ascii="Times New Roman" w:hAnsi="Times New Roman" w:eastAsia="仿宋_GB2312" w:cs="Times New Roman"/>
          <w:color w:val="auto"/>
          <w:sz w:val="32"/>
          <w:szCs w:val="32"/>
          <w:lang w:bidi="ar-SA"/>
        </w:rPr>
        <w:t>必须按规定程序开展竣工环境保护验收，</w:t>
      </w:r>
      <w:r>
        <w:rPr>
          <w:rFonts w:hint="eastAsia" w:eastAsia="仿宋_GB2312" w:cs="Times New Roman"/>
          <w:color w:val="auto"/>
          <w:sz w:val="32"/>
          <w:szCs w:val="32"/>
          <w:lang w:eastAsia="zh-CN" w:bidi="ar-SA"/>
        </w:rPr>
        <w:t>验收合格后方可投入使用</w:t>
      </w:r>
      <w:r>
        <w:rPr>
          <w:rFonts w:ascii="Times New Roman" w:hAnsi="Times New Roman" w:eastAsia="仿宋_GB2312" w:cs="Times New Roman"/>
          <w:color w:val="auto"/>
          <w:sz w:val="32"/>
          <w:szCs w:val="32"/>
          <w:lang w:bidi="ar-SA"/>
        </w:rPr>
        <w:t>。</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highlight w:val="none"/>
          <w:lang w:val="en-US"/>
        </w:rPr>
        <w:t>项目环境影响评价文件经批准后，如项目的性质、</w:t>
      </w:r>
      <w:r>
        <w:rPr>
          <w:rFonts w:ascii="Times New Roman" w:hAnsi="Times New Roman" w:eastAsia="仿宋_GB2312" w:cs="Times New Roman"/>
          <w:color w:val="auto"/>
          <w:sz w:val="32"/>
          <w:szCs w:val="32"/>
          <w:lang w:val="en-US"/>
        </w:rPr>
        <w:t>规模、工艺</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lang w:val="en-US"/>
        </w:rPr>
        <w:t>地点或者防治污染、防止生态破坏的措施发生重大变动的，建设单位应当重新报批环境影响评价文件，否则不得实施。自环评文件批准之日起，超过 5年方决定该项目开工建设的，环境影响评价文件应当报我局重新审核。</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仿宋_GB2312" w:cs="Times New Roman"/>
          <w:color w:val="auto"/>
          <w:spacing w:val="-11"/>
          <w:sz w:val="32"/>
          <w:szCs w:val="32"/>
        </w:rPr>
      </w:pPr>
      <w:r>
        <w:rPr>
          <w:rFonts w:hint="eastAsia" w:ascii="Times New Roman" w:hAnsi="Times New Roman" w:eastAsia="仿宋_GB2312" w:cs="Times New Roman"/>
          <w:color w:val="auto"/>
          <w:sz w:val="32"/>
          <w:szCs w:val="32"/>
          <w:lang w:eastAsia="zh-CN"/>
        </w:rPr>
        <w:t>六</w:t>
      </w:r>
      <w:r>
        <w:rPr>
          <w:rFonts w:ascii="Times New Roman" w:hAnsi="Times New Roman" w:eastAsia="仿宋_GB2312" w:cs="Times New Roman"/>
          <w:color w:val="auto"/>
          <w:sz w:val="32"/>
          <w:szCs w:val="32"/>
        </w:rPr>
        <w:t>、请市生态环境保护综合行政执法支队和</w:t>
      </w:r>
      <w:r>
        <w:rPr>
          <w:rFonts w:hint="eastAsia" w:ascii="Times New Roman" w:hAnsi="Times New Roman" w:eastAsia="仿宋_GB2312" w:cs="Times New Roman"/>
          <w:color w:val="auto"/>
          <w:sz w:val="32"/>
          <w:szCs w:val="32"/>
          <w:lang w:eastAsia="zh-CN"/>
        </w:rPr>
        <w:t>攀枝花市</w:t>
      </w:r>
      <w:r>
        <w:rPr>
          <w:rFonts w:ascii="Times New Roman" w:hAnsi="Times New Roman" w:eastAsia="仿宋_GB2312" w:cs="Times New Roman"/>
          <w:color w:val="auto"/>
          <w:sz w:val="32"/>
          <w:szCs w:val="32"/>
          <w:lang w:eastAsia="zh-CN"/>
        </w:rPr>
        <w:t>盐边</w:t>
      </w:r>
      <w:r>
        <w:rPr>
          <w:rFonts w:ascii="Times New Roman" w:hAnsi="Times New Roman" w:eastAsia="仿宋_GB2312" w:cs="Times New Roman"/>
          <w:color w:val="auto"/>
          <w:sz w:val="32"/>
          <w:szCs w:val="32"/>
        </w:rPr>
        <w:t>生态环</w:t>
      </w:r>
      <w:r>
        <w:rPr>
          <w:rFonts w:ascii="Times New Roman" w:hAnsi="Times New Roman" w:eastAsia="仿宋_GB2312" w:cs="Times New Roman"/>
          <w:color w:val="auto"/>
          <w:spacing w:val="-11"/>
          <w:sz w:val="32"/>
          <w:szCs w:val="32"/>
        </w:rPr>
        <w:t>境局负责</w:t>
      </w:r>
      <w:r>
        <w:rPr>
          <w:rFonts w:hint="eastAsia" w:ascii="Times New Roman" w:hAnsi="Times New Roman" w:eastAsia="仿宋_GB2312" w:cs="Times New Roman"/>
          <w:color w:val="auto"/>
          <w:spacing w:val="-11"/>
          <w:sz w:val="32"/>
          <w:szCs w:val="32"/>
          <w:lang w:eastAsia="zh-CN"/>
        </w:rPr>
        <w:t>开展</w:t>
      </w:r>
      <w:r>
        <w:rPr>
          <w:rFonts w:ascii="Times New Roman" w:hAnsi="Times New Roman" w:eastAsia="仿宋_GB2312" w:cs="Times New Roman"/>
          <w:color w:val="auto"/>
          <w:spacing w:val="-11"/>
          <w:sz w:val="32"/>
          <w:szCs w:val="32"/>
        </w:rPr>
        <w:t>该项目的“三同时”监督检查和日常监督管理工作。</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七、</w:t>
      </w:r>
      <w:r>
        <w:rPr>
          <w:rFonts w:ascii="Times New Roman" w:hAnsi="Times New Roman" w:eastAsia="仿宋_GB2312" w:cs="Times New Roman"/>
          <w:color w:val="auto"/>
          <w:sz w:val="32"/>
          <w:szCs w:val="32"/>
        </w:rPr>
        <w:t>你</w:t>
      </w:r>
      <w:r>
        <w:rPr>
          <w:rFonts w:ascii="Times New Roman" w:hAnsi="Times New Roman" w:eastAsia="仿宋_GB2312" w:cs="Times New Roman"/>
          <w:color w:val="auto"/>
          <w:sz w:val="32"/>
          <w:szCs w:val="32"/>
          <w:lang w:val="en-US"/>
        </w:rPr>
        <w:t>公司</w:t>
      </w:r>
      <w:r>
        <w:rPr>
          <w:rFonts w:ascii="Times New Roman" w:hAnsi="Times New Roman" w:eastAsia="仿宋_GB2312" w:cs="Times New Roman"/>
          <w:color w:val="auto"/>
          <w:sz w:val="32"/>
          <w:szCs w:val="32"/>
        </w:rPr>
        <w:t>应在收到本批复15个工作日内将批准</w:t>
      </w:r>
      <w:r>
        <w:rPr>
          <w:rFonts w:ascii="Times New Roman" w:hAnsi="Times New Roman" w:eastAsia="仿宋_GB2312" w:cs="Times New Roman"/>
          <w:color w:val="auto"/>
          <w:spacing w:val="20"/>
          <w:sz w:val="32"/>
          <w:szCs w:val="32"/>
        </w:rPr>
        <w:t>后的“报告表”送达</w:t>
      </w:r>
      <w:r>
        <w:rPr>
          <w:rFonts w:hint="eastAsia" w:ascii="Times New Roman" w:hAnsi="Times New Roman" w:eastAsia="仿宋_GB2312" w:cs="Times New Roman"/>
          <w:color w:val="auto"/>
          <w:spacing w:val="20"/>
          <w:sz w:val="32"/>
          <w:szCs w:val="32"/>
          <w:lang w:eastAsia="zh-CN"/>
        </w:rPr>
        <w:t>攀枝花市</w:t>
      </w:r>
      <w:r>
        <w:rPr>
          <w:rFonts w:ascii="Times New Roman" w:hAnsi="Times New Roman" w:eastAsia="仿宋_GB2312" w:cs="Times New Roman"/>
          <w:color w:val="auto"/>
          <w:sz w:val="32"/>
          <w:szCs w:val="32"/>
          <w:lang w:eastAsia="zh-CN"/>
        </w:rPr>
        <w:t>盐边</w:t>
      </w:r>
      <w:r>
        <w:rPr>
          <w:rFonts w:ascii="Times New Roman" w:hAnsi="Times New Roman" w:eastAsia="仿宋_GB2312" w:cs="Times New Roman"/>
          <w:color w:val="auto"/>
          <w:sz w:val="32"/>
          <w:szCs w:val="32"/>
        </w:rPr>
        <w:t>生态环境局备案，并接受各级生态环境主管部门的监管。</w:t>
      </w:r>
    </w:p>
    <w:p>
      <w:pPr>
        <w:pStyle w:val="18"/>
        <w:keepNext w:val="0"/>
        <w:keepLines w:val="0"/>
        <w:pageBreakBefore w:val="0"/>
        <w:widowControl w:val="0"/>
        <w:kinsoku w:val="0"/>
        <w:wordWrap/>
        <w:overflowPunct/>
        <w:topLinePunct w:val="0"/>
        <w:autoSpaceDE w:val="0"/>
        <w:autoSpaceDN w:val="0"/>
        <w:bidi w:val="0"/>
        <w:spacing w:after="0" w:line="560" w:lineRule="exact"/>
        <w:ind w:left="0" w:firstLine="640" w:firstLineChars="200"/>
        <w:jc w:val="both"/>
        <w:rPr>
          <w:rFonts w:ascii="Times New Roman" w:hAnsi="Times New Roman" w:eastAsia="仿宋_GB2312" w:cs="Times New Roman"/>
          <w:color w:val="auto"/>
          <w:sz w:val="32"/>
          <w:szCs w:val="32"/>
        </w:rPr>
      </w:pPr>
    </w:p>
    <w:p>
      <w:pPr>
        <w:pStyle w:val="18"/>
        <w:keepNext w:val="0"/>
        <w:keepLines w:val="0"/>
        <w:pageBreakBefore w:val="0"/>
        <w:widowControl w:val="0"/>
        <w:kinsoku w:val="0"/>
        <w:wordWrap/>
        <w:overflowPunct/>
        <w:topLinePunct w:val="0"/>
        <w:autoSpaceDE w:val="0"/>
        <w:autoSpaceDN w:val="0"/>
        <w:bidi w:val="0"/>
        <w:spacing w:after="0" w:line="560" w:lineRule="exact"/>
        <w:ind w:left="0" w:firstLine="640" w:firstLineChars="200"/>
        <w:jc w:val="both"/>
        <w:rPr>
          <w:rFonts w:ascii="Times New Roman" w:hAnsi="Times New Roman" w:eastAsia="仿宋_GB2312" w:cs="Times New Roman"/>
          <w:color w:val="auto"/>
          <w:sz w:val="32"/>
          <w:szCs w:val="32"/>
        </w:rPr>
      </w:pPr>
    </w:p>
    <w:p>
      <w:pPr>
        <w:pStyle w:val="18"/>
        <w:keepNext w:val="0"/>
        <w:keepLines w:val="0"/>
        <w:pageBreakBefore w:val="0"/>
        <w:widowControl w:val="0"/>
        <w:kinsoku w:val="0"/>
        <w:wordWrap/>
        <w:overflowPunct/>
        <w:topLinePunct w:val="0"/>
        <w:autoSpaceDE w:val="0"/>
        <w:autoSpaceDN w:val="0"/>
        <w:spacing w:after="0" w:line="560" w:lineRule="exact"/>
        <w:ind w:left="0" w:firstLine="4640" w:firstLineChars="1450"/>
        <w:jc w:val="both"/>
        <w:rPr>
          <w:rFonts w:eastAsia="仿宋_GB2312" w:cs="Times New Roman"/>
          <w:color w:val="auto"/>
          <w:sz w:val="32"/>
          <w:szCs w:val="32"/>
        </w:rPr>
      </w:pPr>
      <w:r>
        <w:rPr>
          <w:rFonts w:eastAsia="仿宋_GB2312" w:cs="Times New Roman"/>
          <w:color w:val="auto"/>
          <w:sz w:val="32"/>
          <w:szCs w:val="32"/>
        </w:rPr>
        <w:t>攀枝花市生态环境局</w:t>
      </w:r>
    </w:p>
    <w:p>
      <w:pPr>
        <w:pStyle w:val="18"/>
        <w:keepNext w:val="0"/>
        <w:keepLines w:val="0"/>
        <w:pageBreakBefore w:val="0"/>
        <w:widowControl w:val="0"/>
        <w:kinsoku w:val="0"/>
        <w:wordWrap/>
        <w:overflowPunct/>
        <w:topLinePunct w:val="0"/>
        <w:autoSpaceDE w:val="0"/>
        <w:autoSpaceDN w:val="0"/>
        <w:spacing w:after="0" w:line="560" w:lineRule="exact"/>
        <w:ind w:left="0" w:firstLine="5120" w:firstLineChars="1600"/>
        <w:jc w:val="both"/>
        <w:rPr>
          <w:rFonts w:eastAsia="仿宋_GB2312" w:cs="Times New Roman"/>
          <w:color w:val="auto"/>
          <w:sz w:val="32"/>
          <w:szCs w:val="32"/>
        </w:rPr>
      </w:pPr>
      <w:r>
        <w:rPr>
          <w:rFonts w:eastAsia="仿宋_GB2312" w:cs="Times New Roman"/>
          <w:color w:val="auto"/>
          <w:sz w:val="32"/>
          <w:szCs w:val="32"/>
        </w:rPr>
        <w:t>202</w:t>
      </w:r>
      <w:r>
        <w:rPr>
          <w:rFonts w:eastAsia="仿宋_GB2312" w:cs="Times New Roman"/>
          <w:color w:val="auto"/>
          <w:sz w:val="32"/>
          <w:szCs w:val="32"/>
          <w:lang w:val="en-US"/>
        </w:rPr>
        <w:t>4</w:t>
      </w:r>
      <w:r>
        <w:rPr>
          <w:rFonts w:eastAsia="仿宋_GB2312" w:cs="Times New Roman"/>
          <w:color w:val="auto"/>
          <w:sz w:val="32"/>
          <w:szCs w:val="32"/>
        </w:rPr>
        <w:t>年</w:t>
      </w:r>
      <w:r>
        <w:rPr>
          <w:rFonts w:hint="default" w:eastAsia="仿宋_GB2312" w:cs="Times New Roman"/>
          <w:color w:val="auto"/>
          <w:sz w:val="32"/>
          <w:szCs w:val="32"/>
          <w:lang w:val="en-US"/>
        </w:rPr>
        <w:t>6</w:t>
      </w:r>
      <w:r>
        <w:rPr>
          <w:rFonts w:eastAsia="仿宋_GB2312" w:cs="Times New Roman"/>
          <w:color w:val="auto"/>
          <w:sz w:val="32"/>
          <w:szCs w:val="32"/>
        </w:rPr>
        <w:t>月</w:t>
      </w:r>
      <w:r>
        <w:rPr>
          <w:rFonts w:hint="default" w:eastAsia="仿宋_GB2312" w:cs="Times New Roman"/>
          <w:color w:val="auto"/>
          <w:sz w:val="32"/>
          <w:szCs w:val="32"/>
          <w:lang w:val="en-US"/>
        </w:rPr>
        <w:t>3</w:t>
      </w:r>
      <w:r>
        <w:rPr>
          <w:rFonts w:eastAsia="仿宋_GB2312" w:cs="Times New Roman"/>
          <w:color w:val="auto"/>
          <w:sz w:val="32"/>
          <w:szCs w:val="32"/>
        </w:rPr>
        <w:t>日</w:t>
      </w:r>
    </w:p>
    <w:p>
      <w:pPr>
        <w:rPr>
          <w:rFonts w:ascii="Times New Roman" w:hAnsi="Times New Roman" w:cs="Times New Roman"/>
        </w:rPr>
      </w:pPr>
    </w:p>
    <w:p>
      <w:pPr>
        <w:pStyle w:val="18"/>
        <w:rPr>
          <w:rFonts w:ascii="Times New Roman" w:hAnsi="Times New Roman" w:cs="Times New Roman"/>
        </w:rPr>
      </w:pPr>
    </w:p>
    <w:p>
      <w:pPr>
        <w:pStyle w:val="18"/>
        <w:rPr>
          <w:rFonts w:ascii="Times New Roman" w:hAnsi="Times New Roman" w:cs="Times New Roman"/>
        </w:rPr>
      </w:pPr>
    </w:p>
    <w:p>
      <w:pPr>
        <w:pStyle w:val="18"/>
        <w:rPr>
          <w:rFonts w:ascii="Times New Roman" w:hAnsi="Times New Roman" w:cs="Times New Roman"/>
        </w:rPr>
      </w:pPr>
    </w:p>
    <w:p>
      <w:pPr>
        <w:pStyle w:val="18"/>
        <w:rPr>
          <w:rFonts w:ascii="Times New Roman" w:hAnsi="Times New Roman" w:cs="Times New Roman"/>
        </w:rPr>
      </w:pPr>
    </w:p>
    <w:p>
      <w:pPr>
        <w:pStyle w:val="18"/>
        <w:rPr>
          <w:rFonts w:ascii="Times New Roman" w:hAnsi="Times New Roman" w:cs="Times New Roman"/>
        </w:rPr>
      </w:pPr>
    </w:p>
    <w:p>
      <w:pPr>
        <w:pStyle w:val="18"/>
        <w:rPr>
          <w:rFonts w:ascii="Times New Roman" w:hAnsi="Times New Roman" w:cs="Times New Roman"/>
        </w:rPr>
      </w:pPr>
    </w:p>
    <w:p>
      <w:pPr>
        <w:pStyle w:val="18"/>
        <w:rPr>
          <w:rFonts w:ascii="Times New Roman" w:hAnsi="Times New Roman" w:cs="Times New Roman"/>
        </w:rPr>
      </w:pPr>
    </w:p>
    <w:p>
      <w:pPr>
        <w:pStyle w:val="18"/>
        <w:rPr>
          <w:rFonts w:ascii="Times New Roman" w:hAnsi="Times New Roman" w:cs="Times New Roman"/>
        </w:rPr>
      </w:pPr>
    </w:p>
    <w:p>
      <w:pPr>
        <w:pStyle w:val="18"/>
        <w:rPr>
          <w:rFonts w:ascii="Times New Roman" w:hAnsi="Times New Roman" w:cs="Times New Roman"/>
          <w:lang w:val="en-US" w:eastAsia="zh-CN"/>
        </w:rPr>
      </w:pPr>
      <w:bookmarkStart w:id="0" w:name="_GoBack"/>
      <w:bookmarkEnd w:id="0"/>
    </w:p>
    <w:sectPr>
      <w:headerReference r:id="rId3" w:type="default"/>
      <w:footerReference r:id="rId4" w:type="default"/>
      <w:footerReference r:id="rId5" w:type="even"/>
      <w:pgSz w:w="11907" w:h="16840"/>
      <w:pgMar w:top="1440" w:right="1803" w:bottom="1440" w:left="1803" w:header="0" w:footer="883"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cida Sans">
    <w:altName w:val="Noto Music"/>
    <w:panose1 w:val="020B0602030504020204"/>
    <w:charset w:val="00"/>
    <w:family w:val="auto"/>
    <w:pitch w:val="default"/>
    <w:sig w:usb0="00000000"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hAnsi="宋体" w:eastAsia="宋体" w:cs="宋体"/>
        <w:sz w:val="28"/>
        <w:szCs w:val="28"/>
      </w:rPr>
    </w:pPr>
    <w:r>
      <w:rPr>
        <w:rStyle w:val="21"/>
        <w:rFonts w:hint="eastAsia" w:ascii="宋体" w:hAnsi="宋体" w:eastAsia="宋体" w:cs="宋体"/>
        <w:sz w:val="28"/>
        <w:szCs w:val="28"/>
      </w:rPr>
      <w:t xml:space="preserve">— </w:t>
    </w:r>
    <w:r>
      <w:rPr>
        <w:rStyle w:val="21"/>
        <w:rFonts w:hint="eastAsia" w:ascii="宋体" w:hAnsi="宋体" w:eastAsia="宋体" w:cs="宋体"/>
        <w:sz w:val="28"/>
        <w:szCs w:val="28"/>
      </w:rPr>
      <w:fldChar w:fldCharType="begin"/>
    </w:r>
    <w:r>
      <w:rPr>
        <w:rStyle w:val="21"/>
        <w:rFonts w:hint="eastAsia" w:ascii="宋体" w:hAnsi="宋体" w:eastAsia="宋体" w:cs="宋体"/>
        <w:sz w:val="28"/>
        <w:szCs w:val="28"/>
      </w:rPr>
      <w:instrText xml:space="preserve">Page</w:instrText>
    </w:r>
    <w:r>
      <w:rPr>
        <w:rStyle w:val="21"/>
        <w:rFonts w:hint="eastAsia" w:ascii="宋体" w:hAnsi="宋体" w:eastAsia="宋体" w:cs="宋体"/>
        <w:sz w:val="28"/>
        <w:szCs w:val="28"/>
      </w:rPr>
      <w:fldChar w:fldCharType="separate"/>
    </w:r>
    <w:r>
      <w:rPr>
        <w:rStyle w:val="21"/>
        <w:rFonts w:hint="eastAsia" w:ascii="宋体" w:hAnsi="宋体" w:eastAsia="宋体" w:cs="宋体"/>
        <w:sz w:val="28"/>
        <w:szCs w:val="28"/>
      </w:rPr>
      <w:t>2</w:t>
    </w:r>
    <w:r>
      <w:rPr>
        <w:rStyle w:val="21"/>
        <w:rFonts w:hint="eastAsia" w:ascii="宋体" w:hAnsi="宋体" w:eastAsia="宋体" w:cs="宋体"/>
        <w:sz w:val="28"/>
        <w:szCs w:val="28"/>
      </w:rPr>
      <w:fldChar w:fldCharType="end"/>
    </w:r>
    <w:r>
      <w:rPr>
        <w:rStyle w:val="21"/>
        <w:rFonts w:hint="eastAsia" w:ascii="宋体" w:hAnsi="宋体" w:eastAsia="宋体" w:cs="宋体"/>
        <w:sz w:val="28"/>
        <w:szCs w:val="28"/>
      </w:rPr>
      <w:t xml:space="preserve"> —</w:t>
    </w:r>
  </w:p>
  <w:p>
    <w:pPr>
      <w:spacing w:before="1" w:line="187" w:lineRule="auto"/>
      <w:ind w:right="360" w:firstLine="360"/>
      <w:rPr>
        <w:rFonts w:ascii="宋体" w:hAnsi="宋体" w:eastAsia="宋体" w:cs="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pBdr>
        <w:top w:val="none" w:color="auto" w:sz="0" w:space="0"/>
        <w:left w:val="none" w:color="auto" w:sz="0" w:space="0"/>
        <w:bottom w:val="none" w:color="auto" w:sz="0" w:space="0"/>
        <w:right w:val="none" w:color="auto" w:sz="0" w:space="0"/>
      </w:pBdr>
    </w:pPr>
    <w:r>
      <w:rPr>
        <w:rStyle w:val="21"/>
      </w:rPr>
      <w:fldChar w:fldCharType="begin"/>
    </w:r>
    <w:r>
      <w:rPr>
        <w:rStyle w:val="21"/>
      </w:rPr>
      <w:instrText xml:space="preserve">Page</w:instrText>
    </w:r>
    <w:r>
      <w:rPr>
        <w:rStyle w:val="21"/>
      </w:rPr>
      <w:fldChar w:fldCharType="separate"/>
    </w:r>
    <w:r>
      <w:rPr>
        <w:rStyle w:val="21"/>
      </w:rPr>
      <w:t>1</w:t>
    </w:r>
    <w:r>
      <w:rPr>
        <w:rStyle w:val="21"/>
      </w:rP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21C11"/>
    <w:multiLevelType w:val="singleLevel"/>
    <w:tmpl w:val="A7421C11"/>
    <w:lvl w:ilvl="0" w:tentative="0">
      <w:start w:val="1"/>
      <w:numFmt w:val="chineseCounting"/>
      <w:suff w:val="nothing"/>
      <w:lvlText w:val="%1、"/>
      <w:lvlJc w:val="left"/>
      <w:rPr>
        <w:rFonts w:hint="eastAsia"/>
      </w:rPr>
    </w:lvl>
  </w:abstractNum>
  <w:abstractNum w:abstractNumId="1">
    <w:nsid w:val="D640DBBB"/>
    <w:multiLevelType w:val="singleLevel"/>
    <w:tmpl w:val="D640DBBB"/>
    <w:lvl w:ilvl="0" w:tentative="0">
      <w:start w:val="1"/>
      <w:numFmt w:val="bullet"/>
      <w:pStyle w:val="13"/>
      <w:lvlText w:val=""/>
      <w:lvlJc w:val="left"/>
      <w:pPr>
        <w:tabs>
          <w:tab w:val="left" w:pos="2040"/>
        </w:tabs>
        <w:ind w:left="2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dit="readOnly" w:enforcement="0"/>
  <w:defaultTabStop w:val="420"/>
  <w:drawingGridHorizontalSpacing w:val="105"/>
  <w:drawingGridVerticalSpacing w:val="156"/>
  <w:displayHorizontalDrawingGridEvery w:val="1"/>
  <w:displayVerticalDrawingGridEvery w:val="1"/>
  <w:noPunctuationKerning w:val="true"/>
  <w:compat>
    <w:spaceForUL/>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MGNhZGY1YzcyOWYzOTUwMjBkMzc2NmI1YWM0ODUifQ=="/>
  </w:docVars>
  <w:rsids>
    <w:rsidRoot w:val="00000000"/>
    <w:rsid w:val="22D465C3"/>
    <w:rsid w:val="275A05E2"/>
    <w:rsid w:val="44B45764"/>
    <w:rsid w:val="67004B82"/>
    <w:rsid w:val="FBEF68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8">
    <w:name w:val="heading 1"/>
    <w:basedOn w:val="1"/>
    <w:next w:val="1"/>
    <w:qFormat/>
    <w:uiPriority w:val="0"/>
    <w:pPr>
      <w:keepNext/>
      <w:keepLines/>
      <w:spacing w:before="340" w:after="330" w:line="578" w:lineRule="auto"/>
      <w:outlineLvl w:val="0"/>
    </w:pPr>
    <w:rPr>
      <w:b/>
      <w:bCs/>
      <w:kern w:val="44"/>
      <w:sz w:val="44"/>
      <w:szCs w:val="44"/>
    </w:rPr>
  </w:style>
  <w:style w:type="paragraph" w:styleId="9">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10">
    <w:name w:val="heading 3"/>
    <w:basedOn w:val="1"/>
    <w:next w:val="1"/>
    <w:qFormat/>
    <w:uiPriority w:val="0"/>
    <w:pPr>
      <w:keepNext/>
      <w:keepLines/>
      <w:spacing w:before="260" w:after="260" w:line="415" w:lineRule="auto"/>
      <w:outlineLvl w:val="2"/>
    </w:pPr>
    <w:rPr>
      <w:b/>
      <w:bCs/>
      <w:sz w:val="32"/>
      <w:szCs w:val="32"/>
    </w:rPr>
  </w:style>
  <w:style w:type="character" w:default="1" w:styleId="20">
    <w:name w:val="Default Paragraph Font"/>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rPr>
  </w:style>
  <w:style w:type="paragraph" w:customStyle="1" w:styleId="3">
    <w:name w:val="Default"/>
    <w:basedOn w:val="4"/>
    <w:next w:val="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
    <w:name w:val="纯文本1"/>
    <w:qFormat/>
    <w:uiPriority w:val="0"/>
    <w:pPr>
      <w:widowControl w:val="0"/>
      <w:adjustRightInd w:val="0"/>
      <w:spacing w:line="360" w:lineRule="auto"/>
      <w:ind w:firstLine="465"/>
      <w:jc w:val="both"/>
    </w:pPr>
    <w:rPr>
      <w:rFonts w:ascii="宋体" w:hAnsi="Courier New" w:eastAsia="宋体" w:cs="Times New Roman"/>
      <w:kern w:val="2"/>
      <w:sz w:val="24"/>
      <w:szCs w:val="20"/>
      <w:lang w:val="en-US" w:eastAsia="zh-CN" w:bidi="ar-SA"/>
    </w:rPr>
  </w:style>
  <w:style w:type="paragraph" w:customStyle="1" w:styleId="5">
    <w:name w:val="样式1"/>
    <w:basedOn w:val="6"/>
    <w:next w:val="1"/>
    <w:qFormat/>
    <w:uiPriority w:val="0"/>
    <w:pPr>
      <w:keepLines/>
      <w:kinsoku w:val="0"/>
      <w:overflowPunct/>
      <w:autoSpaceDE w:val="0"/>
      <w:autoSpaceDN w:val="0"/>
      <w:adjustRightInd w:val="0"/>
      <w:snapToGrid/>
      <w:spacing w:before="100" w:beforeLines="100" w:after="100" w:afterLines="100" w:line="360" w:lineRule="auto"/>
      <w:ind w:left="0" w:firstLine="0"/>
    </w:pPr>
    <w:rPr>
      <w:rFonts w:ascii="Times New Roman" w:hAnsi="Times New Roman" w:eastAsia="黑体" w:cs="Times New Roman"/>
      <w:b w:val="0"/>
      <w:kern w:val="44"/>
      <w:sz w:val="36"/>
      <w:szCs w:val="36"/>
    </w:rPr>
  </w:style>
  <w:style w:type="paragraph" w:styleId="6">
    <w:name w:val="index heading"/>
    <w:basedOn w:val="1"/>
    <w:next w:val="7"/>
    <w:qFormat/>
    <w:uiPriority w:val="0"/>
    <w:rPr>
      <w:rFonts w:ascii="Arial" w:hAnsi="Arial" w:cs="Arial"/>
      <w:b/>
      <w:bCs/>
    </w:rPr>
  </w:style>
  <w:style w:type="paragraph" w:styleId="7">
    <w:name w:val="index 1"/>
    <w:basedOn w:val="1"/>
    <w:next w:val="1"/>
    <w:qFormat/>
    <w:uiPriority w:val="0"/>
    <w:pPr>
      <w:tabs>
        <w:tab w:val="left" w:pos="5580"/>
      </w:tabs>
      <w:spacing w:line="280" w:lineRule="exact"/>
    </w:pPr>
    <w:rPr>
      <w:rFonts w:ascii="宋体" w:hAnsi="宋体"/>
      <w:spacing w:val="10"/>
    </w:rPr>
  </w:style>
  <w:style w:type="paragraph" w:styleId="11">
    <w:name w:val="Body Text"/>
    <w:basedOn w:val="1"/>
    <w:next w:val="1"/>
    <w:qFormat/>
    <w:uiPriority w:val="0"/>
    <w:pPr>
      <w:spacing w:line="360" w:lineRule="auto"/>
      <w:ind w:firstLine="200" w:firstLineChars="200"/>
    </w:pPr>
    <w:rPr>
      <w:rFonts w:ascii="Times New Roman" w:hAnsi="Times New Roman" w:eastAsia="宋体"/>
    </w:rPr>
  </w:style>
  <w:style w:type="paragraph" w:styleId="12">
    <w:name w:val="Body Text Indent"/>
    <w:basedOn w:val="1"/>
    <w:qFormat/>
    <w:uiPriority w:val="0"/>
    <w:pPr>
      <w:spacing w:line="300" w:lineRule="auto"/>
      <w:ind w:left="0" w:firstLine="200" w:firstLineChars="200"/>
    </w:pPr>
    <w:rPr>
      <w:rFonts w:ascii="Times New Roman" w:hAnsi="Times New Roman"/>
    </w:rPr>
  </w:style>
  <w:style w:type="paragraph" w:styleId="13">
    <w:name w:val="List Bullet 5"/>
    <w:basedOn w:val="1"/>
    <w:next w:val="1"/>
    <w:qFormat/>
    <w:uiPriority w:val="0"/>
    <w:pPr>
      <w:numPr>
        <w:ilvl w:val="0"/>
        <w:numId w:val="1"/>
      </w:numPr>
      <w:spacing w:line="360" w:lineRule="auto"/>
      <w:ind w:left="0" w:firstLine="200" w:firstLineChars="200"/>
    </w:pPr>
    <w:rPr>
      <w:rFonts w:ascii="Times New Roman" w:hAnsi="Times New Roman" w:eastAsia="宋体"/>
    </w:rPr>
  </w:style>
  <w:style w:type="paragraph" w:styleId="14">
    <w:name w:val="footer"/>
    <w:basedOn w:val="1"/>
    <w:qFormat/>
    <w:uiPriority w:val="0"/>
    <w:pPr>
      <w:tabs>
        <w:tab w:val="center" w:pos="4153"/>
        <w:tab w:val="right" w:pos="8306"/>
      </w:tabs>
    </w:pPr>
    <w:rPr>
      <w:sz w:val="18"/>
    </w:rPr>
  </w:style>
  <w:style w:type="paragraph" w:styleId="15">
    <w:name w:val="header"/>
    <w:basedOn w:val="1"/>
    <w:qFormat/>
    <w:uiPriority w:val="0"/>
    <w:pPr>
      <w:pBdr>
        <w:bottom w:val="single" w:color="auto" w:sz="6" w:space="1"/>
      </w:pBdr>
      <w:tabs>
        <w:tab w:val="center" w:pos="4153"/>
        <w:tab w:val="right" w:pos="8306"/>
      </w:tabs>
      <w:jc w:val="center"/>
    </w:pPr>
    <w:rPr>
      <w:sz w:val="18"/>
      <w:szCs w:val="18"/>
    </w:rPr>
  </w:style>
  <w:style w:type="paragraph" w:styleId="16">
    <w:name w:val="toc 2"/>
    <w:basedOn w:val="1"/>
    <w:next w:val="1"/>
    <w:qFormat/>
    <w:uiPriority w:val="0"/>
    <w:pPr>
      <w:tabs>
        <w:tab w:val="right" w:leader="dot" w:pos="8296"/>
      </w:tabs>
      <w:ind w:left="200" w:leftChars="200" w:firstLine="0"/>
    </w:pPr>
  </w:style>
  <w:style w:type="paragraph" w:styleId="17">
    <w:name w:val="Body Text 2"/>
    <w:basedOn w:val="1"/>
    <w:qFormat/>
    <w:uiPriority w:val="0"/>
    <w:pPr>
      <w:spacing w:after="120" w:line="480" w:lineRule="auto"/>
    </w:pPr>
    <w:rPr>
      <w:rFonts w:ascii="Calibri" w:hAnsi="Calibri" w:cs="Calibri"/>
    </w:rPr>
  </w:style>
  <w:style w:type="paragraph" w:styleId="18">
    <w:name w:val="Body Text First Indent"/>
    <w:basedOn w:val="11"/>
    <w:qFormat/>
    <w:uiPriority w:val="0"/>
    <w:pPr>
      <w:widowControl w:val="0"/>
      <w:adjustRightInd w:val="0"/>
      <w:snapToGrid/>
      <w:spacing w:before="0" w:after="120" w:line="240" w:lineRule="auto"/>
      <w:ind w:right="0" w:firstLine="100" w:firstLineChars="100"/>
    </w:pPr>
    <w:rPr>
      <w:kern w:val="2"/>
      <w:sz w:val="21"/>
      <w:szCs w:val="24"/>
    </w:rPr>
  </w:style>
  <w:style w:type="character" w:styleId="21">
    <w:name w:val="page number"/>
    <w:basedOn w:val="20"/>
    <w:qFormat/>
    <w:uiPriority w:val="0"/>
  </w:style>
  <w:style w:type="paragraph" w:customStyle="1" w:styleId="22">
    <w:name w:val="表内格式"/>
    <w:basedOn w:val="1"/>
    <w:qFormat/>
    <w:uiPriority w:val="0"/>
    <w:pPr>
      <w:jc w:val="center"/>
    </w:pPr>
    <w:rPr>
      <w:rFonts w:ascii="Times New Roman"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0</Words>
  <Characters>1879</Characters>
  <Lines>0</Lines>
  <Paragraphs>92</Paragraphs>
  <TotalTime>0</TotalTime>
  <ScaleCrop>false</ScaleCrop>
  <LinksUpToDate>false</LinksUpToDate>
  <CharactersWithSpaces>2506</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2022-05-23T14:13:00Z</dcterms:created>
  <dc:creator>USER</dc:creator>
  <cp:keywords>USER</cp:keywords>
  <cp:lastModifiedBy>陈麒伊</cp:lastModifiedBy>
  <cp:lastPrinted>2022-12-14T15:54:00Z</cp:lastPrinted>
  <dcterms:modified xsi:type="dcterms:W3CDTF">2024-06-03T17:01:49Z</dcterms:modified>
  <dc:subject>USER</dc:subject>
  <dc:title>攀枝花市环境保护局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2022-06-21T16:00:00Z</vt:filetime>
  </property>
  <property fmtid="{D5CDD505-2E9C-101B-9397-08002B2CF9AE}" pid="4" name="KSOProductBuildVer">
    <vt:lpwstr>2052-11.8.2.10290</vt:lpwstr>
  </property>
  <property fmtid="{D5CDD505-2E9C-101B-9397-08002B2CF9AE}" pid="5" name="ICV">
    <vt:lpwstr>9C153FE550C44831A4DECD0E8C54A699</vt:lpwstr>
  </property>
</Properties>
</file>