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10"/>
          <w:szCs w:val="10"/>
        </w:rPr>
      </w:pPr>
    </w:p>
    <w:p>
      <w:pPr>
        <w:keepNext w:val="0"/>
        <w:keepLines w:val="0"/>
        <w:pageBreakBefore w:val="0"/>
        <w:tabs>
          <w:tab w:val="left" w:pos="8820"/>
        </w:tabs>
        <w:kinsoku w:val="0"/>
        <w:wordWrap/>
        <w:overflowPunct/>
        <w:topLinePunct w:val="0"/>
        <w:autoSpaceDE w:val="0"/>
        <w:autoSpaceDN w:val="0"/>
        <w:bidi w:val="0"/>
        <w:spacing w:line="540" w:lineRule="exact"/>
        <w:ind w:right="320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Times New Roman" w:hAnsi="Times New Roman" w:eastAsia="方正小标宋简体" w:cs="Times New Roman"/>
          <w:snapToGrid/>
          <w:kern w:val="2"/>
          <w:sz w:val="44"/>
          <w:szCs w:val="44"/>
        </w:rPr>
      </w:pPr>
      <w:r>
        <w:rPr>
          <w:rFonts w:ascii="Times New Roman" w:hAnsi="Times New Roman" w:eastAsia="方正小标宋简体" w:cs="Times New Roman"/>
          <w:snapToGrid/>
          <w:kern w:val="2"/>
          <w:sz w:val="44"/>
          <w:szCs w:val="44"/>
        </w:rPr>
        <w:t>攀枝花市生态环境局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Times New Roman" w:hAnsi="Times New Roman" w:eastAsia="方正小标宋简体" w:cs="Times New Roman"/>
          <w:snapToGrid/>
          <w:kern w:val="2"/>
          <w:sz w:val="44"/>
          <w:szCs w:val="44"/>
        </w:rPr>
      </w:pPr>
      <w:r>
        <w:rPr>
          <w:rFonts w:ascii="Times New Roman" w:hAnsi="Times New Roman" w:eastAsia="方正小标宋简体" w:cs="Times New Roman"/>
          <w:snapToGrid/>
          <w:kern w:val="2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snapToGrid/>
          <w:kern w:val="2"/>
          <w:sz w:val="44"/>
          <w:szCs w:val="44"/>
          <w:lang w:val="en-US" w:eastAsia="zh-CN"/>
        </w:rPr>
        <w:t>朱家垭口1号沟排土场综合利用项目</w:t>
      </w:r>
      <w:r>
        <w:rPr>
          <w:rFonts w:ascii="Times New Roman" w:hAnsi="Times New Roman" w:eastAsia="方正小标宋简体" w:cs="Times New Roman"/>
          <w:snapToGrid/>
          <w:kern w:val="2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龙佰攀枝花矿产品有限公司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你公司《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朱家垭口1号沟排土场综合利用项目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环境影响报告表》（以下简称“报告表”）收悉，经研究，批复如下。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项目位于盐边县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新九镇平谷村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对已完成覆土绿化的朱家垭口1号沟排土场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1830-1630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m堆存的废石进行回采综合利用，并配套建设工业场地、排土场防护措施、回采后地表防洪工程、公用工程、环保工程、储运工程、生态修复工程，依托公司现有危废暂存间、储油站、生活办公设施。项目采用“自上而下”分层</w:t>
      </w:r>
      <w:r>
        <w:rPr>
          <w:rFonts w:hint="eastAsia" w:ascii="Times New Roman" w:hAnsi="Times New Roman" w:eastAsia="仿宋_GB2312" w:cs="Times New Roman"/>
          <w:color w:val="auto"/>
          <w:spacing w:val="-17"/>
          <w:sz w:val="32"/>
          <w:szCs w:val="32"/>
          <w:lang w:val="en-US" w:eastAsia="zh-CN"/>
        </w:rPr>
        <w:t>推进、并按“缓帮开采”方式进行露天铲装作业，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回采废石经汽车运输至2#矿石破碎站，总服务年限为9年，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综合利用废石量为3941.25万t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。项目总投资6800万元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环保投资731.14万元。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攀枝花明升环境科技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有限公司受你公司委托对该项目开展环境影响评价，编制环境影响报告表。在严格落实“报告表”提出的环保对策及措施，严格执行“三同时”制度，确保项目污染物达标排放，认真落实环境风险防范措施的前提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该项目的建设从生态环境保护角度可行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我局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原则同意“报告表”的环境影响评价总体结论和拟采取的各项生态环境保护措施。你公司应严格落实项目的各项环境保护措施，确保项目对环境的不利影响能够得到缓解和控制。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三、项目建设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及运行中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重点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做好以下工作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-SA"/>
        </w:rPr>
        <w:t>严格落实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“以新带老”措施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-SA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实施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矿区运输道路、排土场内部道路、截洪沟改造，并设置雨水收集池，确保原有项目存在的环境问题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整治到位。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（二）严格落实各项大气污染防治措施。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道路施工、表土剥离、芒果树移栽、土石方和废石开挖与装卸采取湿法作业，禁止在4级及以上风力天气情况时作业；采场终采面平台及时覆土绿化，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未覆土的裸露面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清扫后，通过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洒水车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冲洗控尘；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表土临时堆场卸料点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采取移动式喷水软管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喷水控尘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压实后堆放，堆场表面覆盖彩条布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通过采用泥结碎石路面、定期洒水、冲洗出场车辆轮胎、密闭运输物料等措施控制交通运输扬尘。</w:t>
      </w:r>
    </w:p>
    <w:p>
      <w:pPr>
        <w:pStyle w:val="7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严格落实各项水污染防治措施。项目区域实行“</w:t>
      </w:r>
      <w:r>
        <w:rPr>
          <w:rFonts w:ascii="Times New Roman" w:hAnsi="Times New Roman" w:eastAsia="仿宋_GB2312" w:cs="Times New Roman"/>
          <w:spacing w:val="-17"/>
          <w:sz w:val="32"/>
          <w:szCs w:val="32"/>
        </w:rPr>
        <w:t>雨污分流”，初期雨水</w:t>
      </w:r>
      <w:r>
        <w:rPr>
          <w:rFonts w:ascii="Times New Roman" w:hAnsi="Times New Roman" w:eastAsia="仿宋_GB2312" w:cs="Times New Roman"/>
          <w:color w:val="auto"/>
          <w:spacing w:val="-17"/>
          <w:sz w:val="32"/>
          <w:szCs w:val="32"/>
        </w:rPr>
        <w:t>经</w:t>
      </w:r>
      <w:r>
        <w:rPr>
          <w:rFonts w:hint="eastAsia" w:ascii="Times New Roman" w:hAnsi="Times New Roman" w:eastAsia="仿宋_GB2312" w:cs="Times New Roman"/>
          <w:color w:val="auto"/>
          <w:spacing w:val="-17"/>
          <w:sz w:val="32"/>
          <w:szCs w:val="32"/>
          <w:lang w:val="en-US" w:eastAsia="zh-CN"/>
        </w:rPr>
        <w:t>雨水收集池沉淀后，作为控尘用水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采区外雨水经截洪沟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排入西番河或新九河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。施工废水经沉淀处理后作为施工控尘用水；车辆冲洗废水经沉淀池沉淀后循环利用；渗滤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液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及淋溶水经收集池沉淀后，回用于场地控尘或选矿生产；生活污水依托公司化粪池＋一体化生化处理装置处理后，用于周边绿化。</w:t>
      </w:r>
    </w:p>
    <w:p>
      <w:pPr>
        <w:pStyle w:val="7"/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spacing w:line="600" w:lineRule="exact"/>
        <w:ind w:left="0"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  <w:t>（四）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严格落实各项固废处置措施。按照“减量化、资源化、无害化”原则进行合理、规范处置。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芒果树移栽或外卖；剥离表土用于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公司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矿山的复垦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废土废渣运至表土临时堆场堆存，用于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企业的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复垦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垫渣和土地平整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；废石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用于工程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回填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抛尾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废石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外卖；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建筑垃圾能回收的分类回收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，交废物收购站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，不能回收的送至建筑垃圾处理场。生活垃圾经袋装收集后，由环卫部门统一处理。废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矿物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油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、含废油抹布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依托公司1655</w:t>
      </w:r>
      <w:r>
        <w:rPr>
          <w:rFonts w:hint="default" w:eastAsia="仿宋_GB2312" w:cs="Times New Roman"/>
          <w:color w:val="auto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平台设备维修区的危废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暂存间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暂存，废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矿物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油回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用于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公司二选厂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浮选工序，含废油抹布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交有资质的单位处理。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（五）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严格落实各项噪声防治措施。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通过选用低噪声设备、合理布局、加强设备的润滑和保养、限制车速、禁止鸣笛、合理安排运输时间等措施降低噪声对周围环境的影响。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严格落实各项生态保护措施。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严格控制施工占地及施工活动范围，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加强对施工人员的生态保护教育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服务期满后，按土地复垦和生态恢复方案对回采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结束后的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露天采场平台及坡面、矿区道路、工程回填区（采坑）进行生态修复，生态修复应采用当地适生植物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，保证生物安全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严格按照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水土保持方案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有关要求，有序开展水土流失预防和治理。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加强生态恢复监测和复垦植被管护，保证复垦成活率。</w:t>
      </w:r>
    </w:p>
    <w:p>
      <w:pPr>
        <w:pStyle w:val="7"/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spacing w:line="600" w:lineRule="exact"/>
        <w:ind w:left="0"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color w:val="auto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lang w:val="en-US" w:eastAsia="zh-CN" w:bidi="ar-SA"/>
        </w:rPr>
        <w:t>七</w:t>
      </w:r>
      <w:r>
        <w:rPr>
          <w:rFonts w:ascii="Times New Roman" w:hAnsi="Times New Roman" w:eastAsia="仿宋_GB2312" w:cs="Times New Roman"/>
          <w:snapToGrid w:val="0"/>
          <w:color w:val="auto"/>
          <w:sz w:val="32"/>
          <w:szCs w:val="32"/>
          <w:lang w:val="en-US" w:eastAsia="zh-CN" w:bidi="ar-SA"/>
        </w:rPr>
        <w:t>）高度重视环境风险防范工作。严格落实“报告表”提出的各项风险防范措施，</w:t>
      </w:r>
      <w:r>
        <w:rPr>
          <w:rFonts w:hint="eastAsia" w:eastAsia="仿宋_GB2312" w:cs="Times New Roman"/>
          <w:snapToGrid w:val="0"/>
          <w:color w:val="auto"/>
          <w:sz w:val="32"/>
          <w:szCs w:val="32"/>
          <w:lang w:val="en-US" w:eastAsia="zh-CN" w:bidi="ar-SA"/>
        </w:rPr>
        <w:t>制定突发环境事件应急预案，</w:t>
      </w:r>
      <w:r>
        <w:rPr>
          <w:rFonts w:ascii="Times New Roman" w:hAnsi="Times New Roman" w:eastAsia="仿宋_GB2312" w:cs="Times New Roman"/>
          <w:snapToGrid w:val="0"/>
          <w:color w:val="auto"/>
          <w:sz w:val="32"/>
          <w:szCs w:val="32"/>
          <w:lang w:val="en-US" w:eastAsia="zh-CN" w:bidi="ar-SA"/>
        </w:rPr>
        <w:t>保证出现事故能得到及时、有效处理，强化环境风险管理工作，确保环境安全。建立健全环境管理机制和环保规章制度，落实岗位环保责任制，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加强污染治理设施的日常运行及维护管理，确保污染物稳定达标排放。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八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）加强公众参与。项目在建设及运行管理中，应根据公众的反映，进一步加强与公众沟通，以适当、稳妥、有效的方式，切实做好宣传、解释、维稳工作，及时解决公众提出的合理环境诉求，避免因公众参与工作落实不到位、相关环保措施不落实，导致环境纠纷和社会稳定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九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/>
        </w:rPr>
        <w:t>其它应注意的事项按国家相关法律法规和“报告表”中提出的相关要求落实。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line="600" w:lineRule="exact"/>
        <w:ind w:left="0" w:right="0" w:firstLine="640" w:firstLineChars="200"/>
        <w:jc w:val="both"/>
        <w:outlineLvl w:val="9"/>
        <w:rPr>
          <w:rFonts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/>
        </w:rPr>
        <w:t>项目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建设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vertAlign w:val="baseline"/>
          <w:lang w:val="en-US" w:eastAsia="zh-CN"/>
        </w:rPr>
        <w:t>必须严格执行环保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vertAlign w:val="baseline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vertAlign w:val="baseline"/>
          <w:lang w:val="en-US" w:eastAsia="zh-CN"/>
        </w:rPr>
        <w:t>三同时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vertAlign w:val="baseline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vertAlign w:val="baseline"/>
          <w:lang w:val="en-US" w:eastAsia="zh-CN"/>
        </w:rPr>
        <w:t>制度，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vertAlign w:val="baseline"/>
          <w:lang w:val="en-US" w:eastAsia="zh-CN"/>
        </w:rPr>
        <w:t>项目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vertAlign w:val="baseline"/>
          <w:lang w:val="en-US" w:eastAsia="zh-CN"/>
        </w:rPr>
        <w:t>竣工后，必须按规定程序开展竣工环境保护验收，验收合格后方可投入使用。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/>
        </w:rPr>
        <w:t>项目环境影响评价文件经批准后，如项目的性质、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/>
        </w:rPr>
        <w:t>规模、工艺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/>
        </w:rPr>
        <w:t>地点或者防治污染、防止生态破坏的措施发生重大变动的，建设单位应当重新报批环境影响评价文件，否则不得实施。自环评文件批准之日起，超过 5年方决定该项目开工建设的，环境影响评价文件应当报我局重新审核。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pacing w:val="-1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、请市生态环境保护综合行政执法支队和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攀枝花市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  <w:t>盐边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生态环</w:t>
      </w:r>
      <w:r>
        <w:rPr>
          <w:rFonts w:ascii="Times New Roman" w:hAnsi="Times New Roman" w:eastAsia="仿宋_GB2312" w:cs="Times New Roman"/>
          <w:color w:val="auto"/>
          <w:spacing w:val="-11"/>
          <w:sz w:val="32"/>
          <w:szCs w:val="32"/>
        </w:rPr>
        <w:t>境局负责</w:t>
      </w:r>
      <w:r>
        <w:rPr>
          <w:rFonts w:hint="eastAsia" w:ascii="Times New Roman" w:hAnsi="Times New Roman" w:eastAsia="仿宋_GB2312" w:cs="Times New Roman"/>
          <w:color w:val="auto"/>
          <w:spacing w:val="-11"/>
          <w:sz w:val="32"/>
          <w:szCs w:val="32"/>
          <w:lang w:eastAsia="zh-CN"/>
        </w:rPr>
        <w:t>开展</w:t>
      </w:r>
      <w:r>
        <w:rPr>
          <w:rFonts w:ascii="Times New Roman" w:hAnsi="Times New Roman" w:eastAsia="仿宋_GB2312" w:cs="Times New Roman"/>
          <w:color w:val="auto"/>
          <w:spacing w:val="-11"/>
          <w:sz w:val="32"/>
          <w:szCs w:val="32"/>
        </w:rPr>
        <w:t>该项目的“三同时”监督检查和日常监督管理工作。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六、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你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/>
        </w:rPr>
        <w:t>公司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应在收到本批复15个工作日内将批准</w:t>
      </w:r>
      <w:r>
        <w:rPr>
          <w:rFonts w:ascii="Times New Roman" w:hAnsi="Times New Roman" w:eastAsia="仿宋_GB2312" w:cs="Times New Roman"/>
          <w:color w:val="auto"/>
          <w:spacing w:val="20"/>
          <w:sz w:val="32"/>
          <w:szCs w:val="32"/>
        </w:rPr>
        <w:t>后的“报告表”送达</w:t>
      </w:r>
      <w:r>
        <w:rPr>
          <w:rFonts w:hint="eastAsia" w:ascii="Times New Roman" w:hAnsi="Times New Roman" w:eastAsia="仿宋_GB2312" w:cs="Times New Roman"/>
          <w:color w:val="auto"/>
          <w:spacing w:val="20"/>
          <w:sz w:val="32"/>
          <w:szCs w:val="32"/>
          <w:lang w:eastAsia="zh-CN"/>
        </w:rPr>
        <w:t>攀枝花市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  <w:t>盐边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生态环境局备案，并接受各级生态环境主管部门的监管。</w:t>
      </w:r>
    </w:p>
    <w:p>
      <w:pPr>
        <w:pStyle w:val="17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spacing w:after="0" w:line="600" w:lineRule="exact"/>
        <w:ind w:left="0"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spacing w:after="0" w:line="600" w:lineRule="exact"/>
        <w:ind w:left="0"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ind w:left="0" w:firstLine="294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攀枝花市生态环境局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ind w:left="0" w:firstLine="4934"/>
        <w:jc w:val="both"/>
        <w:rPr>
          <w:rFonts w:hint="eastAsia" w:ascii="Times New Roman" w:hAnsi="Times New Roman" w:eastAsia="仿宋_GB2312" w:cs="Times New Roman"/>
          <w:color w:val="auto"/>
          <w:spacing w:val="2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auto"/>
          <w:spacing w:val="2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auto"/>
          <w:spacing w:val="20"/>
          <w:sz w:val="32"/>
          <w:szCs w:val="32"/>
          <w:lang w:val="en-US"/>
        </w:rPr>
        <w:t>4</w:t>
      </w:r>
      <w:r>
        <w:rPr>
          <w:rFonts w:hint="eastAsia" w:ascii="Times New Roman" w:hAnsi="Times New Roman" w:eastAsia="仿宋_GB2312" w:cs="Times New Roman"/>
          <w:color w:val="auto"/>
          <w:spacing w:val="2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20"/>
          <w:sz w:val="32"/>
          <w:szCs w:val="32"/>
          <w:lang w:val="en-US"/>
        </w:rPr>
        <w:t>6</w:t>
      </w:r>
      <w:r>
        <w:rPr>
          <w:rFonts w:hint="eastAsia" w:ascii="Times New Roman" w:hAnsi="Times New Roman" w:eastAsia="仿宋_GB2312" w:cs="Times New Roman"/>
          <w:color w:val="auto"/>
          <w:spacing w:val="2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20"/>
          <w:sz w:val="32"/>
          <w:szCs w:val="32"/>
          <w:lang w:val="en-US"/>
        </w:rPr>
        <w:t>3</w:t>
      </w:r>
      <w:r>
        <w:rPr>
          <w:rFonts w:hint="eastAsia" w:ascii="Times New Roman" w:hAnsi="Times New Roman" w:eastAsia="仿宋_GB2312" w:cs="Times New Roman"/>
          <w:color w:val="auto"/>
          <w:spacing w:val="20"/>
          <w:sz w:val="32"/>
          <w:szCs w:val="32"/>
        </w:rPr>
        <w:t>日</w:t>
      </w: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pStyle w:val="17"/>
        <w:spacing w:after="0" w:line="600" w:lineRule="exact"/>
        <w:rPr>
          <w:rFonts w:ascii="Times New Roman" w:hAnsi="Times New Roman" w:cs="Times New Roman"/>
        </w:rPr>
      </w:pPr>
    </w:p>
    <w:p>
      <w:pPr>
        <w:pStyle w:val="17"/>
        <w:rPr>
          <w:rFonts w:ascii="Times New Roman" w:hAnsi="Times New Roman" w:cs="Times New Roman"/>
        </w:rPr>
      </w:pPr>
    </w:p>
    <w:p>
      <w:pPr>
        <w:pStyle w:val="17"/>
        <w:rPr>
          <w:rFonts w:ascii="Times New Roman" w:hAnsi="Times New Roman" w:cs="Times New Roman"/>
        </w:rPr>
      </w:pPr>
    </w:p>
    <w:p>
      <w:pPr>
        <w:pStyle w:val="17"/>
        <w:rPr>
          <w:rFonts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40" w:right="1803" w:bottom="1440" w:left="1803" w:header="0" w:footer="883" w:gutter="0"/>
      <w:pgNumType w:start="1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Noto Music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-26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宋体" w:hAnsi="宋体" w:eastAsia="宋体" w:cs="宋体"/>
        <w:sz w:val="28"/>
        <w:szCs w:val="28"/>
      </w:rPr>
    </w:pPr>
    <w:r>
      <w:rPr>
        <w:rStyle w:val="20"/>
        <w:rFonts w:hint="eastAsia" w:ascii="宋体" w:hAnsi="宋体" w:eastAsia="宋体" w:cs="宋体"/>
        <w:sz w:val="28"/>
        <w:szCs w:val="28"/>
      </w:rPr>
      <w:t xml:space="preserve">— </w:t>
    </w:r>
    <w:r>
      <w:rPr>
        <w:rStyle w:val="20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20"/>
        <w:rFonts w:hint="eastAsia" w:ascii="宋体" w:hAnsi="宋体" w:eastAsia="宋体" w:cs="宋体"/>
        <w:sz w:val="28"/>
        <w:szCs w:val="28"/>
      </w:rPr>
      <w:instrText xml:space="preserve">Page</w:instrText>
    </w:r>
    <w:r>
      <w:rPr>
        <w:rStyle w:val="20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20"/>
        <w:rFonts w:hint="eastAsia" w:ascii="宋体" w:hAnsi="宋体" w:eastAsia="宋体" w:cs="宋体"/>
        <w:sz w:val="28"/>
        <w:szCs w:val="28"/>
      </w:rPr>
      <w:t>2</w:t>
    </w:r>
    <w:r>
      <w:rPr>
        <w:rStyle w:val="20"/>
        <w:rFonts w:hint="eastAsia" w:ascii="宋体" w:hAnsi="宋体" w:eastAsia="宋体" w:cs="宋体"/>
        <w:sz w:val="28"/>
        <w:szCs w:val="28"/>
      </w:rPr>
      <w:fldChar w:fldCharType="end"/>
    </w:r>
    <w:r>
      <w:rPr>
        <w:rStyle w:val="20"/>
        <w:rFonts w:hint="eastAsia" w:ascii="宋体" w:hAnsi="宋体" w:eastAsia="宋体" w:cs="宋体"/>
        <w:sz w:val="28"/>
        <w:szCs w:val="28"/>
      </w:rPr>
      <w:t xml:space="preserve"> —</w:t>
    </w:r>
  </w:p>
  <w:p>
    <w:pPr>
      <w:spacing w:before="1" w:line="187" w:lineRule="auto"/>
      <w:ind w:right="360" w:firstLine="360"/>
      <w:rPr>
        <w:rFonts w:ascii="宋体" w:hAnsi="宋体" w:eastAsia="宋体" w:cs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20"/>
      </w:rPr>
      <w:fldChar w:fldCharType="begin"/>
    </w:r>
    <w:r>
      <w:rPr>
        <w:rStyle w:val="20"/>
      </w:rPr>
      <w:instrText xml:space="preserve">Page</w:instrText>
    </w:r>
    <w:r>
      <w:rPr>
        <w:rStyle w:val="20"/>
      </w:rPr>
      <w:fldChar w:fldCharType="separate"/>
    </w:r>
    <w:r>
      <w:rPr>
        <w:rStyle w:val="20"/>
      </w:rPr>
      <w:t>1</w:t>
    </w:r>
    <w:r>
      <w:rPr>
        <w:rStyle w:val="20"/>
      </w:rPr>
      <w:fldChar w:fldCharType="end"/>
    </w:r>
  </w:p>
  <w:p>
    <w:pPr>
      <w:pStyle w:val="1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40DBBB"/>
    <w:multiLevelType w:val="singleLevel"/>
    <w:tmpl w:val="D640DBBB"/>
    <w:lvl w:ilvl="0" w:tentative="0">
      <w:start w:val="1"/>
      <w:numFmt w:val="bullet"/>
      <w:pStyle w:val="11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bordersDoNotSurroundHeader w:val="false"/>
  <w:bordersDoNotSurroundFooter w:val="false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ompat>
    <w:spaceForUL/>
    <w:ulTrailSpace/>
    <w:doNotExpandShiftReturn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U4MGNhZGY1YzcyOWYzOTUwMjBkMzc2NmI1YWM0ODUifQ=="/>
    <w:docVar w:name="KGWebUrl" w:val="http://10.3.1.25:80/seeyon/officeservlet"/>
  </w:docVars>
  <w:rsids>
    <w:rsidRoot w:val="00000000"/>
    <w:rsid w:val="1FBD6EC4"/>
    <w:rsid w:val="27166C32"/>
    <w:rsid w:val="443612D4"/>
    <w:rsid w:val="64F922D3"/>
    <w:rsid w:val="65E27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tabs>
        <w:tab w:val="right" w:leader="dot" w:pos="8296"/>
      </w:tabs>
      <w:ind w:left="200" w:leftChars="200" w:firstLine="0"/>
    </w:pPr>
  </w:style>
  <w:style w:type="paragraph" w:styleId="6">
    <w:name w:val="Body Text"/>
    <w:basedOn w:val="1"/>
    <w:next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/>
    </w:rPr>
  </w:style>
  <w:style w:type="paragraph" w:styleId="7">
    <w:name w:val="Body Text Indent"/>
    <w:basedOn w:val="1"/>
    <w:qFormat/>
    <w:uiPriority w:val="0"/>
    <w:pPr>
      <w:spacing w:line="300" w:lineRule="auto"/>
      <w:ind w:left="0" w:firstLine="200" w:firstLineChars="200"/>
    </w:pPr>
    <w:rPr>
      <w:rFonts w:ascii="Times New Roman" w:hAnsi="Times New Roman"/>
    </w:rPr>
  </w:style>
  <w:style w:type="paragraph" w:styleId="8">
    <w:name w:val="Plain Text"/>
    <w:basedOn w:val="1"/>
    <w:next w:val="9"/>
    <w:qFormat/>
    <w:uiPriority w:val="0"/>
    <w:rPr>
      <w:rFonts w:ascii="宋体" w:hAnsi="Courier New"/>
    </w:rPr>
  </w:style>
  <w:style w:type="paragraph" w:customStyle="1" w:styleId="9">
    <w:name w:val="Default"/>
    <w:basedOn w:val="10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0">
    <w:name w:val="纯文本1"/>
    <w:qFormat/>
    <w:uiPriority w:val="0"/>
    <w:pPr>
      <w:widowControl w:val="0"/>
      <w:adjustRightInd w:val="0"/>
      <w:spacing w:line="360" w:lineRule="auto"/>
      <w:ind w:firstLine="465"/>
      <w:jc w:val="both"/>
    </w:pPr>
    <w:rPr>
      <w:rFonts w:ascii="宋体" w:hAnsi="Courier New" w:eastAsia="宋体" w:cs="Times New Roman"/>
      <w:kern w:val="2"/>
      <w:sz w:val="24"/>
      <w:szCs w:val="20"/>
      <w:lang w:val="en-US" w:eastAsia="zh-CN" w:bidi="ar-SA"/>
    </w:rPr>
  </w:style>
  <w:style w:type="paragraph" w:styleId="11">
    <w:name w:val="List Bullet 5"/>
    <w:basedOn w:val="1"/>
    <w:next w:val="1"/>
    <w:qFormat/>
    <w:uiPriority w:val="0"/>
    <w:pPr>
      <w:numPr>
        <w:ilvl w:val="0"/>
        <w:numId w:val="1"/>
      </w:numPr>
      <w:spacing w:line="360" w:lineRule="auto"/>
      <w:ind w:left="0" w:firstLine="200" w:firstLineChars="200"/>
    </w:pPr>
    <w:rPr>
      <w:rFonts w:ascii="Times New Roman" w:hAnsi="Times New Roman" w:eastAsia="宋体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4">
    <w:name w:val="index heading"/>
    <w:basedOn w:val="1"/>
    <w:next w:val="15"/>
    <w:qFormat/>
    <w:uiPriority w:val="0"/>
    <w:rPr>
      <w:rFonts w:ascii="Arial" w:hAnsi="Arial" w:cs="Arial"/>
      <w:b/>
      <w:bCs/>
    </w:rPr>
  </w:style>
  <w:style w:type="paragraph" w:styleId="15">
    <w:name w:val="index 1"/>
    <w:basedOn w:val="1"/>
    <w:next w:val="1"/>
    <w:qFormat/>
    <w:uiPriority w:val="0"/>
    <w:pPr>
      <w:tabs>
        <w:tab w:val="left" w:pos="5580"/>
      </w:tabs>
      <w:spacing w:line="280" w:lineRule="exact"/>
    </w:pPr>
    <w:rPr>
      <w:rFonts w:ascii="宋体" w:hAnsi="宋体"/>
      <w:spacing w:val="10"/>
    </w:rPr>
  </w:style>
  <w:style w:type="paragraph" w:styleId="16">
    <w:name w:val="Body Text 2"/>
    <w:basedOn w:val="1"/>
    <w:qFormat/>
    <w:uiPriority w:val="0"/>
    <w:pPr>
      <w:spacing w:after="120" w:line="480" w:lineRule="auto"/>
    </w:pPr>
    <w:rPr>
      <w:rFonts w:ascii="Calibri" w:hAnsi="Calibri" w:cs="Calibri"/>
    </w:rPr>
  </w:style>
  <w:style w:type="paragraph" w:styleId="17">
    <w:name w:val="Body Text First Indent"/>
    <w:basedOn w:val="6"/>
    <w:qFormat/>
    <w:uiPriority w:val="0"/>
    <w:pPr>
      <w:widowControl w:val="0"/>
      <w:adjustRightInd w:val="0"/>
      <w:snapToGrid/>
      <w:spacing w:before="0" w:after="120" w:line="240" w:lineRule="auto"/>
      <w:ind w:right="0" w:firstLine="100" w:firstLineChars="100"/>
    </w:pPr>
    <w:rPr>
      <w:kern w:val="2"/>
      <w:sz w:val="21"/>
      <w:szCs w:val="24"/>
    </w:rPr>
  </w:style>
  <w:style w:type="character" w:styleId="20">
    <w:name w:val="page number"/>
    <w:basedOn w:val="19"/>
    <w:qFormat/>
    <w:uiPriority w:val="0"/>
  </w:style>
  <w:style w:type="paragraph" w:customStyle="1" w:styleId="21">
    <w:name w:val="样式1"/>
    <w:basedOn w:val="14"/>
    <w:next w:val="1"/>
    <w:qFormat/>
    <w:uiPriority w:val="0"/>
    <w:pPr>
      <w:keepLines/>
      <w:kinsoku w:val="0"/>
      <w:overflowPunct/>
      <w:autoSpaceDE w:val="0"/>
      <w:autoSpaceDN w:val="0"/>
      <w:adjustRightInd w:val="0"/>
      <w:snapToGrid/>
      <w:spacing w:before="100" w:beforeLines="100" w:after="100" w:afterLines="100" w:line="360" w:lineRule="auto"/>
      <w:ind w:left="0" w:firstLine="0"/>
    </w:pPr>
    <w:rPr>
      <w:rFonts w:ascii="Times New Roman" w:hAnsi="Times New Roman" w:eastAsia="黑体" w:cs="Times New Roman"/>
      <w:b w:val="0"/>
      <w:kern w:val="44"/>
      <w:sz w:val="36"/>
      <w:szCs w:val="36"/>
    </w:rPr>
  </w:style>
  <w:style w:type="paragraph" w:customStyle="1" w:styleId="22">
    <w:name w:val="表内格式"/>
    <w:basedOn w:val="1"/>
    <w:qFormat/>
    <w:uiPriority w:val="0"/>
    <w:pPr>
      <w:jc w:val="center"/>
    </w:pPr>
    <w:rPr>
      <w:rFonts w:ascii="Times New Roman" w:hAnsi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0</Words>
  <Characters>1816</Characters>
  <Lines>0</Lines>
  <Paragraphs>84</Paragraphs>
  <TotalTime>10</TotalTime>
  <ScaleCrop>false</ScaleCrop>
  <LinksUpToDate>false</LinksUpToDate>
  <CharactersWithSpaces>2422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2022-05-23T14:13:00Z</dcterms:created>
  <dc:creator>USER</dc:creator>
  <cp:keywords>USER</cp:keywords>
  <cp:lastModifiedBy>陈麒伊</cp:lastModifiedBy>
  <cp:lastPrinted>2022-12-14T15:54:00Z</cp:lastPrinted>
  <dcterms:modified xsi:type="dcterms:W3CDTF">2024-06-03T17:02:57Z</dcterms:modified>
  <dc:subject>USER</dc:subject>
  <dc:title>攀枝花市环境保护局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2022-06-21T16:00:00Z</vt:filetime>
  </property>
  <property fmtid="{D5CDD505-2E9C-101B-9397-08002B2CF9AE}" pid="4" name="KSOProductBuildVer">
    <vt:lpwstr>2052-11.8.2.10290</vt:lpwstr>
  </property>
  <property fmtid="{D5CDD505-2E9C-101B-9397-08002B2CF9AE}" pid="5" name="ICV">
    <vt:lpwstr>25D838D48913477886FCADC132FD9D6F</vt:lpwstr>
  </property>
</Properties>
</file>